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shape style="position:absolute;margin-left:538.028564pt;margin-top:30.223162pt;width:5.9pt;height:8.550pt;mso-position-horizontal-relative:page;mso-position-vertical-relative:page;z-index:1192;rotation:1" type="#_x0000_t136" fillcolor="#23201d" stroked="f">
            <o:extrusion v:ext="view" autorotationcenter="t"/>
            <v:textpath style="font-family:&amp;quot;Arial&amp;quot;;font-size:8pt;v-text-kern:t;mso-text-shadow:auto;font-weight:bold" string="R"/>
            <w10:wrap type="none"/>
          </v:shape>
        </w:pict>
      </w:r>
      <w:r>
        <w:rPr/>
        <w:pict>
          <v:shape style="position:absolute;margin-left:544.434692pt;margin-top:31.044384pt;width:5.55pt;height:8.550pt;mso-position-horizontal-relative:page;mso-position-vertical-relative:page;z-index:1216;rotation:13" type="#_x0000_t136" fillcolor="#23201d" stroked="f">
            <o:extrusion v:ext="view" autorotationcenter="t"/>
            <v:textpath style="font-family:&amp;quot;Arial&amp;quot;;font-size:8pt;v-text-kern:t;mso-text-shadow:auto;font-weight:bold" string="S"/>
            <w10:wrap type="none"/>
          </v:shape>
        </w:pict>
      </w:r>
      <w:r>
        <w:rPr/>
        <w:pict>
          <v:shape style="position:absolute;margin-left:549.738770pt;margin-top:32.106087pt;width:2.4pt;height:8.5pt;mso-position-horizontal-relative:page;mso-position-vertical-relative:page;z-index:1240;rotation:18" type="#_x0000_t136" fillcolor="#23201d" stroked="f">
            <o:extrusion v:ext="view" autorotationcenter="t"/>
            <v:textpath style="font-family:&amp;quot;Arial&amp;quot;;font-size:8pt;v-text-kern:t;mso-text-shadow:auto;font-weight:bold" string="I"/>
            <w10:wrap type="none"/>
          </v:shape>
        </w:pict>
      </w:r>
      <w:r>
        <w:rPr/>
        <w:pict>
          <v:shape style="position:absolute;margin-left:551.898621pt;margin-top:33.539898pt;width:5.2pt;height:8.5pt;mso-position-horizontal-relative:page;mso-position-vertical-relative:page;z-index:1264;rotation:24" type="#_x0000_t136" fillcolor="#23201d" stroked="f">
            <o:extrusion v:ext="view" autorotationcenter="t"/>
            <v:textpath style="font-family:&amp;quot;Arial&amp;quot;;font-size:8pt;v-text-kern:t;mso-text-shadow:auto;font-weight:bold" string="T"/>
            <w10:wrap type="none"/>
          </v:shape>
        </w:pict>
      </w:r>
      <w:r>
        <w:rPr/>
        <w:pict>
          <v:shape style="position:absolute;margin-left:555.916931pt;margin-top:36.206844pt;width:6.3pt;height:8.450pt;mso-position-horizontal-relative:page;mso-position-vertical-relative:page;z-index:1288;rotation:33" type="#_x0000_t136" fillcolor="#23201d" stroked="f">
            <o:extrusion v:ext="view" autorotationcenter="t"/>
            <v:textpath style="font-family:&amp;quot;Arial&amp;quot;;font-size:8pt;v-text-kern:t;mso-text-shadow:auto;font-weight:bold" string="A"/>
            <w10:wrap type="none"/>
          </v:shape>
        </w:pict>
      </w:r>
      <w:r>
        <w:rPr/>
        <w:pict>
          <v:shape style="position:absolute;margin-left:560.876465pt;margin-top:40.339336pt;width:6.4pt;height:8.35pt;mso-position-horizontal-relative:page;mso-position-vertical-relative:page;z-index:1312;rotation:44" type="#_x0000_t136" fillcolor="#23201d" stroked="f">
            <o:extrusion v:ext="view" autorotationcenter="t"/>
            <v:textpath style="font-family:&amp;quot;Arial&amp;quot;;font-size:8pt;v-text-kern:t;mso-text-shadow:auto;font-weight:bold" string="R"/>
            <w10:wrap type="none"/>
          </v:shape>
        </w:pict>
      </w:r>
      <w:r>
        <w:rPr/>
        <w:pict>
          <v:shape style="position:absolute;margin-left:565.690869pt;margin-top:43.631076pt;width:2.7pt;height:8.3pt;mso-position-horizontal-relative:page;mso-position-vertical-relative:page;z-index:1336;rotation:50" type="#_x0000_t136" fillcolor="#23201d" stroked="f">
            <o:extrusion v:ext="view" autorotationcenter="t"/>
            <v:textpath style="font-family:&amp;quot;Arial&amp;quot;;font-size:8pt;v-text-kern:t;mso-text-shadow:auto;font-weight:bold" string="I"/>
            <w10:wrap type="none"/>
          </v:shape>
        </w:pict>
      </w:r>
      <w:r>
        <w:rPr/>
        <w:pict>
          <v:shape style="position:absolute;margin-left:507.073932pt;margin-top:45.940427pt;width:6.9pt;height:8.3pt;mso-position-horizontal-relative:page;mso-position-vertical-relative:page;z-index:1600;rotation:305" type="#_x0000_t136" fillcolor="#23201d" stroked="f">
            <o:extrusion v:ext="view" autorotationcenter="t"/>
            <v:textpath style="font-family:&amp;quot;Arial&amp;quot;;font-size:8pt;v-text-kern:t;mso-text-shadow:auto;font-weight:bold" string="O"/>
            <w10:wrap type="none"/>
          </v:shape>
        </w:pict>
      </w:r>
      <w:r>
        <w:rPr/>
        <w:pict>
          <v:shape style="position:absolute;margin-left:513.388855pt;margin-top:39.01923pt;width:6.35pt;height:8.4pt;mso-position-horizontal-relative:page;mso-position-vertical-relative:page;z-index:1624;rotation:319" type="#_x0000_t136" fillcolor="#23201d" stroked="f">
            <o:extrusion v:ext="view" autorotationcenter="t"/>
            <v:textpath style="font-family:&amp;quot;Arial&amp;quot;;font-size:8pt;v-text-kern:t;mso-text-shadow:auto;font-weight:bold" string="U"/>
            <w10:wrap type="none"/>
          </v:shape>
        </w:pict>
      </w:r>
      <w:r>
        <w:rPr/>
        <w:pict>
          <v:shape style="position:absolute;margin-left:518.643616pt;margin-top:35.228958pt;width:6.3pt;height:8.450pt;mso-position-horizontal-relative:page;mso-position-vertical-relative:page;z-index:1648;rotation:330" type="#_x0000_t136" fillcolor="#23201d" stroked="f">
            <o:extrusion v:ext="view" autorotationcenter="t"/>
            <v:textpath style="font-family:&amp;quot;Arial&amp;quot;;font-size:8pt;v-text-kern:t;mso-text-shadow:auto;font-weight:bold" string="N"/>
            <w10:wrap type="none"/>
          </v:shape>
        </w:pict>
      </w:r>
      <w:r>
        <w:rPr/>
        <w:pict>
          <v:shape style="position:absolute;margin-left:524.321533pt;margin-top:33.111259pt;width:2.450pt;height:8.5pt;mso-position-horizontal-relative:page;mso-position-vertical-relative:page;z-index:1672;rotation:336" type="#_x0000_t136" fillcolor="#23201d" stroked="f">
            <o:extrusion v:ext="view" autorotationcenter="t"/>
            <v:textpath style="font-family:&amp;quot;Arial&amp;quot;;font-size:8pt;v-text-kern:t;mso-text-shadow:auto;font-weight:bold" string="I"/>
            <w10:wrap type="none"/>
          </v:shape>
        </w:pict>
      </w:r>
      <w:r>
        <w:rPr/>
        <w:pict>
          <v:shape style="position:absolute;margin-left:526.677917pt;margin-top:31.754503pt;width:5.55pt;height:8.5pt;mso-position-horizontal-relative:page;mso-position-vertical-relative:page;z-index:1696;rotation:345" type="#_x0000_t136" fillcolor="#23201d" stroked="f">
            <o:extrusion v:ext="view" autorotationcenter="t"/>
            <v:textpath style="font-family:&amp;quot;Arial&amp;quot;;font-size:8pt;v-text-kern:t;mso-text-shadow:auto;font-weight:bold" string="V"/>
            <w10:wrap type="none"/>
          </v:shape>
        </w:pict>
      </w:r>
      <w:r>
        <w:rPr/>
        <w:pict>
          <v:shape style="position:absolute;margin-left:532.381531pt;margin-top:30.477417pt;width:5.5pt;height:8.550pt;mso-position-horizontal-relative:page;mso-position-vertical-relative:page;z-index:1720;rotation:353" type="#_x0000_t136" fillcolor="#23201d" stroked="f">
            <o:extrusion v:ext="view" autorotationcenter="t"/>
            <v:textpath style="font-family:&amp;quot;Arial&amp;quot;;font-size:8pt;v-text-kern:t;mso-text-shadow:auto;font-weight:bold" string="E"/>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1"/>
        </w:rPr>
      </w:pPr>
    </w:p>
    <w:p>
      <w:pPr>
        <w:pStyle w:val="Heading2"/>
        <w:spacing w:line="276" w:lineRule="auto" w:before="70"/>
        <w:ind w:left="2256" w:right="1224"/>
        <w:jc w:val="center"/>
      </w:pPr>
      <w:r>
        <w:rPr/>
        <w:pict>
          <v:line style="position:absolute;mso-position-horizontal-relative:page;mso-position-vertical-relative:paragraph;z-index:0" from="86.141998pt,-31.65416pt" to="86.593998pt,367.10584pt" stroked="true" strokeweight="1.0pt" strokecolor="#00703c">
            <w10:wrap type="none"/>
          </v:line>
        </w:pict>
      </w:r>
      <w:r>
        <w:rPr/>
        <w:pict>
          <v:line style="position:absolute;mso-position-horizontal-relative:page;mso-position-vertical-relative:paragraph;z-index:1048" from="80.456998pt,-31.644159pt" to="80.197998pt,509.945841pt" stroked="true" strokeweight="1.0pt" strokecolor="#00703c">
            <w10:wrap type="none"/>
          </v:line>
        </w:pict>
      </w:r>
      <w:r>
        <w:rPr/>
        <w:pict>
          <v:line style="position:absolute;mso-position-horizontal-relative:page;mso-position-vertical-relative:paragraph;z-index:1072" from="74.724998pt,-30.784161pt" to="74.918998pt,594.462839pt" stroked="true" strokeweight="1.0pt" strokecolor="#00703c">
            <w10:wrap type="none"/>
          </v:line>
        </w:pict>
      </w:r>
      <w:r>
        <w:rPr/>
        <w:drawing>
          <wp:anchor distT="0" distB="0" distL="0" distR="0" allowOverlap="1" layoutInCell="1" locked="0" behindDoc="1" simplePos="0" relativeHeight="267753311">
            <wp:simplePos x="0" y="0"/>
            <wp:positionH relativeFrom="page">
              <wp:posOffset>1210055</wp:posOffset>
            </wp:positionH>
            <wp:positionV relativeFrom="paragraph">
              <wp:posOffset>-364542</wp:posOffset>
            </wp:positionV>
            <wp:extent cx="6010656" cy="808634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6010656" cy="8086344"/>
                    </a:xfrm>
                    <a:prstGeom prst="rect">
                      <a:avLst/>
                    </a:prstGeom>
                  </pic:spPr>
                </pic:pic>
              </a:graphicData>
            </a:graphic>
          </wp:anchor>
        </w:drawing>
      </w:r>
      <w:r>
        <w:rPr/>
        <w:pict>
          <v:group style="position:absolute;margin-left:36.5pt;margin-top:-119.25016pt;width:453.7pt;height:82.85pt;mso-position-horizontal-relative:page;mso-position-vertical-relative:paragraph;z-index:1120" coordorigin="730,-2385" coordsize="9074,1657">
            <v:shape style="position:absolute;left:2570;top:-1491;width:7155;height:202" coordorigin="2570,-1491" coordsize="7155,202" path="m2570,-1491l7923,-1491m2570,-1389l8824,-1389m2570,-1289l9724,-1289e" filled="false" stroked="true" strokeweight="1pt" strokecolor="#007339">
              <v:path arrowok="t"/>
            </v:shape>
            <v:shape style="position:absolute;left:2546;top:-2091;width:7258;height:365" type="#_x0000_t75" stroked="false">
              <v:imagedata r:id="rId6" o:title=""/>
            </v:shape>
            <v:shape style="position:absolute;left:3017;top:-2074;width:6326;height:214" type="#_x0000_t75" stroked="false">
              <v:imagedata r:id="rId7" o:title=""/>
            </v:shape>
            <v:shape style="position:absolute;left:730;top:-2385;width:1770;height:1656" type="#_x0000_t75" stroked="false">
              <v:imagedata r:id="rId8" o:title=""/>
            </v:shape>
            <w10:wrap type="none"/>
          </v:group>
        </w:pict>
      </w:r>
      <w:r>
        <w:rPr/>
        <w:pict>
          <v:group style="position:absolute;margin-left:512.323730pt;margin-top:-104.332077pt;width:54.5pt;height:67.850pt;mso-position-horizontal-relative:page;mso-position-vertical-relative:paragraph;z-index:1144" coordorigin="10246,-2087" coordsize="1090,1357">
            <v:shape style="position:absolute;left:10246;top:-2087;width:1090;height:1053" type="#_x0000_t75" stroked="false">
              <v:imagedata r:id="rId9" o:title=""/>
            </v:shape>
            <v:shape style="position:absolute;left:10265;top:-1059;width:1057;height:329" coordorigin="10265,-1059" coordsize="1057,329" path="m10433,-961l10379,-853,10457,-809,10466,-828,10409,-859,10424,-888,10467,-888,10433,-907,10445,-929,10490,-929,10433,-961xm10467,-888l10424,-888,10475,-859,10484,-878,10467,-888xm10490,-929l10445,-929,10499,-900,10508,-919,10490,-929xm10319,-1059l10304,-1043,10331,-1021,10265,-945,10283,-929,10349,-1002,10378,-1002,10319,-1059xm10378,-1002l10349,-1002,10373,-980,10385,-995,10378,-1002xm10618,-802l10595,-802,10610,-755,10637,-745,10618,-802xm10568,-894l10586,-828,10532,-777,10559,-771,10595,-802,10618,-802,10613,-818,10637,-840,10607,-840,10595,-885,10568,-894xm10640,-872l10607,-840,10637,-840,10664,-866,10640,-872xm10787,-856l10772,-856,10761,-855,10751,-853,10742,-848,10733,-840,10727,-832,10722,-821,10719,-808,10718,-793,10717,-780,10719,-768,10724,-758,10730,-749,10737,-741,10746,-736,10756,-732,10769,-730,10781,-730,10790,-733,10808,-745,10812,-752,10760,-752,10754,-755,10748,-761,10742,-768,10742,-809,10745,-821,10751,-828,10757,-834,10763,-837,10811,-837,10808,-840,10799,-850,10787,-856xm10793,-777l10793,-768,10790,-761,10784,-758,10781,-755,10775,-752,10812,-752,10814,-755,10817,-768,10793,-777xm10811,-837l10763,-837,10772,-834,10784,-834,10787,-831,10790,-825,10793,-821,10796,-815,10817,-818,10817,-828,10811,-837xm10940,-870l10928,-869,10910,-862,10904,-859,10901,-853,10898,-850,10892,-844,10889,-837,10889,-831,10886,-825,10886,-806,10889,-793,10892,-780,10897,-769,10904,-760,10913,-752,10922,-748,10933,-745,10945,-746,10958,-749,10969,-752,10978,-758,10986,-764,10943,-764,10934,-768,10928,-771,10919,-777,10916,-787,10913,-799,10910,-815,10910,-825,10913,-834,10916,-840,10925,-847,10934,-850,10986,-850,10981,-856,10973,-862,10962,-868,10951,-870,10940,-870xm10986,-850l10952,-850,10958,-844,10964,-840,10970,-831,10973,-818,10976,-802,10976,-793,10973,-783,10967,-777,10961,-771,10943,-764,10986,-764,10987,-765,10994,-774,10998,-784,11000,-795,11000,-808,10997,-821,10994,-835,10988,-847,10986,-850xm11114,-935l11102,-935,11087,-926,11078,-920,11070,-912,11064,-904,11060,-894,11059,-882,11060,-870,11063,-857,11069,-844,11074,-832,11082,-823,11090,-816,11099,-812,11110,-809,11120,-809,11130,-811,11141,-815,11153,-821,11159,-828,11117,-828,11108,-831,11102,-834,11096,-844,11087,-856,11081,-872,11081,-888,11084,-897,11087,-904,11096,-907,11108,-913,11140,-913,11144,-916,11138,-926,11132,-929,11114,-935xm11168,-872l11144,-869,11147,-859,11147,-853,11141,-840,11138,-837,11132,-834,11123,-828,11159,-828,11165,-837,11168,-847,11168,-872xm11140,-913l11108,-913,11114,-910,11117,-910,11123,-907,11126,-900,11140,-913xm11253,-1034l11242,-1032,11231,-1027,11222,-1021,11216,-1011,11210,-1005,11207,-998,11204,-992,11204,-986,11201,-980,11201,-973,11204,-967,11204,-961,11207,-951,11219,-932,11228,-923,11239,-916,11250,-912,11261,-910,11270,-909,11280,-912,11291,-918,11300,-926,11307,-932,11264,-932,11246,-938,11237,-951,11228,-961,11225,-970,11225,-989,11228,-995,11243,-1011,11252,-1014,11300,-1014,11294,-1020,11285,-1027,11275,-1032,11264,-1033,11253,-1034xm11300,-1014l11252,-1014,11261,-1011,11267,-1011,11276,-1005,11285,-995,11294,-983,11300,-973,11300,-954,11294,-948,11282,-935,11273,-932,11307,-932,11310,-934,11316,-944,11320,-954,11321,-964,11320,-976,11317,-987,11311,-999,11303,-1011,11300,-1014xe" filled="true" fillcolor="#23201d" stroked="false">
              <v:path arrowok="t"/>
              <v:fill type="solid"/>
            </v:shape>
            <w10:wrap type="none"/>
          </v:group>
        </w:pict>
      </w:r>
      <w:r>
        <w:rPr/>
        <w:pict>
          <v:group style="position:absolute;margin-left:134.759995pt;margin-top:-58.464161pt;width:341.65pt;height:24pt;mso-position-horizontal-relative:page;mso-position-vertical-relative:paragraph;z-index:1168" coordorigin="2695,-1169" coordsize="6833,480">
            <v:shape style="position:absolute;left:2695;top:-1169;width:6833;height:480" type="#_x0000_t75" stroked="false">
              <v:imagedata r:id="rId10" o:title=""/>
            </v:shape>
            <v:shape style="position:absolute;left:3380;top:-1121;width:5465;height:178" type="#_x0000_t75" stroked="false">
              <v:imagedata r:id="rId11" o:title=""/>
            </v:shape>
            <w10:wrap type="none"/>
          </v:group>
        </w:pict>
      </w:r>
      <w:r>
        <w:rPr/>
        <w:pict>
          <v:shape style="position:absolute;margin-left:566.290601pt;margin-top:-102.688756pt;width:6.9pt;height:8.25pt;mso-position-horizontal-relative:page;mso-position-vertical-relative:paragraph;z-index:1360;rotation:58" type="#_x0000_t136" fillcolor="#23201d" stroked="f">
            <o:extrusion v:ext="view" autorotationcenter="t"/>
            <v:textpath style="font-family:&amp;quot;Arial&amp;quot;;font-size:8pt;v-text-kern:t;mso-text-shadow:auto;font-weight:bold" string="O"/>
            <w10:wrap type="none"/>
          </v:shape>
        </w:pict>
      </w:r>
      <w:r>
        <w:rPr/>
        <w:pict>
          <v:shape style="position:absolute;margin-left:570.460254pt;margin-top:-94.351039pt;width:6.3pt;height:8.2pt;mso-position-horizontal-relative:page;mso-position-vertical-relative:paragraph;z-index:1384;rotation:71" type="#_x0000_t136" fillcolor="#23201d" stroked="f">
            <o:extrusion v:ext="view" autorotationcenter="t"/>
            <v:textpath style="font-family:&amp;quot;Arial&amp;quot;;font-size:8pt;v-text-kern:t;mso-text-shadow:auto;font-weight:bold" string="U"/>
            <w10:wrap type="none"/>
          </v:shape>
        </w:pict>
      </w:r>
      <w:r>
        <w:rPr/>
        <w:pict>
          <v:shape style="position:absolute;margin-left:571.97063pt;margin-top:-88.001666pt;width:6.25pt;height:8.15pt;mso-position-horizontal-relative:page;mso-position-vertical-relative:paragraph;z-index:1408;rotation:79" type="#_x0000_t136" fillcolor="#23201d" stroked="f">
            <o:extrusion v:ext="view" autorotationcenter="t"/>
            <v:textpath style="font-family:&amp;quot;Arial&amp;quot;;font-size:8pt;v-text-kern:t;mso-text-shadow:auto;font-weight:bold" string="A"/>
            <w10:wrap type="none"/>
          </v:shape>
        </w:pict>
      </w:r>
      <w:r>
        <w:rPr/>
        <w:pict>
          <v:shapetype id="_x0000_t202" o:spt="202" coordsize="21600,21600" path="m,l,21600r21600,l21600,xe">
            <v:stroke joinstyle="miter"/>
            <v:path gradientshapeok="t" o:connecttype="rect"/>
          </v:shapetype>
          <v:shape style="position:absolute;margin-left:570.474304pt;margin-top:-81.480873pt;width:10.25pt;height:7.85pt;mso-position-horizontal-relative:page;mso-position-vertical-relative:paragraph;z-index:1432" type="#_x0000_t202" filled="false" stroked="false">
            <v:textbox inset="0,0,0,0" style="layout-flow:vertical">
              <w:txbxContent>
                <w:p>
                  <w:pPr>
                    <w:spacing w:before="1"/>
                    <w:ind w:left="20" w:right="0" w:firstLine="0"/>
                    <w:jc w:val="left"/>
                    <w:rPr>
                      <w:b/>
                      <w:sz w:val="16"/>
                    </w:rPr>
                  </w:pPr>
                  <w:r>
                    <w:rPr>
                      <w:b/>
                      <w:color w:val="23201D"/>
                      <w:w w:val="106"/>
                      <w:sz w:val="16"/>
                    </w:rPr>
                    <w:t>E</w:t>
                  </w:r>
                </w:p>
              </w:txbxContent>
            </v:textbox>
            <w10:wrap type="none"/>
          </v:shape>
        </w:pict>
      </w:r>
      <w:r>
        <w:rPr/>
        <w:pict>
          <v:shape style="position:absolute;margin-left:571.208508pt;margin-top:-74.877446pt;width:7.3pt;height:8.15pt;mso-position-horizontal-relative:page;mso-position-vertical-relative:paragraph;z-index:1456;rotation:99" type="#_x0000_t136" fillcolor="#23201d" stroked="f">
            <o:extrusion v:ext="view" autorotationcenter="t"/>
            <v:textpath style="font-family:&amp;quot;Arial&amp;quot;;font-size:8pt;v-text-kern:t;mso-text-shadow:auto;font-weight:bold" string="M"/>
            <w10:wrap type="none"/>
          </v:shape>
        </w:pict>
      </w:r>
      <w:r>
        <w:rPr/>
        <w:pict>
          <v:shape style="position:absolute;margin-left:501.22464pt;margin-top:-74.261421pt;width:6.4pt;height:8.15pt;mso-position-horizontal-relative:page;mso-position-vertical-relative:paragraph;z-index:1480;rotation:258" type="#_x0000_t136" fillcolor="#23201d" stroked="f">
            <o:extrusion v:ext="view" autorotationcenter="t"/>
            <v:textpath style="font-family:&amp;quot;Arial&amp;quot;;font-size:8pt;v-text-kern:t;mso-text-shadow:auto;font-weight:bold" string="C"/>
            <w10:wrap type="none"/>
          </v:shape>
        </w:pict>
      </w:r>
      <w:r>
        <w:rPr/>
        <w:pict>
          <v:shape style="position:absolute;margin-left:498.508179pt;margin-top:-80.522057pt;width:10.25pt;height:7.85pt;mso-position-horizontal-relative:page;mso-position-vertical-relative:paragraph;z-index:1504" type="#_x0000_t202" filled="false" stroked="false">
            <v:textbox inset="0,0,0,0" style="layout-flow:vertical;mso-layout-flow-alt:bottom-to-top">
              <w:txbxContent>
                <w:p>
                  <w:pPr>
                    <w:spacing w:before="3"/>
                    <w:ind w:left="20" w:right="0" w:firstLine="0"/>
                    <w:jc w:val="left"/>
                    <w:rPr>
                      <w:b/>
                      <w:sz w:val="16"/>
                    </w:rPr>
                  </w:pPr>
                  <w:r>
                    <w:rPr>
                      <w:b/>
                      <w:color w:val="23201D"/>
                      <w:w w:val="106"/>
                      <w:sz w:val="16"/>
                    </w:rPr>
                    <w:t>E</w:t>
                  </w:r>
                </w:p>
              </w:txbxContent>
            </v:textbox>
            <w10:wrap type="none"/>
          </v:shape>
        </w:pict>
      </w:r>
      <w:r>
        <w:rPr/>
        <w:pict>
          <v:shape style="position:absolute;margin-left:500.679736pt;margin-top:-86.809505pt;width:6.25pt;height:8.15pt;mso-position-horizontal-relative:page;mso-position-vertical-relative:paragraph;z-index:1528;rotation:278" type="#_x0000_t136" fillcolor="#23201d" stroked="f">
            <o:extrusion v:ext="view" autorotationcenter="t"/>
            <v:textpath style="font-family:&amp;quot;Arial&amp;quot;;font-size:8pt;v-text-kern:t;mso-text-shadow:auto;font-weight:bold" string="N"/>
            <w10:wrap type="none"/>
          </v:shape>
        </w:pict>
      </w:r>
      <w:r>
        <w:rPr/>
        <w:pict>
          <v:shape style="position:absolute;margin-left:502.370215pt;margin-top:-92.801733pt;width:5.35pt;height:8.15pt;mso-position-horizontal-relative:page;mso-position-vertical-relative:paragraph;z-index:1552;rotation:286" type="#_x0000_t136" fillcolor="#23201d" stroked="f">
            <o:extrusion v:ext="view" autorotationcenter="t"/>
            <v:textpath style="font-family:&amp;quot;Arial&amp;quot;;font-size:8pt;v-text-kern:t;mso-text-shadow:auto;font-weight:bold" string="T"/>
            <w10:wrap type="none"/>
          </v:shape>
        </w:pict>
      </w:r>
      <w:r>
        <w:rPr/>
        <w:pict>
          <v:shape style="position:absolute;margin-left:503.945178pt;margin-top:-98.407207pt;width:6.3pt;height:8.2pt;mso-position-horizontal-relative:page;mso-position-vertical-relative:paragraph;z-index:1576;rotation:295" type="#_x0000_t136" fillcolor="#23201d" stroked="f">
            <o:extrusion v:ext="view" autorotationcenter="t"/>
            <v:textpath style="font-family:&amp;quot;Arial&amp;quot;;font-size:8pt;v-text-kern:t;mso-text-shadow:auto;font-weight:bold" string="R"/>
            <w10:wrap type="none"/>
          </v:shape>
        </w:pict>
      </w:r>
      <w:r>
        <w:rPr/>
        <w:t>FONDO DE INFRAESTRUCTURA SOCIAL MUNICIPAL Y DE APORTACIONES PARA EL FORTALECIMIENTO MUNICIPAL.</w:t>
      </w:r>
    </w:p>
    <w:p>
      <w:pPr>
        <w:spacing w:line="276" w:lineRule="auto" w:before="3"/>
        <w:ind w:left="2930" w:right="1896" w:firstLine="0"/>
        <w:jc w:val="center"/>
        <w:rPr>
          <w:b/>
          <w:sz w:val="24"/>
        </w:rPr>
      </w:pPr>
      <w:r>
        <w:rPr>
          <w:b/>
          <w:sz w:val="24"/>
        </w:rPr>
        <w:t>TOMA DE DECISIONES DE LOS GOBIERNOS MUNICIPALES DEL ESTADO DE MÉXICO 2008- 2014</w:t>
      </w:r>
    </w:p>
    <w:p>
      <w:pPr>
        <w:pStyle w:val="BodyText"/>
        <w:rPr>
          <w:b/>
        </w:rPr>
      </w:pPr>
    </w:p>
    <w:p>
      <w:pPr>
        <w:pStyle w:val="BodyText"/>
        <w:rPr>
          <w:b/>
        </w:rPr>
      </w:pPr>
    </w:p>
    <w:p>
      <w:pPr>
        <w:pStyle w:val="BodyText"/>
        <w:rPr>
          <w:b/>
        </w:rPr>
      </w:pPr>
    </w:p>
    <w:p>
      <w:pPr>
        <w:tabs>
          <w:tab w:pos="1612" w:val="left" w:leader="none"/>
          <w:tab w:pos="2211" w:val="left" w:leader="none"/>
          <w:tab w:pos="2811" w:val="left" w:leader="none"/>
          <w:tab w:pos="3256" w:val="left" w:leader="none"/>
        </w:tabs>
        <w:spacing w:before="144"/>
        <w:ind w:left="1035" w:right="0" w:firstLine="0"/>
        <w:jc w:val="center"/>
        <w:rPr>
          <w:b/>
          <w:sz w:val="40"/>
        </w:rPr>
      </w:pPr>
      <w:r>
        <w:rPr>
          <w:b/>
          <w:sz w:val="40"/>
        </w:rPr>
        <w:t>T</w:t>
        <w:tab/>
        <w:t>E</w:t>
        <w:tab/>
        <w:t>S</w:t>
        <w:tab/>
        <w:t>I</w:t>
        <w:tab/>
        <w:t>S</w:t>
      </w:r>
    </w:p>
    <w:p>
      <w:pPr>
        <w:pStyle w:val="BodyText"/>
        <w:rPr>
          <w:b/>
          <w:sz w:val="40"/>
        </w:rPr>
      </w:pPr>
    </w:p>
    <w:p>
      <w:pPr>
        <w:pStyle w:val="Heading2"/>
        <w:spacing w:line="276" w:lineRule="auto" w:before="257"/>
        <w:ind w:left="3764" w:right="2708" w:firstLine="753"/>
        <w:jc w:val="left"/>
      </w:pPr>
      <w:r>
        <w:rPr/>
        <w:t>QUE PARA OBTENER EL GRADO DE MAESTRO EN GOBIERNO Y ASUNTOS PÚBLICOS</w:t>
      </w:r>
    </w:p>
    <w:p>
      <w:pPr>
        <w:pStyle w:val="BodyText"/>
        <w:rPr>
          <w:b/>
        </w:rPr>
      </w:pPr>
    </w:p>
    <w:p>
      <w:pPr>
        <w:pStyle w:val="BodyText"/>
        <w:spacing w:before="4"/>
        <w:rPr>
          <w:b/>
          <w:sz w:val="32"/>
        </w:rPr>
      </w:pPr>
    </w:p>
    <w:p>
      <w:pPr>
        <w:spacing w:before="0"/>
        <w:ind w:left="2256" w:right="1218" w:firstLine="0"/>
        <w:jc w:val="center"/>
        <w:rPr>
          <w:b/>
          <w:sz w:val="24"/>
        </w:rPr>
      </w:pPr>
      <w:r>
        <w:rPr>
          <w:b/>
          <w:sz w:val="24"/>
        </w:rPr>
        <w:t>PRESENTA</w:t>
      </w:r>
    </w:p>
    <w:p>
      <w:pPr>
        <w:spacing w:before="41"/>
        <w:ind w:left="2253" w:right="1224" w:firstLine="0"/>
        <w:jc w:val="center"/>
        <w:rPr>
          <w:b/>
          <w:sz w:val="24"/>
        </w:rPr>
      </w:pPr>
      <w:r>
        <w:rPr>
          <w:b/>
          <w:sz w:val="24"/>
        </w:rPr>
        <w:t>MARÍA DOLORES FERNÁNDEZ PILAR</w:t>
      </w:r>
    </w:p>
    <w:p>
      <w:pPr>
        <w:pStyle w:val="BodyText"/>
        <w:rPr>
          <w:b/>
        </w:rPr>
      </w:pPr>
    </w:p>
    <w:p>
      <w:pPr>
        <w:pStyle w:val="BodyText"/>
        <w:spacing w:before="9"/>
        <w:rPr>
          <w:b/>
          <w:sz w:val="34"/>
        </w:rPr>
      </w:pPr>
    </w:p>
    <w:p>
      <w:pPr>
        <w:spacing w:before="1"/>
        <w:ind w:left="2256" w:right="1224" w:firstLine="0"/>
        <w:jc w:val="center"/>
        <w:rPr>
          <w:b/>
          <w:sz w:val="24"/>
        </w:rPr>
      </w:pPr>
      <w:r>
        <w:rPr>
          <w:b/>
          <w:sz w:val="24"/>
        </w:rPr>
        <w:t>TUTOR ACADÉMICO</w:t>
      </w:r>
    </w:p>
    <w:p>
      <w:pPr>
        <w:spacing w:before="41"/>
        <w:ind w:left="2256" w:right="1223" w:firstLine="0"/>
        <w:jc w:val="center"/>
        <w:rPr>
          <w:b/>
          <w:sz w:val="24"/>
        </w:rPr>
      </w:pPr>
      <w:r>
        <w:rPr>
          <w:b/>
          <w:sz w:val="24"/>
        </w:rPr>
        <w:t>DR. MIGUEL ÁNGEL DE GUADALUPE  SÁNCHEZ RAMOS</w:t>
      </w:r>
    </w:p>
    <w:p>
      <w:pPr>
        <w:pStyle w:val="BodyText"/>
        <w:rPr>
          <w:b/>
        </w:rPr>
      </w:pPr>
    </w:p>
    <w:p>
      <w:pPr>
        <w:pStyle w:val="BodyText"/>
        <w:spacing w:before="9"/>
        <w:rPr>
          <w:b/>
          <w:sz w:val="34"/>
        </w:rPr>
      </w:pPr>
    </w:p>
    <w:p>
      <w:pPr>
        <w:spacing w:before="1"/>
        <w:ind w:left="2256" w:right="1220" w:firstLine="0"/>
        <w:jc w:val="center"/>
        <w:rPr>
          <w:b/>
          <w:sz w:val="24"/>
        </w:rPr>
      </w:pPr>
      <w:r>
        <w:rPr>
          <w:b/>
          <w:sz w:val="24"/>
        </w:rPr>
        <w:t>TUTORES ADJUNTOS:</w:t>
      </w:r>
    </w:p>
    <w:p>
      <w:pPr>
        <w:spacing w:line="276" w:lineRule="auto" w:before="41"/>
        <w:ind w:left="4572" w:right="3528" w:firstLine="0"/>
        <w:jc w:val="center"/>
        <w:rPr>
          <w:b/>
          <w:sz w:val="24"/>
        </w:rPr>
      </w:pPr>
      <w:r>
        <w:rPr>
          <w:b/>
          <w:sz w:val="24"/>
        </w:rPr>
        <w:t>DR. ROBERTO MORENO ESPINOSA MTRO. RICARDO CORTÉS PADILLA</w:t>
      </w:r>
    </w:p>
    <w:p>
      <w:pPr>
        <w:pStyle w:val="BodyText"/>
        <w:rPr>
          <w:b/>
        </w:rPr>
      </w:pPr>
    </w:p>
    <w:p>
      <w:pPr>
        <w:pStyle w:val="BodyText"/>
        <w:rPr>
          <w:b/>
        </w:rPr>
      </w:pPr>
    </w:p>
    <w:p>
      <w:pPr>
        <w:pStyle w:val="BodyText"/>
        <w:spacing w:before="4"/>
        <w:rPr>
          <w:b/>
          <w:sz w:val="35"/>
        </w:rPr>
      </w:pPr>
    </w:p>
    <w:p>
      <w:pPr>
        <w:spacing w:before="0"/>
        <w:ind w:left="5031" w:right="0" w:firstLine="0"/>
        <w:jc w:val="left"/>
        <w:rPr>
          <w:b/>
          <w:sz w:val="24"/>
        </w:rPr>
      </w:pPr>
      <w:r>
        <w:rPr>
          <w:b/>
          <w:sz w:val="24"/>
        </w:rPr>
        <w:t>TEXCOCO, ESTADO DE MÉXICO, DICIEMBRE DE</w:t>
      </w:r>
      <w:r>
        <w:rPr>
          <w:b/>
          <w:spacing w:val="58"/>
          <w:sz w:val="24"/>
        </w:rPr>
        <w:t> </w:t>
      </w:r>
      <w:r>
        <w:rPr>
          <w:b/>
          <w:sz w:val="24"/>
        </w:rPr>
        <w:t>2016</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8"/>
        </w:rPr>
      </w:pPr>
    </w:p>
    <w:p>
      <w:pPr>
        <w:spacing w:before="70"/>
        <w:ind w:left="0" w:right="0" w:firstLine="0"/>
        <w:jc w:val="center"/>
        <w:rPr>
          <w:rFonts w:ascii="Cambria"/>
          <w:sz w:val="22"/>
        </w:rPr>
      </w:pPr>
      <w:r>
        <w:rPr>
          <w:rFonts w:ascii="Cambria"/>
          <w:w w:val="100"/>
          <w:sz w:val="22"/>
        </w:rPr>
        <w:t>1</w:t>
      </w:r>
    </w:p>
    <w:p>
      <w:pPr>
        <w:spacing w:after="0"/>
        <w:jc w:val="center"/>
        <w:rPr>
          <w:rFonts w:ascii="Cambria"/>
          <w:sz w:val="22"/>
        </w:rPr>
        <w:sectPr>
          <w:type w:val="continuous"/>
          <w:pgSz w:w="12240" w:h="15840"/>
          <w:pgMar w:top="0" w:bottom="280" w:left="0" w:right="0"/>
        </w:sectPr>
      </w:pPr>
    </w:p>
    <w:p>
      <w:pPr>
        <w:pStyle w:val="Heading1"/>
        <w:spacing w:before="52"/>
        <w:ind w:left="3807" w:right="3808"/>
        <w:jc w:val="center"/>
      </w:pPr>
      <w:r>
        <w:rPr>
          <w:color w:val="365F91"/>
        </w:rPr>
        <w:t>Contenido</w:t>
      </w:r>
    </w:p>
    <w:p>
      <w:pPr>
        <w:spacing w:after="0"/>
        <w:jc w:val="center"/>
        <w:sectPr>
          <w:footerReference w:type="default" r:id="rId12"/>
          <w:pgSz w:w="12240" w:h="15840"/>
          <w:pgMar w:footer="992" w:header="0" w:top="1360" w:bottom="1511" w:left="1600" w:right="1600"/>
          <w:pgNumType w:start="2"/>
        </w:sectPr>
      </w:pPr>
    </w:p>
    <w:sdt>
      <w:sdtPr>
        <w:docPartObj>
          <w:docPartGallery w:val="Table of Contents"/>
          <w:docPartUnique/>
        </w:docPartObj>
      </w:sdtPr>
      <w:sdtEndPr/>
      <w:sdtContent>
        <w:p>
          <w:pPr>
            <w:pStyle w:val="TOC1"/>
            <w:tabs>
              <w:tab w:pos="8929" w:val="right" w:leader="dot"/>
            </w:tabs>
            <w:spacing w:before="172"/>
          </w:pPr>
          <w:hyperlink w:history="true" w:anchor="_TOC_250051">
            <w:r>
              <w:rPr/>
              <w:t>Introducción</w:t>
              <w:tab/>
              <w:t>5</w:t>
            </w:r>
          </w:hyperlink>
        </w:p>
        <w:p>
          <w:pPr>
            <w:pStyle w:val="TOC1"/>
            <w:tabs>
              <w:tab w:pos="8933" w:val="right" w:leader="dot"/>
            </w:tabs>
          </w:pPr>
          <w:r>
            <w:rPr/>
            <w:t>Capítulo I</w:t>
            <w:tab/>
            <w:t>10</w:t>
          </w:r>
        </w:p>
        <w:p>
          <w:pPr>
            <w:pStyle w:val="TOC1"/>
            <w:tabs>
              <w:tab w:pos="8933" w:val="right" w:leader="dot"/>
            </w:tabs>
          </w:pPr>
          <w:r>
            <w:rPr/>
            <w:t>Toma de</w:t>
          </w:r>
          <w:r>
            <w:rPr>
              <w:spacing w:val="-1"/>
            </w:rPr>
            <w:t> </w:t>
          </w:r>
          <w:r>
            <w:rPr/>
            <w:t>decisiones</w:t>
            <w:tab/>
            <w:t>10</w:t>
          </w:r>
        </w:p>
        <w:p>
          <w:pPr>
            <w:pStyle w:val="TOC1"/>
            <w:numPr>
              <w:ilvl w:val="1"/>
              <w:numId w:val="1"/>
            </w:numPr>
            <w:tabs>
              <w:tab w:pos="675" w:val="left" w:leader="none"/>
              <w:tab w:pos="676" w:val="left" w:leader="none"/>
              <w:tab w:pos="8933" w:val="right" w:leader="dot"/>
            </w:tabs>
            <w:spacing w:line="240" w:lineRule="auto" w:before="161" w:after="0"/>
            <w:ind w:left="675" w:right="0" w:hanging="573"/>
            <w:jc w:val="left"/>
          </w:pPr>
          <w:hyperlink w:history="true" w:anchor="_TOC_250050">
            <w:r>
              <w:rPr/>
              <w:t>Toma de decisiones. Conceptualización y</w:t>
            </w:r>
            <w:r>
              <w:rPr>
                <w:spacing w:val="-5"/>
              </w:rPr>
              <w:t> </w:t>
            </w:r>
            <w:r>
              <w:rPr/>
              <w:t>Teorías</w:t>
              <w:tab/>
              <w:t>11</w:t>
            </w:r>
          </w:hyperlink>
        </w:p>
        <w:p>
          <w:pPr>
            <w:pStyle w:val="TOC1"/>
            <w:numPr>
              <w:ilvl w:val="2"/>
              <w:numId w:val="1"/>
            </w:numPr>
            <w:tabs>
              <w:tab w:pos="704" w:val="left" w:leader="none"/>
              <w:tab w:pos="8933" w:val="right" w:leader="dot"/>
            </w:tabs>
            <w:spacing w:line="240" w:lineRule="auto" w:before="163" w:after="0"/>
            <w:ind w:left="703" w:right="0" w:hanging="601"/>
            <w:jc w:val="left"/>
          </w:pPr>
          <w:hyperlink w:history="true" w:anchor="_TOC_250049">
            <w:r>
              <w:rPr/>
              <w:t>Teoría de</w:t>
            </w:r>
            <w:r>
              <w:rPr>
                <w:spacing w:val="-2"/>
              </w:rPr>
              <w:t> </w:t>
            </w:r>
            <w:r>
              <w:rPr/>
              <w:t>la decisión</w:t>
              <w:tab/>
              <w:t>11</w:t>
            </w:r>
          </w:hyperlink>
        </w:p>
        <w:p>
          <w:pPr>
            <w:pStyle w:val="TOC1"/>
            <w:numPr>
              <w:ilvl w:val="2"/>
              <w:numId w:val="1"/>
            </w:numPr>
            <w:tabs>
              <w:tab w:pos="704" w:val="left" w:leader="none"/>
              <w:tab w:pos="8933" w:val="right" w:leader="dot"/>
            </w:tabs>
            <w:spacing w:line="240" w:lineRule="auto" w:before="161" w:after="0"/>
            <w:ind w:left="703" w:right="0" w:hanging="601"/>
            <w:jc w:val="left"/>
          </w:pPr>
          <w:hyperlink w:history="true" w:anchor="_TOC_250048">
            <w:r>
              <w:rPr/>
              <w:t>Conceptualización de la toma</w:t>
            </w:r>
            <w:r>
              <w:rPr>
                <w:spacing w:val="-3"/>
              </w:rPr>
              <w:t> </w:t>
            </w:r>
            <w:r>
              <w:rPr/>
              <w:t>de decisiones</w:t>
              <w:tab/>
              <w:t>17</w:t>
            </w:r>
          </w:hyperlink>
        </w:p>
        <w:p>
          <w:pPr>
            <w:pStyle w:val="TOC1"/>
            <w:numPr>
              <w:ilvl w:val="2"/>
              <w:numId w:val="1"/>
            </w:numPr>
            <w:tabs>
              <w:tab w:pos="704" w:val="left" w:leader="none"/>
              <w:tab w:pos="8933" w:val="right" w:leader="dot"/>
            </w:tabs>
            <w:spacing w:line="240" w:lineRule="auto" w:before="161" w:after="0"/>
            <w:ind w:left="703" w:right="0" w:hanging="601"/>
            <w:jc w:val="left"/>
          </w:pPr>
          <w:hyperlink w:history="true" w:anchor="_TOC_250047">
            <w:r>
              <w:rPr/>
              <w:t>Elementos de la toma</w:t>
            </w:r>
            <w:r>
              <w:rPr>
                <w:spacing w:val="-2"/>
              </w:rPr>
              <w:t> </w:t>
            </w:r>
            <w:r>
              <w:rPr/>
              <w:t>de</w:t>
            </w:r>
            <w:r>
              <w:rPr>
                <w:spacing w:val="-1"/>
              </w:rPr>
              <w:t> </w:t>
            </w:r>
            <w:r>
              <w:rPr/>
              <w:t>decisiones</w:t>
              <w:tab/>
              <w:t>19</w:t>
            </w:r>
          </w:hyperlink>
        </w:p>
        <w:p>
          <w:pPr>
            <w:pStyle w:val="TOC1"/>
            <w:numPr>
              <w:ilvl w:val="2"/>
              <w:numId w:val="1"/>
            </w:numPr>
            <w:tabs>
              <w:tab w:pos="704" w:val="left" w:leader="none"/>
              <w:tab w:pos="8933" w:val="right" w:leader="dot"/>
            </w:tabs>
            <w:spacing w:line="240" w:lineRule="auto" w:before="161" w:after="0"/>
            <w:ind w:left="703" w:right="0" w:hanging="601"/>
            <w:jc w:val="left"/>
          </w:pPr>
          <w:hyperlink w:history="true" w:anchor="_TOC_250046">
            <w:r>
              <w:rPr/>
              <w:t>Proceso de Toma de Decisión</w:t>
              <w:tab/>
              <w:t>23</w:t>
            </w:r>
          </w:hyperlink>
        </w:p>
        <w:p>
          <w:pPr>
            <w:pStyle w:val="TOC1"/>
            <w:numPr>
              <w:ilvl w:val="2"/>
              <w:numId w:val="1"/>
            </w:numPr>
            <w:tabs>
              <w:tab w:pos="704" w:val="left" w:leader="none"/>
              <w:tab w:pos="8933" w:val="right" w:leader="dot"/>
            </w:tabs>
            <w:spacing w:line="240" w:lineRule="auto" w:before="163" w:after="0"/>
            <w:ind w:left="703" w:right="0" w:hanging="601"/>
            <w:jc w:val="left"/>
          </w:pPr>
          <w:hyperlink w:history="true" w:anchor="_TOC_250045">
            <w:r>
              <w:rPr/>
              <w:t>Situaciones de decisión</w:t>
            </w:r>
            <w:r>
              <w:rPr>
                <w:spacing w:val="-7"/>
              </w:rPr>
              <w:t> </w:t>
            </w:r>
            <w:r>
              <w:rPr/>
              <w:t>(El</w:t>
            </w:r>
            <w:r>
              <w:rPr>
                <w:spacing w:val="-1"/>
              </w:rPr>
              <w:t> </w:t>
            </w:r>
            <w:r>
              <w:rPr/>
              <w:t>Problema)</w:t>
              <w:tab/>
              <w:t>30</w:t>
            </w:r>
          </w:hyperlink>
        </w:p>
        <w:p>
          <w:pPr>
            <w:pStyle w:val="TOC1"/>
            <w:numPr>
              <w:ilvl w:val="2"/>
              <w:numId w:val="1"/>
            </w:numPr>
            <w:tabs>
              <w:tab w:pos="704" w:val="left" w:leader="none"/>
              <w:tab w:pos="8933" w:val="right" w:leader="dot"/>
            </w:tabs>
            <w:spacing w:line="240" w:lineRule="auto" w:before="161" w:after="0"/>
            <w:ind w:left="703" w:right="0" w:hanging="601"/>
            <w:jc w:val="left"/>
          </w:pPr>
          <w:hyperlink w:history="true" w:anchor="_TOC_250044">
            <w:r>
              <w:rPr/>
              <w:t>Tipos de</w:t>
            </w:r>
            <w:r>
              <w:rPr>
                <w:spacing w:val="-1"/>
              </w:rPr>
              <w:t> </w:t>
            </w:r>
            <w:r>
              <w:rPr/>
              <w:t>decisión</w:t>
              <w:tab/>
              <w:t>33</w:t>
            </w:r>
          </w:hyperlink>
        </w:p>
        <w:p>
          <w:pPr>
            <w:pStyle w:val="TOC1"/>
            <w:numPr>
              <w:ilvl w:val="1"/>
              <w:numId w:val="2"/>
            </w:numPr>
            <w:tabs>
              <w:tab w:pos="505" w:val="left" w:leader="none"/>
              <w:tab w:pos="8933" w:val="right" w:leader="dot"/>
            </w:tabs>
            <w:spacing w:line="240" w:lineRule="auto" w:before="161" w:after="0"/>
            <w:ind w:left="102" w:right="0" w:firstLine="0"/>
            <w:jc w:val="left"/>
          </w:pPr>
          <w:hyperlink w:history="true" w:anchor="_TOC_250043">
            <w:r>
              <w:rPr/>
              <w:t>Modelos para la Toma de Decisión</w:t>
            </w:r>
            <w:r>
              <w:rPr>
                <w:spacing w:val="-2"/>
              </w:rPr>
              <w:t> </w:t>
            </w:r>
            <w:r>
              <w:rPr/>
              <w:t>(Modelo</w:t>
            </w:r>
            <w:r>
              <w:rPr>
                <w:spacing w:val="-1"/>
              </w:rPr>
              <w:t> </w:t>
            </w:r>
            <w:r>
              <w:rPr/>
              <w:t>racional)</w:t>
              <w:tab/>
              <w:t>36</w:t>
            </w:r>
          </w:hyperlink>
        </w:p>
        <w:p>
          <w:pPr>
            <w:pStyle w:val="TOC1"/>
            <w:numPr>
              <w:ilvl w:val="1"/>
              <w:numId w:val="2"/>
            </w:numPr>
            <w:tabs>
              <w:tab w:pos="505" w:val="left" w:leader="none"/>
              <w:tab w:pos="8933" w:val="right" w:leader="dot"/>
            </w:tabs>
            <w:spacing w:line="240" w:lineRule="auto" w:before="161" w:after="0"/>
            <w:ind w:left="504" w:right="0" w:hanging="402"/>
            <w:jc w:val="left"/>
          </w:pPr>
          <w:hyperlink w:history="true" w:anchor="_TOC_250042">
            <w:r>
              <w:rPr/>
              <w:t>La toma de decisiones en la Organización</w:t>
            </w:r>
            <w:r>
              <w:rPr>
                <w:spacing w:val="-8"/>
              </w:rPr>
              <w:t> </w:t>
            </w:r>
            <w:r>
              <w:rPr/>
              <w:t>Administrativa</w:t>
            </w:r>
            <w:r>
              <w:rPr>
                <w:spacing w:val="-2"/>
              </w:rPr>
              <w:t> </w:t>
            </w:r>
            <w:r>
              <w:rPr/>
              <w:t>Pública</w:t>
              <w:tab/>
              <w:t>40</w:t>
            </w:r>
          </w:hyperlink>
        </w:p>
        <w:p>
          <w:pPr>
            <w:pStyle w:val="TOC1"/>
            <w:numPr>
              <w:ilvl w:val="1"/>
              <w:numId w:val="2"/>
            </w:numPr>
            <w:tabs>
              <w:tab w:pos="505" w:val="left" w:leader="none"/>
              <w:tab w:pos="8933" w:val="right" w:leader="dot"/>
            </w:tabs>
            <w:spacing w:line="276" w:lineRule="auto" w:before="163" w:after="0"/>
            <w:ind w:left="102" w:right="104" w:firstLine="0"/>
            <w:jc w:val="left"/>
          </w:pPr>
          <w:hyperlink w:history="true" w:anchor="_TOC_250041">
            <w:r>
              <w:rPr/>
              <w:t>Toma de Decisiones con base en las Relaciones Intergubernamentales (Gobierno Federal, Estatal</w:t>
            </w:r>
            <w:r>
              <w:rPr>
                <w:spacing w:val="2"/>
              </w:rPr>
              <w:t> </w:t>
            </w:r>
            <w:r>
              <w:rPr/>
              <w:t>y</w:t>
            </w:r>
            <w:r>
              <w:rPr>
                <w:spacing w:val="-8"/>
              </w:rPr>
              <w:t> </w:t>
            </w:r>
            <w:r>
              <w:rPr/>
              <w:t>Municipal)</w:t>
              <w:tab/>
              <w:t>46</w:t>
            </w:r>
          </w:hyperlink>
        </w:p>
        <w:p>
          <w:pPr>
            <w:pStyle w:val="TOC1"/>
            <w:tabs>
              <w:tab w:pos="8933" w:val="right" w:leader="dot"/>
            </w:tabs>
            <w:spacing w:before="120"/>
          </w:pPr>
          <w:hyperlink w:history="true" w:anchor="_TOC_250040">
            <w:r>
              <w:rPr/>
              <w:t>Capítulo II</w:t>
              <w:tab/>
              <w:t>54</w:t>
            </w:r>
          </w:hyperlink>
        </w:p>
        <w:p>
          <w:pPr>
            <w:pStyle w:val="TOC1"/>
            <w:tabs>
              <w:tab w:pos="8933" w:val="right" w:leader="dot"/>
            </w:tabs>
          </w:pPr>
          <w:hyperlink w:history="true" w:anchor="_TOC_250039">
            <w:r>
              <w:rPr/>
              <w:t>El Federalismo Fiscal</w:t>
            </w:r>
            <w:r>
              <w:rPr>
                <w:spacing w:val="-3"/>
              </w:rPr>
              <w:t> </w:t>
            </w:r>
            <w:r>
              <w:rPr/>
              <w:t>en</w:t>
            </w:r>
            <w:r>
              <w:rPr>
                <w:spacing w:val="-1"/>
              </w:rPr>
              <w:t> </w:t>
            </w:r>
            <w:r>
              <w:rPr/>
              <w:t>México</w:t>
              <w:tab/>
              <w:t>54</w:t>
            </w:r>
          </w:hyperlink>
        </w:p>
        <w:p>
          <w:pPr>
            <w:pStyle w:val="TOC1"/>
            <w:numPr>
              <w:ilvl w:val="1"/>
              <w:numId w:val="3"/>
            </w:numPr>
            <w:tabs>
              <w:tab w:pos="572" w:val="left" w:leader="none"/>
              <w:tab w:pos="8933" w:val="right" w:leader="dot"/>
            </w:tabs>
            <w:spacing w:line="240" w:lineRule="auto" w:before="163" w:after="0"/>
            <w:ind w:left="571" w:right="0" w:hanging="469"/>
            <w:jc w:val="left"/>
          </w:pPr>
          <w:hyperlink w:history="true" w:anchor="_TOC_250038">
            <w:r>
              <w:rPr/>
              <w:t>Conceptualización</w:t>
            </w:r>
            <w:r>
              <w:rPr>
                <w:spacing w:val="-1"/>
              </w:rPr>
              <w:t> </w:t>
            </w:r>
            <w:r>
              <w:rPr/>
              <w:t>de</w:t>
            </w:r>
            <w:r>
              <w:rPr>
                <w:spacing w:val="-1"/>
              </w:rPr>
              <w:t> </w:t>
            </w:r>
            <w:r>
              <w:rPr/>
              <w:t>Federalismo</w:t>
              <w:tab/>
              <w:t>55</w:t>
            </w:r>
          </w:hyperlink>
        </w:p>
        <w:p>
          <w:pPr>
            <w:pStyle w:val="TOC1"/>
            <w:numPr>
              <w:ilvl w:val="1"/>
              <w:numId w:val="3"/>
            </w:numPr>
            <w:tabs>
              <w:tab w:pos="572" w:val="left" w:leader="none"/>
              <w:tab w:pos="8933" w:val="right" w:leader="dot"/>
            </w:tabs>
            <w:spacing w:line="240" w:lineRule="auto" w:before="161" w:after="0"/>
            <w:ind w:left="571" w:right="0" w:hanging="469"/>
            <w:jc w:val="left"/>
          </w:pPr>
          <w:hyperlink w:history="true" w:anchor="_TOC_250037">
            <w:r>
              <w:rPr/>
              <w:t>Reseña histórica de la implementación del federalismo</w:t>
            </w:r>
            <w:r>
              <w:rPr>
                <w:spacing w:val="-15"/>
              </w:rPr>
              <w:t> </w:t>
            </w:r>
            <w:r>
              <w:rPr/>
              <w:t>en</w:t>
            </w:r>
            <w:r>
              <w:rPr>
                <w:spacing w:val="-2"/>
              </w:rPr>
              <w:t> </w:t>
            </w:r>
            <w:r>
              <w:rPr/>
              <w:t>México</w:t>
              <w:tab/>
              <w:t>58</w:t>
            </w:r>
          </w:hyperlink>
        </w:p>
        <w:p>
          <w:pPr>
            <w:pStyle w:val="TOC1"/>
            <w:numPr>
              <w:ilvl w:val="1"/>
              <w:numId w:val="3"/>
            </w:numPr>
            <w:tabs>
              <w:tab w:pos="572" w:val="left" w:leader="none"/>
              <w:tab w:pos="8933" w:val="right" w:leader="dot"/>
            </w:tabs>
            <w:spacing w:line="240" w:lineRule="auto" w:before="161" w:after="0"/>
            <w:ind w:left="571" w:right="0" w:hanging="469"/>
            <w:jc w:val="left"/>
          </w:pPr>
          <w:hyperlink w:history="true" w:anchor="_TOC_250036">
            <w:r>
              <w:rPr/>
              <w:t>Federalismo</w:t>
            </w:r>
            <w:r>
              <w:rPr>
                <w:spacing w:val="-1"/>
              </w:rPr>
              <w:t> </w:t>
            </w:r>
            <w:r>
              <w:rPr/>
              <w:t>Hacendario</w:t>
              <w:tab/>
              <w:t>62</w:t>
            </w:r>
          </w:hyperlink>
        </w:p>
        <w:p>
          <w:pPr>
            <w:pStyle w:val="TOC1"/>
            <w:numPr>
              <w:ilvl w:val="2"/>
              <w:numId w:val="3"/>
            </w:numPr>
            <w:tabs>
              <w:tab w:pos="704" w:val="left" w:leader="none"/>
              <w:tab w:pos="8933" w:val="right" w:leader="dot"/>
            </w:tabs>
            <w:spacing w:line="240" w:lineRule="auto" w:before="161" w:after="0"/>
            <w:ind w:left="703" w:right="0" w:hanging="601"/>
            <w:jc w:val="left"/>
          </w:pPr>
          <w:hyperlink w:history="true" w:anchor="_TOC_250035">
            <w:r>
              <w:rPr/>
              <w:t>La coordinación fiscal</w:t>
            </w:r>
            <w:r>
              <w:rPr>
                <w:spacing w:val="-4"/>
              </w:rPr>
              <w:t> </w:t>
            </w:r>
            <w:r>
              <w:rPr/>
              <w:t>en</w:t>
            </w:r>
            <w:r>
              <w:rPr>
                <w:spacing w:val="-1"/>
              </w:rPr>
              <w:t> </w:t>
            </w:r>
            <w:r>
              <w:rPr/>
              <w:t>México</w:t>
              <w:tab/>
              <w:t>64</w:t>
            </w:r>
          </w:hyperlink>
        </w:p>
        <w:p>
          <w:pPr>
            <w:pStyle w:val="TOC1"/>
            <w:numPr>
              <w:ilvl w:val="2"/>
              <w:numId w:val="3"/>
            </w:numPr>
            <w:tabs>
              <w:tab w:pos="771" w:val="left" w:leader="none"/>
              <w:tab w:pos="8933" w:val="right" w:leader="dot"/>
            </w:tabs>
            <w:spacing w:line="240" w:lineRule="auto" w:before="161" w:after="0"/>
            <w:ind w:left="770" w:right="0" w:hanging="668"/>
            <w:jc w:val="left"/>
          </w:pPr>
          <w:hyperlink w:history="true" w:anchor="_TOC_250034">
            <w:r>
              <w:rPr/>
              <w:t>Ley de</w:t>
            </w:r>
            <w:r>
              <w:rPr>
                <w:spacing w:val="-7"/>
              </w:rPr>
              <w:t> </w:t>
            </w:r>
            <w:r>
              <w:rPr/>
              <w:t>Coordinación Fiscal</w:t>
              <w:tab/>
              <w:t>67</w:t>
            </w:r>
          </w:hyperlink>
        </w:p>
        <w:p>
          <w:pPr>
            <w:pStyle w:val="TOC1"/>
            <w:numPr>
              <w:ilvl w:val="1"/>
              <w:numId w:val="3"/>
            </w:numPr>
            <w:tabs>
              <w:tab w:pos="675" w:val="left" w:leader="none"/>
              <w:tab w:pos="676" w:val="left" w:leader="none"/>
              <w:tab w:pos="8933" w:val="right" w:leader="dot"/>
            </w:tabs>
            <w:spacing w:line="240" w:lineRule="auto" w:before="163" w:after="0"/>
            <w:ind w:left="675" w:right="0" w:hanging="573"/>
            <w:jc w:val="left"/>
          </w:pPr>
          <w:hyperlink w:history="true" w:anchor="_TOC_250033">
            <w:r>
              <w:rPr/>
              <w:t>Descentralización</w:t>
              <w:tab/>
              <w:t>68</w:t>
            </w:r>
          </w:hyperlink>
        </w:p>
        <w:p>
          <w:pPr>
            <w:pStyle w:val="TOC1"/>
            <w:numPr>
              <w:ilvl w:val="2"/>
              <w:numId w:val="3"/>
            </w:numPr>
            <w:tabs>
              <w:tab w:pos="771" w:val="left" w:leader="none"/>
              <w:tab w:pos="8933" w:val="right" w:leader="dot"/>
            </w:tabs>
            <w:spacing w:line="240" w:lineRule="auto" w:before="161" w:after="0"/>
            <w:ind w:left="770" w:right="0" w:hanging="668"/>
            <w:jc w:val="left"/>
          </w:pPr>
          <w:hyperlink w:history="true" w:anchor="_TOC_250032">
            <w:r>
              <w:rPr/>
              <w:t>Tipos</w:t>
            </w:r>
            <w:r>
              <w:rPr>
                <w:spacing w:val="-3"/>
              </w:rPr>
              <w:t> </w:t>
            </w:r>
            <w:r>
              <w:rPr/>
              <w:t>de descentralización</w:t>
              <w:tab/>
              <w:t>69</w:t>
            </w:r>
          </w:hyperlink>
        </w:p>
        <w:p>
          <w:pPr>
            <w:pStyle w:val="TOC1"/>
            <w:numPr>
              <w:ilvl w:val="2"/>
              <w:numId w:val="3"/>
            </w:numPr>
            <w:tabs>
              <w:tab w:pos="704" w:val="left" w:leader="none"/>
              <w:tab w:pos="8933" w:val="right" w:leader="dot"/>
            </w:tabs>
            <w:spacing w:line="240" w:lineRule="auto" w:before="161" w:after="0"/>
            <w:ind w:left="703" w:right="0" w:hanging="601"/>
            <w:jc w:val="left"/>
          </w:pPr>
          <w:hyperlink w:history="true" w:anchor="_TOC_250031">
            <w:r>
              <w:rPr/>
              <w:t>Modos</w:t>
            </w:r>
            <w:r>
              <w:rPr>
                <w:spacing w:val="-1"/>
              </w:rPr>
              <w:t> </w:t>
            </w:r>
            <w:r>
              <w:rPr/>
              <w:t>de descentralización</w:t>
              <w:tab/>
              <w:t>70</w:t>
            </w:r>
          </w:hyperlink>
        </w:p>
        <w:p>
          <w:pPr>
            <w:pStyle w:val="TOC1"/>
            <w:numPr>
              <w:ilvl w:val="1"/>
              <w:numId w:val="3"/>
            </w:numPr>
            <w:tabs>
              <w:tab w:pos="505" w:val="left" w:leader="none"/>
              <w:tab w:pos="8933" w:val="right" w:leader="dot"/>
            </w:tabs>
            <w:spacing w:line="240" w:lineRule="auto" w:before="161" w:after="0"/>
            <w:ind w:left="504" w:right="0" w:hanging="402"/>
            <w:jc w:val="left"/>
          </w:pPr>
          <w:hyperlink w:history="true" w:anchor="_TOC_250030">
            <w:r>
              <w:rPr/>
              <w:t>Política Social y Descentralización</w:t>
            </w:r>
            <w:r>
              <w:rPr>
                <w:spacing w:val="-7"/>
              </w:rPr>
              <w:t> </w:t>
            </w:r>
            <w:r>
              <w:rPr/>
              <w:t>en</w:t>
            </w:r>
            <w:r>
              <w:rPr>
                <w:spacing w:val="-4"/>
              </w:rPr>
              <w:t> </w:t>
            </w:r>
            <w:r>
              <w:rPr/>
              <w:t>México</w:t>
              <w:tab/>
              <w:t>71</w:t>
            </w:r>
          </w:hyperlink>
        </w:p>
        <w:p>
          <w:pPr>
            <w:pStyle w:val="TOC1"/>
            <w:numPr>
              <w:ilvl w:val="2"/>
              <w:numId w:val="3"/>
            </w:numPr>
            <w:tabs>
              <w:tab w:pos="704" w:val="left" w:leader="none"/>
              <w:tab w:pos="8933" w:val="right" w:leader="dot"/>
            </w:tabs>
            <w:spacing w:line="240" w:lineRule="auto" w:before="163" w:after="0"/>
            <w:ind w:left="703" w:right="0" w:hanging="601"/>
            <w:jc w:val="left"/>
          </w:pPr>
          <w:hyperlink w:history="true" w:anchor="_TOC_250029">
            <w:r>
              <w:rPr/>
              <w:t>Desarrollo</w:t>
            </w:r>
            <w:r>
              <w:rPr>
                <w:spacing w:val="-3"/>
              </w:rPr>
              <w:t> </w:t>
            </w:r>
            <w:r>
              <w:rPr/>
              <w:t>Social</w:t>
              <w:tab/>
              <w:t>75</w:t>
            </w:r>
          </w:hyperlink>
        </w:p>
        <w:p>
          <w:pPr>
            <w:pStyle w:val="TOC1"/>
            <w:numPr>
              <w:ilvl w:val="2"/>
              <w:numId w:val="3"/>
            </w:numPr>
            <w:tabs>
              <w:tab w:pos="771" w:val="left" w:leader="none"/>
              <w:tab w:pos="8933" w:val="right" w:leader="dot"/>
            </w:tabs>
            <w:spacing w:line="240" w:lineRule="auto" w:before="161" w:after="0"/>
            <w:ind w:left="770" w:right="0" w:hanging="668"/>
            <w:jc w:val="left"/>
          </w:pPr>
          <w:hyperlink w:history="true" w:anchor="_TOC_250028">
            <w:r>
              <w:rPr/>
              <w:t>Razones de la Descentralización de la Política</w:t>
            </w:r>
            <w:r>
              <w:rPr>
                <w:spacing w:val="-10"/>
              </w:rPr>
              <w:t> </w:t>
            </w:r>
            <w:r>
              <w:rPr/>
              <w:t>Social</w:t>
            </w:r>
            <w:r>
              <w:rPr>
                <w:spacing w:val="-1"/>
              </w:rPr>
              <w:t> </w:t>
            </w:r>
            <w:r>
              <w:rPr/>
              <w:t>(Contexto)</w:t>
              <w:tab/>
              <w:t>77</w:t>
            </w:r>
          </w:hyperlink>
        </w:p>
        <w:p>
          <w:pPr>
            <w:pStyle w:val="TOC1"/>
            <w:tabs>
              <w:tab w:pos="874" w:val="left" w:leader="none"/>
              <w:tab w:pos="8933" w:val="right" w:leader="dot"/>
            </w:tabs>
          </w:pPr>
          <w:hyperlink w:history="true" w:anchor="_TOC_250027">
            <w:r>
              <w:rPr/>
              <w:t>2.5.3</w:t>
              <w:tab/>
              <w:t>Ramo 33</w:t>
              <w:tab/>
              <w:t>78</w:t>
            </w:r>
          </w:hyperlink>
        </w:p>
        <w:p>
          <w:pPr>
            <w:pStyle w:val="TOC1"/>
            <w:tabs>
              <w:tab w:pos="8933" w:val="right" w:leader="dot"/>
            </w:tabs>
            <w:spacing w:before="160"/>
          </w:pPr>
          <w:hyperlink w:history="true" w:anchor="_TOC_250026">
            <w:r>
              <w:rPr/>
              <w:t>Capítulo III</w:t>
              <w:tab/>
              <w:t>84</w:t>
            </w:r>
          </w:hyperlink>
        </w:p>
        <w:p>
          <w:pPr>
            <w:pStyle w:val="TOC1"/>
            <w:tabs>
              <w:tab w:pos="8933" w:val="right" w:leader="dot"/>
            </w:tabs>
            <w:spacing w:before="54"/>
          </w:pPr>
          <w:hyperlink w:history="true" w:anchor="_TOC_250025">
            <w:r>
              <w:rPr/>
              <w:t>El Municipio base de un Federalismo y de</w:t>
            </w:r>
            <w:r>
              <w:rPr>
                <w:spacing w:val="-9"/>
              </w:rPr>
              <w:t> </w:t>
            </w:r>
            <w:r>
              <w:rPr/>
              <w:t>Política</w:t>
            </w:r>
            <w:r>
              <w:rPr>
                <w:spacing w:val="-3"/>
              </w:rPr>
              <w:t> </w:t>
            </w:r>
            <w:r>
              <w:rPr/>
              <w:t>Social</w:t>
              <w:tab/>
              <w:t>84</w:t>
            </w:r>
          </w:hyperlink>
        </w:p>
        <w:p>
          <w:pPr>
            <w:pStyle w:val="TOC1"/>
            <w:numPr>
              <w:ilvl w:val="1"/>
              <w:numId w:val="4"/>
            </w:numPr>
            <w:tabs>
              <w:tab w:pos="505" w:val="left" w:leader="none"/>
              <w:tab w:pos="8933" w:val="right" w:leader="dot"/>
            </w:tabs>
            <w:spacing w:line="240" w:lineRule="auto" w:before="163" w:after="0"/>
            <w:ind w:left="504" w:right="0" w:hanging="402"/>
            <w:jc w:val="left"/>
          </w:pPr>
          <w:hyperlink w:history="true" w:anchor="_TOC_250024">
            <w:r>
              <w:rPr/>
              <w:t>El Municipio (Origen, Concepto y</w:t>
            </w:r>
            <w:r>
              <w:rPr>
                <w:spacing w:val="-4"/>
              </w:rPr>
              <w:t> </w:t>
            </w:r>
            <w:r>
              <w:rPr/>
              <w:t>Naturaleza</w:t>
            </w:r>
            <w:r>
              <w:rPr>
                <w:spacing w:val="-3"/>
              </w:rPr>
              <w:t> </w:t>
            </w:r>
            <w:r>
              <w:rPr/>
              <w:t>Jurídica)</w:t>
              <w:tab/>
              <w:t>87</w:t>
            </w:r>
          </w:hyperlink>
        </w:p>
        <w:p>
          <w:pPr>
            <w:pStyle w:val="TOC1"/>
            <w:numPr>
              <w:ilvl w:val="1"/>
              <w:numId w:val="4"/>
            </w:numPr>
            <w:tabs>
              <w:tab w:pos="505" w:val="left" w:leader="none"/>
              <w:tab w:pos="8933" w:val="right" w:leader="dot"/>
            </w:tabs>
            <w:spacing w:line="240" w:lineRule="auto" w:before="161" w:after="0"/>
            <w:ind w:left="504" w:right="0" w:hanging="402"/>
            <w:jc w:val="left"/>
          </w:pPr>
          <w:hyperlink w:history="true" w:anchor="_TOC_250023">
            <w:r>
              <w:rPr/>
              <w:t>El Municipio en México</w:t>
            </w:r>
            <w:r>
              <w:rPr>
                <w:spacing w:val="-3"/>
              </w:rPr>
              <w:t> </w:t>
            </w:r>
            <w:r>
              <w:rPr/>
              <w:t>(Reseña</w:t>
            </w:r>
            <w:r>
              <w:rPr>
                <w:spacing w:val="-3"/>
              </w:rPr>
              <w:t> </w:t>
            </w:r>
            <w:r>
              <w:rPr/>
              <w:t>Histórica)</w:t>
              <w:tab/>
              <w:t>90</w:t>
            </w:r>
          </w:hyperlink>
        </w:p>
        <w:p>
          <w:pPr>
            <w:pStyle w:val="TOC1"/>
            <w:tabs>
              <w:tab w:pos="8933" w:val="right" w:leader="dot"/>
            </w:tabs>
          </w:pPr>
          <w:hyperlink w:history="true" w:anchor="_TOC_250022">
            <w:r>
              <w:rPr/>
              <w:t>3.2.1 Evolución histórica del Municipio</w:t>
            </w:r>
            <w:r>
              <w:rPr>
                <w:spacing w:val="-3"/>
              </w:rPr>
              <w:t> </w:t>
            </w:r>
            <w:r>
              <w:rPr/>
              <w:t>en</w:t>
            </w:r>
            <w:r>
              <w:rPr>
                <w:spacing w:val="-4"/>
              </w:rPr>
              <w:t> </w:t>
            </w:r>
            <w:r>
              <w:rPr/>
              <w:t>México</w:t>
              <w:tab/>
              <w:t>93</w:t>
            </w:r>
          </w:hyperlink>
        </w:p>
        <w:p>
          <w:pPr>
            <w:pStyle w:val="TOC1"/>
            <w:numPr>
              <w:ilvl w:val="1"/>
              <w:numId w:val="5"/>
            </w:numPr>
            <w:tabs>
              <w:tab w:pos="505" w:val="left" w:leader="none"/>
              <w:tab w:pos="8933" w:val="right" w:leader="dot"/>
            </w:tabs>
            <w:spacing w:line="278" w:lineRule="auto" w:before="161" w:after="0"/>
            <w:ind w:left="102" w:right="104" w:firstLine="0"/>
            <w:jc w:val="left"/>
          </w:pPr>
          <w:hyperlink w:history="true" w:anchor="_TOC_250021">
            <w:r>
              <w:rPr/>
              <w:t>Marco Jurídico Art. 115 de la Constitución Mexicana de los Estados Unidos</w:t>
              <w:tab/>
              <w:t>94</w:t>
            </w:r>
          </w:hyperlink>
        </w:p>
        <w:p>
          <w:pPr>
            <w:pStyle w:val="TOC1"/>
            <w:numPr>
              <w:ilvl w:val="1"/>
              <w:numId w:val="5"/>
            </w:numPr>
            <w:tabs>
              <w:tab w:pos="572" w:val="left" w:leader="none"/>
              <w:tab w:pos="8933" w:val="right" w:leader="dot"/>
            </w:tabs>
            <w:spacing w:line="240" w:lineRule="auto" w:before="118" w:after="0"/>
            <w:ind w:left="571" w:right="0" w:hanging="469"/>
            <w:jc w:val="left"/>
          </w:pPr>
          <w:hyperlink w:history="true" w:anchor="_TOC_250020">
            <w:r>
              <w:rPr/>
              <w:t>Libertad y</w:t>
            </w:r>
            <w:r>
              <w:rPr>
                <w:spacing w:val="-1"/>
              </w:rPr>
              <w:t> </w:t>
            </w:r>
            <w:r>
              <w:rPr/>
              <w:t>Autonomía municipal</w:t>
              <w:tab/>
              <w:t>98</w:t>
            </w:r>
          </w:hyperlink>
        </w:p>
        <w:p>
          <w:pPr>
            <w:pStyle w:val="TOC1"/>
            <w:numPr>
              <w:ilvl w:val="1"/>
              <w:numId w:val="5"/>
            </w:numPr>
            <w:tabs>
              <w:tab w:pos="505" w:val="left" w:leader="none"/>
              <w:tab w:pos="8933" w:val="right" w:leader="dot"/>
            </w:tabs>
            <w:spacing w:line="240" w:lineRule="auto" w:before="161" w:after="0"/>
            <w:ind w:left="504" w:right="0" w:hanging="402"/>
            <w:jc w:val="left"/>
          </w:pPr>
          <w:hyperlink w:history="true" w:anchor="_TOC_250019">
            <w:r>
              <w:rPr/>
              <w:t>Gobierno y</w:t>
            </w:r>
            <w:r>
              <w:rPr>
                <w:spacing w:val="-1"/>
              </w:rPr>
              <w:t> </w:t>
            </w:r>
            <w:r>
              <w:rPr/>
              <w:t>Administración</w:t>
            </w:r>
            <w:r>
              <w:rPr>
                <w:spacing w:val="-1"/>
              </w:rPr>
              <w:t> </w:t>
            </w:r>
            <w:r>
              <w:rPr/>
              <w:t>Municipal</w:t>
              <w:tab/>
              <w:t>102</w:t>
            </w:r>
          </w:hyperlink>
        </w:p>
        <w:p>
          <w:pPr>
            <w:pStyle w:val="TOC1"/>
            <w:numPr>
              <w:ilvl w:val="1"/>
              <w:numId w:val="5"/>
            </w:numPr>
            <w:tabs>
              <w:tab w:pos="505" w:val="left" w:leader="none"/>
              <w:tab w:pos="8933" w:val="right" w:leader="dot"/>
            </w:tabs>
            <w:spacing w:line="240" w:lineRule="auto" w:before="161" w:after="0"/>
            <w:ind w:left="504" w:right="0" w:hanging="402"/>
            <w:jc w:val="left"/>
          </w:pPr>
          <w:hyperlink w:history="true" w:anchor="_TOC_250018">
            <w:r>
              <w:rPr/>
              <w:t>Planeación</w:t>
            </w:r>
            <w:r>
              <w:rPr>
                <w:spacing w:val="-1"/>
              </w:rPr>
              <w:t> </w:t>
            </w:r>
            <w:r>
              <w:rPr/>
              <w:t>municipal</w:t>
              <w:tab/>
              <w:t>106</w:t>
            </w:r>
          </w:hyperlink>
        </w:p>
        <w:p>
          <w:pPr>
            <w:pStyle w:val="TOC1"/>
            <w:numPr>
              <w:ilvl w:val="1"/>
              <w:numId w:val="5"/>
            </w:numPr>
            <w:tabs>
              <w:tab w:pos="675" w:val="left" w:leader="none"/>
              <w:tab w:pos="676" w:val="left" w:leader="none"/>
              <w:tab w:pos="8933" w:val="right" w:leader="dot"/>
            </w:tabs>
            <w:spacing w:line="240" w:lineRule="auto" w:before="164" w:after="0"/>
            <w:ind w:left="675" w:right="0" w:hanging="573"/>
            <w:jc w:val="left"/>
          </w:pPr>
          <w:hyperlink w:history="true" w:anchor="_TOC_250017">
            <w:r>
              <w:rPr/>
              <w:t>Hacienda</w:t>
            </w:r>
            <w:r>
              <w:rPr>
                <w:spacing w:val="-2"/>
              </w:rPr>
              <w:t> </w:t>
            </w:r>
            <w:r>
              <w:rPr/>
              <w:t>Municipal</w:t>
              <w:tab/>
              <w:t>108</w:t>
            </w:r>
          </w:hyperlink>
        </w:p>
        <w:p>
          <w:pPr>
            <w:pStyle w:val="TOC1"/>
            <w:numPr>
              <w:ilvl w:val="2"/>
              <w:numId w:val="5"/>
            </w:numPr>
            <w:tabs>
              <w:tab w:pos="706" w:val="left" w:leader="none"/>
              <w:tab w:pos="8933" w:val="right" w:leader="dot"/>
            </w:tabs>
            <w:spacing w:line="240" w:lineRule="auto" w:before="161" w:after="0"/>
            <w:ind w:left="705" w:right="0" w:hanging="603"/>
            <w:jc w:val="left"/>
          </w:pPr>
          <w:hyperlink w:history="true" w:anchor="_TOC_250016">
            <w:r>
              <w:rPr/>
              <w:t>Aportaciones Federales</w:t>
            </w:r>
            <w:r>
              <w:rPr>
                <w:spacing w:val="-1"/>
              </w:rPr>
              <w:t> </w:t>
            </w:r>
            <w:r>
              <w:rPr/>
              <w:t>para Municipios</w:t>
              <w:tab/>
              <w:t>114</w:t>
            </w:r>
          </w:hyperlink>
        </w:p>
        <w:p>
          <w:pPr>
            <w:pStyle w:val="TOC1"/>
            <w:numPr>
              <w:ilvl w:val="3"/>
              <w:numId w:val="5"/>
            </w:numPr>
            <w:tabs>
              <w:tab w:pos="905" w:val="left" w:leader="none"/>
              <w:tab w:pos="8933" w:val="right" w:leader="dot"/>
            </w:tabs>
            <w:spacing w:line="276" w:lineRule="auto" w:before="161" w:after="0"/>
            <w:ind w:left="102" w:right="104" w:firstLine="0"/>
            <w:jc w:val="left"/>
          </w:pPr>
          <w:r>
            <w:rPr/>
            <w:t>Fondo de Aportaciones para la Infraestructura Social Municipal y de las Demarcaciones Territoriales del Distrito</w:t>
          </w:r>
          <w:r>
            <w:rPr>
              <w:spacing w:val="-4"/>
            </w:rPr>
            <w:t> </w:t>
          </w:r>
          <w:r>
            <w:rPr/>
            <w:t>Federal</w:t>
          </w:r>
          <w:r>
            <w:rPr>
              <w:spacing w:val="-3"/>
            </w:rPr>
            <w:t> </w:t>
          </w:r>
          <w:r>
            <w:rPr/>
            <w:t>(FISMDF)</w:t>
            <w:tab/>
            <w:t>118</w:t>
          </w:r>
        </w:p>
        <w:p>
          <w:pPr>
            <w:pStyle w:val="TOC1"/>
            <w:numPr>
              <w:ilvl w:val="3"/>
              <w:numId w:val="5"/>
            </w:numPr>
            <w:tabs>
              <w:tab w:pos="905" w:val="left" w:leader="none"/>
              <w:tab w:pos="8933" w:val="right" w:leader="dot"/>
            </w:tabs>
            <w:spacing w:line="276" w:lineRule="auto" w:before="123" w:after="0"/>
            <w:ind w:left="102" w:right="104" w:firstLine="0"/>
            <w:jc w:val="left"/>
          </w:pPr>
          <w:r>
            <w:rPr/>
            <w:t>Fondo de Aportaciones para el Fortalecimiento de los Municipios y de las Demarcaciones Territoriales del Distrito</w:t>
          </w:r>
          <w:r>
            <w:rPr>
              <w:spacing w:val="-8"/>
            </w:rPr>
            <w:t> </w:t>
          </w:r>
          <w:r>
            <w:rPr/>
            <w:t>Federal</w:t>
          </w:r>
          <w:r>
            <w:rPr>
              <w:spacing w:val="-4"/>
            </w:rPr>
            <w:t> </w:t>
          </w:r>
          <w:r>
            <w:rPr/>
            <w:t>(FORTAMUNDF)</w:t>
            <w:tab/>
            <w:t>123</w:t>
          </w:r>
        </w:p>
        <w:p>
          <w:pPr>
            <w:pStyle w:val="TOC1"/>
            <w:tabs>
              <w:tab w:pos="8933" w:val="right" w:leader="dot"/>
            </w:tabs>
            <w:spacing w:before="120"/>
          </w:pPr>
          <w:hyperlink w:history="true" w:anchor="_TOC_250015">
            <w:r>
              <w:rPr/>
              <w:t>Capítulo IV</w:t>
              <w:tab/>
              <w:t>125</w:t>
            </w:r>
          </w:hyperlink>
        </w:p>
        <w:p>
          <w:pPr>
            <w:pStyle w:val="TOC1"/>
            <w:tabs>
              <w:tab w:pos="8933" w:val="right" w:leader="dot"/>
            </w:tabs>
          </w:pPr>
          <w:hyperlink w:history="true" w:anchor="_TOC_250014">
            <w:r>
              <w:rPr/>
              <w:t>Operatividad del FISMDF y FORTAMUNDF en el Estado</w:t>
            </w:r>
            <w:r>
              <w:rPr>
                <w:spacing w:val="-10"/>
              </w:rPr>
              <w:t> </w:t>
            </w:r>
            <w:r>
              <w:rPr/>
              <w:t>de</w:t>
            </w:r>
            <w:r>
              <w:rPr>
                <w:spacing w:val="-1"/>
              </w:rPr>
              <w:t> </w:t>
            </w:r>
            <w:r>
              <w:rPr/>
              <w:t>México</w:t>
              <w:tab/>
              <w:t>125</w:t>
            </w:r>
          </w:hyperlink>
        </w:p>
        <w:p>
          <w:pPr>
            <w:pStyle w:val="TOC1"/>
            <w:numPr>
              <w:ilvl w:val="1"/>
              <w:numId w:val="6"/>
            </w:numPr>
            <w:tabs>
              <w:tab w:pos="675" w:val="left" w:leader="none"/>
              <w:tab w:pos="676" w:val="left" w:leader="none"/>
              <w:tab w:pos="8933" w:val="right" w:leader="dot"/>
            </w:tabs>
            <w:spacing w:line="240" w:lineRule="auto" w:before="161" w:after="0"/>
            <w:ind w:left="102" w:right="0" w:firstLine="0"/>
            <w:jc w:val="left"/>
          </w:pPr>
          <w:hyperlink w:history="true" w:anchor="_TOC_250013">
            <w:r>
              <w:rPr/>
              <w:t>Contexto del Estado</w:t>
            </w:r>
            <w:r>
              <w:rPr>
                <w:spacing w:val="-5"/>
              </w:rPr>
              <w:t> </w:t>
            </w:r>
            <w:r>
              <w:rPr/>
              <w:t>de</w:t>
            </w:r>
            <w:r>
              <w:rPr>
                <w:spacing w:val="-1"/>
              </w:rPr>
              <w:t> </w:t>
            </w:r>
            <w:r>
              <w:rPr/>
              <w:t>México</w:t>
              <w:tab/>
              <w:t>128</w:t>
            </w:r>
          </w:hyperlink>
        </w:p>
        <w:p>
          <w:pPr>
            <w:pStyle w:val="TOC1"/>
            <w:numPr>
              <w:ilvl w:val="1"/>
              <w:numId w:val="6"/>
            </w:numPr>
            <w:tabs>
              <w:tab w:pos="675" w:val="left" w:leader="none"/>
              <w:tab w:pos="676" w:val="left" w:leader="none"/>
            </w:tabs>
            <w:spacing w:line="240" w:lineRule="auto" w:before="163" w:after="0"/>
            <w:ind w:left="675" w:right="0" w:hanging="573"/>
            <w:jc w:val="left"/>
          </w:pPr>
          <w:r>
            <w:rPr/>
            <w:t>Organización Administrativa,</w:t>
          </w:r>
          <w:r>
            <w:rPr>
              <w:spacing w:val="-2"/>
            </w:rPr>
            <w:t> </w:t>
          </w:r>
          <w:r>
            <w:rPr/>
            <w:t>política</w:t>
          </w:r>
          <w:r>
            <w:rPr>
              <w:spacing w:val="1"/>
            </w:rPr>
            <w:t> </w:t>
          </w:r>
          <w:r>
            <w:rPr/>
            <w:t>y</w:t>
          </w:r>
          <w:r>
            <w:rPr>
              <w:spacing w:val="-9"/>
            </w:rPr>
            <w:t> </w:t>
          </w:r>
          <w:r>
            <w:rPr/>
            <w:t>su</w:t>
          </w:r>
          <w:r>
            <w:rPr>
              <w:spacing w:val="-2"/>
            </w:rPr>
            <w:t> </w:t>
          </w:r>
          <w:r>
            <w:rPr/>
            <w:t>relación</w:t>
          </w:r>
          <w:r>
            <w:rPr>
              <w:spacing w:val="-2"/>
            </w:rPr>
            <w:t> </w:t>
          </w:r>
          <w:r>
            <w:rPr/>
            <w:t>con</w:t>
          </w:r>
          <w:r>
            <w:rPr>
              <w:spacing w:val="2"/>
            </w:rPr>
            <w:t> </w:t>
          </w:r>
          <w:r>
            <w:rPr/>
            <w:t>el</w:t>
          </w:r>
          <w:r>
            <w:rPr>
              <w:spacing w:val="-2"/>
            </w:rPr>
            <w:t> </w:t>
          </w:r>
          <w:r>
            <w:rPr/>
            <w:t>Municipio</w:t>
          </w:r>
          <w:r>
            <w:rPr>
              <w:spacing w:val="-38"/>
            </w:rPr>
            <w:t> </w:t>
          </w:r>
          <w:r>
            <w:rPr/>
            <w:t>.</w:t>
          </w:r>
          <w:r>
            <w:rPr>
              <w:spacing w:val="-21"/>
            </w:rPr>
            <w:t> </w:t>
          </w:r>
          <w:r>
            <w:rPr/>
            <w:t>135</w:t>
          </w:r>
        </w:p>
        <w:p>
          <w:pPr>
            <w:pStyle w:val="TOC1"/>
            <w:numPr>
              <w:ilvl w:val="1"/>
              <w:numId w:val="6"/>
            </w:numPr>
            <w:tabs>
              <w:tab w:pos="675" w:val="left" w:leader="none"/>
              <w:tab w:pos="676" w:val="left" w:leader="none"/>
              <w:tab w:pos="8933" w:val="right" w:leader="dot"/>
            </w:tabs>
            <w:spacing w:line="276" w:lineRule="auto" w:before="161" w:after="0"/>
            <w:ind w:left="102" w:right="104" w:firstLine="0"/>
            <w:jc w:val="left"/>
          </w:pPr>
          <w:r>
            <w:rPr/>
            <w:t>Lineamientos Generales de Operación de las Aportaciones Federales para los Municipios en el Estado</w:t>
          </w:r>
          <w:r>
            <w:rPr>
              <w:spacing w:val="-3"/>
            </w:rPr>
            <w:t> </w:t>
          </w:r>
          <w:r>
            <w:rPr/>
            <w:t>de</w:t>
          </w:r>
          <w:r>
            <w:rPr>
              <w:spacing w:val="-1"/>
            </w:rPr>
            <w:t> </w:t>
          </w:r>
          <w:r>
            <w:rPr/>
            <w:t>México</w:t>
            <w:tab/>
            <w:t>140</w:t>
          </w:r>
        </w:p>
        <w:p>
          <w:pPr>
            <w:pStyle w:val="TOC1"/>
            <w:numPr>
              <w:ilvl w:val="2"/>
              <w:numId w:val="6"/>
            </w:numPr>
            <w:tabs>
              <w:tab w:pos="704" w:val="left" w:leader="none"/>
              <w:tab w:pos="8933" w:val="right" w:leader="dot"/>
            </w:tabs>
            <w:spacing w:line="240" w:lineRule="auto" w:before="120" w:after="0"/>
            <w:ind w:left="703" w:right="0" w:hanging="601"/>
            <w:jc w:val="left"/>
          </w:pPr>
          <w:hyperlink w:history="true" w:anchor="_TOC_250012">
            <w:r>
              <w:rPr/>
              <w:t>Distribución, Asignación y Comunicación</w:t>
            </w:r>
            <w:r>
              <w:rPr>
                <w:spacing w:val="-4"/>
              </w:rPr>
              <w:t> </w:t>
            </w:r>
            <w:r>
              <w:rPr/>
              <w:t>de Recursos</w:t>
              <w:tab/>
              <w:t>143</w:t>
            </w:r>
          </w:hyperlink>
        </w:p>
        <w:p>
          <w:pPr>
            <w:pStyle w:val="TOC1"/>
            <w:numPr>
              <w:ilvl w:val="2"/>
              <w:numId w:val="6"/>
            </w:numPr>
            <w:tabs>
              <w:tab w:pos="704" w:val="left" w:leader="none"/>
              <w:tab w:pos="8933" w:val="right" w:leader="dot"/>
            </w:tabs>
            <w:spacing w:line="240" w:lineRule="auto" w:before="163" w:after="0"/>
            <w:ind w:left="703" w:right="0" w:hanging="601"/>
            <w:jc w:val="left"/>
          </w:pPr>
          <w:hyperlink w:history="true" w:anchor="_TOC_250011">
            <w:r>
              <w:rPr/>
              <w:t>Radicación de</w:t>
            </w:r>
            <w:r>
              <w:rPr>
                <w:spacing w:val="-1"/>
              </w:rPr>
              <w:t> </w:t>
            </w:r>
            <w:r>
              <w:rPr/>
              <w:t>los</w:t>
            </w:r>
            <w:r>
              <w:rPr>
                <w:spacing w:val="-1"/>
              </w:rPr>
              <w:t> </w:t>
            </w:r>
            <w:r>
              <w:rPr/>
              <w:t>Recursos</w:t>
              <w:tab/>
              <w:t>143</w:t>
            </w:r>
          </w:hyperlink>
        </w:p>
        <w:p>
          <w:pPr>
            <w:pStyle w:val="TOC1"/>
            <w:numPr>
              <w:ilvl w:val="2"/>
              <w:numId w:val="6"/>
            </w:numPr>
            <w:tabs>
              <w:tab w:pos="874" w:val="left" w:leader="none"/>
              <w:tab w:pos="875" w:val="left" w:leader="none"/>
              <w:tab w:pos="8933" w:val="right" w:leader="dot"/>
            </w:tabs>
            <w:spacing w:line="240" w:lineRule="auto" w:before="161" w:after="0"/>
            <w:ind w:left="874" w:right="0" w:hanging="772"/>
            <w:jc w:val="left"/>
          </w:pPr>
          <w:hyperlink w:history="true" w:anchor="_TOC_250010">
            <w:r>
              <w:rPr/>
              <w:t>Participación</w:t>
            </w:r>
            <w:r>
              <w:rPr>
                <w:spacing w:val="-3"/>
              </w:rPr>
              <w:t> </w:t>
            </w:r>
            <w:r>
              <w:rPr/>
              <w:t>ciudadana</w:t>
              <w:tab/>
              <w:t>143</w:t>
            </w:r>
          </w:hyperlink>
        </w:p>
        <w:p>
          <w:pPr>
            <w:pStyle w:val="TOC1"/>
            <w:numPr>
              <w:ilvl w:val="2"/>
              <w:numId w:val="6"/>
            </w:numPr>
            <w:tabs>
              <w:tab w:pos="704" w:val="left" w:leader="none"/>
              <w:tab w:pos="8933" w:val="right" w:leader="dot"/>
            </w:tabs>
            <w:spacing w:line="240" w:lineRule="auto" w:before="161" w:after="0"/>
            <w:ind w:left="703" w:right="0" w:hanging="601"/>
            <w:jc w:val="left"/>
          </w:pPr>
          <w:hyperlink w:history="true" w:anchor="_TOC_250009">
            <w:r>
              <w:rPr/>
              <w:t>Proyectos a Financiar de las</w:t>
            </w:r>
            <w:r>
              <w:rPr>
                <w:spacing w:val="-2"/>
              </w:rPr>
              <w:t> </w:t>
            </w:r>
            <w:r>
              <w:rPr/>
              <w:t>Aportaciones</w:t>
            </w:r>
            <w:r>
              <w:rPr>
                <w:spacing w:val="-1"/>
              </w:rPr>
              <w:t> </w:t>
            </w:r>
            <w:r>
              <w:rPr/>
              <w:t>Federales</w:t>
              <w:tab/>
              <w:t>145</w:t>
            </w:r>
          </w:hyperlink>
        </w:p>
        <w:p>
          <w:pPr>
            <w:pStyle w:val="TOC1"/>
            <w:numPr>
              <w:ilvl w:val="1"/>
              <w:numId w:val="6"/>
            </w:numPr>
            <w:tabs>
              <w:tab w:pos="675" w:val="left" w:leader="none"/>
              <w:tab w:pos="676" w:val="left" w:leader="none"/>
              <w:tab w:pos="8933" w:val="right" w:leader="dot"/>
            </w:tabs>
            <w:spacing w:line="278" w:lineRule="auto" w:before="161" w:after="0"/>
            <w:ind w:left="102" w:right="104" w:firstLine="0"/>
            <w:jc w:val="left"/>
          </w:pPr>
          <w:r>
            <w:rPr/>
            <w:t>Decisiones del Gobierno Municipal (Administración y Ejercicio de los Recursos)</w:t>
            <w:tab/>
            <w:t>156</w:t>
          </w:r>
        </w:p>
        <w:p>
          <w:pPr>
            <w:pStyle w:val="TOC1"/>
            <w:numPr>
              <w:ilvl w:val="1"/>
              <w:numId w:val="6"/>
            </w:numPr>
            <w:tabs>
              <w:tab w:pos="675" w:val="left" w:leader="none"/>
              <w:tab w:pos="676" w:val="left" w:leader="none"/>
              <w:tab w:pos="8933" w:val="right" w:leader="dot"/>
            </w:tabs>
            <w:spacing w:line="240" w:lineRule="auto" w:before="118" w:after="0"/>
            <w:ind w:left="675" w:right="0" w:hanging="573"/>
            <w:jc w:val="left"/>
          </w:pPr>
          <w:hyperlink w:history="true" w:anchor="_TOC_250008">
            <w:r>
              <w:rPr/>
              <w:t>Controles</w:t>
            </w:r>
            <w:r>
              <w:rPr>
                <w:spacing w:val="-1"/>
              </w:rPr>
              <w:t> </w:t>
            </w:r>
            <w:r>
              <w:rPr/>
              <w:t>Internos</w:t>
            </w:r>
            <w:r>
              <w:rPr>
                <w:spacing w:val="-1"/>
              </w:rPr>
              <w:t> </w:t>
            </w:r>
            <w:r>
              <w:rPr/>
              <w:t>Municipales</w:t>
              <w:tab/>
              <w:t>165</w:t>
            </w:r>
          </w:hyperlink>
        </w:p>
        <w:p>
          <w:pPr>
            <w:pStyle w:val="TOC1"/>
            <w:numPr>
              <w:ilvl w:val="1"/>
              <w:numId w:val="6"/>
            </w:numPr>
            <w:tabs>
              <w:tab w:pos="675" w:val="left" w:leader="none"/>
              <w:tab w:pos="676" w:val="left" w:leader="none"/>
              <w:tab w:pos="8933" w:val="right" w:leader="dot"/>
            </w:tabs>
            <w:spacing w:line="240" w:lineRule="auto" w:before="161" w:after="0"/>
            <w:ind w:left="675" w:right="0" w:hanging="573"/>
            <w:jc w:val="left"/>
          </w:pPr>
          <w:hyperlink w:history="true" w:anchor="_TOC_250007">
            <w:r>
              <w:rPr/>
              <w:t>Responsabilidades</w:t>
            </w:r>
            <w:r>
              <w:rPr>
                <w:spacing w:val="2"/>
              </w:rPr>
              <w:t> </w:t>
            </w:r>
            <w:r>
              <w:rPr/>
              <w:t>y</w:t>
            </w:r>
            <w:r>
              <w:rPr>
                <w:spacing w:val="-5"/>
              </w:rPr>
              <w:t> </w:t>
            </w:r>
            <w:r>
              <w:rPr/>
              <w:t>Observaciones</w:t>
              <w:tab/>
              <w:t>172</w:t>
            </w:r>
          </w:hyperlink>
        </w:p>
        <w:p>
          <w:pPr>
            <w:pStyle w:val="TOC1"/>
            <w:numPr>
              <w:ilvl w:val="2"/>
              <w:numId w:val="6"/>
            </w:numPr>
            <w:tabs>
              <w:tab w:pos="874" w:val="left" w:leader="none"/>
              <w:tab w:pos="875" w:val="left" w:leader="none"/>
              <w:tab w:pos="8933" w:val="right" w:leader="dot"/>
            </w:tabs>
            <w:spacing w:line="240" w:lineRule="auto" w:before="161" w:after="0"/>
            <w:ind w:left="874" w:right="0" w:hanging="772"/>
            <w:jc w:val="left"/>
          </w:pPr>
          <w:hyperlink w:history="true" w:anchor="_TOC_250006">
            <w:r>
              <w:rPr/>
              <w:t>Tipos</w:t>
            </w:r>
            <w:r>
              <w:rPr>
                <w:spacing w:val="-1"/>
              </w:rPr>
              <w:t> </w:t>
            </w:r>
            <w:r>
              <w:rPr/>
              <w:t>de responsabilidades</w:t>
              <w:tab/>
              <w:t>172</w:t>
            </w:r>
          </w:hyperlink>
        </w:p>
        <w:p>
          <w:pPr>
            <w:pStyle w:val="TOC1"/>
            <w:numPr>
              <w:ilvl w:val="1"/>
              <w:numId w:val="7"/>
            </w:numPr>
            <w:tabs>
              <w:tab w:pos="505" w:val="left" w:leader="none"/>
              <w:tab w:pos="8933" w:val="right" w:leader="dot"/>
            </w:tabs>
            <w:spacing w:line="240" w:lineRule="auto" w:before="163" w:after="0"/>
            <w:ind w:left="504" w:right="0" w:hanging="402"/>
            <w:jc w:val="left"/>
          </w:pPr>
          <w:hyperlink w:history="true" w:anchor="_TOC_250005">
            <w:r>
              <w:rPr/>
              <w:t>Observaciones y</w:t>
            </w:r>
            <w:r>
              <w:rPr>
                <w:spacing w:val="-5"/>
              </w:rPr>
              <w:t> </w:t>
            </w:r>
            <w:r>
              <w:rPr/>
              <w:t>Acciones</w:t>
            </w:r>
            <w:r>
              <w:rPr>
                <w:spacing w:val="-1"/>
              </w:rPr>
              <w:t> </w:t>
            </w:r>
            <w:r>
              <w:rPr/>
              <w:t>promovidas</w:t>
              <w:tab/>
              <w:t>173</w:t>
            </w:r>
          </w:hyperlink>
        </w:p>
        <w:p>
          <w:pPr>
            <w:pStyle w:val="TOC1"/>
            <w:numPr>
              <w:ilvl w:val="2"/>
              <w:numId w:val="7"/>
            </w:numPr>
            <w:tabs>
              <w:tab w:pos="704" w:val="left" w:leader="none"/>
              <w:tab w:pos="8933" w:val="right" w:leader="dot"/>
            </w:tabs>
            <w:spacing w:line="240" w:lineRule="auto" w:before="54" w:after="0"/>
            <w:ind w:left="703" w:right="0" w:hanging="601"/>
            <w:jc w:val="left"/>
          </w:pPr>
          <w:hyperlink w:history="true" w:anchor="_TOC_250004">
            <w:r>
              <w:rPr/>
              <w:t>Observaciones (Problemáticas de</w:t>
            </w:r>
            <w:r>
              <w:rPr>
                <w:spacing w:val="-3"/>
              </w:rPr>
              <w:t> </w:t>
            </w:r>
            <w:r>
              <w:rPr/>
              <w:t>la</w:t>
            </w:r>
            <w:r>
              <w:rPr>
                <w:spacing w:val="-5"/>
              </w:rPr>
              <w:t> </w:t>
            </w:r>
            <w:r>
              <w:rPr/>
              <w:t>Gestión)</w:t>
              <w:tab/>
              <w:t>175</w:t>
            </w:r>
          </w:hyperlink>
        </w:p>
        <w:p>
          <w:pPr>
            <w:pStyle w:val="TOC1"/>
            <w:numPr>
              <w:ilvl w:val="2"/>
              <w:numId w:val="7"/>
            </w:numPr>
            <w:tabs>
              <w:tab w:pos="704" w:val="left" w:leader="none"/>
              <w:tab w:pos="8933" w:val="right" w:leader="dot"/>
            </w:tabs>
            <w:spacing w:line="240" w:lineRule="auto" w:before="163" w:after="0"/>
            <w:ind w:left="703" w:right="0" w:hanging="601"/>
            <w:jc w:val="left"/>
          </w:pPr>
          <w:hyperlink w:history="true" w:anchor="_TOC_250003">
            <w:r>
              <w:rPr/>
              <w:t>Principales</w:t>
            </w:r>
            <w:r>
              <w:rPr>
                <w:spacing w:val="-3"/>
              </w:rPr>
              <w:t> </w:t>
            </w:r>
            <w:r>
              <w:rPr/>
              <w:t>irregularidades</w:t>
            </w:r>
            <w:r>
              <w:rPr>
                <w:spacing w:val="-1"/>
              </w:rPr>
              <w:t> </w:t>
            </w:r>
            <w:r>
              <w:rPr/>
              <w:t>observadas</w:t>
              <w:tab/>
              <w:t>176</w:t>
            </w:r>
          </w:hyperlink>
        </w:p>
        <w:p>
          <w:pPr>
            <w:pStyle w:val="TOC1"/>
            <w:tabs>
              <w:tab w:pos="8933" w:val="right" w:leader="dot"/>
            </w:tabs>
          </w:pPr>
          <w:hyperlink w:history="true" w:anchor="_TOC_250002">
            <w:r>
              <w:rPr/>
              <w:t>Conclusiones y</w:t>
            </w:r>
            <w:r>
              <w:rPr>
                <w:spacing w:val="-7"/>
              </w:rPr>
              <w:t> </w:t>
            </w:r>
            <w:r>
              <w:rPr/>
              <w:t>consideraciones</w:t>
            </w:r>
            <w:r>
              <w:rPr>
                <w:spacing w:val="-1"/>
              </w:rPr>
              <w:t> </w:t>
            </w:r>
            <w:r>
              <w:rPr/>
              <w:t>finales</w:t>
              <w:tab/>
              <w:t>179</w:t>
            </w:r>
          </w:hyperlink>
        </w:p>
        <w:p>
          <w:pPr>
            <w:pStyle w:val="TOC1"/>
            <w:tabs>
              <w:tab w:pos="8933" w:val="right" w:leader="dot"/>
            </w:tabs>
          </w:pPr>
          <w:hyperlink w:history="true" w:anchor="_TOC_250001">
            <w:r>
              <w:rPr/>
              <w:t>Bibliografía</w:t>
              <w:tab/>
              <w:t>184</w:t>
            </w:r>
          </w:hyperlink>
        </w:p>
        <w:p>
          <w:pPr>
            <w:pStyle w:val="TOC1"/>
            <w:tabs>
              <w:tab w:pos="8933" w:val="right" w:leader="dot"/>
            </w:tabs>
          </w:pPr>
          <w:hyperlink w:history="true" w:anchor="_TOC_250000">
            <w:r>
              <w:rPr/>
              <w:t>Anexos</w:t>
              <w:tab/>
              <w:t>199</w:t>
            </w:r>
          </w:hyperlink>
        </w:p>
      </w:sdtContent>
    </w:sdt>
    <w:p>
      <w:pPr>
        <w:spacing w:after="0"/>
        <w:sectPr>
          <w:type w:val="continuous"/>
          <w:pgSz w:w="12240" w:h="15840"/>
          <w:pgMar w:top="1360" w:bottom="1511" w:left="1600" w:right="1600"/>
        </w:sectPr>
      </w:pPr>
    </w:p>
    <w:p>
      <w:pPr>
        <w:pStyle w:val="BodyText"/>
        <w:rPr>
          <w:b/>
          <w:sz w:val="28"/>
        </w:rPr>
      </w:pPr>
    </w:p>
    <w:p>
      <w:pPr>
        <w:pStyle w:val="BodyText"/>
        <w:rPr>
          <w:b/>
          <w:sz w:val="28"/>
        </w:rPr>
      </w:pPr>
    </w:p>
    <w:p>
      <w:pPr>
        <w:pStyle w:val="Heading1"/>
        <w:spacing w:before="171"/>
        <w:ind w:right="746"/>
        <w:jc w:val="center"/>
      </w:pPr>
      <w:bookmarkStart w:name="_TOC_250051" w:id="1"/>
      <w:bookmarkEnd w:id="1"/>
      <w:r>
        <w:rPr/>
        <w:t>Introducción</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1"/>
        <w:rPr>
          <w:b/>
          <w:sz w:val="25"/>
        </w:rPr>
      </w:pPr>
    </w:p>
    <w:p>
      <w:pPr>
        <w:pStyle w:val="BodyText"/>
        <w:spacing w:line="360" w:lineRule="auto"/>
        <w:ind w:left="102" w:right="115"/>
        <w:jc w:val="both"/>
      </w:pPr>
      <w:r>
        <w:rPr/>
        <w:t>El municipio debería ser el ente receptor del poder y de gran influencia para el desarrollo social, económico y político. Sin embargo, en la actualidad existen municipios urbanos donde coexisten los extremos de riqueza y miseria, con</w:t>
      </w:r>
      <w:r>
        <w:rPr>
          <w:spacing w:val="-40"/>
        </w:rPr>
        <w:t> </w:t>
      </w:r>
      <w:r>
        <w:rPr/>
        <w:t>fuertes manifestaciones de desigualdad; por otro lado en los municipios rurales impera la pobreza,</w:t>
      </w:r>
      <w:r>
        <w:rPr>
          <w:spacing w:val="-17"/>
        </w:rPr>
        <w:t> </w:t>
      </w:r>
      <w:r>
        <w:rPr/>
        <w:t>tal</w:t>
      </w:r>
      <w:r>
        <w:rPr>
          <w:spacing w:val="-18"/>
        </w:rPr>
        <w:t> </w:t>
      </w:r>
      <w:r>
        <w:rPr/>
        <w:t>pareciera</w:t>
      </w:r>
      <w:r>
        <w:rPr>
          <w:spacing w:val="-19"/>
        </w:rPr>
        <w:t> </w:t>
      </w:r>
      <w:r>
        <w:rPr/>
        <w:t>que</w:t>
      </w:r>
      <w:r>
        <w:rPr>
          <w:spacing w:val="-14"/>
        </w:rPr>
        <w:t> </w:t>
      </w:r>
      <w:r>
        <w:rPr/>
        <w:t>existe</w:t>
      </w:r>
      <w:r>
        <w:rPr>
          <w:spacing w:val="-14"/>
        </w:rPr>
        <w:t> </w:t>
      </w:r>
      <w:r>
        <w:rPr/>
        <w:t>un</w:t>
      </w:r>
      <w:r>
        <w:rPr>
          <w:spacing w:val="-14"/>
        </w:rPr>
        <w:t> </w:t>
      </w:r>
      <w:r>
        <w:rPr/>
        <w:t>gran</w:t>
      </w:r>
      <w:r>
        <w:rPr>
          <w:spacing w:val="-16"/>
        </w:rPr>
        <w:t> </w:t>
      </w:r>
      <w:r>
        <w:rPr/>
        <w:t>abandono</w:t>
      </w:r>
      <w:r>
        <w:rPr>
          <w:spacing w:val="-17"/>
        </w:rPr>
        <w:t> </w:t>
      </w:r>
      <w:r>
        <w:rPr/>
        <w:t>territorial,</w:t>
      </w:r>
      <w:r>
        <w:rPr>
          <w:spacing w:val="-17"/>
        </w:rPr>
        <w:t> </w:t>
      </w:r>
      <w:r>
        <w:rPr/>
        <w:t>dejando</w:t>
      </w:r>
      <w:r>
        <w:rPr>
          <w:spacing w:val="-9"/>
        </w:rPr>
        <w:t> </w:t>
      </w:r>
      <w:r>
        <w:rPr/>
        <w:t>así</w:t>
      </w:r>
      <w:r>
        <w:rPr>
          <w:spacing w:val="-17"/>
        </w:rPr>
        <w:t> </w:t>
      </w:r>
      <w:r>
        <w:rPr/>
        <w:t>en</w:t>
      </w:r>
      <w:r>
        <w:rPr>
          <w:spacing w:val="-18"/>
        </w:rPr>
        <w:t> </w:t>
      </w:r>
      <w:r>
        <w:rPr/>
        <w:t>manos de</w:t>
      </w:r>
      <w:r>
        <w:rPr>
          <w:spacing w:val="-8"/>
        </w:rPr>
        <w:t> </w:t>
      </w:r>
      <w:r>
        <w:rPr/>
        <w:t>la</w:t>
      </w:r>
      <w:r>
        <w:rPr>
          <w:spacing w:val="-9"/>
        </w:rPr>
        <w:t> </w:t>
      </w:r>
      <w:r>
        <w:rPr/>
        <w:t>delincuencia</w:t>
      </w:r>
      <w:r>
        <w:rPr>
          <w:spacing w:val="-8"/>
        </w:rPr>
        <w:t> </w:t>
      </w:r>
      <w:r>
        <w:rPr/>
        <w:t>campo</w:t>
      </w:r>
      <w:r>
        <w:rPr>
          <w:spacing w:val="-11"/>
        </w:rPr>
        <w:t> </w:t>
      </w:r>
      <w:r>
        <w:rPr/>
        <w:t>fértil</w:t>
      </w:r>
      <w:r>
        <w:rPr>
          <w:spacing w:val="-10"/>
        </w:rPr>
        <w:t> </w:t>
      </w:r>
      <w:r>
        <w:rPr/>
        <w:t>para</w:t>
      </w:r>
      <w:r>
        <w:rPr>
          <w:spacing w:val="-9"/>
        </w:rPr>
        <w:t> </w:t>
      </w:r>
      <w:r>
        <w:rPr/>
        <w:t>alimentar</w:t>
      </w:r>
      <w:r>
        <w:rPr>
          <w:spacing w:val="-12"/>
        </w:rPr>
        <w:t> </w:t>
      </w:r>
      <w:r>
        <w:rPr/>
        <w:t>la</w:t>
      </w:r>
      <w:r>
        <w:rPr>
          <w:spacing w:val="-9"/>
        </w:rPr>
        <w:t> </w:t>
      </w:r>
      <w:r>
        <w:rPr/>
        <w:t>impunidad.</w:t>
      </w:r>
      <w:r>
        <w:rPr>
          <w:spacing w:val="-2"/>
        </w:rPr>
        <w:t> </w:t>
      </w:r>
      <w:r>
        <w:rPr/>
        <w:t>Es</w:t>
      </w:r>
      <w:r>
        <w:rPr>
          <w:spacing w:val="-9"/>
        </w:rPr>
        <w:t> </w:t>
      </w:r>
      <w:r>
        <w:rPr/>
        <w:t>por</w:t>
      </w:r>
      <w:r>
        <w:rPr>
          <w:spacing w:val="-10"/>
        </w:rPr>
        <w:t> </w:t>
      </w:r>
      <w:r>
        <w:rPr/>
        <w:t>eso</w:t>
      </w:r>
      <w:r>
        <w:rPr>
          <w:spacing w:val="-8"/>
        </w:rPr>
        <w:t> </w:t>
      </w:r>
      <w:r>
        <w:rPr/>
        <w:t>que</w:t>
      </w:r>
      <w:r>
        <w:rPr>
          <w:spacing w:val="-8"/>
        </w:rPr>
        <w:t> </w:t>
      </w:r>
      <w:r>
        <w:rPr/>
        <w:t>a</w:t>
      </w:r>
      <w:r>
        <w:rPr>
          <w:spacing w:val="-8"/>
        </w:rPr>
        <w:t> </w:t>
      </w:r>
      <w:r>
        <w:rPr/>
        <w:t>través del</w:t>
      </w:r>
      <w:r>
        <w:rPr>
          <w:spacing w:val="-17"/>
        </w:rPr>
        <w:t> </w:t>
      </w:r>
      <w:r>
        <w:rPr/>
        <w:t>federalismo</w:t>
      </w:r>
      <w:r>
        <w:rPr>
          <w:spacing w:val="-16"/>
        </w:rPr>
        <w:t> </w:t>
      </w:r>
      <w:r>
        <w:rPr/>
        <w:t>fiscal</w:t>
      </w:r>
      <w:r>
        <w:rPr>
          <w:spacing w:val="-14"/>
        </w:rPr>
        <w:t> </w:t>
      </w:r>
      <w:r>
        <w:rPr/>
        <w:t>se</w:t>
      </w:r>
      <w:r>
        <w:rPr>
          <w:spacing w:val="-13"/>
        </w:rPr>
        <w:t> </w:t>
      </w:r>
      <w:r>
        <w:rPr/>
        <w:t>ha</w:t>
      </w:r>
      <w:r>
        <w:rPr>
          <w:spacing w:val="-16"/>
        </w:rPr>
        <w:t> </w:t>
      </w:r>
      <w:r>
        <w:rPr/>
        <w:t>buscado</w:t>
      </w:r>
      <w:r>
        <w:rPr>
          <w:spacing w:val="-16"/>
        </w:rPr>
        <w:t> </w:t>
      </w:r>
      <w:r>
        <w:rPr/>
        <w:t>minizar</w:t>
      </w:r>
      <w:r>
        <w:rPr>
          <w:spacing w:val="-15"/>
        </w:rPr>
        <w:t> </w:t>
      </w:r>
      <w:r>
        <w:rPr/>
        <w:t>esas</w:t>
      </w:r>
      <w:r>
        <w:rPr>
          <w:spacing w:val="-14"/>
        </w:rPr>
        <w:t> </w:t>
      </w:r>
      <w:r>
        <w:rPr/>
        <w:t>desigualdades,</w:t>
      </w:r>
      <w:r>
        <w:rPr>
          <w:spacing w:val="-13"/>
        </w:rPr>
        <w:t> </w:t>
      </w:r>
      <w:r>
        <w:rPr/>
        <w:t>motivo</w:t>
      </w:r>
      <w:r>
        <w:rPr>
          <w:spacing w:val="-13"/>
        </w:rPr>
        <w:t> </w:t>
      </w:r>
      <w:r>
        <w:rPr/>
        <w:t>por</w:t>
      </w:r>
      <w:r>
        <w:rPr>
          <w:spacing w:val="-15"/>
        </w:rPr>
        <w:t> </w:t>
      </w:r>
      <w:r>
        <w:rPr/>
        <w:t>el</w:t>
      </w:r>
      <w:r>
        <w:rPr>
          <w:spacing w:val="-14"/>
        </w:rPr>
        <w:t> </w:t>
      </w:r>
      <w:r>
        <w:rPr/>
        <w:t>cual, este estudio se centra en la toma decisiones. Son los tomadores de decisiones quienes</w:t>
      </w:r>
      <w:r>
        <w:rPr>
          <w:spacing w:val="-8"/>
        </w:rPr>
        <w:t> </w:t>
      </w:r>
      <w:r>
        <w:rPr/>
        <w:t>implementan</w:t>
      </w:r>
      <w:r>
        <w:rPr>
          <w:spacing w:val="-7"/>
        </w:rPr>
        <w:t> </w:t>
      </w:r>
      <w:r>
        <w:rPr/>
        <w:t>las</w:t>
      </w:r>
      <w:r>
        <w:rPr>
          <w:spacing w:val="-7"/>
        </w:rPr>
        <w:t> </w:t>
      </w:r>
      <w:r>
        <w:rPr/>
        <w:t>políticas</w:t>
      </w:r>
      <w:r>
        <w:rPr>
          <w:spacing w:val="-8"/>
        </w:rPr>
        <w:t> </w:t>
      </w:r>
      <w:r>
        <w:rPr/>
        <w:t>para</w:t>
      </w:r>
      <w:r>
        <w:rPr>
          <w:spacing w:val="-8"/>
        </w:rPr>
        <w:t> </w:t>
      </w:r>
      <w:r>
        <w:rPr/>
        <w:t>menoscabar</w:t>
      </w:r>
      <w:r>
        <w:rPr>
          <w:spacing w:val="-8"/>
        </w:rPr>
        <w:t> </w:t>
      </w:r>
      <w:r>
        <w:rPr/>
        <w:t>las</w:t>
      </w:r>
      <w:r>
        <w:rPr>
          <w:spacing w:val="-7"/>
        </w:rPr>
        <w:t> </w:t>
      </w:r>
      <w:r>
        <w:rPr/>
        <w:t>problematicas</w:t>
      </w:r>
      <w:r>
        <w:rPr>
          <w:spacing w:val="-8"/>
        </w:rPr>
        <w:t> </w:t>
      </w:r>
      <w:r>
        <w:rPr/>
        <w:t>sociales</w:t>
      </w:r>
      <w:r>
        <w:rPr>
          <w:spacing w:val="-8"/>
        </w:rPr>
        <w:t> </w:t>
      </w:r>
      <w:r>
        <w:rPr/>
        <w:t>que se</w:t>
      </w:r>
      <w:r>
        <w:rPr>
          <w:spacing w:val="-3"/>
        </w:rPr>
        <w:t> </w:t>
      </w:r>
      <w:r>
        <w:rPr/>
        <w:t>presenten.</w:t>
      </w:r>
    </w:p>
    <w:p>
      <w:pPr>
        <w:pStyle w:val="BodyText"/>
      </w:pPr>
    </w:p>
    <w:p>
      <w:pPr>
        <w:pStyle w:val="BodyText"/>
        <w:spacing w:line="360" w:lineRule="auto" w:before="142"/>
        <w:ind w:left="102" w:right="115"/>
        <w:jc w:val="both"/>
      </w:pPr>
      <w:r>
        <w:rPr/>
        <w:t>La</w:t>
      </w:r>
      <w:r>
        <w:rPr>
          <w:spacing w:val="-14"/>
        </w:rPr>
        <w:t> </w:t>
      </w:r>
      <w:r>
        <w:rPr/>
        <w:t>coordinación</w:t>
      </w:r>
      <w:r>
        <w:rPr>
          <w:spacing w:val="-17"/>
        </w:rPr>
        <w:t> </w:t>
      </w:r>
      <w:r>
        <w:rPr/>
        <w:t>fiscal</w:t>
      </w:r>
      <w:r>
        <w:rPr>
          <w:spacing w:val="-19"/>
        </w:rPr>
        <w:t> </w:t>
      </w:r>
      <w:r>
        <w:rPr/>
        <w:t>en</w:t>
      </w:r>
      <w:r>
        <w:rPr>
          <w:spacing w:val="-14"/>
        </w:rPr>
        <w:t> </w:t>
      </w:r>
      <w:r>
        <w:rPr/>
        <w:t>México</w:t>
      </w:r>
      <w:r>
        <w:rPr>
          <w:spacing w:val="-16"/>
        </w:rPr>
        <w:t> </w:t>
      </w:r>
      <w:r>
        <w:rPr/>
        <w:t>ha</w:t>
      </w:r>
      <w:r>
        <w:rPr>
          <w:spacing w:val="-15"/>
        </w:rPr>
        <w:t> </w:t>
      </w:r>
      <w:r>
        <w:rPr/>
        <w:t>sido</w:t>
      </w:r>
      <w:r>
        <w:rPr>
          <w:spacing w:val="-15"/>
        </w:rPr>
        <w:t> </w:t>
      </w:r>
      <w:r>
        <w:rPr/>
        <w:t>objeto</w:t>
      </w:r>
      <w:r>
        <w:rPr>
          <w:spacing w:val="-15"/>
        </w:rPr>
        <w:t> </w:t>
      </w:r>
      <w:r>
        <w:rPr/>
        <w:t>de</w:t>
      </w:r>
      <w:r>
        <w:rPr>
          <w:spacing w:val="-15"/>
        </w:rPr>
        <w:t> </w:t>
      </w:r>
      <w:r>
        <w:rPr/>
        <w:t>varios</w:t>
      </w:r>
      <w:r>
        <w:rPr>
          <w:spacing w:val="-15"/>
        </w:rPr>
        <w:t> </w:t>
      </w:r>
      <w:r>
        <w:rPr/>
        <w:t>estudios,</w:t>
      </w:r>
      <w:r>
        <w:rPr>
          <w:spacing w:val="-11"/>
        </w:rPr>
        <w:t> </w:t>
      </w:r>
      <w:r>
        <w:rPr/>
        <w:t>se</w:t>
      </w:r>
      <w:r>
        <w:rPr>
          <w:spacing w:val="-14"/>
        </w:rPr>
        <w:t> </w:t>
      </w:r>
      <w:r>
        <w:rPr/>
        <w:t>han</w:t>
      </w:r>
      <w:r>
        <w:rPr>
          <w:spacing w:val="-15"/>
        </w:rPr>
        <w:t> </w:t>
      </w:r>
      <w:r>
        <w:rPr/>
        <w:t>planteado tanto problemáticas como soluciones; crear instrumentos de colaboración más uniformes que permitan una mayor eficiencia y comunicación en los tres ámbitos de gobierno para lograr las metas y objetivos postulados en la creación de los fondos federales para los municipios, es una tarea titánica, es por eso que en la búsqueda de un nuevo federalismo fiscal es necesario que éste descanse en relaciones</w:t>
      </w:r>
      <w:r>
        <w:rPr>
          <w:spacing w:val="-8"/>
        </w:rPr>
        <w:t> </w:t>
      </w:r>
      <w:r>
        <w:rPr/>
        <w:t>de</w:t>
      </w:r>
      <w:r>
        <w:rPr>
          <w:spacing w:val="-8"/>
        </w:rPr>
        <w:t> </w:t>
      </w:r>
      <w:r>
        <w:rPr/>
        <w:t>coordinación</w:t>
      </w:r>
      <w:r>
        <w:rPr>
          <w:spacing w:val="-8"/>
        </w:rPr>
        <w:t> </w:t>
      </w:r>
      <w:r>
        <w:rPr/>
        <w:t>y</w:t>
      </w:r>
      <w:r>
        <w:rPr>
          <w:spacing w:val="-11"/>
        </w:rPr>
        <w:t> </w:t>
      </w:r>
      <w:r>
        <w:rPr/>
        <w:t>colaboración</w:t>
      </w:r>
      <w:r>
        <w:rPr>
          <w:spacing w:val="-8"/>
        </w:rPr>
        <w:t> </w:t>
      </w:r>
      <w:r>
        <w:rPr/>
        <w:t>realmente</w:t>
      </w:r>
      <w:r>
        <w:rPr>
          <w:spacing w:val="-8"/>
        </w:rPr>
        <w:t> </w:t>
      </w:r>
      <w:r>
        <w:rPr/>
        <w:t>equitativas</w:t>
      </w:r>
      <w:r>
        <w:rPr>
          <w:spacing w:val="-8"/>
        </w:rPr>
        <w:t> </w:t>
      </w:r>
      <w:r>
        <w:rPr/>
        <w:t>y</w:t>
      </w:r>
      <w:r>
        <w:rPr>
          <w:spacing w:val="-11"/>
        </w:rPr>
        <w:t> </w:t>
      </w:r>
      <w:r>
        <w:rPr/>
        <w:t>justas,</w:t>
      </w:r>
      <w:r>
        <w:rPr>
          <w:spacing w:val="-8"/>
        </w:rPr>
        <w:t> </w:t>
      </w:r>
      <w:r>
        <w:rPr/>
        <w:t>porque</w:t>
      </w:r>
      <w:r>
        <w:rPr>
          <w:spacing w:val="-7"/>
        </w:rPr>
        <w:t> </w:t>
      </w:r>
      <w:r>
        <w:rPr/>
        <w:t>es de vital importancia para el desarrollo de la política social en el</w:t>
      </w:r>
      <w:r>
        <w:rPr>
          <w:spacing w:val="-23"/>
        </w:rPr>
        <w:t> </w:t>
      </w:r>
      <w:r>
        <w:rPr/>
        <w:t>país.</w:t>
      </w:r>
    </w:p>
    <w:p>
      <w:pPr>
        <w:pStyle w:val="BodyText"/>
        <w:spacing w:before="9"/>
      </w:pPr>
    </w:p>
    <w:p>
      <w:pPr>
        <w:pStyle w:val="BodyText"/>
        <w:spacing w:line="360" w:lineRule="auto" w:before="1"/>
        <w:ind w:left="102" w:right="118" w:firstLine="67"/>
        <w:jc w:val="both"/>
      </w:pPr>
      <w:r>
        <w:rPr/>
        <w:t>El desarrollo social en México es un tema de suma importancia y un eje central en la  política  del  país,  lo  cual  obliga  a  que  en  los  tres  ámbitos  de  gobierno se</w:t>
      </w:r>
    </w:p>
    <w:p>
      <w:pPr>
        <w:spacing w:after="0" w:line="360" w:lineRule="auto"/>
        <w:jc w:val="both"/>
        <w:sectPr>
          <w:pgSz w:w="12240" w:h="15840"/>
          <w:pgMar w:header="0" w:footer="992" w:top="1500" w:bottom="1180" w:left="1600" w:right="1580"/>
        </w:sectPr>
      </w:pPr>
    </w:p>
    <w:p>
      <w:pPr>
        <w:pStyle w:val="BodyText"/>
        <w:spacing w:line="362" w:lineRule="auto" w:before="54"/>
        <w:ind w:left="102" w:right="125"/>
        <w:jc w:val="both"/>
      </w:pPr>
      <w:r>
        <w:rPr/>
        <w:t>implementen mejoras para que la ciudadanía tenga acceso efectivo a los derechos sociales que se encuentra establecidos en la carta magna.</w:t>
      </w:r>
    </w:p>
    <w:p>
      <w:pPr>
        <w:pStyle w:val="BodyText"/>
        <w:spacing w:before="4"/>
      </w:pPr>
    </w:p>
    <w:p>
      <w:pPr>
        <w:pStyle w:val="BodyText"/>
        <w:spacing w:line="360" w:lineRule="auto" w:before="1"/>
        <w:ind w:left="102" w:right="116"/>
        <w:jc w:val="both"/>
      </w:pPr>
      <w:r>
        <w:rPr/>
        <w:t>El trabajo de investigación que a continuación se presenta, tiene por objetivo conocer y analizar los factores que influyen en la toma de decisiones de los gobiernos municipales para la selección de obras y acciones que se ejecutan con los</w:t>
      </w:r>
      <w:r>
        <w:rPr>
          <w:spacing w:val="-5"/>
        </w:rPr>
        <w:t> </w:t>
      </w:r>
      <w:r>
        <w:rPr/>
        <w:t>fondos</w:t>
      </w:r>
      <w:r>
        <w:rPr>
          <w:spacing w:val="-8"/>
        </w:rPr>
        <w:t> </w:t>
      </w:r>
      <w:r>
        <w:rPr/>
        <w:t>federales</w:t>
      </w:r>
      <w:r>
        <w:rPr>
          <w:spacing w:val="-3"/>
        </w:rPr>
        <w:t> </w:t>
      </w:r>
      <w:r>
        <w:rPr/>
        <w:t>de</w:t>
      </w:r>
      <w:r>
        <w:rPr>
          <w:spacing w:val="-5"/>
        </w:rPr>
        <w:t> </w:t>
      </w:r>
      <w:r>
        <w:rPr/>
        <w:t>Aportaciones</w:t>
      </w:r>
      <w:r>
        <w:rPr>
          <w:spacing w:val="-8"/>
        </w:rPr>
        <w:t> </w:t>
      </w:r>
      <w:r>
        <w:rPr/>
        <w:t>para</w:t>
      </w:r>
      <w:r>
        <w:rPr>
          <w:spacing w:val="-6"/>
        </w:rPr>
        <w:t> </w:t>
      </w:r>
      <w:r>
        <w:rPr/>
        <w:t>el</w:t>
      </w:r>
      <w:r>
        <w:rPr>
          <w:spacing w:val="-9"/>
        </w:rPr>
        <w:t> </w:t>
      </w:r>
      <w:r>
        <w:rPr/>
        <w:t>Fortalecimiento</w:t>
      </w:r>
      <w:r>
        <w:rPr>
          <w:spacing w:val="-7"/>
        </w:rPr>
        <w:t> </w:t>
      </w:r>
      <w:r>
        <w:rPr/>
        <w:t>de</w:t>
      </w:r>
      <w:r>
        <w:rPr>
          <w:spacing w:val="-5"/>
        </w:rPr>
        <w:t> </w:t>
      </w:r>
      <w:r>
        <w:rPr/>
        <w:t>los</w:t>
      </w:r>
      <w:r>
        <w:rPr>
          <w:spacing w:val="-8"/>
        </w:rPr>
        <w:t> </w:t>
      </w:r>
      <w:r>
        <w:rPr/>
        <w:t>Municipios</w:t>
      </w:r>
      <w:r>
        <w:rPr>
          <w:spacing w:val="-5"/>
        </w:rPr>
        <w:t> </w:t>
      </w:r>
      <w:r>
        <w:rPr/>
        <w:t>y</w:t>
      </w:r>
      <w:r>
        <w:rPr>
          <w:spacing w:val="-8"/>
        </w:rPr>
        <w:t> </w:t>
      </w:r>
      <w:r>
        <w:rPr/>
        <w:t>de las Demarcaciones Territoriales del Distrito Federal (FORTAMUNDF) así como el de Aportaciones para la Infraestructura Social Municipal y de las Demarcaciones Territoriales</w:t>
      </w:r>
      <w:r>
        <w:rPr>
          <w:spacing w:val="-17"/>
        </w:rPr>
        <w:t> </w:t>
      </w:r>
      <w:r>
        <w:rPr/>
        <w:t>del</w:t>
      </w:r>
      <w:r>
        <w:rPr>
          <w:spacing w:val="-16"/>
        </w:rPr>
        <w:t> </w:t>
      </w:r>
      <w:r>
        <w:rPr/>
        <w:t>Distrito</w:t>
      </w:r>
      <w:r>
        <w:rPr>
          <w:spacing w:val="-14"/>
        </w:rPr>
        <w:t> </w:t>
      </w:r>
      <w:r>
        <w:rPr/>
        <w:t>Federal</w:t>
      </w:r>
      <w:r>
        <w:rPr>
          <w:spacing w:val="-15"/>
        </w:rPr>
        <w:t> </w:t>
      </w:r>
      <w:r>
        <w:rPr/>
        <w:t>(FISMDF),</w:t>
      </w:r>
      <w:r>
        <w:rPr>
          <w:spacing w:val="-14"/>
        </w:rPr>
        <w:t> </w:t>
      </w:r>
      <w:r>
        <w:rPr/>
        <w:t>y</w:t>
      </w:r>
      <w:r>
        <w:rPr>
          <w:spacing w:val="-17"/>
        </w:rPr>
        <w:t> </w:t>
      </w:r>
      <w:r>
        <w:rPr/>
        <w:t>cómo</w:t>
      </w:r>
      <w:r>
        <w:rPr>
          <w:spacing w:val="-16"/>
        </w:rPr>
        <w:t> </w:t>
      </w:r>
      <w:r>
        <w:rPr/>
        <w:t>el</w:t>
      </w:r>
      <w:r>
        <w:rPr>
          <w:spacing w:val="-17"/>
        </w:rPr>
        <w:t> </w:t>
      </w:r>
      <w:r>
        <w:rPr/>
        <w:t>marco</w:t>
      </w:r>
      <w:r>
        <w:rPr>
          <w:spacing w:val="-15"/>
        </w:rPr>
        <w:t> </w:t>
      </w:r>
      <w:r>
        <w:rPr/>
        <w:t>institucional</w:t>
      </w:r>
      <w:r>
        <w:rPr>
          <w:spacing w:val="-15"/>
        </w:rPr>
        <w:t> </w:t>
      </w:r>
      <w:r>
        <w:rPr/>
        <w:t>que</w:t>
      </w:r>
      <w:r>
        <w:rPr>
          <w:spacing w:val="-16"/>
        </w:rPr>
        <w:t> </w:t>
      </w:r>
      <w:r>
        <w:rPr/>
        <w:t>enviste la operatividad de los fondos, limita la toma de decisiones de los gobiernos municipales del Estado de México del periodo</w:t>
      </w:r>
      <w:r>
        <w:rPr>
          <w:spacing w:val="-19"/>
        </w:rPr>
        <w:t> </w:t>
      </w:r>
      <w:r>
        <w:rPr/>
        <w:t>2008-2014.</w:t>
      </w:r>
    </w:p>
    <w:p>
      <w:pPr>
        <w:pStyle w:val="BodyText"/>
        <w:spacing w:before="204"/>
        <w:ind w:left="102"/>
        <w:jc w:val="both"/>
      </w:pPr>
      <w:r>
        <w:rPr/>
        <w:t>Entre los fines particulares del presente trabajo están:</w:t>
      </w:r>
    </w:p>
    <w:p>
      <w:pPr>
        <w:pStyle w:val="BodyText"/>
        <w:spacing w:before="4"/>
        <w:rPr>
          <w:sz w:val="29"/>
        </w:rPr>
      </w:pPr>
    </w:p>
    <w:p>
      <w:pPr>
        <w:pStyle w:val="BodyText"/>
        <w:spacing w:line="360" w:lineRule="auto" w:before="1"/>
        <w:ind w:left="102" w:right="117"/>
        <w:jc w:val="both"/>
      </w:pPr>
      <w:r>
        <w:rPr/>
        <w:t>1.-</w:t>
      </w:r>
      <w:r>
        <w:rPr>
          <w:spacing w:val="-5"/>
        </w:rPr>
        <w:t> </w:t>
      </w:r>
      <w:r>
        <w:rPr/>
        <w:t>Destacar,</w:t>
      </w:r>
      <w:r>
        <w:rPr>
          <w:spacing w:val="-4"/>
        </w:rPr>
        <w:t> </w:t>
      </w:r>
      <w:r>
        <w:rPr/>
        <w:t>la</w:t>
      </w:r>
      <w:r>
        <w:rPr>
          <w:spacing w:val="-4"/>
        </w:rPr>
        <w:t> </w:t>
      </w:r>
      <w:r>
        <w:rPr/>
        <w:t>importancia</w:t>
      </w:r>
      <w:r>
        <w:rPr>
          <w:spacing w:val="-4"/>
        </w:rPr>
        <w:t> </w:t>
      </w:r>
      <w:r>
        <w:rPr/>
        <w:t>del</w:t>
      </w:r>
      <w:r>
        <w:rPr>
          <w:spacing w:val="-7"/>
        </w:rPr>
        <w:t> </w:t>
      </w:r>
      <w:r>
        <w:rPr/>
        <w:t>federalismo</w:t>
      </w:r>
      <w:r>
        <w:rPr>
          <w:spacing w:val="-6"/>
        </w:rPr>
        <w:t> </w:t>
      </w:r>
      <w:r>
        <w:rPr/>
        <w:t>fiscal</w:t>
      </w:r>
      <w:r>
        <w:rPr>
          <w:spacing w:val="-5"/>
        </w:rPr>
        <w:t> </w:t>
      </w:r>
      <w:r>
        <w:rPr/>
        <w:t>en</w:t>
      </w:r>
      <w:r>
        <w:rPr>
          <w:spacing w:val="-4"/>
        </w:rPr>
        <w:t> </w:t>
      </w:r>
      <w:r>
        <w:rPr/>
        <w:t>relación</w:t>
      </w:r>
      <w:r>
        <w:rPr>
          <w:spacing w:val="-4"/>
        </w:rPr>
        <w:t> </w:t>
      </w:r>
      <w:r>
        <w:rPr/>
        <w:t>a</w:t>
      </w:r>
      <w:r>
        <w:rPr>
          <w:spacing w:val="-4"/>
        </w:rPr>
        <w:t> </w:t>
      </w:r>
      <w:r>
        <w:rPr/>
        <w:t>la</w:t>
      </w:r>
      <w:r>
        <w:rPr>
          <w:spacing w:val="-4"/>
        </w:rPr>
        <w:t> </w:t>
      </w:r>
      <w:r>
        <w:rPr/>
        <w:t>descentralización financiera de las aportaciones federales hacia los municipios y su incidencia en el desarrollo</w:t>
      </w:r>
      <w:r>
        <w:rPr>
          <w:spacing w:val="-5"/>
        </w:rPr>
        <w:t> </w:t>
      </w:r>
      <w:r>
        <w:rPr/>
        <w:t>social.</w:t>
      </w:r>
    </w:p>
    <w:p>
      <w:pPr>
        <w:pStyle w:val="BodyText"/>
        <w:spacing w:line="360" w:lineRule="auto" w:before="202"/>
        <w:ind w:left="102" w:right="117"/>
        <w:jc w:val="both"/>
      </w:pPr>
      <w:r>
        <w:rPr/>
        <w:t>2.- Destacar, al municipio como la célula más cercana a la ciudadanía, siendo que es el ámbito de gobierno que conoce de cerca las necesidades reales de su comunidad.</w:t>
      </w:r>
    </w:p>
    <w:p>
      <w:pPr>
        <w:pStyle w:val="BodyText"/>
        <w:spacing w:line="360" w:lineRule="auto" w:before="204"/>
        <w:ind w:left="102" w:right="125"/>
        <w:jc w:val="both"/>
      </w:pPr>
      <w:r>
        <w:rPr/>
        <w:t>3.- Identificar el proceso que realizan los gobiernos municipales para la selección de obras y acciones que se financian con los fondos federales</w:t>
      </w:r>
    </w:p>
    <w:p>
      <w:pPr>
        <w:pStyle w:val="BodyText"/>
        <w:spacing w:line="360" w:lineRule="auto" w:before="202"/>
        <w:ind w:left="102" w:right="116"/>
        <w:jc w:val="both"/>
      </w:pPr>
      <w:r>
        <w:rPr/>
        <w:t>4.-</w:t>
      </w:r>
      <w:r>
        <w:rPr>
          <w:spacing w:val="-10"/>
        </w:rPr>
        <w:t> </w:t>
      </w:r>
      <w:r>
        <w:rPr/>
        <w:t>Identificar</w:t>
      </w:r>
      <w:r>
        <w:rPr>
          <w:spacing w:val="-9"/>
        </w:rPr>
        <w:t> </w:t>
      </w:r>
      <w:r>
        <w:rPr/>
        <w:t>cuáles</w:t>
      </w:r>
      <w:r>
        <w:rPr>
          <w:spacing w:val="-9"/>
        </w:rPr>
        <w:t> </w:t>
      </w:r>
      <w:r>
        <w:rPr/>
        <w:t>son</w:t>
      </w:r>
      <w:r>
        <w:rPr>
          <w:spacing w:val="-8"/>
        </w:rPr>
        <w:t> </w:t>
      </w:r>
      <w:r>
        <w:rPr/>
        <w:t>las</w:t>
      </w:r>
      <w:r>
        <w:rPr>
          <w:spacing w:val="-11"/>
        </w:rPr>
        <w:t> </w:t>
      </w:r>
      <w:r>
        <w:rPr/>
        <w:t>observaciones</w:t>
      </w:r>
      <w:r>
        <w:rPr>
          <w:spacing w:val="-11"/>
        </w:rPr>
        <w:t> </w:t>
      </w:r>
      <w:r>
        <w:rPr/>
        <w:t>más</w:t>
      </w:r>
      <w:r>
        <w:rPr>
          <w:spacing w:val="-11"/>
        </w:rPr>
        <w:t> </w:t>
      </w:r>
      <w:r>
        <w:rPr/>
        <w:t>frecuentes</w:t>
      </w:r>
      <w:r>
        <w:rPr>
          <w:spacing w:val="-9"/>
        </w:rPr>
        <w:t> </w:t>
      </w:r>
      <w:r>
        <w:rPr/>
        <w:t>que</w:t>
      </w:r>
      <w:r>
        <w:rPr>
          <w:spacing w:val="-8"/>
        </w:rPr>
        <w:t> </w:t>
      </w:r>
      <w:r>
        <w:rPr/>
        <w:t>efectúa</w:t>
      </w:r>
      <w:r>
        <w:rPr>
          <w:spacing w:val="-1"/>
        </w:rPr>
        <w:t> </w:t>
      </w:r>
      <w:r>
        <w:rPr/>
        <w:t>la</w:t>
      </w:r>
      <w:r>
        <w:rPr>
          <w:spacing w:val="-8"/>
        </w:rPr>
        <w:t> </w:t>
      </w:r>
      <w:r>
        <w:rPr/>
        <w:t>Auditoría Superior de la Federación en la fiscalización de las cuentas</w:t>
      </w:r>
      <w:r>
        <w:rPr>
          <w:spacing w:val="-20"/>
        </w:rPr>
        <w:t> </w:t>
      </w:r>
      <w:r>
        <w:rPr/>
        <w:t>p</w:t>
      </w:r>
      <w:r>
        <w:rPr>
          <w:color w:val="FF0000"/>
        </w:rPr>
        <w:t>ú</w:t>
      </w:r>
      <w:r>
        <w:rPr/>
        <w:t>blicas.</w:t>
      </w:r>
    </w:p>
    <w:p>
      <w:pPr>
        <w:pStyle w:val="BodyText"/>
        <w:spacing w:line="360" w:lineRule="auto" w:before="205"/>
        <w:ind w:left="102" w:right="117"/>
        <w:jc w:val="both"/>
      </w:pPr>
      <w:r>
        <w:rPr/>
        <w:t>5.- Identificar en qué consisten las sanciones o acciones que imponen las autoridades revisoras y fiscalizadoras caso particular la Auditoría Superior de la Federación (ASF), de los recursos destinados a los gobiernos municipales.</w:t>
      </w:r>
    </w:p>
    <w:p>
      <w:pPr>
        <w:pStyle w:val="BodyText"/>
        <w:spacing w:line="360" w:lineRule="auto" w:before="204"/>
        <w:ind w:left="102" w:right="117"/>
        <w:jc w:val="both"/>
      </w:pPr>
      <w:r>
        <w:rPr/>
        <w:t>Derivado</w:t>
      </w:r>
      <w:r>
        <w:rPr>
          <w:spacing w:val="-9"/>
        </w:rPr>
        <w:t> </w:t>
      </w:r>
      <w:r>
        <w:rPr/>
        <w:t>de</w:t>
      </w:r>
      <w:r>
        <w:rPr>
          <w:spacing w:val="-8"/>
        </w:rPr>
        <w:t> </w:t>
      </w:r>
      <w:r>
        <w:rPr/>
        <w:t>lo</w:t>
      </w:r>
      <w:r>
        <w:rPr>
          <w:spacing w:val="-9"/>
        </w:rPr>
        <w:t> </w:t>
      </w:r>
      <w:r>
        <w:rPr/>
        <w:t>anterior</w:t>
      </w:r>
      <w:r>
        <w:rPr>
          <w:spacing w:val="-13"/>
        </w:rPr>
        <w:t> </w:t>
      </w:r>
      <w:r>
        <w:rPr/>
        <w:t>se</w:t>
      </w:r>
      <w:r>
        <w:rPr>
          <w:spacing w:val="-12"/>
        </w:rPr>
        <w:t> </w:t>
      </w:r>
      <w:r>
        <w:rPr/>
        <w:t>han</w:t>
      </w:r>
      <w:r>
        <w:rPr>
          <w:spacing w:val="-12"/>
        </w:rPr>
        <w:t> </w:t>
      </w:r>
      <w:r>
        <w:rPr/>
        <w:t>identificado</w:t>
      </w:r>
      <w:r>
        <w:rPr>
          <w:spacing w:val="-9"/>
        </w:rPr>
        <w:t> </w:t>
      </w:r>
      <w:r>
        <w:rPr/>
        <w:t>problemáticas</w:t>
      </w:r>
      <w:r>
        <w:rPr>
          <w:spacing w:val="-10"/>
        </w:rPr>
        <w:t> </w:t>
      </w:r>
      <w:r>
        <w:rPr/>
        <w:t>que</w:t>
      </w:r>
      <w:r>
        <w:rPr>
          <w:spacing w:val="-9"/>
        </w:rPr>
        <w:t> </w:t>
      </w:r>
      <w:r>
        <w:rPr/>
        <w:t>se</w:t>
      </w:r>
      <w:r>
        <w:rPr>
          <w:spacing w:val="-12"/>
        </w:rPr>
        <w:t> </w:t>
      </w:r>
      <w:r>
        <w:rPr/>
        <w:t>generan</w:t>
      </w:r>
      <w:r>
        <w:rPr>
          <w:spacing w:val="-12"/>
        </w:rPr>
        <w:t> </w:t>
      </w:r>
      <w:r>
        <w:rPr/>
        <w:t>a</w:t>
      </w:r>
      <w:r>
        <w:rPr>
          <w:spacing w:val="-9"/>
        </w:rPr>
        <w:t> </w:t>
      </w:r>
      <w:r>
        <w:rPr/>
        <w:t>partir</w:t>
      </w:r>
      <w:r>
        <w:rPr>
          <w:spacing w:val="-8"/>
        </w:rPr>
        <w:t> </w:t>
      </w:r>
      <w:r>
        <w:rPr/>
        <w:t>de las limitaciones de la toma de decisiones de los gobiernos municipales, entre</w:t>
      </w:r>
      <w:r>
        <w:rPr>
          <w:spacing w:val="-24"/>
        </w:rPr>
        <w:t> </w:t>
      </w:r>
      <w:r>
        <w:rPr/>
        <w:t>ellas:</w:t>
      </w:r>
    </w:p>
    <w:p>
      <w:pPr>
        <w:spacing w:after="0" w:line="360" w:lineRule="auto"/>
        <w:jc w:val="both"/>
        <w:sectPr>
          <w:pgSz w:w="12240" w:h="15840"/>
          <w:pgMar w:header="0" w:footer="992" w:top="1360" w:bottom="1180" w:left="1600" w:right="1580"/>
        </w:sectPr>
      </w:pPr>
    </w:p>
    <w:p>
      <w:pPr>
        <w:pStyle w:val="BodyText"/>
        <w:spacing w:line="360" w:lineRule="auto" w:before="54"/>
        <w:ind w:left="102" w:right="124"/>
        <w:jc w:val="both"/>
      </w:pPr>
      <w:r>
        <w:rPr/>
        <w:t>Primera,</w:t>
      </w:r>
      <w:r>
        <w:rPr>
          <w:spacing w:val="-14"/>
        </w:rPr>
        <w:t> </w:t>
      </w:r>
      <w:r>
        <w:rPr/>
        <w:t>que</w:t>
      </w:r>
      <w:r>
        <w:rPr>
          <w:spacing w:val="-14"/>
        </w:rPr>
        <w:t> </w:t>
      </w:r>
      <w:r>
        <w:rPr/>
        <w:t>no</w:t>
      </w:r>
      <w:r>
        <w:rPr>
          <w:spacing w:val="-14"/>
        </w:rPr>
        <w:t> </w:t>
      </w:r>
      <w:r>
        <w:rPr/>
        <w:t>se</w:t>
      </w:r>
      <w:r>
        <w:rPr>
          <w:spacing w:val="-12"/>
        </w:rPr>
        <w:t> </w:t>
      </w:r>
      <w:r>
        <w:rPr/>
        <w:t>cumpla</w:t>
      </w:r>
      <w:r>
        <w:rPr>
          <w:spacing w:val="-14"/>
        </w:rPr>
        <w:t> </w:t>
      </w:r>
      <w:r>
        <w:rPr/>
        <w:t>con</w:t>
      </w:r>
      <w:r>
        <w:rPr>
          <w:spacing w:val="-14"/>
        </w:rPr>
        <w:t> </w:t>
      </w:r>
      <w:r>
        <w:rPr/>
        <w:t>el</w:t>
      </w:r>
      <w:r>
        <w:rPr>
          <w:spacing w:val="-13"/>
        </w:rPr>
        <w:t> </w:t>
      </w:r>
      <w:r>
        <w:rPr/>
        <w:t>cometido</w:t>
      </w:r>
      <w:r>
        <w:rPr>
          <w:spacing w:val="-16"/>
        </w:rPr>
        <w:t> </w:t>
      </w:r>
      <w:r>
        <w:rPr/>
        <w:t>de</w:t>
      </w:r>
      <w:r>
        <w:rPr>
          <w:spacing w:val="-12"/>
        </w:rPr>
        <w:t> </w:t>
      </w:r>
      <w:r>
        <w:rPr/>
        <w:t>impulsar</w:t>
      </w:r>
      <w:r>
        <w:rPr>
          <w:spacing w:val="-15"/>
        </w:rPr>
        <w:t> </w:t>
      </w:r>
      <w:r>
        <w:rPr/>
        <w:t>el</w:t>
      </w:r>
      <w:r>
        <w:rPr>
          <w:spacing w:val="-15"/>
        </w:rPr>
        <w:t> </w:t>
      </w:r>
      <w:r>
        <w:rPr/>
        <w:t>proceso</w:t>
      </w:r>
      <w:r>
        <w:rPr>
          <w:spacing w:val="-14"/>
        </w:rPr>
        <w:t> </w:t>
      </w:r>
      <w:r>
        <w:rPr/>
        <w:t>de</w:t>
      </w:r>
      <w:r>
        <w:rPr>
          <w:spacing w:val="-14"/>
        </w:rPr>
        <w:t> </w:t>
      </w:r>
      <w:r>
        <w:rPr/>
        <w:t>federalización del</w:t>
      </w:r>
      <w:r>
        <w:rPr>
          <w:spacing w:val="-12"/>
        </w:rPr>
        <w:t> </w:t>
      </w:r>
      <w:r>
        <w:rPr/>
        <w:t>gasto,</w:t>
      </w:r>
      <w:r>
        <w:rPr>
          <w:spacing w:val="-11"/>
        </w:rPr>
        <w:t> </w:t>
      </w:r>
      <w:r>
        <w:rPr/>
        <w:t>evitando</w:t>
      </w:r>
      <w:r>
        <w:rPr>
          <w:spacing w:val="-13"/>
        </w:rPr>
        <w:t> </w:t>
      </w:r>
      <w:r>
        <w:rPr/>
        <w:t>así</w:t>
      </w:r>
      <w:r>
        <w:rPr>
          <w:spacing w:val="-11"/>
        </w:rPr>
        <w:t> </w:t>
      </w:r>
      <w:r>
        <w:rPr/>
        <w:t>emprender</w:t>
      </w:r>
      <w:r>
        <w:rPr>
          <w:spacing w:val="-12"/>
        </w:rPr>
        <w:t> </w:t>
      </w:r>
      <w:r>
        <w:rPr/>
        <w:t>una</w:t>
      </w:r>
      <w:r>
        <w:rPr>
          <w:spacing w:val="-11"/>
        </w:rPr>
        <w:t> </w:t>
      </w:r>
      <w:r>
        <w:rPr/>
        <w:t>serie</w:t>
      </w:r>
      <w:r>
        <w:rPr>
          <w:spacing w:val="-11"/>
        </w:rPr>
        <w:t> </w:t>
      </w:r>
      <w:r>
        <w:rPr/>
        <w:t>de</w:t>
      </w:r>
      <w:r>
        <w:rPr>
          <w:spacing w:val="-11"/>
        </w:rPr>
        <w:t> </w:t>
      </w:r>
      <w:r>
        <w:rPr/>
        <w:t>acciones</w:t>
      </w:r>
      <w:r>
        <w:rPr>
          <w:spacing w:val="-12"/>
        </w:rPr>
        <w:t> </w:t>
      </w:r>
      <w:r>
        <w:rPr/>
        <w:t>que</w:t>
      </w:r>
      <w:r>
        <w:rPr>
          <w:spacing w:val="-11"/>
        </w:rPr>
        <w:t> </w:t>
      </w:r>
      <w:r>
        <w:rPr/>
        <w:t>hagan</w:t>
      </w:r>
      <w:r>
        <w:rPr>
          <w:spacing w:val="-13"/>
        </w:rPr>
        <w:t> </w:t>
      </w:r>
      <w:r>
        <w:rPr/>
        <w:t>posible</w:t>
      </w:r>
      <w:r>
        <w:rPr>
          <w:spacing w:val="-11"/>
        </w:rPr>
        <w:t> </w:t>
      </w:r>
      <w:r>
        <w:rPr/>
        <w:t>mejorar la cobertura y calidad de los servicios públicos, elevando el bienestar de las comunidades y fortaleciendo el nuevo federalismo</w:t>
      </w:r>
      <w:r>
        <w:rPr>
          <w:spacing w:val="-19"/>
        </w:rPr>
        <w:t> </w:t>
      </w:r>
      <w:r>
        <w:rPr/>
        <w:t>fiscal</w:t>
      </w:r>
    </w:p>
    <w:p>
      <w:pPr>
        <w:pStyle w:val="BodyText"/>
        <w:spacing w:line="360" w:lineRule="auto" w:before="204"/>
        <w:ind w:left="102" w:right="120"/>
        <w:jc w:val="both"/>
      </w:pPr>
      <w:r>
        <w:rPr/>
        <w:t>Segunda, la ineficaz concurrencia, colaboración y coordinación entre los tres ámbitos de gobierno a fin de unir esfuerzos con el Sistema Nacional de Desarrollo Social para eficientar los recursos destinados al gasto social y evitar duplicidades en los apoyos a la ciudadanía.</w:t>
      </w:r>
    </w:p>
    <w:p>
      <w:pPr>
        <w:pStyle w:val="BodyText"/>
        <w:spacing w:line="360" w:lineRule="auto" w:before="205"/>
        <w:ind w:left="102" w:right="117"/>
        <w:jc w:val="both"/>
      </w:pPr>
      <w:r>
        <w:rPr/>
        <w:t>Tercera, la aplicación de los recursos genera observaciones, lo cual conlleva en ocasiones a que los gobiernos municipales constantemente incurran en irregularidades y omisiones, dando pie a la discrecionalidad, opacidad y falta de transparencia.</w:t>
      </w:r>
    </w:p>
    <w:p>
      <w:pPr>
        <w:pStyle w:val="BodyText"/>
        <w:spacing w:line="360" w:lineRule="auto" w:before="204"/>
        <w:ind w:left="102" w:right="115"/>
        <w:jc w:val="both"/>
      </w:pPr>
      <w:r>
        <w:rPr/>
        <w:t>Por lo tanto, cabe hacer la pregunta que conduce la investigación: ¿Por qué el marco institucional de operación y las responsabilidades que se le atribuyen respecto</w:t>
      </w:r>
      <w:r>
        <w:rPr>
          <w:spacing w:val="-5"/>
        </w:rPr>
        <w:t> </w:t>
      </w:r>
      <w:r>
        <w:rPr/>
        <w:t>de</w:t>
      </w:r>
      <w:r>
        <w:rPr>
          <w:spacing w:val="-4"/>
        </w:rPr>
        <w:t> </w:t>
      </w:r>
      <w:r>
        <w:rPr/>
        <w:t>la</w:t>
      </w:r>
      <w:r>
        <w:rPr>
          <w:spacing w:val="-6"/>
        </w:rPr>
        <w:t> </w:t>
      </w:r>
      <w:r>
        <w:rPr/>
        <w:t>aportaciones</w:t>
      </w:r>
      <w:r>
        <w:rPr>
          <w:spacing w:val="-9"/>
        </w:rPr>
        <w:t> </w:t>
      </w:r>
      <w:r>
        <w:rPr/>
        <w:t>federales</w:t>
      </w:r>
      <w:r>
        <w:rPr>
          <w:spacing w:val="-7"/>
        </w:rPr>
        <w:t> </w:t>
      </w:r>
      <w:r>
        <w:rPr/>
        <w:t>(FISMDF</w:t>
      </w:r>
      <w:r>
        <w:rPr>
          <w:spacing w:val="-5"/>
        </w:rPr>
        <w:t> </w:t>
      </w:r>
      <w:r>
        <w:rPr/>
        <w:t>y</w:t>
      </w:r>
      <w:r>
        <w:rPr>
          <w:spacing w:val="-7"/>
        </w:rPr>
        <w:t> </w:t>
      </w:r>
      <w:r>
        <w:rPr/>
        <w:t>FORTAMUNDF)</w:t>
      </w:r>
      <w:r>
        <w:rPr>
          <w:spacing w:val="-5"/>
        </w:rPr>
        <w:t> </w:t>
      </w:r>
      <w:r>
        <w:rPr/>
        <w:t>limita</w:t>
      </w:r>
      <w:r>
        <w:rPr>
          <w:spacing w:val="-4"/>
        </w:rPr>
        <w:t> </w:t>
      </w:r>
      <w:r>
        <w:rPr/>
        <w:t>la</w:t>
      </w:r>
      <w:r>
        <w:rPr>
          <w:spacing w:val="-6"/>
        </w:rPr>
        <w:t> </w:t>
      </w:r>
      <w:r>
        <w:rPr/>
        <w:t>toma</w:t>
      </w:r>
      <w:r>
        <w:rPr>
          <w:spacing w:val="-8"/>
        </w:rPr>
        <w:t> </w:t>
      </w:r>
      <w:r>
        <w:rPr/>
        <w:t>de decisiones</w:t>
      </w:r>
      <w:r>
        <w:rPr>
          <w:spacing w:val="-14"/>
        </w:rPr>
        <w:t> </w:t>
      </w:r>
      <w:r>
        <w:rPr/>
        <w:t>de</w:t>
      </w:r>
      <w:r>
        <w:rPr>
          <w:spacing w:val="-11"/>
        </w:rPr>
        <w:t> </w:t>
      </w:r>
      <w:r>
        <w:rPr/>
        <w:t>los</w:t>
      </w:r>
      <w:r>
        <w:rPr>
          <w:spacing w:val="-11"/>
        </w:rPr>
        <w:t> </w:t>
      </w:r>
      <w:r>
        <w:rPr/>
        <w:t>gobiernos</w:t>
      </w:r>
      <w:r>
        <w:rPr>
          <w:spacing w:val="-12"/>
        </w:rPr>
        <w:t> </w:t>
      </w:r>
      <w:r>
        <w:rPr/>
        <w:t>municipales</w:t>
      </w:r>
      <w:r>
        <w:rPr>
          <w:spacing w:val="-12"/>
        </w:rPr>
        <w:t> </w:t>
      </w:r>
      <w:r>
        <w:rPr/>
        <w:t>en</w:t>
      </w:r>
      <w:r>
        <w:rPr>
          <w:spacing w:val="-13"/>
        </w:rPr>
        <w:t> </w:t>
      </w:r>
      <w:r>
        <w:rPr/>
        <w:t>el</w:t>
      </w:r>
      <w:r>
        <w:rPr>
          <w:spacing w:val="-12"/>
        </w:rPr>
        <w:t> </w:t>
      </w:r>
      <w:r>
        <w:rPr/>
        <w:t>Estado</w:t>
      </w:r>
      <w:r>
        <w:rPr>
          <w:spacing w:val="-13"/>
        </w:rPr>
        <w:t> </w:t>
      </w:r>
      <w:r>
        <w:rPr/>
        <w:t>de</w:t>
      </w:r>
      <w:r>
        <w:rPr>
          <w:spacing w:val="-11"/>
        </w:rPr>
        <w:t> </w:t>
      </w:r>
      <w:r>
        <w:rPr/>
        <w:t>México</w:t>
      </w:r>
      <w:r>
        <w:rPr>
          <w:spacing w:val="-11"/>
        </w:rPr>
        <w:t> </w:t>
      </w:r>
      <w:r>
        <w:rPr/>
        <w:t>sobre</w:t>
      </w:r>
      <w:r>
        <w:rPr>
          <w:spacing w:val="-11"/>
        </w:rPr>
        <w:t> </w:t>
      </w:r>
      <w:r>
        <w:rPr/>
        <w:t>el</w:t>
      </w:r>
      <w:r>
        <w:rPr>
          <w:spacing w:val="-12"/>
        </w:rPr>
        <w:t> </w:t>
      </w:r>
      <w:r>
        <w:rPr/>
        <w:t>destino</w:t>
      </w:r>
      <w:r>
        <w:rPr>
          <w:spacing w:val="-4"/>
        </w:rPr>
        <w:t> </w:t>
      </w:r>
      <w:r>
        <w:rPr/>
        <w:t>de los recursos citados en el art. 33 y 37 de la Ley de Coordinación</w:t>
      </w:r>
      <w:r>
        <w:rPr>
          <w:spacing w:val="-20"/>
        </w:rPr>
        <w:t> </w:t>
      </w:r>
      <w:r>
        <w:rPr/>
        <w:t>Fiscal?</w:t>
      </w:r>
    </w:p>
    <w:p>
      <w:pPr>
        <w:pStyle w:val="BodyText"/>
        <w:spacing w:before="7"/>
      </w:pPr>
    </w:p>
    <w:p>
      <w:pPr>
        <w:pStyle w:val="BodyText"/>
        <w:spacing w:line="360" w:lineRule="auto"/>
        <w:ind w:left="102" w:right="117"/>
        <w:jc w:val="both"/>
      </w:pPr>
      <w:r>
        <w:rPr/>
        <w:t>En esta tesitura la hipótesis que se adopta consiste en que la toma de decisiones de</w:t>
      </w:r>
      <w:r>
        <w:rPr>
          <w:spacing w:val="-9"/>
        </w:rPr>
        <w:t> </w:t>
      </w:r>
      <w:r>
        <w:rPr/>
        <w:t>los</w:t>
      </w:r>
      <w:r>
        <w:rPr>
          <w:spacing w:val="-10"/>
        </w:rPr>
        <w:t> </w:t>
      </w:r>
      <w:r>
        <w:rPr/>
        <w:t>gobiernos</w:t>
      </w:r>
      <w:r>
        <w:rPr>
          <w:spacing w:val="-9"/>
        </w:rPr>
        <w:t> </w:t>
      </w:r>
      <w:r>
        <w:rPr/>
        <w:t>municipales</w:t>
      </w:r>
      <w:r>
        <w:rPr>
          <w:spacing w:val="-8"/>
        </w:rPr>
        <w:t> </w:t>
      </w:r>
      <w:r>
        <w:rPr/>
        <w:t>del</w:t>
      </w:r>
      <w:r>
        <w:rPr>
          <w:spacing w:val="-13"/>
        </w:rPr>
        <w:t> </w:t>
      </w:r>
      <w:r>
        <w:rPr/>
        <w:t>Estado</w:t>
      </w:r>
      <w:r>
        <w:rPr>
          <w:spacing w:val="-9"/>
        </w:rPr>
        <w:t> </w:t>
      </w:r>
      <w:r>
        <w:rPr/>
        <w:t>de</w:t>
      </w:r>
      <w:r>
        <w:rPr>
          <w:spacing w:val="-8"/>
        </w:rPr>
        <w:t> </w:t>
      </w:r>
      <w:r>
        <w:rPr/>
        <w:t>México</w:t>
      </w:r>
      <w:r>
        <w:rPr>
          <w:spacing w:val="-9"/>
        </w:rPr>
        <w:t> </w:t>
      </w:r>
      <w:r>
        <w:rPr/>
        <w:t>del</w:t>
      </w:r>
      <w:r>
        <w:rPr>
          <w:spacing w:val="-11"/>
        </w:rPr>
        <w:t> </w:t>
      </w:r>
      <w:r>
        <w:rPr/>
        <w:t>periodo</w:t>
      </w:r>
      <w:r>
        <w:rPr>
          <w:spacing w:val="-9"/>
        </w:rPr>
        <w:t> </w:t>
      </w:r>
      <w:r>
        <w:rPr/>
        <w:t>2008-2014</w:t>
      </w:r>
      <w:r>
        <w:rPr>
          <w:spacing w:val="-9"/>
        </w:rPr>
        <w:t> </w:t>
      </w:r>
      <w:r>
        <w:rPr/>
        <w:t>respecto a</w:t>
      </w:r>
      <w:r>
        <w:rPr>
          <w:spacing w:val="-16"/>
        </w:rPr>
        <w:t> </w:t>
      </w:r>
      <w:r>
        <w:rPr/>
        <w:t>los</w:t>
      </w:r>
      <w:r>
        <w:rPr>
          <w:spacing w:val="-16"/>
        </w:rPr>
        <w:t> </w:t>
      </w:r>
      <w:r>
        <w:rPr/>
        <w:t>recursos</w:t>
      </w:r>
      <w:r>
        <w:rPr>
          <w:spacing w:val="-16"/>
        </w:rPr>
        <w:t> </w:t>
      </w:r>
      <w:r>
        <w:rPr/>
        <w:t>del</w:t>
      </w:r>
      <w:r>
        <w:rPr>
          <w:spacing w:val="-17"/>
        </w:rPr>
        <w:t> </w:t>
      </w:r>
      <w:r>
        <w:rPr/>
        <w:t>FISMDF</w:t>
      </w:r>
      <w:r>
        <w:rPr>
          <w:spacing w:val="-17"/>
        </w:rPr>
        <w:t> </w:t>
      </w:r>
      <w:r>
        <w:rPr/>
        <w:t>y</w:t>
      </w:r>
      <w:r>
        <w:rPr>
          <w:spacing w:val="-19"/>
        </w:rPr>
        <w:t> </w:t>
      </w:r>
      <w:r>
        <w:rPr/>
        <w:t>FORTAMUNDF</w:t>
      </w:r>
      <w:r>
        <w:rPr>
          <w:spacing w:val="-15"/>
        </w:rPr>
        <w:t> </w:t>
      </w:r>
      <w:r>
        <w:rPr/>
        <w:t>se</w:t>
      </w:r>
      <w:r>
        <w:rPr>
          <w:spacing w:val="-16"/>
        </w:rPr>
        <w:t> </w:t>
      </w:r>
      <w:r>
        <w:rPr/>
        <w:t>ve</w:t>
      </w:r>
      <w:r>
        <w:rPr>
          <w:spacing w:val="-16"/>
        </w:rPr>
        <w:t> </w:t>
      </w:r>
      <w:r>
        <w:rPr/>
        <w:t>limitada</w:t>
      </w:r>
      <w:r>
        <w:rPr>
          <w:spacing w:val="-18"/>
        </w:rPr>
        <w:t> </w:t>
      </w:r>
      <w:r>
        <w:rPr/>
        <w:t>por</w:t>
      </w:r>
      <w:r>
        <w:rPr>
          <w:spacing w:val="-19"/>
        </w:rPr>
        <w:t> </w:t>
      </w:r>
      <w:r>
        <w:rPr/>
        <w:t>el</w:t>
      </w:r>
      <w:r>
        <w:rPr>
          <w:spacing w:val="-17"/>
        </w:rPr>
        <w:t> </w:t>
      </w:r>
      <w:r>
        <w:rPr/>
        <w:t>marco</w:t>
      </w:r>
      <w:r>
        <w:rPr>
          <w:spacing w:val="-16"/>
        </w:rPr>
        <w:t> </w:t>
      </w:r>
      <w:r>
        <w:rPr/>
        <w:t>institucional de</w:t>
      </w:r>
      <w:r>
        <w:rPr>
          <w:spacing w:val="-13"/>
        </w:rPr>
        <w:t> </w:t>
      </w:r>
      <w:r>
        <w:rPr/>
        <w:t>operación</w:t>
      </w:r>
      <w:r>
        <w:rPr>
          <w:spacing w:val="-9"/>
        </w:rPr>
        <w:t> </w:t>
      </w:r>
      <w:r>
        <w:rPr/>
        <w:t>que</w:t>
      </w:r>
      <w:r>
        <w:rPr>
          <w:spacing w:val="-13"/>
        </w:rPr>
        <w:t> </w:t>
      </w:r>
      <w:r>
        <w:rPr/>
        <w:t>deja</w:t>
      </w:r>
      <w:r>
        <w:rPr>
          <w:spacing w:val="-13"/>
        </w:rPr>
        <w:t> </w:t>
      </w:r>
      <w:r>
        <w:rPr/>
        <w:t>margen</w:t>
      </w:r>
      <w:r>
        <w:rPr>
          <w:spacing w:val="-13"/>
        </w:rPr>
        <w:t> </w:t>
      </w:r>
      <w:r>
        <w:rPr/>
        <w:t>amplio</w:t>
      </w:r>
      <w:r>
        <w:rPr>
          <w:spacing w:val="-11"/>
        </w:rPr>
        <w:t> </w:t>
      </w:r>
      <w:r>
        <w:rPr/>
        <w:t>a</w:t>
      </w:r>
      <w:r>
        <w:rPr>
          <w:spacing w:val="-13"/>
        </w:rPr>
        <w:t> </w:t>
      </w:r>
      <w:r>
        <w:rPr/>
        <w:t>la</w:t>
      </w:r>
      <w:r>
        <w:rPr>
          <w:spacing w:val="-13"/>
        </w:rPr>
        <w:t> </w:t>
      </w:r>
      <w:r>
        <w:rPr/>
        <w:t>discrecionalidad</w:t>
      </w:r>
      <w:r>
        <w:rPr>
          <w:spacing w:val="-7"/>
        </w:rPr>
        <w:t> </w:t>
      </w:r>
      <w:r>
        <w:rPr/>
        <w:t>y,</w:t>
      </w:r>
      <w:r>
        <w:rPr>
          <w:spacing w:val="-11"/>
        </w:rPr>
        <w:t> </w:t>
      </w:r>
      <w:r>
        <w:rPr/>
        <w:t>por</w:t>
      </w:r>
      <w:r>
        <w:rPr>
          <w:spacing w:val="-15"/>
        </w:rPr>
        <w:t> </w:t>
      </w:r>
      <w:r>
        <w:rPr/>
        <w:t>lo</w:t>
      </w:r>
      <w:r>
        <w:rPr>
          <w:spacing w:val="-11"/>
        </w:rPr>
        <w:t> </w:t>
      </w:r>
      <w:r>
        <w:rPr/>
        <w:t>tanto,</w:t>
      </w:r>
      <w:r>
        <w:rPr>
          <w:spacing w:val="-11"/>
        </w:rPr>
        <w:t> </w:t>
      </w:r>
      <w:r>
        <w:rPr/>
        <w:t>se</w:t>
      </w:r>
      <w:r>
        <w:rPr>
          <w:spacing w:val="-13"/>
        </w:rPr>
        <w:t> </w:t>
      </w:r>
      <w:r>
        <w:rPr/>
        <w:t>incurre en</w:t>
      </w:r>
      <w:r>
        <w:rPr>
          <w:spacing w:val="-5"/>
        </w:rPr>
        <w:t> </w:t>
      </w:r>
      <w:r>
        <w:rPr/>
        <w:t>responsabilidades.</w:t>
      </w:r>
    </w:p>
    <w:p>
      <w:pPr>
        <w:pStyle w:val="BodyText"/>
        <w:spacing w:before="8"/>
      </w:pPr>
    </w:p>
    <w:p>
      <w:pPr>
        <w:pStyle w:val="BodyText"/>
        <w:spacing w:line="360" w:lineRule="auto"/>
        <w:ind w:left="102" w:right="116"/>
        <w:jc w:val="both"/>
      </w:pPr>
      <w:r>
        <w:rPr/>
        <w:t>La</w:t>
      </w:r>
      <w:r>
        <w:rPr>
          <w:spacing w:val="-6"/>
        </w:rPr>
        <w:t> </w:t>
      </w:r>
      <w:r>
        <w:rPr/>
        <w:t>complejidad</w:t>
      </w:r>
      <w:r>
        <w:rPr>
          <w:spacing w:val="-6"/>
        </w:rPr>
        <w:t> </w:t>
      </w:r>
      <w:r>
        <w:rPr/>
        <w:t>con</w:t>
      </w:r>
      <w:r>
        <w:rPr>
          <w:spacing w:val="-6"/>
        </w:rPr>
        <w:t> </w:t>
      </w:r>
      <w:r>
        <w:rPr/>
        <w:t>la</w:t>
      </w:r>
      <w:r>
        <w:rPr>
          <w:spacing w:val="-11"/>
        </w:rPr>
        <w:t> </w:t>
      </w:r>
      <w:r>
        <w:rPr/>
        <w:t>que</w:t>
      </w:r>
      <w:r>
        <w:rPr>
          <w:spacing w:val="-6"/>
        </w:rPr>
        <w:t> </w:t>
      </w:r>
      <w:r>
        <w:rPr/>
        <w:t>se</w:t>
      </w:r>
      <w:r>
        <w:rPr>
          <w:spacing w:val="-8"/>
        </w:rPr>
        <w:t> </w:t>
      </w:r>
      <w:r>
        <w:rPr/>
        <w:t>ha</w:t>
      </w:r>
      <w:r>
        <w:rPr>
          <w:spacing w:val="-8"/>
        </w:rPr>
        <w:t> </w:t>
      </w:r>
      <w:r>
        <w:rPr/>
        <w:t>elaborado</w:t>
      </w:r>
      <w:r>
        <w:rPr>
          <w:spacing w:val="-8"/>
        </w:rPr>
        <w:t> </w:t>
      </w:r>
      <w:r>
        <w:rPr/>
        <w:t>el</w:t>
      </w:r>
      <w:r>
        <w:rPr>
          <w:spacing w:val="-7"/>
        </w:rPr>
        <w:t> </w:t>
      </w:r>
      <w:r>
        <w:rPr/>
        <w:t>diseño</w:t>
      </w:r>
      <w:r>
        <w:rPr>
          <w:spacing w:val="-6"/>
        </w:rPr>
        <w:t> </w:t>
      </w:r>
      <w:r>
        <w:rPr/>
        <w:t>institucional</w:t>
      </w:r>
      <w:r>
        <w:rPr>
          <w:spacing w:val="-7"/>
        </w:rPr>
        <w:t> </w:t>
      </w:r>
      <w:r>
        <w:rPr/>
        <w:t>para</w:t>
      </w:r>
      <w:r>
        <w:rPr>
          <w:spacing w:val="-7"/>
        </w:rPr>
        <w:t> </w:t>
      </w:r>
      <w:r>
        <w:rPr/>
        <w:t>el</w:t>
      </w:r>
      <w:r>
        <w:rPr>
          <w:spacing w:val="-10"/>
        </w:rPr>
        <w:t> </w:t>
      </w:r>
      <w:r>
        <w:rPr/>
        <w:t>manejo</w:t>
      </w:r>
      <w:r>
        <w:rPr>
          <w:spacing w:val="-8"/>
        </w:rPr>
        <w:t> </w:t>
      </w:r>
      <w:r>
        <w:rPr/>
        <w:t>de estos recursos federales ocasiona campo fértil para la discrecionalidad tanto del tomador de decisiones en el ámbito municipal como en el que evalúa la aplicación y fiscaliza el uso de</w:t>
      </w:r>
      <w:r>
        <w:rPr>
          <w:spacing w:val="-6"/>
        </w:rPr>
        <w:t> </w:t>
      </w:r>
      <w:r>
        <w:rPr/>
        <w:t>recursos.</w:t>
      </w:r>
    </w:p>
    <w:p>
      <w:pPr>
        <w:pStyle w:val="BodyText"/>
        <w:spacing w:before="7"/>
      </w:pPr>
    </w:p>
    <w:p>
      <w:pPr>
        <w:pStyle w:val="BodyText"/>
        <w:spacing w:line="360" w:lineRule="auto"/>
        <w:ind w:left="102" w:right="119"/>
        <w:jc w:val="both"/>
      </w:pPr>
      <w:r>
        <w:rPr/>
        <w:t>La</w:t>
      </w:r>
      <w:r>
        <w:rPr>
          <w:spacing w:val="-14"/>
        </w:rPr>
        <w:t> </w:t>
      </w:r>
      <w:r>
        <w:rPr/>
        <w:t>presente</w:t>
      </w:r>
      <w:r>
        <w:rPr>
          <w:spacing w:val="-14"/>
        </w:rPr>
        <w:t> </w:t>
      </w:r>
      <w:r>
        <w:rPr/>
        <w:t>investigación</w:t>
      </w:r>
      <w:r>
        <w:rPr>
          <w:spacing w:val="-11"/>
        </w:rPr>
        <w:t> </w:t>
      </w:r>
      <w:r>
        <w:rPr/>
        <w:t>es</w:t>
      </w:r>
      <w:r>
        <w:rPr>
          <w:spacing w:val="-17"/>
        </w:rPr>
        <w:t> </w:t>
      </w:r>
      <w:r>
        <w:rPr/>
        <w:t>de</w:t>
      </w:r>
      <w:r>
        <w:rPr>
          <w:spacing w:val="-14"/>
        </w:rPr>
        <w:t> </w:t>
      </w:r>
      <w:r>
        <w:rPr/>
        <w:t>tipo</w:t>
      </w:r>
      <w:r>
        <w:rPr>
          <w:spacing w:val="-17"/>
        </w:rPr>
        <w:t> </w:t>
      </w:r>
      <w:r>
        <w:rPr/>
        <w:t>mixto,</w:t>
      </w:r>
      <w:r>
        <w:rPr>
          <w:spacing w:val="-14"/>
        </w:rPr>
        <w:t> </w:t>
      </w:r>
      <w:r>
        <w:rPr/>
        <w:t>cuenta</w:t>
      </w:r>
      <w:r>
        <w:rPr>
          <w:spacing w:val="-14"/>
        </w:rPr>
        <w:t> </w:t>
      </w:r>
      <w:r>
        <w:rPr/>
        <w:t>con</w:t>
      </w:r>
      <w:r>
        <w:rPr>
          <w:spacing w:val="-15"/>
        </w:rPr>
        <w:t> </w:t>
      </w:r>
      <w:r>
        <w:rPr/>
        <w:t>un</w:t>
      </w:r>
      <w:r>
        <w:rPr>
          <w:spacing w:val="-17"/>
        </w:rPr>
        <w:t> </w:t>
      </w:r>
      <w:r>
        <w:rPr/>
        <w:t>enfoque</w:t>
      </w:r>
      <w:r>
        <w:rPr>
          <w:spacing w:val="-14"/>
        </w:rPr>
        <w:t> </w:t>
      </w:r>
      <w:r>
        <w:rPr/>
        <w:t>cuantitativo</w:t>
      </w:r>
      <w:r>
        <w:rPr>
          <w:spacing w:val="-14"/>
        </w:rPr>
        <w:t> </w:t>
      </w:r>
      <w:r>
        <w:rPr/>
        <w:t>como cualitativo.</w:t>
      </w:r>
      <w:r>
        <w:rPr>
          <w:spacing w:val="-12"/>
        </w:rPr>
        <w:t> </w:t>
      </w:r>
      <w:r>
        <w:rPr/>
        <w:t>Para</w:t>
      </w:r>
      <w:r>
        <w:rPr>
          <w:spacing w:val="-15"/>
        </w:rPr>
        <w:t> </w:t>
      </w:r>
      <w:r>
        <w:rPr/>
        <w:t>profundizar</w:t>
      </w:r>
      <w:r>
        <w:rPr>
          <w:spacing w:val="-13"/>
        </w:rPr>
        <w:t> </w:t>
      </w:r>
      <w:r>
        <w:rPr/>
        <w:t>sobre</w:t>
      </w:r>
      <w:r>
        <w:rPr>
          <w:spacing w:val="-12"/>
        </w:rPr>
        <w:t> </w:t>
      </w:r>
      <w:r>
        <w:rPr/>
        <w:t>la</w:t>
      </w:r>
      <w:r>
        <w:rPr>
          <w:spacing w:val="-14"/>
        </w:rPr>
        <w:t> </w:t>
      </w:r>
      <w:r>
        <w:rPr/>
        <w:t>realidad</w:t>
      </w:r>
      <w:r>
        <w:rPr>
          <w:spacing w:val="-16"/>
        </w:rPr>
        <w:t> </w:t>
      </w:r>
      <w:r>
        <w:rPr/>
        <w:t>del</w:t>
      </w:r>
      <w:r>
        <w:rPr>
          <w:spacing w:val="-13"/>
        </w:rPr>
        <w:t> </w:t>
      </w:r>
      <w:r>
        <w:rPr/>
        <w:t>objeto</w:t>
      </w:r>
      <w:r>
        <w:rPr>
          <w:spacing w:val="-14"/>
        </w:rPr>
        <w:t> </w:t>
      </w:r>
      <w:r>
        <w:rPr/>
        <w:t>de</w:t>
      </w:r>
      <w:r>
        <w:rPr>
          <w:spacing w:val="-14"/>
        </w:rPr>
        <w:t> </w:t>
      </w:r>
      <w:r>
        <w:rPr/>
        <w:t>estudio</w:t>
      </w:r>
      <w:r>
        <w:rPr>
          <w:spacing w:val="-14"/>
        </w:rPr>
        <w:t> </w:t>
      </w:r>
      <w:r>
        <w:rPr/>
        <w:t>es</w:t>
      </w:r>
      <w:r>
        <w:rPr>
          <w:spacing w:val="-13"/>
        </w:rPr>
        <w:t> </w:t>
      </w:r>
      <w:r>
        <w:rPr/>
        <w:t>indispensable</w:t>
      </w:r>
    </w:p>
    <w:p>
      <w:pPr>
        <w:spacing w:after="0" w:line="360" w:lineRule="auto"/>
        <w:jc w:val="both"/>
        <w:sectPr>
          <w:pgSz w:w="12240" w:h="15840"/>
          <w:pgMar w:header="0" w:footer="992" w:top="1360" w:bottom="1180" w:left="1600" w:right="1580"/>
        </w:sectPr>
      </w:pPr>
    </w:p>
    <w:p>
      <w:pPr>
        <w:pStyle w:val="BodyText"/>
        <w:spacing w:line="360" w:lineRule="auto" w:before="54"/>
        <w:ind w:left="102" w:right="118"/>
        <w:jc w:val="both"/>
      </w:pPr>
      <w:r>
        <w:rPr/>
        <w:t>hacer uso del proceso cuantitativo, porque se examinaran datos numéricos que apoyan a la comprobación de la hipótesis. Por otro lado, el enfoque cualitativo permite que mediante el estudio de una parte de la realidad del Estado de México se identifiquen las particularidades que los presidentes municipales enfrentan al tomar las decisiones en la aplicación de los recursos federales objeto de estudio.</w:t>
      </w:r>
    </w:p>
    <w:p>
      <w:pPr>
        <w:pStyle w:val="BodyText"/>
        <w:spacing w:before="10"/>
      </w:pPr>
    </w:p>
    <w:p>
      <w:pPr>
        <w:pStyle w:val="BodyText"/>
        <w:spacing w:line="360" w:lineRule="auto"/>
        <w:ind w:left="102" w:right="115"/>
        <w:jc w:val="both"/>
      </w:pPr>
      <w:r>
        <w:rPr/>
        <w:t>El método comparativo es de gran trascendencia para la presente investigación, debido a que explica las analogías que existen entre los municipios, lo cual sirve para verificar si existen principios generales en el proceso de toma de decisiones respecto al destino de los recursos de ambos fondos objeto de estudio.</w:t>
      </w:r>
    </w:p>
    <w:p>
      <w:pPr>
        <w:pStyle w:val="BodyText"/>
        <w:spacing w:before="7"/>
      </w:pPr>
    </w:p>
    <w:p>
      <w:pPr>
        <w:pStyle w:val="BodyText"/>
        <w:spacing w:line="360" w:lineRule="auto"/>
        <w:ind w:left="102" w:right="122"/>
        <w:jc w:val="both"/>
      </w:pPr>
      <w:r>
        <w:rPr/>
        <w:t>Las técnicas de investigación aplicadas consistieron en observación directa e incluso participante, el análisis de contenido de los diversos documentos oficiales sobre informes de resultados de las cuentas públicas municipales, entrevistas a tomadores decisiones. Esta diversidad permite la triangulación de las evidencias empíricas y sustentar lo que en los resultados se presentan como válidos y confiables.</w:t>
      </w:r>
    </w:p>
    <w:p>
      <w:pPr>
        <w:pStyle w:val="BodyText"/>
        <w:spacing w:before="8"/>
      </w:pPr>
    </w:p>
    <w:p>
      <w:pPr>
        <w:pStyle w:val="BodyText"/>
        <w:spacing w:line="360" w:lineRule="auto"/>
        <w:ind w:left="102" w:right="122"/>
        <w:jc w:val="both"/>
      </w:pPr>
      <w:r>
        <w:rPr/>
        <w:t>La aportación de la presente investigación se puede ubicar en diversos ámbitos, el social</w:t>
      </w:r>
      <w:r>
        <w:rPr>
          <w:spacing w:val="-5"/>
        </w:rPr>
        <w:t> </w:t>
      </w:r>
      <w:r>
        <w:rPr/>
        <w:t>contribuye</w:t>
      </w:r>
      <w:r>
        <w:rPr>
          <w:spacing w:val="-5"/>
        </w:rPr>
        <w:t> </w:t>
      </w:r>
      <w:r>
        <w:rPr/>
        <w:t>a</w:t>
      </w:r>
      <w:r>
        <w:rPr>
          <w:spacing w:val="-7"/>
        </w:rPr>
        <w:t> </w:t>
      </w:r>
      <w:r>
        <w:rPr/>
        <w:t>identificar</w:t>
      </w:r>
      <w:r>
        <w:rPr>
          <w:spacing w:val="-6"/>
        </w:rPr>
        <w:t> </w:t>
      </w:r>
      <w:r>
        <w:rPr/>
        <w:t>los</w:t>
      </w:r>
      <w:r>
        <w:rPr>
          <w:spacing w:val="-7"/>
        </w:rPr>
        <w:t> </w:t>
      </w:r>
      <w:r>
        <w:rPr/>
        <w:t>escollos</w:t>
      </w:r>
      <w:r>
        <w:rPr>
          <w:spacing w:val="-5"/>
        </w:rPr>
        <w:t> </w:t>
      </w:r>
      <w:r>
        <w:rPr/>
        <w:t>en</w:t>
      </w:r>
      <w:r>
        <w:rPr>
          <w:spacing w:val="-5"/>
        </w:rPr>
        <w:t> </w:t>
      </w:r>
      <w:r>
        <w:rPr/>
        <w:t>la</w:t>
      </w:r>
      <w:r>
        <w:rPr>
          <w:spacing w:val="-5"/>
        </w:rPr>
        <w:t> </w:t>
      </w:r>
      <w:r>
        <w:rPr/>
        <w:t>toma</w:t>
      </w:r>
      <w:r>
        <w:rPr>
          <w:spacing w:val="-7"/>
        </w:rPr>
        <w:t> </w:t>
      </w:r>
      <w:r>
        <w:rPr/>
        <w:t>de</w:t>
      </w:r>
      <w:r>
        <w:rPr>
          <w:spacing w:val="-7"/>
        </w:rPr>
        <w:t> </w:t>
      </w:r>
      <w:r>
        <w:rPr/>
        <w:t>decisiones</w:t>
      </w:r>
      <w:r>
        <w:rPr>
          <w:spacing w:val="-8"/>
        </w:rPr>
        <w:t> </w:t>
      </w:r>
      <w:r>
        <w:rPr/>
        <w:t>y</w:t>
      </w:r>
      <w:r>
        <w:rPr>
          <w:spacing w:val="-8"/>
        </w:rPr>
        <w:t> </w:t>
      </w:r>
      <w:r>
        <w:rPr/>
        <w:t>el</w:t>
      </w:r>
      <w:r>
        <w:rPr>
          <w:spacing w:val="-8"/>
        </w:rPr>
        <w:t> </w:t>
      </w:r>
      <w:r>
        <w:rPr/>
        <w:t>análisis</w:t>
      </w:r>
      <w:r>
        <w:rPr>
          <w:spacing w:val="-6"/>
        </w:rPr>
        <w:t> </w:t>
      </w:r>
      <w:r>
        <w:rPr/>
        <w:t>que favorecen</w:t>
      </w:r>
      <w:r>
        <w:rPr>
          <w:spacing w:val="-12"/>
        </w:rPr>
        <w:t> </w:t>
      </w:r>
      <w:r>
        <w:rPr/>
        <w:t>las</w:t>
      </w:r>
      <w:r>
        <w:rPr>
          <w:spacing w:val="-15"/>
        </w:rPr>
        <w:t> </w:t>
      </w:r>
      <w:r>
        <w:rPr/>
        <w:t>formas</w:t>
      </w:r>
      <w:r>
        <w:rPr>
          <w:spacing w:val="-15"/>
        </w:rPr>
        <w:t> </w:t>
      </w:r>
      <w:r>
        <w:rPr/>
        <w:t>de</w:t>
      </w:r>
      <w:r>
        <w:rPr>
          <w:spacing w:val="-12"/>
        </w:rPr>
        <w:t> </w:t>
      </w:r>
      <w:r>
        <w:rPr/>
        <w:t>subsanarlos</w:t>
      </w:r>
      <w:r>
        <w:rPr>
          <w:spacing w:val="-15"/>
        </w:rPr>
        <w:t> </w:t>
      </w:r>
      <w:r>
        <w:rPr/>
        <w:t>para</w:t>
      </w:r>
      <w:r>
        <w:rPr>
          <w:spacing w:val="-15"/>
        </w:rPr>
        <w:t> </w:t>
      </w:r>
      <w:r>
        <w:rPr/>
        <w:t>que</w:t>
      </w:r>
      <w:r>
        <w:rPr>
          <w:spacing w:val="-12"/>
        </w:rPr>
        <w:t> </w:t>
      </w:r>
      <w:r>
        <w:rPr/>
        <w:t>redunde</w:t>
      </w:r>
      <w:r>
        <w:rPr>
          <w:spacing w:val="-14"/>
        </w:rPr>
        <w:t> </w:t>
      </w:r>
      <w:r>
        <w:rPr/>
        <w:t>la</w:t>
      </w:r>
      <w:r>
        <w:rPr>
          <w:spacing w:val="-14"/>
        </w:rPr>
        <w:t> </w:t>
      </w:r>
      <w:r>
        <w:rPr/>
        <w:t>aplicación</w:t>
      </w:r>
      <w:r>
        <w:rPr>
          <w:spacing w:val="-14"/>
        </w:rPr>
        <w:t> </w:t>
      </w:r>
      <w:r>
        <w:rPr/>
        <w:t>de</w:t>
      </w:r>
      <w:r>
        <w:rPr>
          <w:spacing w:val="-14"/>
        </w:rPr>
        <w:t> </w:t>
      </w:r>
      <w:r>
        <w:rPr/>
        <w:t>los</w:t>
      </w:r>
      <w:r>
        <w:rPr>
          <w:spacing w:val="-14"/>
        </w:rPr>
        <w:t> </w:t>
      </w:r>
      <w:r>
        <w:rPr/>
        <w:t>recursos en</w:t>
      </w:r>
      <w:r>
        <w:rPr>
          <w:spacing w:val="-8"/>
        </w:rPr>
        <w:t> </w:t>
      </w:r>
      <w:r>
        <w:rPr/>
        <w:t>mejores</w:t>
      </w:r>
      <w:r>
        <w:rPr>
          <w:spacing w:val="-9"/>
        </w:rPr>
        <w:t> </w:t>
      </w:r>
      <w:r>
        <w:rPr/>
        <w:t>condiciones</w:t>
      </w:r>
      <w:r>
        <w:rPr>
          <w:spacing w:val="-9"/>
        </w:rPr>
        <w:t> </w:t>
      </w:r>
      <w:r>
        <w:rPr/>
        <w:t>de</w:t>
      </w:r>
      <w:r>
        <w:rPr>
          <w:spacing w:val="-8"/>
        </w:rPr>
        <w:t> </w:t>
      </w:r>
      <w:r>
        <w:rPr/>
        <w:t>vida</w:t>
      </w:r>
      <w:r>
        <w:rPr>
          <w:spacing w:val="-8"/>
        </w:rPr>
        <w:t> </w:t>
      </w:r>
      <w:r>
        <w:rPr/>
        <w:t>social.</w:t>
      </w:r>
      <w:r>
        <w:rPr>
          <w:spacing w:val="-9"/>
        </w:rPr>
        <w:t> </w:t>
      </w:r>
      <w:r>
        <w:rPr/>
        <w:t>En</w:t>
      </w:r>
      <w:r>
        <w:rPr>
          <w:spacing w:val="-8"/>
        </w:rPr>
        <w:t> </w:t>
      </w:r>
      <w:r>
        <w:rPr/>
        <w:t>el</w:t>
      </w:r>
      <w:r>
        <w:rPr>
          <w:spacing w:val="-10"/>
        </w:rPr>
        <w:t> </w:t>
      </w:r>
      <w:r>
        <w:rPr/>
        <w:t>seno</w:t>
      </w:r>
      <w:r>
        <w:rPr>
          <w:spacing w:val="-8"/>
        </w:rPr>
        <w:t> </w:t>
      </w:r>
      <w:r>
        <w:rPr/>
        <w:t>académico</w:t>
      </w:r>
      <w:r>
        <w:rPr>
          <w:spacing w:val="-9"/>
        </w:rPr>
        <w:t> </w:t>
      </w:r>
      <w:r>
        <w:rPr/>
        <w:t>se</w:t>
      </w:r>
      <w:r>
        <w:rPr>
          <w:spacing w:val="-11"/>
        </w:rPr>
        <w:t> </w:t>
      </w:r>
      <w:r>
        <w:rPr/>
        <w:t>aporta</w:t>
      </w:r>
      <w:r>
        <w:rPr>
          <w:spacing w:val="-9"/>
        </w:rPr>
        <w:t> </w:t>
      </w:r>
      <w:r>
        <w:rPr/>
        <w:t>información recopilada en el interior de la administración lo que favorece la comprensión de la realidad compleja y ayuda a futuras investigaciones para consolidar el</w:t>
      </w:r>
      <w:r>
        <w:rPr>
          <w:spacing w:val="-26"/>
        </w:rPr>
        <w:t> </w:t>
      </w:r>
      <w:r>
        <w:rPr/>
        <w:t>tema.</w:t>
      </w:r>
    </w:p>
    <w:p>
      <w:pPr>
        <w:pStyle w:val="BodyText"/>
        <w:spacing w:before="7"/>
      </w:pPr>
    </w:p>
    <w:p>
      <w:pPr>
        <w:pStyle w:val="BodyText"/>
        <w:spacing w:line="360" w:lineRule="auto"/>
        <w:ind w:left="102" w:right="118"/>
        <w:jc w:val="both"/>
      </w:pPr>
      <w:r>
        <w:rPr/>
        <w:t>La</w:t>
      </w:r>
      <w:r>
        <w:rPr>
          <w:spacing w:val="-8"/>
        </w:rPr>
        <w:t> </w:t>
      </w:r>
      <w:r>
        <w:rPr/>
        <w:t>exposición</w:t>
      </w:r>
      <w:r>
        <w:rPr>
          <w:spacing w:val="-8"/>
        </w:rPr>
        <w:t> </w:t>
      </w:r>
      <w:r>
        <w:rPr/>
        <w:t>de</w:t>
      </w:r>
      <w:r>
        <w:rPr>
          <w:spacing w:val="-8"/>
        </w:rPr>
        <w:t> </w:t>
      </w:r>
      <w:r>
        <w:rPr/>
        <w:t>los</w:t>
      </w:r>
      <w:r>
        <w:rPr>
          <w:spacing w:val="-9"/>
        </w:rPr>
        <w:t> </w:t>
      </w:r>
      <w:r>
        <w:rPr/>
        <w:t>resultados</w:t>
      </w:r>
      <w:r>
        <w:rPr>
          <w:spacing w:val="-7"/>
        </w:rPr>
        <w:t> </w:t>
      </w:r>
      <w:r>
        <w:rPr/>
        <w:t>se</w:t>
      </w:r>
      <w:r>
        <w:rPr>
          <w:spacing w:val="-6"/>
        </w:rPr>
        <w:t> </w:t>
      </w:r>
      <w:r>
        <w:rPr/>
        <w:t>lleva</w:t>
      </w:r>
      <w:r>
        <w:rPr>
          <w:spacing w:val="-8"/>
        </w:rPr>
        <w:t> </w:t>
      </w:r>
      <w:r>
        <w:rPr/>
        <w:t>a</w:t>
      </w:r>
      <w:r>
        <w:rPr>
          <w:spacing w:val="-6"/>
        </w:rPr>
        <w:t> </w:t>
      </w:r>
      <w:r>
        <w:rPr/>
        <w:t>cabo</w:t>
      </w:r>
      <w:r>
        <w:rPr>
          <w:spacing w:val="-6"/>
        </w:rPr>
        <w:t> </w:t>
      </w:r>
      <w:r>
        <w:rPr/>
        <w:t>a</w:t>
      </w:r>
      <w:r>
        <w:rPr>
          <w:spacing w:val="-8"/>
        </w:rPr>
        <w:t> </w:t>
      </w:r>
      <w:r>
        <w:rPr/>
        <w:t>través</w:t>
      </w:r>
      <w:r>
        <w:rPr>
          <w:spacing w:val="-9"/>
        </w:rPr>
        <w:t> </w:t>
      </w:r>
      <w:r>
        <w:rPr/>
        <w:t>de</w:t>
      </w:r>
      <w:r>
        <w:rPr>
          <w:spacing w:val="-8"/>
        </w:rPr>
        <w:t> </w:t>
      </w:r>
      <w:r>
        <w:rPr/>
        <w:t>cuatro</w:t>
      </w:r>
      <w:r>
        <w:rPr>
          <w:spacing w:val="-6"/>
        </w:rPr>
        <w:t> </w:t>
      </w:r>
      <w:r>
        <w:rPr/>
        <w:t>capítulos,</w:t>
      </w:r>
      <w:r>
        <w:rPr>
          <w:spacing w:val="-6"/>
        </w:rPr>
        <w:t> </w:t>
      </w:r>
      <w:r>
        <w:rPr/>
        <w:t>los</w:t>
      </w:r>
      <w:r>
        <w:rPr>
          <w:spacing w:val="-9"/>
        </w:rPr>
        <w:t> </w:t>
      </w:r>
      <w:r>
        <w:rPr/>
        <w:t>dos primeros tienen como propósito recrear la teoría sobre las decisiones y el federalismo, condición que permite destacar el enfoque que guio a la investigación que estriba en esa teoría de toma de</w:t>
      </w:r>
      <w:r>
        <w:rPr>
          <w:spacing w:val="-21"/>
        </w:rPr>
        <w:t> </w:t>
      </w:r>
      <w:r>
        <w:rPr/>
        <w:t>decisiones.</w:t>
      </w:r>
    </w:p>
    <w:p>
      <w:pPr>
        <w:pStyle w:val="BodyText"/>
        <w:spacing w:before="7"/>
      </w:pPr>
    </w:p>
    <w:p>
      <w:pPr>
        <w:pStyle w:val="BodyText"/>
        <w:spacing w:line="360" w:lineRule="auto"/>
        <w:ind w:left="102" w:right="124"/>
        <w:jc w:val="both"/>
      </w:pPr>
      <w:r>
        <w:rPr/>
        <w:t>El tercer capítulo contextualiza al municipio como elemento de referencia e interés en  la investigación,  tanto  en  el  contexto  institucional  como fiscal. Por último, el</w:t>
      </w:r>
    </w:p>
    <w:p>
      <w:pPr>
        <w:spacing w:after="0" w:line="360" w:lineRule="auto"/>
        <w:jc w:val="both"/>
        <w:sectPr>
          <w:pgSz w:w="12240" w:h="15840"/>
          <w:pgMar w:header="0" w:footer="992" w:top="1360" w:bottom="1180" w:left="1600" w:right="1580"/>
        </w:sectPr>
      </w:pPr>
    </w:p>
    <w:p>
      <w:pPr>
        <w:pStyle w:val="BodyText"/>
        <w:spacing w:line="362" w:lineRule="auto" w:before="54"/>
        <w:ind w:left="102"/>
      </w:pPr>
      <w:r>
        <w:rPr/>
        <w:t>cuarto capítulo se refiere a la operatividad del FISMDF y FORTAMUNDF en los municipios del Estado de México.</w:t>
      </w:r>
    </w:p>
    <w:p>
      <w:pPr>
        <w:spacing w:after="0" w:line="362" w:lineRule="auto"/>
        <w:sectPr>
          <w:pgSz w:w="12240" w:h="15840"/>
          <w:pgMar w:header="0" w:footer="992" w:top="1360" w:bottom="1180" w:left="1600" w:right="1600"/>
        </w:sectPr>
      </w:pPr>
    </w:p>
    <w:p>
      <w:pPr>
        <w:pStyle w:val="Heading1"/>
        <w:spacing w:line="600" w:lineRule="auto" w:before="52"/>
        <w:ind w:left="3181" w:right="3182" w:firstLine="700"/>
      </w:pPr>
      <w:r>
        <w:rPr/>
        <w:t>Capítulo I Toma de decisiones</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line="360" w:lineRule="auto" w:before="238"/>
        <w:ind w:left="102" w:right="116"/>
        <w:jc w:val="both"/>
      </w:pPr>
      <w:r>
        <w:rPr/>
        <w:t>Para abordar el tema sobre toma de decisiones se tendrá en cuenta que abarca diversos aspectos y existe bastante información que ahonda sobre esta temática, sin</w:t>
      </w:r>
      <w:r>
        <w:rPr>
          <w:spacing w:val="-10"/>
        </w:rPr>
        <w:t> </w:t>
      </w:r>
      <w:r>
        <w:rPr/>
        <w:t>embargo,</w:t>
      </w:r>
      <w:r>
        <w:rPr>
          <w:spacing w:val="-10"/>
        </w:rPr>
        <w:t> </w:t>
      </w:r>
      <w:r>
        <w:rPr/>
        <w:t>en</w:t>
      </w:r>
      <w:r>
        <w:rPr>
          <w:spacing w:val="-9"/>
        </w:rPr>
        <w:t> </w:t>
      </w:r>
      <w:r>
        <w:rPr/>
        <w:t>esté</w:t>
      </w:r>
      <w:r>
        <w:rPr>
          <w:spacing w:val="-8"/>
        </w:rPr>
        <w:t> </w:t>
      </w:r>
      <w:r>
        <w:rPr/>
        <w:t>trabajo</w:t>
      </w:r>
      <w:r>
        <w:rPr>
          <w:spacing w:val="-12"/>
        </w:rPr>
        <w:t> </w:t>
      </w:r>
      <w:r>
        <w:rPr/>
        <w:t>no</w:t>
      </w:r>
      <w:r>
        <w:rPr>
          <w:spacing w:val="-12"/>
        </w:rPr>
        <w:t> </w:t>
      </w:r>
      <w:r>
        <w:rPr/>
        <w:t>es</w:t>
      </w:r>
      <w:r>
        <w:rPr>
          <w:spacing w:val="-10"/>
        </w:rPr>
        <w:t> </w:t>
      </w:r>
      <w:r>
        <w:rPr/>
        <w:t>la</w:t>
      </w:r>
      <w:r>
        <w:rPr>
          <w:spacing w:val="-10"/>
        </w:rPr>
        <w:t> </w:t>
      </w:r>
      <w:r>
        <w:rPr/>
        <w:t>idea</w:t>
      </w:r>
      <w:r>
        <w:rPr>
          <w:spacing w:val="-12"/>
        </w:rPr>
        <w:t> </w:t>
      </w:r>
      <w:r>
        <w:rPr/>
        <w:t>aportar</w:t>
      </w:r>
      <w:r>
        <w:rPr>
          <w:spacing w:val="-11"/>
        </w:rPr>
        <w:t> </w:t>
      </w:r>
      <w:r>
        <w:rPr/>
        <w:t>e</w:t>
      </w:r>
      <w:r>
        <w:rPr>
          <w:spacing w:val="-9"/>
        </w:rPr>
        <w:t> </w:t>
      </w:r>
      <w:r>
        <w:rPr/>
        <w:t>innovar</w:t>
      </w:r>
      <w:r>
        <w:rPr>
          <w:spacing w:val="-11"/>
        </w:rPr>
        <w:t> </w:t>
      </w:r>
      <w:r>
        <w:rPr/>
        <w:t>sobre</w:t>
      </w:r>
      <w:r>
        <w:rPr>
          <w:spacing w:val="-10"/>
        </w:rPr>
        <w:t> </w:t>
      </w:r>
      <w:r>
        <w:rPr/>
        <w:t>estas</w:t>
      </w:r>
      <w:r>
        <w:rPr>
          <w:spacing w:val="-10"/>
        </w:rPr>
        <w:t> </w:t>
      </w:r>
      <w:r>
        <w:rPr/>
        <w:t>cuestiones, que ya la doctrina tuvo a bien explorar y los expertos, sin duda alguna, seguirán incorporando</w:t>
      </w:r>
      <w:r>
        <w:rPr>
          <w:spacing w:val="-17"/>
        </w:rPr>
        <w:t> </w:t>
      </w:r>
      <w:r>
        <w:rPr/>
        <w:t>nuevas</w:t>
      </w:r>
      <w:r>
        <w:rPr>
          <w:spacing w:val="-15"/>
        </w:rPr>
        <w:t> </w:t>
      </w:r>
      <w:r>
        <w:rPr/>
        <w:t>tendencias</w:t>
      </w:r>
      <w:r>
        <w:rPr>
          <w:spacing w:val="-14"/>
        </w:rPr>
        <w:t> </w:t>
      </w:r>
      <w:r>
        <w:rPr/>
        <w:t>que</w:t>
      </w:r>
      <w:r>
        <w:rPr>
          <w:spacing w:val="-17"/>
        </w:rPr>
        <w:t> </w:t>
      </w:r>
      <w:r>
        <w:rPr/>
        <w:t>ayudarán</w:t>
      </w:r>
      <w:r>
        <w:rPr>
          <w:spacing w:val="-14"/>
        </w:rPr>
        <w:t> </w:t>
      </w:r>
      <w:r>
        <w:rPr/>
        <w:t>a</w:t>
      </w:r>
      <w:r>
        <w:rPr>
          <w:spacing w:val="-17"/>
        </w:rPr>
        <w:t> </w:t>
      </w:r>
      <w:r>
        <w:rPr/>
        <w:t>entender</w:t>
      </w:r>
      <w:r>
        <w:rPr>
          <w:spacing w:val="-16"/>
        </w:rPr>
        <w:t> </w:t>
      </w:r>
      <w:r>
        <w:rPr/>
        <w:t>la</w:t>
      </w:r>
      <w:r>
        <w:rPr>
          <w:spacing w:val="-14"/>
        </w:rPr>
        <w:t> </w:t>
      </w:r>
      <w:r>
        <w:rPr/>
        <w:t>importancia</w:t>
      </w:r>
      <w:r>
        <w:rPr>
          <w:spacing w:val="-14"/>
        </w:rPr>
        <w:t> </w:t>
      </w:r>
      <w:r>
        <w:rPr/>
        <w:t>de</w:t>
      </w:r>
      <w:r>
        <w:rPr>
          <w:spacing w:val="-14"/>
        </w:rPr>
        <w:t> </w:t>
      </w:r>
      <w:r>
        <w:rPr/>
        <w:t>la</w:t>
      </w:r>
      <w:r>
        <w:rPr>
          <w:spacing w:val="-14"/>
        </w:rPr>
        <w:t> </w:t>
      </w:r>
      <w:r>
        <w:rPr/>
        <w:t>toma de decisiones en el federalismo</w:t>
      </w:r>
      <w:r>
        <w:rPr>
          <w:spacing w:val="-13"/>
        </w:rPr>
        <w:t> </w:t>
      </w:r>
      <w:r>
        <w:rPr/>
        <w:t>mexicano.</w:t>
      </w:r>
    </w:p>
    <w:p>
      <w:pPr>
        <w:pStyle w:val="BodyText"/>
        <w:spacing w:before="3"/>
        <w:rPr>
          <w:sz w:val="21"/>
        </w:rPr>
      </w:pPr>
    </w:p>
    <w:p>
      <w:pPr>
        <w:pStyle w:val="BodyText"/>
        <w:spacing w:line="360" w:lineRule="auto"/>
        <w:ind w:left="102" w:right="116"/>
        <w:jc w:val="both"/>
      </w:pPr>
      <w:r>
        <w:rPr/>
        <w:t>Es importante, saber que las decisiones se presentan en todos los niveles de la sociedad, sean de mayor o menor incidencia; pero estás implican una acción que conlleva a un determinado fin u objetivo propuesto, más aún en el ámbito de gobierno. Son los gobiernos en sus distintas esferas, quienes deciden el curso de un</w:t>
      </w:r>
      <w:r>
        <w:rPr>
          <w:spacing w:val="-12"/>
        </w:rPr>
        <w:t> </w:t>
      </w:r>
      <w:r>
        <w:rPr/>
        <w:t>país,</w:t>
      </w:r>
      <w:r>
        <w:rPr>
          <w:spacing w:val="-12"/>
        </w:rPr>
        <w:t> </w:t>
      </w:r>
      <w:r>
        <w:rPr/>
        <w:t>una</w:t>
      </w:r>
      <w:r>
        <w:rPr>
          <w:spacing w:val="-13"/>
        </w:rPr>
        <w:t> </w:t>
      </w:r>
      <w:r>
        <w:rPr/>
        <w:t>nación,</w:t>
      </w:r>
      <w:r>
        <w:rPr>
          <w:spacing w:val="-12"/>
        </w:rPr>
        <w:t> </w:t>
      </w:r>
      <w:r>
        <w:rPr/>
        <w:t>una</w:t>
      </w:r>
      <w:r>
        <w:rPr>
          <w:spacing w:val="-12"/>
        </w:rPr>
        <w:t> </w:t>
      </w:r>
      <w:r>
        <w:rPr/>
        <w:t>entidad</w:t>
      </w:r>
      <w:r>
        <w:rPr>
          <w:spacing w:val="-13"/>
        </w:rPr>
        <w:t> </w:t>
      </w:r>
      <w:r>
        <w:rPr/>
        <w:t>federativa</w:t>
      </w:r>
      <w:r>
        <w:rPr>
          <w:spacing w:val="-7"/>
        </w:rPr>
        <w:t> </w:t>
      </w:r>
      <w:r>
        <w:rPr/>
        <w:t>y</w:t>
      </w:r>
      <w:r>
        <w:rPr>
          <w:spacing w:val="-14"/>
        </w:rPr>
        <w:t> </w:t>
      </w:r>
      <w:r>
        <w:rPr/>
        <w:t>en</w:t>
      </w:r>
      <w:r>
        <w:rPr>
          <w:spacing w:val="-12"/>
        </w:rPr>
        <w:t> </w:t>
      </w:r>
      <w:r>
        <w:rPr/>
        <w:t>su</w:t>
      </w:r>
      <w:r>
        <w:rPr>
          <w:spacing w:val="-12"/>
        </w:rPr>
        <w:t> </w:t>
      </w:r>
      <w:r>
        <w:rPr/>
        <w:t>caso</w:t>
      </w:r>
      <w:r>
        <w:rPr>
          <w:spacing w:val="-12"/>
        </w:rPr>
        <w:t> </w:t>
      </w:r>
      <w:r>
        <w:rPr/>
        <w:t>un</w:t>
      </w:r>
      <w:r>
        <w:rPr>
          <w:spacing w:val="-12"/>
        </w:rPr>
        <w:t> </w:t>
      </w:r>
      <w:r>
        <w:rPr/>
        <w:t>municipio,</w:t>
      </w:r>
      <w:r>
        <w:rPr>
          <w:spacing w:val="-12"/>
        </w:rPr>
        <w:t> </w:t>
      </w:r>
      <w:r>
        <w:rPr/>
        <w:t>para</w:t>
      </w:r>
      <w:r>
        <w:rPr>
          <w:spacing w:val="-12"/>
        </w:rPr>
        <w:t> </w:t>
      </w:r>
      <w:r>
        <w:rPr/>
        <w:t>resolver las problemáticas y demandas que cada día son mayores </w:t>
      </w:r>
      <w:r>
        <w:rPr>
          <w:spacing w:val="2"/>
        </w:rPr>
        <w:t>ante </w:t>
      </w:r>
      <w:r>
        <w:rPr/>
        <w:t>una sociedad demográficamente</w:t>
      </w:r>
      <w:r>
        <w:rPr>
          <w:spacing w:val="-18"/>
        </w:rPr>
        <w:t> </w:t>
      </w:r>
      <w:r>
        <w:rPr/>
        <w:t>creciente,</w:t>
      </w:r>
      <w:r>
        <w:rPr>
          <w:spacing w:val="-19"/>
        </w:rPr>
        <w:t> </w:t>
      </w:r>
      <w:r>
        <w:rPr/>
        <w:t>por</w:t>
      </w:r>
      <w:r>
        <w:rPr>
          <w:spacing w:val="-20"/>
        </w:rPr>
        <w:t> </w:t>
      </w:r>
      <w:r>
        <w:rPr/>
        <w:t>ello,</w:t>
      </w:r>
      <w:r>
        <w:rPr>
          <w:spacing w:val="-19"/>
        </w:rPr>
        <w:t> </w:t>
      </w:r>
      <w:r>
        <w:rPr/>
        <w:t>los</w:t>
      </w:r>
      <w:r>
        <w:rPr>
          <w:spacing w:val="-19"/>
        </w:rPr>
        <w:t> </w:t>
      </w:r>
      <w:r>
        <w:rPr/>
        <w:t>gobernantes</w:t>
      </w:r>
      <w:r>
        <w:rPr>
          <w:spacing w:val="-20"/>
        </w:rPr>
        <w:t> </w:t>
      </w:r>
      <w:r>
        <w:rPr/>
        <w:t>tienen</w:t>
      </w:r>
      <w:r>
        <w:rPr>
          <w:spacing w:val="-19"/>
        </w:rPr>
        <w:t> </w:t>
      </w:r>
      <w:r>
        <w:rPr/>
        <w:t>que</w:t>
      </w:r>
      <w:r>
        <w:rPr>
          <w:spacing w:val="-19"/>
        </w:rPr>
        <w:t> </w:t>
      </w:r>
      <w:r>
        <w:rPr/>
        <w:t>enfrentar</w:t>
      </w:r>
      <w:r>
        <w:rPr>
          <w:spacing w:val="-20"/>
        </w:rPr>
        <w:t> </w:t>
      </w:r>
      <w:r>
        <w:rPr/>
        <w:t>desafíos que resulten benéficos hacia la población y el país</w:t>
      </w:r>
      <w:r>
        <w:rPr>
          <w:spacing w:val="-22"/>
        </w:rPr>
        <w:t> </w:t>
      </w:r>
      <w:r>
        <w:rPr/>
        <w:t>mismo.</w:t>
      </w:r>
    </w:p>
    <w:p>
      <w:pPr>
        <w:pStyle w:val="BodyText"/>
        <w:spacing w:before="3"/>
        <w:rPr>
          <w:sz w:val="21"/>
        </w:rPr>
      </w:pPr>
    </w:p>
    <w:p>
      <w:pPr>
        <w:pStyle w:val="BodyText"/>
        <w:spacing w:line="360" w:lineRule="auto"/>
        <w:ind w:left="102" w:right="118"/>
        <w:jc w:val="both"/>
      </w:pPr>
      <w:r>
        <w:rPr/>
        <w:t>Es de gran utilidad conocer qué procesos aplica y se abarca para tomar</w:t>
      </w:r>
      <w:r>
        <w:rPr>
          <w:spacing w:val="-32"/>
        </w:rPr>
        <w:t> </w:t>
      </w:r>
      <w:r>
        <w:rPr/>
        <w:t>decisiones efectivas.</w:t>
      </w:r>
      <w:r>
        <w:rPr>
          <w:spacing w:val="-9"/>
        </w:rPr>
        <w:t> </w:t>
      </w:r>
      <w:r>
        <w:rPr/>
        <w:t>Para</w:t>
      </w:r>
      <w:r>
        <w:rPr>
          <w:spacing w:val="-8"/>
        </w:rPr>
        <w:t> </w:t>
      </w:r>
      <w:r>
        <w:rPr/>
        <w:t>ello,</w:t>
      </w:r>
      <w:r>
        <w:rPr>
          <w:spacing w:val="-9"/>
        </w:rPr>
        <w:t> </w:t>
      </w:r>
      <w:r>
        <w:rPr/>
        <w:t>existen</w:t>
      </w:r>
      <w:r>
        <w:rPr>
          <w:spacing w:val="-10"/>
        </w:rPr>
        <w:t> </w:t>
      </w:r>
      <w:r>
        <w:rPr/>
        <w:t>autores</w:t>
      </w:r>
      <w:r>
        <w:rPr>
          <w:spacing w:val="-9"/>
        </w:rPr>
        <w:t> </w:t>
      </w:r>
      <w:r>
        <w:rPr/>
        <w:t>y</w:t>
      </w:r>
      <w:r>
        <w:rPr>
          <w:spacing w:val="-12"/>
        </w:rPr>
        <w:t> </w:t>
      </w:r>
      <w:r>
        <w:rPr/>
        <w:t>textos</w:t>
      </w:r>
      <w:r>
        <w:rPr>
          <w:spacing w:val="-8"/>
        </w:rPr>
        <w:t> </w:t>
      </w:r>
      <w:r>
        <w:rPr/>
        <w:t>que</w:t>
      </w:r>
      <w:r>
        <w:rPr>
          <w:spacing w:val="-8"/>
        </w:rPr>
        <w:t> </w:t>
      </w:r>
      <w:r>
        <w:rPr/>
        <w:t>se</w:t>
      </w:r>
      <w:r>
        <w:rPr>
          <w:spacing w:val="-11"/>
        </w:rPr>
        <w:t> </w:t>
      </w:r>
      <w:r>
        <w:rPr/>
        <w:t>refieren</w:t>
      </w:r>
      <w:r>
        <w:rPr>
          <w:spacing w:val="-11"/>
        </w:rPr>
        <w:t> </w:t>
      </w:r>
      <w:r>
        <w:rPr/>
        <w:t>a</w:t>
      </w:r>
      <w:r>
        <w:rPr>
          <w:spacing w:val="-8"/>
        </w:rPr>
        <w:t> </w:t>
      </w:r>
      <w:r>
        <w:rPr/>
        <w:t>la</w:t>
      </w:r>
      <w:r>
        <w:rPr>
          <w:spacing w:val="-11"/>
        </w:rPr>
        <w:t> </w:t>
      </w:r>
      <w:r>
        <w:rPr/>
        <w:t>toma</w:t>
      </w:r>
      <w:r>
        <w:rPr>
          <w:spacing w:val="-8"/>
        </w:rPr>
        <w:t> </w:t>
      </w:r>
      <w:r>
        <w:rPr/>
        <w:t>de</w:t>
      </w:r>
      <w:r>
        <w:rPr>
          <w:spacing w:val="-11"/>
        </w:rPr>
        <w:t> </w:t>
      </w:r>
      <w:r>
        <w:rPr/>
        <w:t>decisiones y a su utilización como una herramienta de aplicación de uso cotidiano en la administración</w:t>
      </w:r>
      <w:r>
        <w:rPr>
          <w:spacing w:val="-8"/>
        </w:rPr>
        <w:t> </w:t>
      </w:r>
      <w:r>
        <w:rPr/>
        <w:t>pública.</w:t>
      </w:r>
    </w:p>
    <w:p>
      <w:pPr>
        <w:pStyle w:val="BodyText"/>
        <w:spacing w:before="1"/>
        <w:rPr>
          <w:sz w:val="21"/>
        </w:rPr>
      </w:pPr>
    </w:p>
    <w:p>
      <w:pPr>
        <w:pStyle w:val="BodyText"/>
        <w:spacing w:line="360" w:lineRule="auto"/>
        <w:ind w:left="102" w:right="118"/>
        <w:jc w:val="both"/>
      </w:pPr>
      <w:r>
        <w:rPr/>
        <w:t>Para lograr una efectiva toma de decisiones es necesaria una selección racional, para</w:t>
      </w:r>
      <w:r>
        <w:rPr>
          <w:spacing w:val="-7"/>
        </w:rPr>
        <w:t> </w:t>
      </w:r>
      <w:r>
        <w:rPr/>
        <w:t>lo</w:t>
      </w:r>
      <w:r>
        <w:rPr>
          <w:spacing w:val="-9"/>
        </w:rPr>
        <w:t> </w:t>
      </w:r>
      <w:r>
        <w:rPr/>
        <w:t>que</w:t>
      </w:r>
      <w:r>
        <w:rPr>
          <w:spacing w:val="-8"/>
        </w:rPr>
        <w:t> </w:t>
      </w:r>
      <w:r>
        <w:rPr/>
        <w:t>primero</w:t>
      </w:r>
      <w:r>
        <w:rPr>
          <w:spacing w:val="-8"/>
        </w:rPr>
        <w:t> </w:t>
      </w:r>
      <w:r>
        <w:rPr/>
        <w:t>se</w:t>
      </w:r>
      <w:r>
        <w:rPr>
          <w:spacing w:val="-11"/>
        </w:rPr>
        <w:t> </w:t>
      </w:r>
      <w:r>
        <w:rPr/>
        <w:t>requiere</w:t>
      </w:r>
      <w:r>
        <w:rPr>
          <w:spacing w:val="-5"/>
        </w:rPr>
        <w:t> </w:t>
      </w:r>
      <w:r>
        <w:rPr/>
        <w:t>aclarar</w:t>
      </w:r>
      <w:r>
        <w:rPr>
          <w:spacing w:val="-10"/>
        </w:rPr>
        <w:t> </w:t>
      </w:r>
      <w:r>
        <w:rPr/>
        <w:t>el</w:t>
      </w:r>
      <w:r>
        <w:rPr>
          <w:spacing w:val="-7"/>
        </w:rPr>
        <w:t> </w:t>
      </w:r>
      <w:r>
        <w:rPr/>
        <w:t>objetivo</w:t>
      </w:r>
      <w:r>
        <w:rPr>
          <w:spacing w:val="-6"/>
        </w:rPr>
        <w:t> </w:t>
      </w:r>
      <w:r>
        <w:rPr/>
        <w:t>que</w:t>
      </w:r>
      <w:r>
        <w:rPr>
          <w:spacing w:val="-6"/>
        </w:rPr>
        <w:t> </w:t>
      </w:r>
      <w:r>
        <w:rPr/>
        <w:t>se</w:t>
      </w:r>
      <w:r>
        <w:rPr>
          <w:spacing w:val="-8"/>
        </w:rPr>
        <w:t> </w:t>
      </w:r>
      <w:r>
        <w:rPr/>
        <w:t>pretende</w:t>
      </w:r>
      <w:r>
        <w:rPr>
          <w:spacing w:val="-5"/>
        </w:rPr>
        <w:t> </w:t>
      </w:r>
      <w:r>
        <w:rPr/>
        <w:t>alcanzar;</w:t>
      </w:r>
      <w:r>
        <w:rPr>
          <w:spacing w:val="-7"/>
        </w:rPr>
        <w:t> </w:t>
      </w:r>
      <w:r>
        <w:rPr/>
        <w:t>eso</w:t>
      </w:r>
      <w:r>
        <w:rPr>
          <w:spacing w:val="-8"/>
        </w:rPr>
        <w:t> </w:t>
      </w:r>
      <w:r>
        <w:rPr/>
        <w:t>sí,</w:t>
      </w:r>
    </w:p>
    <w:p>
      <w:pPr>
        <w:spacing w:after="0" w:line="360" w:lineRule="auto"/>
        <w:jc w:val="both"/>
        <w:sectPr>
          <w:footerReference w:type="default" r:id="rId13"/>
          <w:pgSz w:w="12240" w:h="15840"/>
          <w:pgMar w:footer="992" w:header="0" w:top="1360" w:bottom="1180" w:left="1600" w:right="1580"/>
        </w:sectPr>
      </w:pPr>
    </w:p>
    <w:p>
      <w:pPr>
        <w:pStyle w:val="BodyText"/>
        <w:spacing w:line="362" w:lineRule="auto" w:before="54"/>
        <w:ind w:left="102" w:right="124"/>
        <w:jc w:val="both"/>
      </w:pPr>
      <w:r>
        <w:rPr/>
        <w:t>tomando en cuenta varias alternativas, evaluando cada una de sus ventajas, limitaciones y adoptando la que sea más apropiada para conseguir el objetivo.</w:t>
      </w:r>
    </w:p>
    <w:p>
      <w:pPr>
        <w:pStyle w:val="BodyText"/>
        <w:spacing w:before="10"/>
        <w:rPr>
          <w:sz w:val="20"/>
        </w:rPr>
      </w:pPr>
    </w:p>
    <w:p>
      <w:pPr>
        <w:pStyle w:val="BodyText"/>
        <w:spacing w:line="360" w:lineRule="auto"/>
        <w:ind w:left="102" w:right="114"/>
        <w:jc w:val="both"/>
      </w:pPr>
      <w:r>
        <w:rPr/>
        <w:t>En</w:t>
      </w:r>
      <w:r>
        <w:rPr>
          <w:spacing w:val="-4"/>
        </w:rPr>
        <w:t> </w:t>
      </w:r>
      <w:r>
        <w:rPr/>
        <w:t>la</w:t>
      </w:r>
      <w:r>
        <w:rPr>
          <w:spacing w:val="-6"/>
        </w:rPr>
        <w:t> </w:t>
      </w:r>
      <w:r>
        <w:rPr/>
        <w:t>toma</w:t>
      </w:r>
      <w:r>
        <w:rPr>
          <w:spacing w:val="-6"/>
        </w:rPr>
        <w:t> </w:t>
      </w:r>
      <w:r>
        <w:rPr/>
        <w:t>de</w:t>
      </w:r>
      <w:r>
        <w:rPr>
          <w:spacing w:val="-6"/>
        </w:rPr>
        <w:t> </w:t>
      </w:r>
      <w:r>
        <w:rPr/>
        <w:t>decisiones</w:t>
      </w:r>
      <w:r>
        <w:rPr>
          <w:spacing w:val="-4"/>
        </w:rPr>
        <w:t> </w:t>
      </w:r>
      <w:r>
        <w:rPr/>
        <w:t>está</w:t>
      </w:r>
      <w:r>
        <w:rPr>
          <w:spacing w:val="-1"/>
        </w:rPr>
        <w:t> </w:t>
      </w:r>
      <w:r>
        <w:rPr/>
        <w:t>inmersa</w:t>
      </w:r>
      <w:r>
        <w:rPr>
          <w:spacing w:val="-7"/>
        </w:rPr>
        <w:t> </w:t>
      </w:r>
      <w:r>
        <w:rPr/>
        <w:t>la</w:t>
      </w:r>
      <w:r>
        <w:rPr>
          <w:spacing w:val="-4"/>
        </w:rPr>
        <w:t> </w:t>
      </w:r>
      <w:r>
        <w:rPr/>
        <w:t>incertidumbre,</w:t>
      </w:r>
      <w:r>
        <w:rPr>
          <w:spacing w:val="-4"/>
        </w:rPr>
        <w:t> </w:t>
      </w:r>
      <w:r>
        <w:rPr/>
        <w:t>no</w:t>
      </w:r>
      <w:r>
        <w:rPr>
          <w:spacing w:val="-6"/>
        </w:rPr>
        <w:t> </w:t>
      </w:r>
      <w:r>
        <w:rPr/>
        <w:t>hay</w:t>
      </w:r>
      <w:r>
        <w:rPr>
          <w:spacing w:val="-7"/>
        </w:rPr>
        <w:t> </w:t>
      </w:r>
      <w:r>
        <w:rPr/>
        <w:t>nada</w:t>
      </w:r>
      <w:r>
        <w:rPr>
          <w:spacing w:val="-4"/>
        </w:rPr>
        <w:t> </w:t>
      </w:r>
      <w:r>
        <w:rPr/>
        <w:t>que</w:t>
      </w:r>
      <w:r>
        <w:rPr>
          <w:spacing w:val="-4"/>
        </w:rPr>
        <w:t> </w:t>
      </w:r>
      <w:r>
        <w:rPr/>
        <w:t>garantice que las condiciones en las que se toma la decisión siga siendo la misma, puesto que</w:t>
      </w:r>
      <w:r>
        <w:rPr>
          <w:spacing w:val="-7"/>
        </w:rPr>
        <w:t> </w:t>
      </w:r>
      <w:r>
        <w:rPr/>
        <w:t>se</w:t>
      </w:r>
      <w:r>
        <w:rPr>
          <w:spacing w:val="-9"/>
        </w:rPr>
        <w:t> </w:t>
      </w:r>
      <w:r>
        <w:rPr/>
        <w:t>está</w:t>
      </w:r>
      <w:r>
        <w:rPr>
          <w:spacing w:val="-8"/>
        </w:rPr>
        <w:t> </w:t>
      </w:r>
      <w:r>
        <w:rPr/>
        <w:t>en</w:t>
      </w:r>
      <w:r>
        <w:rPr>
          <w:spacing w:val="-7"/>
        </w:rPr>
        <w:t> </w:t>
      </w:r>
      <w:r>
        <w:rPr/>
        <w:t>un</w:t>
      </w:r>
      <w:r>
        <w:rPr>
          <w:spacing w:val="-9"/>
        </w:rPr>
        <w:t> </w:t>
      </w:r>
      <w:r>
        <w:rPr/>
        <w:t>medio</w:t>
      </w:r>
      <w:r>
        <w:rPr>
          <w:spacing w:val="-7"/>
        </w:rPr>
        <w:t> </w:t>
      </w:r>
      <w:r>
        <w:rPr/>
        <w:t>que</w:t>
      </w:r>
      <w:r>
        <w:rPr>
          <w:spacing w:val="-7"/>
        </w:rPr>
        <w:t> </w:t>
      </w:r>
      <w:r>
        <w:rPr/>
        <w:t>cambia</w:t>
      </w:r>
      <w:r>
        <w:rPr>
          <w:spacing w:val="-7"/>
        </w:rPr>
        <w:t> </w:t>
      </w:r>
      <w:r>
        <w:rPr/>
        <w:t>constantemente;</w:t>
      </w:r>
      <w:r>
        <w:rPr>
          <w:spacing w:val="-7"/>
        </w:rPr>
        <w:t> </w:t>
      </w:r>
      <w:r>
        <w:rPr/>
        <w:t>aunque</w:t>
      </w:r>
      <w:r>
        <w:rPr>
          <w:spacing w:val="-9"/>
        </w:rPr>
        <w:t> </w:t>
      </w:r>
      <w:r>
        <w:rPr/>
        <w:t>las</w:t>
      </w:r>
      <w:r>
        <w:rPr>
          <w:spacing w:val="-7"/>
        </w:rPr>
        <w:t> </w:t>
      </w:r>
      <w:r>
        <w:rPr/>
        <w:t>que</w:t>
      </w:r>
      <w:r>
        <w:rPr>
          <w:spacing w:val="-7"/>
        </w:rPr>
        <w:t> </w:t>
      </w:r>
      <w:r>
        <w:rPr/>
        <w:t>se</w:t>
      </w:r>
      <w:r>
        <w:rPr>
          <w:spacing w:val="-9"/>
        </w:rPr>
        <w:t> </w:t>
      </w:r>
      <w:r>
        <w:rPr/>
        <w:t>toman</w:t>
      </w:r>
      <w:r>
        <w:rPr>
          <w:spacing w:val="-7"/>
        </w:rPr>
        <w:t> </w:t>
      </w:r>
      <w:r>
        <w:rPr/>
        <w:t>sin previo análisis, al azar, están más expuestas que aquellas en las que sigue el proceso</w:t>
      </w:r>
      <w:r>
        <w:rPr>
          <w:spacing w:val="-7"/>
        </w:rPr>
        <w:t> </w:t>
      </w:r>
      <w:r>
        <w:rPr/>
        <w:t>adecuado.</w:t>
      </w:r>
    </w:p>
    <w:p>
      <w:pPr>
        <w:pStyle w:val="BodyText"/>
        <w:spacing w:before="3"/>
        <w:rPr>
          <w:sz w:val="21"/>
        </w:rPr>
      </w:pPr>
    </w:p>
    <w:p>
      <w:pPr>
        <w:pStyle w:val="BodyText"/>
        <w:spacing w:line="360" w:lineRule="auto"/>
        <w:ind w:left="102" w:right="115"/>
        <w:jc w:val="both"/>
      </w:pPr>
      <w:r>
        <w:rPr/>
        <w:t>Para</w:t>
      </w:r>
      <w:r>
        <w:rPr>
          <w:spacing w:val="-17"/>
        </w:rPr>
        <w:t> </w:t>
      </w:r>
      <w:r>
        <w:rPr/>
        <w:t>adentrarse</w:t>
      </w:r>
      <w:r>
        <w:rPr>
          <w:spacing w:val="-16"/>
        </w:rPr>
        <w:t> </w:t>
      </w:r>
      <w:r>
        <w:rPr/>
        <w:t>en</w:t>
      </w:r>
      <w:r>
        <w:rPr>
          <w:spacing w:val="-14"/>
        </w:rPr>
        <w:t> </w:t>
      </w:r>
      <w:r>
        <w:rPr/>
        <w:t>los</w:t>
      </w:r>
      <w:r>
        <w:rPr>
          <w:spacing w:val="-19"/>
        </w:rPr>
        <w:t> </w:t>
      </w:r>
      <w:r>
        <w:rPr/>
        <w:t>aspectos</w:t>
      </w:r>
      <w:r>
        <w:rPr>
          <w:spacing w:val="-15"/>
        </w:rPr>
        <w:t> </w:t>
      </w:r>
      <w:r>
        <w:rPr/>
        <w:t>relevantes</w:t>
      </w:r>
      <w:r>
        <w:rPr>
          <w:spacing w:val="-17"/>
        </w:rPr>
        <w:t> </w:t>
      </w:r>
      <w:r>
        <w:rPr/>
        <w:t>de</w:t>
      </w:r>
      <w:r>
        <w:rPr>
          <w:spacing w:val="-16"/>
        </w:rPr>
        <w:t> </w:t>
      </w:r>
      <w:r>
        <w:rPr/>
        <w:t>la</w:t>
      </w:r>
      <w:r>
        <w:rPr>
          <w:spacing w:val="-14"/>
        </w:rPr>
        <w:t> </w:t>
      </w:r>
      <w:r>
        <w:rPr/>
        <w:t>toma</w:t>
      </w:r>
      <w:r>
        <w:rPr>
          <w:spacing w:val="-17"/>
        </w:rPr>
        <w:t> </w:t>
      </w:r>
      <w:r>
        <w:rPr/>
        <w:t>de</w:t>
      </w:r>
      <w:r>
        <w:rPr>
          <w:spacing w:val="-16"/>
        </w:rPr>
        <w:t> </w:t>
      </w:r>
      <w:r>
        <w:rPr/>
        <w:t>decisiones,</w:t>
      </w:r>
      <w:r>
        <w:rPr>
          <w:spacing w:val="-11"/>
        </w:rPr>
        <w:t> </w:t>
      </w:r>
      <w:r>
        <w:rPr/>
        <w:t>se</w:t>
      </w:r>
      <w:r>
        <w:rPr>
          <w:spacing w:val="-14"/>
        </w:rPr>
        <w:t> </w:t>
      </w:r>
      <w:r>
        <w:rPr/>
        <w:t>comenzará con el estudio de la teoría de la decisión, después se examinan diferentes conceptos, dando una idea generalizada de las características de una decisión, posteriormente se aborda el tema de toma de toma de decisiones con el federalismo, las relaciones intergubernamentales y otras temáticas, que proyectan la base del marco teórico del  presente</w:t>
      </w:r>
      <w:r>
        <w:rPr>
          <w:spacing w:val="52"/>
        </w:rPr>
        <w:t> </w:t>
      </w:r>
      <w:r>
        <w:rPr/>
        <w:t>estudio.</w:t>
      </w:r>
    </w:p>
    <w:p>
      <w:pPr>
        <w:pStyle w:val="BodyText"/>
      </w:pPr>
    </w:p>
    <w:p>
      <w:pPr>
        <w:pStyle w:val="Heading1"/>
        <w:numPr>
          <w:ilvl w:val="1"/>
          <w:numId w:val="8"/>
        </w:numPr>
        <w:tabs>
          <w:tab w:pos="2163" w:val="left" w:leader="none"/>
          <w:tab w:pos="2164" w:val="left" w:leader="none"/>
        </w:tabs>
        <w:spacing w:line="240" w:lineRule="auto" w:before="207" w:after="0"/>
        <w:ind w:left="4021" w:right="0" w:hanging="2578"/>
        <w:jc w:val="left"/>
      </w:pPr>
      <w:bookmarkStart w:name="_TOC_250050" w:id="2"/>
      <w:r>
        <w:rPr/>
        <w:t>Toma de decisiones. Conceptualización y</w:t>
      </w:r>
      <w:r>
        <w:rPr>
          <w:spacing w:val="-23"/>
        </w:rPr>
        <w:t> </w:t>
      </w:r>
      <w:bookmarkEnd w:id="2"/>
      <w:r>
        <w:rPr/>
        <w:t>Teorías</w:t>
      </w:r>
    </w:p>
    <w:p>
      <w:pPr>
        <w:pStyle w:val="BodyText"/>
        <w:rPr>
          <w:b/>
          <w:sz w:val="28"/>
        </w:rPr>
      </w:pPr>
    </w:p>
    <w:p>
      <w:pPr>
        <w:pStyle w:val="BodyText"/>
        <w:rPr>
          <w:b/>
          <w:sz w:val="28"/>
        </w:rPr>
      </w:pPr>
    </w:p>
    <w:p>
      <w:pPr>
        <w:pStyle w:val="BodyText"/>
        <w:spacing w:before="4"/>
        <w:rPr>
          <w:b/>
          <w:sz w:val="37"/>
        </w:rPr>
      </w:pPr>
    </w:p>
    <w:p>
      <w:pPr>
        <w:pStyle w:val="BodyText"/>
        <w:spacing w:line="360" w:lineRule="auto" w:before="1"/>
        <w:ind w:left="102" w:right="117"/>
        <w:jc w:val="both"/>
      </w:pPr>
      <w:r>
        <w:rPr/>
        <w:t>Tomar la decisión es el primer paso para elegir un plan de acción; debido a que continuamente</w:t>
      </w:r>
      <w:r>
        <w:rPr>
          <w:spacing w:val="-14"/>
        </w:rPr>
        <w:t> </w:t>
      </w:r>
      <w:r>
        <w:rPr/>
        <w:t>se</w:t>
      </w:r>
      <w:r>
        <w:rPr>
          <w:spacing w:val="-17"/>
        </w:rPr>
        <w:t> </w:t>
      </w:r>
      <w:r>
        <w:rPr/>
        <w:t>está</w:t>
      </w:r>
      <w:r>
        <w:rPr>
          <w:spacing w:val="-13"/>
        </w:rPr>
        <w:t> </w:t>
      </w:r>
      <w:r>
        <w:rPr/>
        <w:t>ante</w:t>
      </w:r>
      <w:r>
        <w:rPr>
          <w:spacing w:val="-14"/>
        </w:rPr>
        <w:t> </w:t>
      </w:r>
      <w:r>
        <w:rPr/>
        <w:t>situaciones</w:t>
      </w:r>
      <w:r>
        <w:rPr>
          <w:spacing w:val="-15"/>
        </w:rPr>
        <w:t> </w:t>
      </w:r>
      <w:r>
        <w:rPr/>
        <w:t>que</w:t>
      </w:r>
      <w:r>
        <w:rPr>
          <w:spacing w:val="-14"/>
        </w:rPr>
        <w:t> </w:t>
      </w:r>
      <w:r>
        <w:rPr/>
        <w:t>requieren,</w:t>
      </w:r>
      <w:r>
        <w:rPr>
          <w:spacing w:val="-14"/>
        </w:rPr>
        <w:t> </w:t>
      </w:r>
      <w:r>
        <w:rPr/>
        <w:t>decidir</w:t>
      </w:r>
      <w:r>
        <w:rPr>
          <w:spacing w:val="-16"/>
        </w:rPr>
        <w:t> </w:t>
      </w:r>
      <w:r>
        <w:rPr/>
        <w:t>¿qué</w:t>
      </w:r>
      <w:r>
        <w:rPr>
          <w:spacing w:val="-14"/>
        </w:rPr>
        <w:t> </w:t>
      </w:r>
      <w:r>
        <w:rPr/>
        <w:t>hacer?,</w:t>
      </w:r>
      <w:r>
        <w:rPr>
          <w:spacing w:val="-14"/>
        </w:rPr>
        <w:t> </w:t>
      </w:r>
      <w:r>
        <w:rPr/>
        <w:t>delegar su</w:t>
      </w:r>
      <w:r>
        <w:rPr>
          <w:spacing w:val="-10"/>
        </w:rPr>
        <w:t> </w:t>
      </w:r>
      <w:r>
        <w:rPr/>
        <w:t>realización</w:t>
      </w:r>
      <w:r>
        <w:rPr>
          <w:spacing w:val="-12"/>
        </w:rPr>
        <w:t> </w:t>
      </w:r>
      <w:r>
        <w:rPr/>
        <w:t>a</w:t>
      </w:r>
      <w:r>
        <w:rPr>
          <w:spacing w:val="-10"/>
        </w:rPr>
        <w:t> </w:t>
      </w:r>
      <w:r>
        <w:rPr/>
        <w:t>quienes</w:t>
      </w:r>
      <w:r>
        <w:rPr>
          <w:spacing w:val="-9"/>
        </w:rPr>
        <w:t> </w:t>
      </w:r>
      <w:r>
        <w:rPr/>
        <w:t>consideren</w:t>
      </w:r>
      <w:r>
        <w:rPr>
          <w:spacing w:val="-12"/>
        </w:rPr>
        <w:t> </w:t>
      </w:r>
      <w:r>
        <w:rPr/>
        <w:t>capacitados</w:t>
      </w:r>
      <w:r>
        <w:rPr>
          <w:spacing w:val="-11"/>
        </w:rPr>
        <w:t> </w:t>
      </w:r>
      <w:r>
        <w:rPr/>
        <w:t>para</w:t>
      </w:r>
      <w:r>
        <w:rPr>
          <w:spacing w:val="-13"/>
        </w:rPr>
        <w:t> </w:t>
      </w:r>
      <w:r>
        <w:rPr/>
        <w:t>ello,</w:t>
      </w:r>
      <w:r>
        <w:rPr>
          <w:spacing w:val="-11"/>
        </w:rPr>
        <w:t> </w:t>
      </w:r>
      <w:r>
        <w:rPr/>
        <w:t>justificar</w:t>
      </w:r>
      <w:r>
        <w:rPr>
          <w:spacing w:val="-11"/>
        </w:rPr>
        <w:t> </w:t>
      </w:r>
      <w:r>
        <w:rPr/>
        <w:t>¿para</w:t>
      </w:r>
      <w:r>
        <w:rPr>
          <w:spacing w:val="-11"/>
        </w:rPr>
        <w:t> </w:t>
      </w:r>
      <w:r>
        <w:rPr/>
        <w:t>qué</w:t>
      </w:r>
      <w:r>
        <w:rPr>
          <w:spacing w:val="-10"/>
        </w:rPr>
        <w:t> </w:t>
      </w:r>
      <w:r>
        <w:rPr/>
        <w:t>debe hacerse?, ¿cuándo debe hacerse? y así lograr la optimización de tareas que requieran una toma de</w:t>
      </w:r>
      <w:r>
        <w:rPr>
          <w:spacing w:val="-10"/>
        </w:rPr>
        <w:t> </w:t>
      </w:r>
      <w:r>
        <w:rPr/>
        <w:t>decisión</w:t>
      </w:r>
    </w:p>
    <w:p>
      <w:pPr>
        <w:pStyle w:val="BodyText"/>
      </w:pPr>
    </w:p>
    <w:p>
      <w:pPr>
        <w:pStyle w:val="Heading1"/>
        <w:numPr>
          <w:ilvl w:val="2"/>
          <w:numId w:val="8"/>
        </w:numPr>
        <w:tabs>
          <w:tab w:pos="3489" w:val="left" w:leader="none"/>
        </w:tabs>
        <w:spacing w:line="240" w:lineRule="auto" w:before="208" w:after="0"/>
        <w:ind w:left="3489" w:right="0" w:hanging="704"/>
        <w:jc w:val="left"/>
      </w:pPr>
      <w:bookmarkStart w:name="_TOC_250049" w:id="3"/>
      <w:r>
        <w:rPr/>
        <w:t>Teoría de la</w:t>
      </w:r>
      <w:r>
        <w:rPr>
          <w:spacing w:val="-11"/>
        </w:rPr>
        <w:t> </w:t>
      </w:r>
      <w:bookmarkEnd w:id="3"/>
      <w:r>
        <w:rPr/>
        <w:t>decisión</w:t>
      </w:r>
    </w:p>
    <w:p>
      <w:pPr>
        <w:pStyle w:val="BodyText"/>
        <w:rPr>
          <w:b/>
          <w:sz w:val="28"/>
        </w:rPr>
      </w:pPr>
    </w:p>
    <w:p>
      <w:pPr>
        <w:pStyle w:val="BodyText"/>
        <w:rPr>
          <w:b/>
          <w:sz w:val="28"/>
        </w:rPr>
      </w:pPr>
    </w:p>
    <w:p>
      <w:pPr>
        <w:pStyle w:val="BodyText"/>
        <w:spacing w:before="6"/>
        <w:rPr>
          <w:b/>
          <w:sz w:val="37"/>
        </w:rPr>
      </w:pPr>
    </w:p>
    <w:p>
      <w:pPr>
        <w:pStyle w:val="BodyText"/>
        <w:spacing w:line="360" w:lineRule="auto" w:before="1"/>
        <w:ind w:left="102" w:right="115"/>
        <w:jc w:val="both"/>
      </w:pPr>
      <w:r>
        <w:rPr/>
        <w:t>La Teoría de la Decisión tiene un amplio marco de actuación, pues sirve para superar tradicionales barreras temáticas y armonizar aportaciones de diversas disciplinas. En ella se plantean, entre otros, tres </w:t>
      </w:r>
      <w:r>
        <w:rPr>
          <w:i/>
        </w:rPr>
        <w:t>cometidos </w:t>
      </w:r>
      <w:r>
        <w:rPr/>
        <w:t>relevantes desde el</w:t>
      </w:r>
    </w:p>
    <w:p>
      <w:pPr>
        <w:spacing w:after="0" w:line="360" w:lineRule="auto"/>
        <w:jc w:val="both"/>
        <w:sectPr>
          <w:footerReference w:type="default" r:id="rId14"/>
          <w:pgSz w:w="12240" w:h="15840"/>
          <w:pgMar w:footer="992" w:header="0" w:top="1360" w:bottom="1180" w:left="1600" w:right="1580"/>
          <w:pgNumType w:start="11"/>
        </w:sectPr>
      </w:pPr>
    </w:p>
    <w:p>
      <w:pPr>
        <w:pStyle w:val="BodyText"/>
        <w:spacing w:line="360" w:lineRule="auto" w:before="54"/>
        <w:ind w:left="102" w:right="114"/>
        <w:jc w:val="both"/>
      </w:pPr>
      <w:r>
        <w:rPr/>
        <w:t>punto de vista metodológico y enunciados en Bonome (2009): primeramente llegar a todos los ángulos del problema de la toma de decisiones (filosófico, psicológico, sociológico, etc.); segundo lograr indagar ¿Cómo deciden? de hecho los agentes humanos en las circunstancias del mundo real (en el terreno económico, social, etc.); y finalmente intentar especificar ¿Cómo deberían decidir? esos agentes según pautas plenamente racionales.</w:t>
      </w:r>
    </w:p>
    <w:p>
      <w:pPr>
        <w:pStyle w:val="BodyText"/>
        <w:spacing w:before="1"/>
        <w:rPr>
          <w:sz w:val="21"/>
        </w:rPr>
      </w:pPr>
    </w:p>
    <w:p>
      <w:pPr>
        <w:pStyle w:val="BodyText"/>
        <w:spacing w:line="360" w:lineRule="auto"/>
        <w:ind w:left="102" w:right="116"/>
        <w:jc w:val="both"/>
      </w:pPr>
      <w:r>
        <w:rPr/>
        <w:t>Durante las últimas décadas del siglo actual, se desarrolló una teoría de las decisiones que permite evaluar la eficacia de una decisión al medir el grado en el que</w:t>
      </w:r>
      <w:r>
        <w:rPr>
          <w:spacing w:val="-9"/>
        </w:rPr>
        <w:t> </w:t>
      </w:r>
      <w:r>
        <w:rPr/>
        <w:t>sus</w:t>
      </w:r>
      <w:r>
        <w:rPr>
          <w:spacing w:val="-13"/>
        </w:rPr>
        <w:t> </w:t>
      </w:r>
      <w:r>
        <w:rPr/>
        <w:t>resultados</w:t>
      </w:r>
      <w:r>
        <w:rPr>
          <w:spacing w:val="-13"/>
        </w:rPr>
        <w:t> </w:t>
      </w:r>
      <w:r>
        <w:rPr/>
        <w:t>satisfacen</w:t>
      </w:r>
      <w:r>
        <w:rPr>
          <w:spacing w:val="-12"/>
        </w:rPr>
        <w:t> </w:t>
      </w:r>
      <w:r>
        <w:rPr/>
        <w:t>el</w:t>
      </w:r>
      <w:r>
        <w:rPr>
          <w:spacing w:val="-13"/>
        </w:rPr>
        <w:t> </w:t>
      </w:r>
      <w:r>
        <w:rPr/>
        <w:t>objetivo</w:t>
      </w:r>
      <w:r>
        <w:rPr>
          <w:spacing w:val="-9"/>
        </w:rPr>
        <w:t> </w:t>
      </w:r>
      <w:r>
        <w:rPr/>
        <w:t>u</w:t>
      </w:r>
      <w:r>
        <w:rPr>
          <w:spacing w:val="-12"/>
        </w:rPr>
        <w:t> </w:t>
      </w:r>
      <w:r>
        <w:rPr/>
        <w:t>objetivos</w:t>
      </w:r>
      <w:r>
        <w:rPr>
          <w:spacing w:val="-10"/>
        </w:rPr>
        <w:t> </w:t>
      </w:r>
      <w:r>
        <w:rPr/>
        <w:t>especificados</w:t>
      </w:r>
      <w:r>
        <w:rPr>
          <w:spacing w:val="-13"/>
        </w:rPr>
        <w:t> </w:t>
      </w:r>
      <w:r>
        <w:rPr/>
        <w:t>de</w:t>
      </w:r>
      <w:r>
        <w:rPr>
          <w:spacing w:val="-9"/>
        </w:rPr>
        <w:t> </w:t>
      </w:r>
      <w:r>
        <w:rPr/>
        <w:t>antemano</w:t>
      </w:r>
      <w:r>
        <w:rPr>
          <w:spacing w:val="-12"/>
        </w:rPr>
        <w:t> </w:t>
      </w:r>
      <w:r>
        <w:rPr/>
        <w:t>por la</w:t>
      </w:r>
      <w:r>
        <w:rPr>
          <w:spacing w:val="-4"/>
        </w:rPr>
        <w:t> </w:t>
      </w:r>
      <w:r>
        <w:rPr/>
        <w:t>persona</w:t>
      </w:r>
      <w:r>
        <w:rPr>
          <w:spacing w:val="-6"/>
        </w:rPr>
        <w:t> </w:t>
      </w:r>
      <w:r>
        <w:rPr/>
        <w:t>o</w:t>
      </w:r>
      <w:r>
        <w:rPr>
          <w:spacing w:val="-4"/>
        </w:rPr>
        <w:t> </w:t>
      </w:r>
      <w:r>
        <w:rPr/>
        <w:t>grupo</w:t>
      </w:r>
      <w:r>
        <w:rPr>
          <w:spacing w:val="-6"/>
        </w:rPr>
        <w:t> </w:t>
      </w:r>
      <w:r>
        <w:rPr/>
        <w:t>de</w:t>
      </w:r>
      <w:r>
        <w:rPr>
          <w:spacing w:val="-6"/>
        </w:rPr>
        <w:t> </w:t>
      </w:r>
      <w:r>
        <w:rPr/>
        <w:t>personas,</w:t>
      </w:r>
      <w:r>
        <w:rPr>
          <w:spacing w:val="-4"/>
        </w:rPr>
        <w:t> </w:t>
      </w:r>
      <w:r>
        <w:rPr/>
        <w:t>que</w:t>
      </w:r>
      <w:r>
        <w:rPr>
          <w:spacing w:val="-6"/>
        </w:rPr>
        <w:t> </w:t>
      </w:r>
      <w:r>
        <w:rPr/>
        <w:t>tomaron</w:t>
      </w:r>
      <w:r>
        <w:rPr>
          <w:spacing w:val="-4"/>
        </w:rPr>
        <w:t> </w:t>
      </w:r>
      <w:r>
        <w:rPr/>
        <w:t>la</w:t>
      </w:r>
      <w:r>
        <w:rPr>
          <w:spacing w:val="-4"/>
        </w:rPr>
        <w:t> </w:t>
      </w:r>
      <w:r>
        <w:rPr/>
        <w:t>decisión.</w:t>
      </w:r>
      <w:r>
        <w:rPr>
          <w:spacing w:val="-1"/>
        </w:rPr>
        <w:t> </w:t>
      </w:r>
      <w:r>
        <w:rPr/>
        <w:t>“El</w:t>
      </w:r>
      <w:r>
        <w:rPr>
          <w:spacing w:val="-5"/>
        </w:rPr>
        <w:t> </w:t>
      </w:r>
      <w:r>
        <w:rPr/>
        <w:t>contenido</w:t>
      </w:r>
      <w:r>
        <w:rPr>
          <w:spacing w:val="-6"/>
        </w:rPr>
        <w:t> </w:t>
      </w:r>
      <w:r>
        <w:rPr/>
        <w:t>de</w:t>
      </w:r>
      <w:r>
        <w:rPr>
          <w:spacing w:val="-4"/>
        </w:rPr>
        <w:t> </w:t>
      </w:r>
      <w:r>
        <w:rPr/>
        <w:t>la</w:t>
      </w:r>
      <w:r>
        <w:rPr>
          <w:spacing w:val="-6"/>
        </w:rPr>
        <w:t> </w:t>
      </w:r>
      <w:r>
        <w:rPr/>
        <w:t>teoría de las decisiones se originó de tres corrientes principales que son: la teoría de las preferencias y de la utilidad, la teoría de las probabilidades, y la teoría de la inferencia estadística” (Rheault,</w:t>
      </w:r>
      <w:r>
        <w:rPr>
          <w:spacing w:val="-11"/>
        </w:rPr>
        <w:t> </w:t>
      </w:r>
      <w:r>
        <w:rPr/>
        <w:t>1977:17).</w:t>
      </w:r>
    </w:p>
    <w:p>
      <w:pPr>
        <w:pStyle w:val="BodyText"/>
        <w:spacing w:line="360" w:lineRule="auto" w:before="204"/>
        <w:ind w:left="102" w:right="116"/>
        <w:jc w:val="both"/>
      </w:pPr>
      <w:r>
        <w:rPr/>
        <w:t>Rehault</w:t>
      </w:r>
      <w:r>
        <w:rPr>
          <w:spacing w:val="-19"/>
        </w:rPr>
        <w:t> </w:t>
      </w:r>
      <w:r>
        <w:rPr/>
        <w:t>(1977)</w:t>
      </w:r>
      <w:r>
        <w:rPr>
          <w:spacing w:val="-19"/>
        </w:rPr>
        <w:t> </w:t>
      </w:r>
      <w:r>
        <w:rPr/>
        <w:t>en</w:t>
      </w:r>
      <w:r>
        <w:rPr>
          <w:spacing w:val="-18"/>
        </w:rPr>
        <w:t> </w:t>
      </w:r>
      <w:r>
        <w:rPr/>
        <w:t>sus</w:t>
      </w:r>
      <w:r>
        <w:rPr>
          <w:spacing w:val="-21"/>
        </w:rPr>
        <w:t> </w:t>
      </w:r>
      <w:r>
        <w:rPr/>
        <w:t>breves</w:t>
      </w:r>
      <w:r>
        <w:rPr>
          <w:spacing w:val="-19"/>
        </w:rPr>
        <w:t> </w:t>
      </w:r>
      <w:r>
        <w:rPr/>
        <w:t>notas</w:t>
      </w:r>
      <w:r>
        <w:rPr>
          <w:spacing w:val="-19"/>
        </w:rPr>
        <w:t> </w:t>
      </w:r>
      <w:r>
        <w:rPr/>
        <w:t>históricas</w:t>
      </w:r>
      <w:r>
        <w:rPr>
          <w:spacing w:val="-19"/>
        </w:rPr>
        <w:t> </w:t>
      </w:r>
      <w:r>
        <w:rPr/>
        <w:t>narra</w:t>
      </w:r>
      <w:r>
        <w:rPr>
          <w:spacing w:val="-15"/>
        </w:rPr>
        <w:t> </w:t>
      </w:r>
      <w:r>
        <w:rPr/>
        <w:t>una</w:t>
      </w:r>
      <w:r>
        <w:rPr>
          <w:spacing w:val="-18"/>
        </w:rPr>
        <w:t> </w:t>
      </w:r>
      <w:r>
        <w:rPr/>
        <w:t>serie</w:t>
      </w:r>
      <w:r>
        <w:rPr>
          <w:spacing w:val="-18"/>
        </w:rPr>
        <w:t> </w:t>
      </w:r>
      <w:r>
        <w:rPr/>
        <w:t>de</w:t>
      </w:r>
      <w:r>
        <w:rPr>
          <w:spacing w:val="-18"/>
        </w:rPr>
        <w:t> </w:t>
      </w:r>
      <w:r>
        <w:rPr/>
        <w:t>conceptos</w:t>
      </w:r>
      <w:r>
        <w:rPr>
          <w:spacing w:val="-19"/>
        </w:rPr>
        <w:t> </w:t>
      </w:r>
      <w:r>
        <w:rPr/>
        <w:t>y</w:t>
      </w:r>
      <w:r>
        <w:rPr>
          <w:spacing w:val="-21"/>
        </w:rPr>
        <w:t> </w:t>
      </w:r>
      <w:r>
        <w:rPr/>
        <w:t>teorías bajo la cual la teoría de la decisión se originó, enunciando las aportaciones de los teóricos</w:t>
      </w:r>
      <w:r>
        <w:rPr>
          <w:spacing w:val="-17"/>
        </w:rPr>
        <w:t> </w:t>
      </w:r>
      <w:r>
        <w:rPr/>
        <w:t>a</w:t>
      </w:r>
      <w:r>
        <w:rPr>
          <w:spacing w:val="-17"/>
        </w:rPr>
        <w:t> </w:t>
      </w:r>
      <w:r>
        <w:rPr/>
        <w:t>estas</w:t>
      </w:r>
      <w:r>
        <w:rPr>
          <w:spacing w:val="-17"/>
        </w:rPr>
        <w:t> </w:t>
      </w:r>
      <w:r>
        <w:rPr/>
        <w:t>corrientes,</w:t>
      </w:r>
      <w:r>
        <w:rPr>
          <w:spacing w:val="-17"/>
        </w:rPr>
        <w:t> </w:t>
      </w:r>
      <w:r>
        <w:rPr/>
        <w:t>donde</w:t>
      </w:r>
      <w:r>
        <w:rPr>
          <w:spacing w:val="-16"/>
        </w:rPr>
        <w:t> </w:t>
      </w:r>
      <w:r>
        <w:rPr/>
        <w:t>los</w:t>
      </w:r>
      <w:r>
        <w:rPr>
          <w:spacing w:val="-17"/>
        </w:rPr>
        <w:t> </w:t>
      </w:r>
      <w:r>
        <w:rPr/>
        <w:t>economistas</w:t>
      </w:r>
      <w:r>
        <w:rPr>
          <w:spacing w:val="-15"/>
        </w:rPr>
        <w:t> </w:t>
      </w:r>
      <w:r>
        <w:rPr/>
        <w:t>del</w:t>
      </w:r>
      <w:r>
        <w:rPr>
          <w:spacing w:val="-15"/>
        </w:rPr>
        <w:t> </w:t>
      </w:r>
      <w:r>
        <w:rPr/>
        <w:t>siglo</w:t>
      </w:r>
      <w:r>
        <w:rPr>
          <w:spacing w:val="-14"/>
        </w:rPr>
        <w:t> </w:t>
      </w:r>
      <w:r>
        <w:rPr/>
        <w:t>XIX</w:t>
      </w:r>
      <w:r>
        <w:rPr>
          <w:spacing w:val="-16"/>
        </w:rPr>
        <w:t> </w:t>
      </w:r>
      <w:r>
        <w:rPr/>
        <w:t>utilizaron</w:t>
      </w:r>
      <w:r>
        <w:rPr>
          <w:spacing w:val="-14"/>
        </w:rPr>
        <w:t> </w:t>
      </w:r>
      <w:r>
        <w:rPr/>
        <w:t>conceptos tales como el valor, utilidad, preferencias, curvas de indiferencia, donde estos fueron la aportación de autores como Adam Smith principalmente, sin embargo, cabe señalar que Jevons y Marshall elaboraron los conceptos de utilidad cardinal y ordinal. James Bernoulli señaló las leyes de adición y multiplicación de las probabilidades</w:t>
      </w:r>
      <w:r>
        <w:rPr>
          <w:spacing w:val="-14"/>
        </w:rPr>
        <w:t> </w:t>
      </w:r>
      <w:r>
        <w:rPr/>
        <w:t>y</w:t>
      </w:r>
      <w:r>
        <w:rPr>
          <w:spacing w:val="-15"/>
        </w:rPr>
        <w:t> </w:t>
      </w:r>
      <w:r>
        <w:rPr/>
        <w:t>el</w:t>
      </w:r>
      <w:r>
        <w:rPr>
          <w:spacing w:val="-13"/>
        </w:rPr>
        <w:t> </w:t>
      </w:r>
      <w:r>
        <w:rPr/>
        <w:t>primero</w:t>
      </w:r>
      <w:r>
        <w:rPr>
          <w:spacing w:val="-15"/>
        </w:rPr>
        <w:t> </w:t>
      </w:r>
      <w:r>
        <w:rPr/>
        <w:t>que</w:t>
      </w:r>
      <w:r>
        <w:rPr>
          <w:spacing w:val="-12"/>
        </w:rPr>
        <w:t> </w:t>
      </w:r>
      <w:r>
        <w:rPr/>
        <w:t>proporcionó</w:t>
      </w:r>
      <w:r>
        <w:rPr>
          <w:spacing w:val="-10"/>
        </w:rPr>
        <w:t> </w:t>
      </w:r>
      <w:r>
        <w:rPr/>
        <w:t>una</w:t>
      </w:r>
      <w:r>
        <w:rPr>
          <w:spacing w:val="-16"/>
        </w:rPr>
        <w:t> </w:t>
      </w:r>
      <w:r>
        <w:rPr/>
        <w:t>fórmula</w:t>
      </w:r>
      <w:r>
        <w:rPr>
          <w:spacing w:val="-12"/>
        </w:rPr>
        <w:t> </w:t>
      </w:r>
      <w:r>
        <w:rPr/>
        <w:t>general</w:t>
      </w:r>
      <w:r>
        <w:rPr>
          <w:spacing w:val="-15"/>
        </w:rPr>
        <w:t> </w:t>
      </w:r>
      <w:r>
        <w:rPr/>
        <w:t>para</w:t>
      </w:r>
      <w:r>
        <w:rPr>
          <w:spacing w:val="-12"/>
        </w:rPr>
        <w:t> </w:t>
      </w:r>
      <w:r>
        <w:rPr/>
        <w:t>experimentos binomiales.</w:t>
      </w:r>
      <w:r>
        <w:rPr>
          <w:spacing w:val="-10"/>
        </w:rPr>
        <w:t> </w:t>
      </w:r>
      <w:r>
        <w:rPr/>
        <w:t>Se</w:t>
      </w:r>
      <w:r>
        <w:rPr>
          <w:spacing w:val="-11"/>
        </w:rPr>
        <w:t> </w:t>
      </w:r>
      <w:r>
        <w:rPr/>
        <w:t>puede</w:t>
      </w:r>
      <w:r>
        <w:rPr>
          <w:spacing w:val="-12"/>
        </w:rPr>
        <w:t> </w:t>
      </w:r>
      <w:r>
        <w:rPr/>
        <w:t>seguir</w:t>
      </w:r>
      <w:r>
        <w:rPr>
          <w:spacing w:val="-13"/>
        </w:rPr>
        <w:t> </w:t>
      </w:r>
      <w:r>
        <w:rPr/>
        <w:t>enumerando</w:t>
      </w:r>
      <w:r>
        <w:rPr>
          <w:spacing w:val="-11"/>
        </w:rPr>
        <w:t> </w:t>
      </w:r>
      <w:r>
        <w:rPr/>
        <w:t>a</w:t>
      </w:r>
      <w:r>
        <w:rPr>
          <w:spacing w:val="-11"/>
        </w:rPr>
        <w:t> </w:t>
      </w:r>
      <w:r>
        <w:rPr/>
        <w:t>cada</w:t>
      </w:r>
      <w:r>
        <w:rPr>
          <w:spacing w:val="-11"/>
        </w:rPr>
        <w:t> </w:t>
      </w:r>
      <w:r>
        <w:rPr/>
        <w:t>uno</w:t>
      </w:r>
      <w:r>
        <w:rPr>
          <w:spacing w:val="-11"/>
        </w:rPr>
        <w:t> </w:t>
      </w:r>
      <w:r>
        <w:rPr/>
        <w:t>de</w:t>
      </w:r>
      <w:r>
        <w:rPr>
          <w:spacing w:val="-11"/>
        </w:rPr>
        <w:t> </w:t>
      </w:r>
      <w:r>
        <w:rPr/>
        <w:t>los</w:t>
      </w:r>
      <w:r>
        <w:rPr>
          <w:spacing w:val="-11"/>
        </w:rPr>
        <w:t> </w:t>
      </w:r>
      <w:r>
        <w:rPr/>
        <w:t>teóricos,</w:t>
      </w:r>
      <w:r>
        <w:rPr>
          <w:spacing w:val="-10"/>
        </w:rPr>
        <w:t> </w:t>
      </w:r>
      <w:r>
        <w:rPr/>
        <w:t>que</w:t>
      </w:r>
      <w:r>
        <w:rPr>
          <w:spacing w:val="-11"/>
        </w:rPr>
        <w:t> </w:t>
      </w:r>
      <w:r>
        <w:rPr/>
        <w:t>aportaron a</w:t>
      </w:r>
      <w:r>
        <w:rPr>
          <w:spacing w:val="-7"/>
        </w:rPr>
        <w:t> </w:t>
      </w:r>
      <w:r>
        <w:rPr/>
        <w:t>las</w:t>
      </w:r>
      <w:r>
        <w:rPr>
          <w:spacing w:val="-10"/>
        </w:rPr>
        <w:t> </w:t>
      </w:r>
      <w:r>
        <w:rPr/>
        <w:t>corrientes</w:t>
      </w:r>
      <w:r>
        <w:rPr>
          <w:spacing w:val="-10"/>
        </w:rPr>
        <w:t> </w:t>
      </w:r>
      <w:r>
        <w:rPr/>
        <w:t>bajo</w:t>
      </w:r>
      <w:r>
        <w:rPr>
          <w:spacing w:val="-10"/>
        </w:rPr>
        <w:t> </w:t>
      </w:r>
      <w:r>
        <w:rPr/>
        <w:t>las</w:t>
      </w:r>
      <w:r>
        <w:rPr>
          <w:spacing w:val="-8"/>
        </w:rPr>
        <w:t> </w:t>
      </w:r>
      <w:r>
        <w:rPr/>
        <w:t>cuales</w:t>
      </w:r>
      <w:r>
        <w:rPr>
          <w:spacing w:val="-8"/>
        </w:rPr>
        <w:t> </w:t>
      </w:r>
      <w:r>
        <w:rPr/>
        <w:t>se</w:t>
      </w:r>
      <w:r>
        <w:rPr>
          <w:spacing w:val="-7"/>
        </w:rPr>
        <w:t> </w:t>
      </w:r>
      <w:r>
        <w:rPr/>
        <w:t>originó</w:t>
      </w:r>
      <w:r>
        <w:rPr>
          <w:spacing w:val="-6"/>
        </w:rPr>
        <w:t> </w:t>
      </w:r>
      <w:r>
        <w:rPr/>
        <w:t>la</w:t>
      </w:r>
      <w:r>
        <w:rPr>
          <w:spacing w:val="-10"/>
        </w:rPr>
        <w:t> </w:t>
      </w:r>
      <w:r>
        <w:rPr/>
        <w:t>teoría</w:t>
      </w:r>
      <w:r>
        <w:rPr>
          <w:spacing w:val="-7"/>
        </w:rPr>
        <w:t> </w:t>
      </w:r>
      <w:r>
        <w:rPr/>
        <w:t>de</w:t>
      </w:r>
      <w:r>
        <w:rPr>
          <w:spacing w:val="-9"/>
        </w:rPr>
        <w:t> </w:t>
      </w:r>
      <w:r>
        <w:rPr/>
        <w:t>la</w:t>
      </w:r>
      <w:r>
        <w:rPr>
          <w:spacing w:val="-10"/>
        </w:rPr>
        <w:t> </w:t>
      </w:r>
      <w:r>
        <w:rPr/>
        <w:t>decisión,</w:t>
      </w:r>
      <w:r>
        <w:rPr>
          <w:spacing w:val="-10"/>
        </w:rPr>
        <w:t> </w:t>
      </w:r>
      <w:r>
        <w:rPr/>
        <w:t>pero</w:t>
      </w:r>
      <w:r>
        <w:rPr>
          <w:spacing w:val="-8"/>
        </w:rPr>
        <w:t> </w:t>
      </w:r>
      <w:r>
        <w:rPr/>
        <w:t>lo</w:t>
      </w:r>
      <w:r>
        <w:rPr>
          <w:spacing w:val="-10"/>
        </w:rPr>
        <w:t> </w:t>
      </w:r>
      <w:r>
        <w:rPr/>
        <w:t>importante en su texto del autor citado es que la combinación de estas teorías da paso a</w:t>
      </w:r>
      <w:r>
        <w:rPr>
          <w:spacing w:val="-40"/>
        </w:rPr>
        <w:t> </w:t>
      </w:r>
      <w:r>
        <w:rPr/>
        <w:t>tener instrumentos que coadyuven a una adecuada percepción sobre la solución de los problemas</w:t>
      </w:r>
      <w:r>
        <w:rPr>
          <w:spacing w:val="-4"/>
        </w:rPr>
        <w:t> </w:t>
      </w:r>
      <w:r>
        <w:rPr/>
        <w:t>reales.</w:t>
      </w:r>
    </w:p>
    <w:p>
      <w:pPr>
        <w:pStyle w:val="BodyText"/>
        <w:spacing w:line="360" w:lineRule="auto" w:before="204"/>
        <w:ind w:left="102" w:right="121"/>
        <w:jc w:val="both"/>
      </w:pPr>
      <w:r>
        <w:rPr/>
        <w:t>El contenido de la teoría de las decisiones se subdivide aún más, si las decisiones se toman en condiciones de certidumbre, riesgo o incertidumbre.</w:t>
      </w:r>
    </w:p>
    <w:p>
      <w:pPr>
        <w:spacing w:before="204"/>
        <w:ind w:left="954" w:right="0" w:firstLine="0"/>
        <w:jc w:val="left"/>
        <w:rPr>
          <w:sz w:val="22"/>
        </w:rPr>
      </w:pPr>
      <w:r>
        <w:rPr>
          <w:sz w:val="22"/>
        </w:rPr>
        <w:t>La toma de una decisión ocurre en condiciones de certidumbre si cada curso de acción posible conduce invariablemente hacia un resultado específico; ocurre  en</w:t>
      </w:r>
    </w:p>
    <w:p>
      <w:pPr>
        <w:spacing w:after="0"/>
        <w:jc w:val="left"/>
        <w:rPr>
          <w:sz w:val="22"/>
        </w:rPr>
        <w:sectPr>
          <w:pgSz w:w="12240" w:h="15840"/>
          <w:pgMar w:header="0" w:footer="992" w:top="1360" w:bottom="1180" w:left="1600" w:right="1580"/>
        </w:sectPr>
      </w:pPr>
    </w:p>
    <w:p>
      <w:pPr>
        <w:spacing w:before="53"/>
        <w:ind w:left="954" w:right="115" w:firstLine="0"/>
        <w:jc w:val="both"/>
        <w:rPr>
          <w:sz w:val="22"/>
        </w:rPr>
      </w:pPr>
      <w:r>
        <w:rPr>
          <w:sz w:val="22"/>
        </w:rPr>
        <w:t>condiciones de riesgo, si cada alternativa posible conduce hacia una gama conocida de resultados específicos con probabilidades conocidas; finalmente,</w:t>
      </w:r>
      <w:r>
        <w:rPr>
          <w:spacing w:val="-29"/>
          <w:sz w:val="22"/>
        </w:rPr>
        <w:t> </w:t>
      </w:r>
      <w:r>
        <w:rPr>
          <w:sz w:val="22"/>
        </w:rPr>
        <w:t>nos hallamos</w:t>
      </w:r>
      <w:r>
        <w:rPr>
          <w:spacing w:val="-5"/>
          <w:sz w:val="22"/>
        </w:rPr>
        <w:t> </w:t>
      </w:r>
      <w:r>
        <w:rPr>
          <w:sz w:val="22"/>
        </w:rPr>
        <w:t>en</w:t>
      </w:r>
      <w:r>
        <w:rPr>
          <w:spacing w:val="-7"/>
          <w:sz w:val="22"/>
        </w:rPr>
        <w:t> </w:t>
      </w:r>
      <w:r>
        <w:rPr>
          <w:sz w:val="22"/>
        </w:rPr>
        <w:t>condiciones</w:t>
      </w:r>
      <w:r>
        <w:rPr>
          <w:spacing w:val="-7"/>
          <w:sz w:val="22"/>
        </w:rPr>
        <w:t> </w:t>
      </w:r>
      <w:r>
        <w:rPr>
          <w:sz w:val="22"/>
        </w:rPr>
        <w:t>de</w:t>
      </w:r>
      <w:r>
        <w:rPr>
          <w:spacing w:val="-7"/>
          <w:sz w:val="22"/>
        </w:rPr>
        <w:t> </w:t>
      </w:r>
      <w:r>
        <w:rPr>
          <w:sz w:val="22"/>
        </w:rPr>
        <w:t>incertidumbre</w:t>
      </w:r>
      <w:r>
        <w:rPr>
          <w:spacing w:val="-7"/>
          <w:sz w:val="22"/>
        </w:rPr>
        <w:t> </w:t>
      </w:r>
      <w:r>
        <w:rPr>
          <w:sz w:val="22"/>
        </w:rPr>
        <w:t>cuando</w:t>
      </w:r>
      <w:r>
        <w:rPr>
          <w:spacing w:val="-5"/>
          <w:sz w:val="22"/>
        </w:rPr>
        <w:t> </w:t>
      </w:r>
      <w:r>
        <w:rPr>
          <w:sz w:val="22"/>
        </w:rPr>
        <w:t>las</w:t>
      </w:r>
      <w:r>
        <w:rPr>
          <w:spacing w:val="-7"/>
          <w:sz w:val="22"/>
        </w:rPr>
        <w:t> </w:t>
      </w:r>
      <w:r>
        <w:rPr>
          <w:sz w:val="22"/>
        </w:rPr>
        <w:t>probabilidades</w:t>
      </w:r>
      <w:r>
        <w:rPr>
          <w:spacing w:val="-7"/>
          <w:sz w:val="22"/>
        </w:rPr>
        <w:t> </w:t>
      </w:r>
      <w:r>
        <w:rPr>
          <w:sz w:val="22"/>
        </w:rPr>
        <w:t>de</w:t>
      </w:r>
      <w:r>
        <w:rPr>
          <w:spacing w:val="-7"/>
          <w:sz w:val="22"/>
        </w:rPr>
        <w:t> </w:t>
      </w:r>
      <w:r>
        <w:rPr>
          <w:sz w:val="22"/>
        </w:rPr>
        <w:t>los</w:t>
      </w:r>
      <w:r>
        <w:rPr>
          <w:spacing w:val="-5"/>
          <w:sz w:val="22"/>
        </w:rPr>
        <w:t> </w:t>
      </w:r>
      <w:r>
        <w:rPr>
          <w:sz w:val="22"/>
        </w:rPr>
        <w:t>varios resultados específicos son totalmente desconocidas o carecen de sentido (Rheault, 1977:</w:t>
      </w:r>
      <w:r>
        <w:rPr>
          <w:spacing w:val="-6"/>
          <w:sz w:val="22"/>
        </w:rPr>
        <w:t> </w:t>
      </w:r>
      <w:r>
        <w:rPr>
          <w:sz w:val="22"/>
        </w:rPr>
        <w:t>19).</w:t>
      </w:r>
    </w:p>
    <w:p>
      <w:pPr>
        <w:pStyle w:val="BodyText"/>
        <w:rPr>
          <w:sz w:val="22"/>
        </w:rPr>
      </w:pPr>
    </w:p>
    <w:p>
      <w:pPr>
        <w:pStyle w:val="BodyText"/>
        <w:rPr>
          <w:sz w:val="22"/>
        </w:rPr>
      </w:pPr>
    </w:p>
    <w:p>
      <w:pPr>
        <w:pStyle w:val="BodyText"/>
        <w:spacing w:line="360" w:lineRule="auto" w:before="148"/>
        <w:ind w:left="102" w:right="118"/>
        <w:jc w:val="both"/>
      </w:pPr>
      <w:r>
        <w:rPr/>
        <w:t>Las aplicaciones de la teoría de la decisión abarcan desde las especulaciones abstractas de los filósofos acerca de agentes idealmente racionales hasta los consejos</w:t>
      </w:r>
      <w:r>
        <w:rPr>
          <w:spacing w:val="-11"/>
        </w:rPr>
        <w:t> </w:t>
      </w:r>
      <w:r>
        <w:rPr/>
        <w:t>prácticos</w:t>
      </w:r>
      <w:r>
        <w:rPr>
          <w:spacing w:val="-11"/>
        </w:rPr>
        <w:t> </w:t>
      </w:r>
      <w:r>
        <w:rPr/>
        <w:t>de</w:t>
      </w:r>
      <w:r>
        <w:rPr>
          <w:spacing w:val="-11"/>
        </w:rPr>
        <w:t> </w:t>
      </w:r>
      <w:r>
        <w:rPr/>
        <w:t>los</w:t>
      </w:r>
      <w:r>
        <w:rPr>
          <w:spacing w:val="-9"/>
        </w:rPr>
        <w:t> </w:t>
      </w:r>
      <w:r>
        <w:rPr/>
        <w:t>analistas</w:t>
      </w:r>
      <w:r>
        <w:rPr>
          <w:spacing w:val="-12"/>
        </w:rPr>
        <w:t> </w:t>
      </w:r>
      <w:r>
        <w:rPr/>
        <w:t>de</w:t>
      </w:r>
      <w:r>
        <w:rPr>
          <w:spacing w:val="-11"/>
        </w:rPr>
        <w:t> </w:t>
      </w:r>
      <w:r>
        <w:rPr/>
        <w:t>decisión</w:t>
      </w:r>
      <w:r>
        <w:rPr>
          <w:spacing w:val="-11"/>
        </w:rPr>
        <w:t> </w:t>
      </w:r>
      <w:r>
        <w:rPr/>
        <w:t>formados</w:t>
      </w:r>
      <w:r>
        <w:rPr>
          <w:spacing w:val="-9"/>
        </w:rPr>
        <w:t> </w:t>
      </w:r>
      <w:r>
        <w:rPr/>
        <w:t>en</w:t>
      </w:r>
      <w:r>
        <w:rPr>
          <w:spacing w:val="-8"/>
        </w:rPr>
        <w:t> </w:t>
      </w:r>
      <w:r>
        <w:rPr/>
        <w:t>estudios</w:t>
      </w:r>
      <w:r>
        <w:rPr>
          <w:spacing w:val="-9"/>
        </w:rPr>
        <w:t> </w:t>
      </w:r>
      <w:r>
        <w:rPr/>
        <w:t>empresariales de los sectores</w:t>
      </w:r>
      <w:r>
        <w:rPr>
          <w:spacing w:val="-9"/>
        </w:rPr>
        <w:t> </w:t>
      </w:r>
      <w:r>
        <w:rPr/>
        <w:t>privados.</w:t>
      </w:r>
    </w:p>
    <w:p>
      <w:pPr>
        <w:pStyle w:val="BodyText"/>
        <w:spacing w:line="360" w:lineRule="auto" w:before="205"/>
        <w:ind w:left="102" w:right="117"/>
        <w:jc w:val="both"/>
      </w:pPr>
      <w:r>
        <w:rPr/>
        <w:t>Los</w:t>
      </w:r>
      <w:r>
        <w:rPr>
          <w:spacing w:val="-8"/>
        </w:rPr>
        <w:t> </w:t>
      </w:r>
      <w:r>
        <w:rPr/>
        <w:t>teóricos</w:t>
      </w:r>
      <w:r>
        <w:rPr>
          <w:spacing w:val="-8"/>
        </w:rPr>
        <w:t> </w:t>
      </w:r>
      <w:r>
        <w:rPr/>
        <w:t>de</w:t>
      </w:r>
      <w:r>
        <w:rPr>
          <w:spacing w:val="-7"/>
        </w:rPr>
        <w:t> </w:t>
      </w:r>
      <w:r>
        <w:rPr/>
        <w:t>la</w:t>
      </w:r>
      <w:r>
        <w:rPr>
          <w:spacing w:val="-10"/>
        </w:rPr>
        <w:t> </w:t>
      </w:r>
      <w:r>
        <w:rPr/>
        <w:t>decisión</w:t>
      </w:r>
      <w:r>
        <w:rPr>
          <w:spacing w:val="-4"/>
        </w:rPr>
        <w:t> </w:t>
      </w:r>
      <w:r>
        <w:rPr/>
        <w:t>con</w:t>
      </w:r>
      <w:r>
        <w:rPr>
          <w:spacing w:val="-9"/>
        </w:rPr>
        <w:t> </w:t>
      </w:r>
      <w:r>
        <w:rPr/>
        <w:t>marcada</w:t>
      </w:r>
      <w:r>
        <w:rPr>
          <w:spacing w:val="-7"/>
        </w:rPr>
        <w:t> </w:t>
      </w:r>
      <w:r>
        <w:rPr/>
        <w:t>inclinación</w:t>
      </w:r>
      <w:r>
        <w:rPr>
          <w:spacing w:val="-9"/>
        </w:rPr>
        <w:t> </w:t>
      </w:r>
      <w:r>
        <w:rPr/>
        <w:t>matemática</w:t>
      </w:r>
      <w:r>
        <w:rPr>
          <w:spacing w:val="-7"/>
        </w:rPr>
        <w:t> </w:t>
      </w:r>
      <w:r>
        <w:rPr/>
        <w:t>prefieren</w:t>
      </w:r>
      <w:r>
        <w:rPr>
          <w:spacing w:val="-7"/>
        </w:rPr>
        <w:t> </w:t>
      </w:r>
      <w:r>
        <w:rPr/>
        <w:t>investigar las consecuencias lógicas de las distintas reglas que se aplican a </w:t>
      </w:r>
      <w:r>
        <w:rPr>
          <w:spacing w:val="3"/>
        </w:rPr>
        <w:t>la </w:t>
      </w:r>
      <w:r>
        <w:rPr/>
        <w:t>toma de decisiones, o explorar las características matemáticas de las diferentes descripciones del comportamiento racional. En cambio, los científicos sociales que se interesan por la teoría de la decisión llevan a cabo con frecuencia experimentos o estudios sociales con el propósito de descubrir cómo se comportan las personas en la vida cuando se adoptan las</w:t>
      </w:r>
      <w:r>
        <w:rPr>
          <w:spacing w:val="-15"/>
        </w:rPr>
        <w:t> </w:t>
      </w:r>
      <w:r>
        <w:rPr/>
        <w:t>decisiones.</w:t>
      </w:r>
    </w:p>
    <w:p>
      <w:pPr>
        <w:pStyle w:val="BodyText"/>
        <w:spacing w:line="360" w:lineRule="auto" w:before="204"/>
        <w:ind w:left="102" w:right="119"/>
        <w:jc w:val="both"/>
      </w:pPr>
      <w:r>
        <w:rPr/>
        <w:t>En la realidad existe una amplia gama de investigaciones, que suelen dividir en tantas partes la teoría de la decisión, por lo tanto retomando a Resnik (1998), sugiere los términos “experimental” y “abstracta” para denominar los dos tipos de investigación teórica de la decisión.</w:t>
      </w:r>
    </w:p>
    <w:p>
      <w:pPr>
        <w:spacing w:before="204"/>
        <w:ind w:left="954" w:right="115" w:firstLine="0"/>
        <w:jc w:val="both"/>
        <w:rPr>
          <w:sz w:val="22"/>
        </w:rPr>
      </w:pPr>
      <w:r>
        <w:rPr>
          <w:sz w:val="22"/>
        </w:rPr>
        <w:t>(…) se suele dividir en dos ramas principales: la teoría de la decisión normativa</w:t>
      </w:r>
      <w:r>
        <w:rPr>
          <w:spacing w:val="-34"/>
          <w:sz w:val="22"/>
        </w:rPr>
        <w:t> </w:t>
      </w:r>
      <w:r>
        <w:rPr>
          <w:sz w:val="22"/>
        </w:rPr>
        <w:t>(o prescriptiva) y la teoría de la decisión descriptiva. Los teóricos de la decisión descriptiva buscan descubrir cómo </w:t>
      </w:r>
      <w:r>
        <w:rPr>
          <w:i/>
          <w:sz w:val="22"/>
        </w:rPr>
        <w:t>se toman </w:t>
      </w:r>
      <w:r>
        <w:rPr>
          <w:sz w:val="22"/>
        </w:rPr>
        <w:t>las decisiones, es decir, se dedican a investigarnos a nosotros, los comunes mortales. De sus colegas en teoría de la decisión normativa se espera en cambio que prescriban cómo </w:t>
      </w:r>
      <w:r>
        <w:rPr>
          <w:i/>
          <w:sz w:val="22"/>
        </w:rPr>
        <w:t>se deberían tomar </w:t>
      </w:r>
      <w:r>
        <w:rPr>
          <w:sz w:val="22"/>
        </w:rPr>
        <w:t>decisiones, es decir, que estudien los agentes idealmente racionales (Resnik, 1998:</w:t>
      </w:r>
      <w:r>
        <w:rPr>
          <w:spacing w:val="-3"/>
          <w:sz w:val="22"/>
        </w:rPr>
        <w:t> </w:t>
      </w:r>
      <w:r>
        <w:rPr>
          <w:sz w:val="22"/>
        </w:rPr>
        <w:t>19-20).</w:t>
      </w:r>
    </w:p>
    <w:p>
      <w:pPr>
        <w:pStyle w:val="BodyText"/>
        <w:rPr>
          <w:sz w:val="22"/>
        </w:rPr>
      </w:pPr>
    </w:p>
    <w:p>
      <w:pPr>
        <w:pStyle w:val="BodyText"/>
        <w:rPr>
          <w:sz w:val="22"/>
        </w:rPr>
      </w:pPr>
    </w:p>
    <w:p>
      <w:pPr>
        <w:pStyle w:val="BodyText"/>
        <w:spacing w:line="360" w:lineRule="auto" w:before="148"/>
        <w:ind w:left="102" w:right="118"/>
        <w:jc w:val="both"/>
      </w:pPr>
      <w:r>
        <w:rPr/>
        <w:t>Otra importante división dentro de la teoría de la decisión es la que distingue entre las</w:t>
      </w:r>
      <w:r>
        <w:rPr>
          <w:spacing w:val="-5"/>
        </w:rPr>
        <w:t> </w:t>
      </w:r>
      <w:r>
        <w:rPr/>
        <w:t>decisiones</w:t>
      </w:r>
      <w:r>
        <w:rPr>
          <w:spacing w:val="-5"/>
        </w:rPr>
        <w:t> </w:t>
      </w:r>
      <w:r>
        <w:rPr/>
        <w:t>realizadas</w:t>
      </w:r>
      <w:r>
        <w:rPr>
          <w:spacing w:val="-5"/>
        </w:rPr>
        <w:t> </w:t>
      </w:r>
      <w:r>
        <w:rPr/>
        <w:t>por</w:t>
      </w:r>
      <w:r>
        <w:rPr>
          <w:spacing w:val="-3"/>
        </w:rPr>
        <w:t> </w:t>
      </w:r>
      <w:r>
        <w:rPr>
          <w:u w:val="single"/>
        </w:rPr>
        <w:t>individuos</w:t>
      </w:r>
      <w:r>
        <w:rPr>
          <w:spacing w:val="-5"/>
          <w:u w:val="single"/>
        </w:rPr>
        <w:t> </w:t>
      </w:r>
      <w:r>
        <w:rPr/>
        <w:t>y</w:t>
      </w:r>
      <w:r>
        <w:rPr>
          <w:spacing w:val="-8"/>
        </w:rPr>
        <w:t> </w:t>
      </w:r>
      <w:r>
        <w:rPr/>
        <w:t>las</w:t>
      </w:r>
      <w:r>
        <w:rPr>
          <w:spacing w:val="-7"/>
        </w:rPr>
        <w:t> </w:t>
      </w:r>
      <w:r>
        <w:rPr/>
        <w:t>realizadas</w:t>
      </w:r>
      <w:r>
        <w:rPr>
          <w:spacing w:val="-4"/>
        </w:rPr>
        <w:t> </w:t>
      </w:r>
      <w:r>
        <w:rPr>
          <w:u w:val="single"/>
        </w:rPr>
        <w:t>por</w:t>
      </w:r>
      <w:r>
        <w:rPr>
          <w:spacing w:val="-6"/>
          <w:u w:val="single"/>
        </w:rPr>
        <w:t> </w:t>
      </w:r>
      <w:r>
        <w:rPr>
          <w:u w:val="single"/>
        </w:rPr>
        <w:t>grupos</w:t>
      </w:r>
      <w:r>
        <w:rPr/>
        <w:t>.</w:t>
      </w:r>
      <w:r>
        <w:rPr>
          <w:spacing w:val="-7"/>
        </w:rPr>
        <w:t> </w:t>
      </w:r>
      <w:r>
        <w:rPr/>
        <w:t>La</w:t>
      </w:r>
      <w:r>
        <w:rPr>
          <w:spacing w:val="-7"/>
        </w:rPr>
        <w:t> </w:t>
      </w:r>
      <w:r>
        <w:rPr/>
        <w:t>mayoría</w:t>
      </w:r>
      <w:r>
        <w:rPr>
          <w:spacing w:val="-5"/>
        </w:rPr>
        <w:t> </w:t>
      </w:r>
      <w:r>
        <w:rPr/>
        <w:t>del trabajo realizado en teoría de la decisión de grupo se ha ocupado hasta ahora de desarrollar</w:t>
      </w:r>
      <w:r>
        <w:rPr>
          <w:spacing w:val="-18"/>
        </w:rPr>
        <w:t> </w:t>
      </w:r>
      <w:r>
        <w:rPr/>
        <w:t>líneas</w:t>
      </w:r>
      <w:r>
        <w:rPr>
          <w:spacing w:val="-17"/>
        </w:rPr>
        <w:t> </w:t>
      </w:r>
      <w:r>
        <w:rPr/>
        <w:t>de</w:t>
      </w:r>
      <w:r>
        <w:rPr>
          <w:spacing w:val="-17"/>
        </w:rPr>
        <w:t> </w:t>
      </w:r>
      <w:r>
        <w:rPr/>
        <w:t>conducta</w:t>
      </w:r>
      <w:r>
        <w:rPr>
          <w:spacing w:val="-17"/>
        </w:rPr>
        <w:t> </w:t>
      </w:r>
      <w:r>
        <w:rPr/>
        <w:t>comunes</w:t>
      </w:r>
      <w:r>
        <w:rPr>
          <w:spacing w:val="-17"/>
        </w:rPr>
        <w:t> </w:t>
      </w:r>
      <w:r>
        <w:rPr/>
        <w:t>que</w:t>
      </w:r>
      <w:r>
        <w:rPr>
          <w:spacing w:val="-17"/>
        </w:rPr>
        <w:t> </w:t>
      </w:r>
      <w:r>
        <w:rPr/>
        <w:t>rijan</w:t>
      </w:r>
      <w:r>
        <w:rPr>
          <w:spacing w:val="-16"/>
        </w:rPr>
        <w:t> </w:t>
      </w:r>
      <w:r>
        <w:rPr/>
        <w:t>para</w:t>
      </w:r>
      <w:r>
        <w:rPr>
          <w:spacing w:val="-17"/>
        </w:rPr>
        <w:t> </w:t>
      </w:r>
      <w:r>
        <w:rPr/>
        <w:t>todos</w:t>
      </w:r>
      <w:r>
        <w:rPr>
          <w:spacing w:val="-17"/>
        </w:rPr>
        <w:t> </w:t>
      </w:r>
      <w:r>
        <w:rPr/>
        <w:t>los</w:t>
      </w:r>
      <w:r>
        <w:rPr>
          <w:spacing w:val="-19"/>
        </w:rPr>
        <w:t> </w:t>
      </w:r>
      <w:r>
        <w:rPr/>
        <w:t>miembros</w:t>
      </w:r>
      <w:r>
        <w:rPr>
          <w:spacing w:val="-17"/>
        </w:rPr>
        <w:t> </w:t>
      </w:r>
      <w:r>
        <w:rPr/>
        <w:t>del</w:t>
      </w:r>
      <w:r>
        <w:rPr>
          <w:spacing w:val="-18"/>
        </w:rPr>
        <w:t> </w:t>
      </w:r>
      <w:r>
        <w:rPr/>
        <w:t>grupo</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y también de distribuir los recursos dentro del grupo de una manera justa. “En cambio, la teoría de la decisión individual se ha concentrado en estudiar cómo los individuos pueden promocionar sus intereses personales, cualesquiera que éstos sean” (Resnik, 1998: 23).</w:t>
      </w:r>
    </w:p>
    <w:p>
      <w:pPr>
        <w:pStyle w:val="BodyText"/>
        <w:spacing w:line="360" w:lineRule="auto" w:before="204"/>
        <w:ind w:left="102" w:right="118"/>
        <w:jc w:val="both"/>
      </w:pPr>
      <w:r>
        <w:rPr/>
        <w:t>Durante largo tiempo los economistas y otros científicos han venido desarrollando teorías matemáticas acerca de la forma en que la gente elige entre alternativas deseables, que se basan en las corrientes ya citadas por Rehault (1977). Estas teorías</w:t>
      </w:r>
      <w:r>
        <w:rPr>
          <w:spacing w:val="-17"/>
        </w:rPr>
        <w:t> </w:t>
      </w:r>
      <w:r>
        <w:rPr/>
        <w:t>se</w:t>
      </w:r>
      <w:r>
        <w:rPr>
          <w:spacing w:val="-17"/>
        </w:rPr>
        <w:t> </w:t>
      </w:r>
      <w:r>
        <w:rPr/>
        <w:t>centran</w:t>
      </w:r>
      <w:r>
        <w:rPr>
          <w:spacing w:val="-19"/>
        </w:rPr>
        <w:t> </w:t>
      </w:r>
      <w:r>
        <w:rPr/>
        <w:t>en</w:t>
      </w:r>
      <w:r>
        <w:rPr>
          <w:spacing w:val="-17"/>
        </w:rPr>
        <w:t> </w:t>
      </w:r>
      <w:r>
        <w:rPr/>
        <w:t>la</w:t>
      </w:r>
      <w:r>
        <w:rPr>
          <w:spacing w:val="-19"/>
        </w:rPr>
        <w:t> </w:t>
      </w:r>
      <w:r>
        <w:rPr/>
        <w:t>noción</w:t>
      </w:r>
      <w:r>
        <w:rPr>
          <w:spacing w:val="-17"/>
        </w:rPr>
        <w:t> </w:t>
      </w:r>
      <w:r>
        <w:rPr/>
        <w:t>del</w:t>
      </w:r>
      <w:r>
        <w:rPr>
          <w:spacing w:val="-18"/>
        </w:rPr>
        <w:t> </w:t>
      </w:r>
      <w:r>
        <w:rPr/>
        <w:t>valor</w:t>
      </w:r>
      <w:r>
        <w:rPr>
          <w:spacing w:val="-18"/>
        </w:rPr>
        <w:t> </w:t>
      </w:r>
      <w:r>
        <w:rPr/>
        <w:t>subjetivo,</w:t>
      </w:r>
      <w:r>
        <w:rPr>
          <w:spacing w:val="-17"/>
        </w:rPr>
        <w:t> </w:t>
      </w:r>
      <w:r>
        <w:rPr/>
        <w:t>o</w:t>
      </w:r>
      <w:r>
        <w:rPr>
          <w:spacing w:val="-17"/>
        </w:rPr>
        <w:t> </w:t>
      </w:r>
      <w:r>
        <w:rPr/>
        <w:t>utilidad,</w:t>
      </w:r>
      <w:r>
        <w:rPr>
          <w:spacing w:val="-19"/>
        </w:rPr>
        <w:t> </w:t>
      </w:r>
      <w:r>
        <w:rPr/>
        <w:t>de</w:t>
      </w:r>
      <w:r>
        <w:rPr>
          <w:spacing w:val="-19"/>
        </w:rPr>
        <w:t> </w:t>
      </w:r>
      <w:r>
        <w:rPr/>
        <w:t>las</w:t>
      </w:r>
      <w:r>
        <w:rPr>
          <w:spacing w:val="-17"/>
        </w:rPr>
        <w:t> </w:t>
      </w:r>
      <w:r>
        <w:rPr/>
        <w:t>alternativas</w:t>
      </w:r>
      <w:r>
        <w:rPr>
          <w:spacing w:val="-17"/>
        </w:rPr>
        <w:t> </w:t>
      </w:r>
      <w:r>
        <w:rPr/>
        <w:t>entre las que debe escoger quien decide. Estas suponen que la gente se comporta en forma racional, que tienen preferencias transitivas y escoge tratando de maximizar la utilidad o la utilidad</w:t>
      </w:r>
      <w:r>
        <w:rPr>
          <w:spacing w:val="-12"/>
        </w:rPr>
        <w:t> </w:t>
      </w:r>
      <w:r>
        <w:rPr/>
        <w:t>esperada.</w:t>
      </w:r>
    </w:p>
    <w:p>
      <w:pPr>
        <w:pStyle w:val="BodyText"/>
        <w:spacing w:line="360" w:lineRule="auto" w:before="202"/>
        <w:ind w:left="102" w:right="121"/>
        <w:jc w:val="both"/>
      </w:pPr>
      <w:r>
        <w:rPr/>
        <w:t>De acuerdo a Ward (1979), los hombres hacen elecciones. La teoría de la decisión es un intento de descripción ordenada de las variables que influyen en las elecciones. En la teoría de la decisión existen dos variables que estructuran las cuestiones fundamentales de ésta que son: la utilidad y la probabilidad. Entre las cuestiones fundamentales de la teoría conforme a Ward están:</w:t>
      </w:r>
    </w:p>
    <w:p>
      <w:pPr>
        <w:pStyle w:val="ListParagraph"/>
        <w:numPr>
          <w:ilvl w:val="3"/>
          <w:numId w:val="7"/>
        </w:numPr>
        <w:tabs>
          <w:tab w:pos="822" w:val="left" w:leader="none"/>
        </w:tabs>
        <w:spacing w:line="360" w:lineRule="auto" w:before="204" w:after="0"/>
        <w:ind w:left="822" w:right="115" w:hanging="360"/>
        <w:jc w:val="both"/>
        <w:rPr>
          <w:sz w:val="22"/>
        </w:rPr>
      </w:pPr>
      <w:r>
        <w:rPr>
          <w:sz w:val="22"/>
        </w:rPr>
        <w:t>¿Cómo juzgan los hombres la utilidad o la atracción de diversas cosas que les podrían ocurrir, y cómo pueden medirse estas</w:t>
      </w:r>
      <w:r>
        <w:rPr>
          <w:spacing w:val="-14"/>
          <w:sz w:val="22"/>
        </w:rPr>
        <w:t> </w:t>
      </w:r>
      <w:r>
        <w:rPr>
          <w:sz w:val="22"/>
        </w:rPr>
        <w:t>utilidades?</w:t>
      </w:r>
    </w:p>
    <w:p>
      <w:pPr>
        <w:pStyle w:val="ListParagraph"/>
        <w:numPr>
          <w:ilvl w:val="3"/>
          <w:numId w:val="7"/>
        </w:numPr>
        <w:tabs>
          <w:tab w:pos="822" w:val="left" w:leader="none"/>
        </w:tabs>
        <w:spacing w:line="362" w:lineRule="auto" w:before="3" w:after="0"/>
        <w:ind w:left="822" w:right="121" w:hanging="360"/>
        <w:jc w:val="both"/>
        <w:rPr>
          <w:sz w:val="22"/>
        </w:rPr>
      </w:pPr>
      <w:r>
        <w:rPr>
          <w:sz w:val="22"/>
        </w:rPr>
        <w:t>¿Cómo juzgan los hombres las probabilidades de los eventos que controlan lo que les ocurre,  y cómo pueden medirse estos juicios de</w:t>
      </w:r>
      <w:r>
        <w:rPr>
          <w:spacing w:val="-17"/>
          <w:sz w:val="22"/>
        </w:rPr>
        <w:t> </w:t>
      </w:r>
      <w:r>
        <w:rPr>
          <w:sz w:val="22"/>
        </w:rPr>
        <w:t>probabilidad?</w:t>
      </w:r>
    </w:p>
    <w:p>
      <w:pPr>
        <w:pStyle w:val="ListParagraph"/>
        <w:numPr>
          <w:ilvl w:val="3"/>
          <w:numId w:val="7"/>
        </w:numPr>
        <w:tabs>
          <w:tab w:pos="822" w:val="left" w:leader="none"/>
        </w:tabs>
        <w:spacing w:line="240" w:lineRule="auto" w:before="1" w:after="0"/>
        <w:ind w:left="822" w:right="0" w:hanging="360"/>
        <w:jc w:val="left"/>
        <w:rPr>
          <w:sz w:val="22"/>
        </w:rPr>
      </w:pPr>
      <w:r>
        <w:rPr>
          <w:sz w:val="22"/>
        </w:rPr>
        <w:t>¿Cómo cambian las probabilidades juzgadas por la llegada de información</w:t>
      </w:r>
      <w:r>
        <w:rPr>
          <w:spacing w:val="-23"/>
          <w:sz w:val="22"/>
        </w:rPr>
        <w:t> </w:t>
      </w:r>
      <w:r>
        <w:rPr>
          <w:sz w:val="22"/>
        </w:rPr>
        <w:t>nueva?</w:t>
      </w:r>
    </w:p>
    <w:p>
      <w:pPr>
        <w:pStyle w:val="ListParagraph"/>
        <w:numPr>
          <w:ilvl w:val="3"/>
          <w:numId w:val="7"/>
        </w:numPr>
        <w:tabs>
          <w:tab w:pos="822" w:val="left" w:leader="none"/>
        </w:tabs>
        <w:spacing w:line="360" w:lineRule="auto" w:before="126" w:after="0"/>
        <w:ind w:left="822" w:right="119" w:hanging="360"/>
        <w:jc w:val="both"/>
        <w:rPr>
          <w:sz w:val="22"/>
        </w:rPr>
      </w:pPr>
      <w:r>
        <w:rPr>
          <w:sz w:val="22"/>
        </w:rPr>
        <w:t>¿Cómo se combinan las probabilidades y las utilidades para controlar las decisiones?</w:t>
      </w:r>
    </w:p>
    <w:p>
      <w:pPr>
        <w:pStyle w:val="ListParagraph"/>
        <w:numPr>
          <w:ilvl w:val="3"/>
          <w:numId w:val="7"/>
        </w:numPr>
        <w:tabs>
          <w:tab w:pos="822" w:val="left" w:leader="none"/>
        </w:tabs>
        <w:spacing w:line="360" w:lineRule="auto" w:before="3" w:after="0"/>
        <w:ind w:left="822" w:right="117" w:hanging="360"/>
        <w:jc w:val="both"/>
        <w:rPr>
          <w:sz w:val="22"/>
        </w:rPr>
      </w:pPr>
      <w:r>
        <w:rPr>
          <w:sz w:val="22"/>
        </w:rPr>
        <w:t>¿Cómo explicarán los psicólogos el hecho de que el mismo hombre, colocado dos veces en la misma situación, a menudo no tomará la misma decisión? O ¿qué pensarán a este respecto?</w:t>
      </w:r>
      <w:r>
        <w:rPr>
          <w:spacing w:val="-6"/>
          <w:sz w:val="22"/>
        </w:rPr>
        <w:t> </w:t>
      </w:r>
      <w:r>
        <w:rPr>
          <w:sz w:val="22"/>
        </w:rPr>
        <w:t>(1979:7)</w:t>
      </w:r>
    </w:p>
    <w:p>
      <w:pPr>
        <w:pStyle w:val="BodyText"/>
        <w:rPr>
          <w:sz w:val="22"/>
        </w:rPr>
      </w:pPr>
    </w:p>
    <w:p>
      <w:pPr>
        <w:pStyle w:val="BodyText"/>
        <w:spacing w:before="9"/>
        <w:rPr>
          <w:sz w:val="28"/>
        </w:rPr>
      </w:pPr>
    </w:p>
    <w:p>
      <w:pPr>
        <w:pStyle w:val="BodyText"/>
        <w:spacing w:line="360" w:lineRule="auto"/>
        <w:ind w:left="102" w:right="116"/>
        <w:jc w:val="both"/>
      </w:pPr>
      <w:r>
        <w:rPr/>
        <w:t>La teoría de la decisión puede concebirse primordialmente como un análisis del ambiente, un resumen ordenado de las características del ambiente que controlan el</w:t>
      </w:r>
      <w:r>
        <w:rPr>
          <w:spacing w:val="-18"/>
        </w:rPr>
        <w:t> </w:t>
      </w:r>
      <w:r>
        <w:rPr/>
        <w:t>comportamiento.</w:t>
      </w:r>
      <w:r>
        <w:rPr>
          <w:spacing w:val="-19"/>
        </w:rPr>
        <w:t> </w:t>
      </w:r>
      <w:r>
        <w:rPr/>
        <w:t>Tal</w:t>
      </w:r>
      <w:r>
        <w:rPr>
          <w:spacing w:val="-20"/>
        </w:rPr>
        <w:t> </w:t>
      </w:r>
      <w:r>
        <w:rPr/>
        <w:t>descripción</w:t>
      </w:r>
      <w:r>
        <w:rPr>
          <w:spacing w:val="-19"/>
        </w:rPr>
        <w:t> </w:t>
      </w:r>
      <w:r>
        <w:rPr/>
        <w:t>del</w:t>
      </w:r>
      <w:r>
        <w:rPr>
          <w:spacing w:val="-18"/>
        </w:rPr>
        <w:t> </w:t>
      </w:r>
      <w:r>
        <w:rPr/>
        <w:t>ambiente,</w:t>
      </w:r>
      <w:r>
        <w:rPr>
          <w:spacing w:val="-17"/>
        </w:rPr>
        <w:t> </w:t>
      </w:r>
      <w:r>
        <w:rPr/>
        <w:t>combinada</w:t>
      </w:r>
      <w:r>
        <w:rPr>
          <w:spacing w:val="-17"/>
        </w:rPr>
        <w:t> </w:t>
      </w:r>
      <w:r>
        <w:rPr/>
        <w:t>con</w:t>
      </w:r>
      <w:r>
        <w:rPr>
          <w:spacing w:val="-17"/>
        </w:rPr>
        <w:t> </w:t>
      </w:r>
      <w:r>
        <w:rPr/>
        <w:t>supuestos</w:t>
      </w:r>
      <w:r>
        <w:rPr>
          <w:spacing w:val="-17"/>
        </w:rPr>
        <w:t> </w:t>
      </w:r>
      <w:r>
        <w:rPr/>
        <w:t>simples</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acerca de las tendencias del comportamiento que el organismo aporta a tal ambiente, puede traducirse en una descripción eficaz del comportamiento. “Los primeros teóricos de la decisión fueron matemáticos que aconsejaban a los jugadores de la corte francesa para que distinguieran las apuestas justas de las injustas.</w:t>
      </w:r>
      <w:r>
        <w:rPr>
          <w:spacing w:val="-6"/>
        </w:rPr>
        <w:t> </w:t>
      </w:r>
      <w:r>
        <w:rPr/>
        <w:t>La</w:t>
      </w:r>
      <w:r>
        <w:rPr>
          <w:spacing w:val="-6"/>
        </w:rPr>
        <w:t> </w:t>
      </w:r>
      <w:r>
        <w:rPr/>
        <w:t>teoría</w:t>
      </w:r>
      <w:r>
        <w:rPr>
          <w:spacing w:val="-6"/>
        </w:rPr>
        <w:t> </w:t>
      </w:r>
      <w:r>
        <w:rPr/>
        <w:t>de</w:t>
      </w:r>
      <w:r>
        <w:rPr>
          <w:spacing w:val="-4"/>
        </w:rPr>
        <w:t> </w:t>
      </w:r>
      <w:r>
        <w:rPr/>
        <w:t>la</w:t>
      </w:r>
      <w:r>
        <w:rPr>
          <w:spacing w:val="-6"/>
        </w:rPr>
        <w:t> </w:t>
      </w:r>
      <w:r>
        <w:rPr/>
        <w:t>decisión</w:t>
      </w:r>
      <w:r>
        <w:rPr>
          <w:spacing w:val="-8"/>
        </w:rPr>
        <w:t> </w:t>
      </w:r>
      <w:r>
        <w:rPr/>
        <w:t>ha</w:t>
      </w:r>
      <w:r>
        <w:rPr>
          <w:spacing w:val="-6"/>
        </w:rPr>
        <w:t> </w:t>
      </w:r>
      <w:r>
        <w:rPr/>
        <w:t>permanecido</w:t>
      </w:r>
      <w:r>
        <w:rPr>
          <w:spacing w:val="-6"/>
        </w:rPr>
        <w:t> </w:t>
      </w:r>
      <w:r>
        <w:rPr/>
        <w:t>en</w:t>
      </w:r>
      <w:r>
        <w:rPr>
          <w:spacing w:val="-6"/>
        </w:rPr>
        <w:t> </w:t>
      </w:r>
      <w:r>
        <w:rPr/>
        <w:t>íntimo</w:t>
      </w:r>
      <w:r>
        <w:rPr>
          <w:spacing w:val="-6"/>
        </w:rPr>
        <w:t> </w:t>
      </w:r>
      <w:r>
        <w:rPr/>
        <w:t>contacto</w:t>
      </w:r>
      <w:r>
        <w:rPr>
          <w:spacing w:val="-6"/>
        </w:rPr>
        <w:t> </w:t>
      </w:r>
      <w:r>
        <w:rPr/>
        <w:t>con</w:t>
      </w:r>
      <w:r>
        <w:rPr>
          <w:spacing w:val="-6"/>
        </w:rPr>
        <w:t> </w:t>
      </w:r>
      <w:r>
        <w:rPr/>
        <w:t>problemas reales de aplicación desde entonces” (Ward,</w:t>
      </w:r>
      <w:r>
        <w:rPr>
          <w:spacing w:val="-14"/>
        </w:rPr>
        <w:t> </w:t>
      </w:r>
      <w:r>
        <w:rPr/>
        <w:t>1979:9).</w:t>
      </w:r>
    </w:p>
    <w:p>
      <w:pPr>
        <w:pStyle w:val="BodyText"/>
        <w:spacing w:line="360" w:lineRule="auto" w:before="204"/>
        <w:ind w:left="102" w:right="122"/>
        <w:jc w:val="both"/>
      </w:pPr>
      <w:r>
        <w:rPr/>
        <w:t>Por lo tanto y siguiendo con Ward (1979), cita que en resumen la teoría de la decisión, independientemente de toda la gama de explicaciones, de distintos autores, es:</w:t>
      </w:r>
    </w:p>
    <w:p>
      <w:pPr>
        <w:pStyle w:val="ListParagraph"/>
        <w:numPr>
          <w:ilvl w:val="0"/>
          <w:numId w:val="9"/>
        </w:numPr>
        <w:tabs>
          <w:tab w:pos="395" w:val="left" w:leader="none"/>
        </w:tabs>
        <w:spacing w:line="360" w:lineRule="auto" w:before="202" w:after="0"/>
        <w:ind w:left="102" w:right="117" w:firstLine="0"/>
        <w:jc w:val="both"/>
        <w:rPr>
          <w:sz w:val="24"/>
        </w:rPr>
      </w:pPr>
      <w:r>
        <w:rPr>
          <w:sz w:val="24"/>
        </w:rPr>
        <w:t>Un cuerpo complejo de conocimientos desarrollado en su mayor parte fuera de la psicología por economistas y matemáticos que tratan de prescribir </w:t>
      </w:r>
      <w:r>
        <w:rPr>
          <w:spacing w:val="2"/>
          <w:sz w:val="24"/>
        </w:rPr>
        <w:t>como </w:t>
      </w:r>
      <w:r>
        <w:rPr>
          <w:sz w:val="24"/>
        </w:rPr>
        <w:t>deben tomarse las</w:t>
      </w:r>
      <w:r>
        <w:rPr>
          <w:spacing w:val="-9"/>
          <w:sz w:val="24"/>
        </w:rPr>
        <w:t> </w:t>
      </w:r>
      <w:r>
        <w:rPr>
          <w:sz w:val="24"/>
        </w:rPr>
        <w:t>decisiones;</w:t>
      </w:r>
    </w:p>
    <w:p>
      <w:pPr>
        <w:pStyle w:val="ListParagraph"/>
        <w:numPr>
          <w:ilvl w:val="0"/>
          <w:numId w:val="9"/>
        </w:numPr>
        <w:tabs>
          <w:tab w:pos="376" w:val="left" w:leader="none"/>
        </w:tabs>
        <w:spacing w:line="360" w:lineRule="auto" w:before="204" w:after="0"/>
        <w:ind w:left="102" w:right="117" w:firstLine="0"/>
        <w:jc w:val="both"/>
        <w:rPr>
          <w:sz w:val="24"/>
        </w:rPr>
      </w:pPr>
      <w:r>
        <w:rPr>
          <w:sz w:val="24"/>
        </w:rPr>
        <w:t>Hay</w:t>
      </w:r>
      <w:r>
        <w:rPr>
          <w:spacing w:val="-11"/>
          <w:sz w:val="24"/>
        </w:rPr>
        <w:t> </w:t>
      </w:r>
      <w:r>
        <w:rPr>
          <w:sz w:val="24"/>
        </w:rPr>
        <w:t>interrelaciones</w:t>
      </w:r>
      <w:r>
        <w:rPr>
          <w:spacing w:val="-9"/>
          <w:sz w:val="24"/>
        </w:rPr>
        <w:t> </w:t>
      </w:r>
      <w:r>
        <w:rPr>
          <w:sz w:val="24"/>
        </w:rPr>
        <w:t>íntimas,</w:t>
      </w:r>
      <w:r>
        <w:rPr>
          <w:spacing w:val="-9"/>
          <w:sz w:val="24"/>
        </w:rPr>
        <w:t> </w:t>
      </w:r>
      <w:r>
        <w:rPr>
          <w:sz w:val="24"/>
        </w:rPr>
        <w:t>aunque</w:t>
      </w:r>
      <w:r>
        <w:rPr>
          <w:spacing w:val="-10"/>
          <w:sz w:val="24"/>
        </w:rPr>
        <w:t> </w:t>
      </w:r>
      <w:r>
        <w:rPr>
          <w:sz w:val="24"/>
        </w:rPr>
        <w:t>sutiles,</w:t>
      </w:r>
      <w:r>
        <w:rPr>
          <w:spacing w:val="-11"/>
          <w:sz w:val="24"/>
        </w:rPr>
        <w:t> </w:t>
      </w:r>
      <w:r>
        <w:rPr>
          <w:sz w:val="24"/>
        </w:rPr>
        <w:t>entre</w:t>
      </w:r>
      <w:r>
        <w:rPr>
          <w:spacing w:val="-11"/>
          <w:sz w:val="24"/>
        </w:rPr>
        <w:t> </w:t>
      </w:r>
      <w:r>
        <w:rPr>
          <w:sz w:val="24"/>
        </w:rPr>
        <w:t>las</w:t>
      </w:r>
      <w:r>
        <w:rPr>
          <w:spacing w:val="-11"/>
          <w:sz w:val="24"/>
        </w:rPr>
        <w:t> </w:t>
      </w:r>
      <w:r>
        <w:rPr>
          <w:sz w:val="24"/>
        </w:rPr>
        <w:t>formas</w:t>
      </w:r>
      <w:r>
        <w:rPr>
          <w:spacing w:val="-12"/>
          <w:sz w:val="24"/>
        </w:rPr>
        <w:t> </w:t>
      </w:r>
      <w:r>
        <w:rPr>
          <w:sz w:val="24"/>
        </w:rPr>
        <w:t>en</w:t>
      </w:r>
      <w:r>
        <w:rPr>
          <w:spacing w:val="-8"/>
          <w:sz w:val="24"/>
        </w:rPr>
        <w:t> </w:t>
      </w:r>
      <w:r>
        <w:rPr>
          <w:sz w:val="24"/>
        </w:rPr>
        <w:t>que</w:t>
      </w:r>
      <w:r>
        <w:rPr>
          <w:spacing w:val="-8"/>
          <w:sz w:val="24"/>
        </w:rPr>
        <w:t> </w:t>
      </w:r>
      <w:r>
        <w:rPr>
          <w:sz w:val="24"/>
        </w:rPr>
        <w:t>se</w:t>
      </w:r>
      <w:r>
        <w:rPr>
          <w:spacing w:val="-11"/>
          <w:sz w:val="24"/>
        </w:rPr>
        <w:t> </w:t>
      </w:r>
      <w:r>
        <w:rPr>
          <w:sz w:val="24"/>
        </w:rPr>
        <w:t>toman</w:t>
      </w:r>
      <w:r>
        <w:rPr>
          <w:spacing w:val="-8"/>
          <w:sz w:val="24"/>
        </w:rPr>
        <w:t> </w:t>
      </w:r>
      <w:r>
        <w:rPr>
          <w:sz w:val="24"/>
        </w:rPr>
        <w:t>las decisiones y las formas en que debieran</w:t>
      </w:r>
      <w:r>
        <w:rPr>
          <w:spacing w:val="-14"/>
          <w:sz w:val="24"/>
        </w:rPr>
        <w:t> </w:t>
      </w:r>
      <w:r>
        <w:rPr>
          <w:sz w:val="24"/>
        </w:rPr>
        <w:t>tomarse;</w:t>
      </w:r>
    </w:p>
    <w:p>
      <w:pPr>
        <w:pStyle w:val="ListParagraph"/>
        <w:numPr>
          <w:ilvl w:val="0"/>
          <w:numId w:val="9"/>
        </w:numPr>
        <w:tabs>
          <w:tab w:pos="431" w:val="left" w:leader="none"/>
        </w:tabs>
        <w:spacing w:line="360" w:lineRule="auto" w:before="204" w:after="0"/>
        <w:ind w:left="102" w:right="117" w:firstLine="0"/>
        <w:jc w:val="both"/>
        <w:rPr>
          <w:sz w:val="24"/>
        </w:rPr>
      </w:pPr>
      <w:r>
        <w:rPr>
          <w:sz w:val="24"/>
        </w:rPr>
        <w:t>Hay un cuerpo creciente de investigación psicológica y de otra índole que conduce a modelos descriptivos más refinados y a aplicaciones prescriptivas complicadas.</w:t>
      </w:r>
    </w:p>
    <w:p>
      <w:pPr>
        <w:pStyle w:val="Heading2"/>
        <w:spacing w:line="242" w:lineRule="auto" w:before="199"/>
        <w:ind w:left="4120" w:right="205" w:hanging="3915"/>
        <w:jc w:val="left"/>
      </w:pPr>
      <w:r>
        <w:rPr/>
        <w:t>Cuadro 1. Propiedades del hombre económico (Teoría de las elecciones sin riesgo)</w:t>
      </w:r>
    </w:p>
    <w:p>
      <w:pPr>
        <w:pStyle w:val="BodyText"/>
        <w:spacing w:before="5"/>
        <w:rPr>
          <w:b/>
          <w:sz w:val="17"/>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38"/>
        <w:gridCol w:w="2940"/>
        <w:gridCol w:w="2941"/>
      </w:tblGrid>
      <w:tr>
        <w:trPr>
          <w:trHeight w:val="617" w:hRule="exact"/>
        </w:trPr>
        <w:tc>
          <w:tcPr>
            <w:tcW w:w="2938" w:type="dxa"/>
            <w:shd w:val="clear" w:color="auto" w:fill="000000"/>
          </w:tcPr>
          <w:p>
            <w:pPr>
              <w:pStyle w:val="TableParagraph"/>
              <w:spacing w:before="14"/>
              <w:ind w:left="107"/>
              <w:rPr>
                <w:b/>
                <w:sz w:val="22"/>
              </w:rPr>
            </w:pPr>
            <w:r>
              <w:rPr>
                <w:b/>
                <w:color w:val="FFFFFF"/>
                <w:sz w:val="22"/>
              </w:rPr>
              <w:t>Información completa</w:t>
            </w:r>
          </w:p>
        </w:tc>
        <w:tc>
          <w:tcPr>
            <w:tcW w:w="2940" w:type="dxa"/>
            <w:shd w:val="clear" w:color="auto" w:fill="000000"/>
          </w:tcPr>
          <w:p>
            <w:pPr>
              <w:pStyle w:val="TableParagraph"/>
              <w:spacing w:before="14"/>
              <w:ind w:left="108"/>
              <w:rPr>
                <w:b/>
                <w:sz w:val="22"/>
              </w:rPr>
            </w:pPr>
            <w:r>
              <w:rPr>
                <w:b/>
                <w:color w:val="FFFFFF"/>
                <w:sz w:val="22"/>
              </w:rPr>
              <w:t>Sensibilidad infinita</w:t>
            </w:r>
          </w:p>
        </w:tc>
        <w:tc>
          <w:tcPr>
            <w:tcW w:w="2941" w:type="dxa"/>
            <w:shd w:val="clear" w:color="auto" w:fill="000000"/>
          </w:tcPr>
          <w:p>
            <w:pPr>
              <w:pStyle w:val="TableParagraph"/>
              <w:spacing w:before="14"/>
              <w:ind w:left="783"/>
              <w:rPr>
                <w:b/>
                <w:sz w:val="22"/>
              </w:rPr>
            </w:pPr>
            <w:r>
              <w:rPr>
                <w:b/>
                <w:color w:val="FFFFFF"/>
                <w:sz w:val="22"/>
              </w:rPr>
              <w:t>Racionalidad</w:t>
            </w:r>
          </w:p>
        </w:tc>
      </w:tr>
      <w:tr>
        <w:trPr>
          <w:trHeight w:val="2489" w:hRule="exact"/>
        </w:trPr>
        <w:tc>
          <w:tcPr>
            <w:tcW w:w="2938" w:type="dxa"/>
            <w:tcBorders>
              <w:left w:val="single" w:sz="8" w:space="0" w:color="000000"/>
              <w:bottom w:val="single" w:sz="8" w:space="0" w:color="000000"/>
            </w:tcBorders>
          </w:tcPr>
          <w:p>
            <w:pPr>
              <w:pStyle w:val="TableParagraph"/>
              <w:ind w:left="98" w:right="106"/>
              <w:jc w:val="both"/>
              <w:rPr>
                <w:b/>
                <w:sz w:val="22"/>
              </w:rPr>
            </w:pPr>
            <w:r>
              <w:rPr>
                <w:sz w:val="22"/>
              </w:rPr>
              <w:t>Se supone que el hombre económico conoce no sólo cuales son todos los cursos de acción que se le abren sino también cuál será el resultado de cualquier acción</w:t>
            </w:r>
            <w:r>
              <w:rPr>
                <w:b/>
                <w:sz w:val="22"/>
              </w:rPr>
              <w:t>.</w:t>
            </w:r>
          </w:p>
        </w:tc>
        <w:tc>
          <w:tcPr>
            <w:tcW w:w="2940" w:type="dxa"/>
            <w:tcBorders>
              <w:bottom w:val="single" w:sz="8" w:space="0" w:color="000000"/>
            </w:tcBorders>
          </w:tcPr>
          <w:p>
            <w:pPr>
              <w:pStyle w:val="TableParagraph"/>
              <w:tabs>
                <w:tab w:pos="1079" w:val="left" w:leader="none"/>
                <w:tab w:pos="1831" w:val="left" w:leader="none"/>
                <w:tab w:pos="2476" w:val="left" w:leader="none"/>
              </w:tabs>
              <w:ind w:left="108" w:right="104"/>
              <w:jc w:val="both"/>
              <w:rPr>
                <w:sz w:val="22"/>
              </w:rPr>
            </w:pPr>
            <w:r>
              <w:rPr>
                <w:sz w:val="22"/>
              </w:rPr>
              <w:t>Se supone que las alternativas  disponibles para un individuo son funciones</w:t>
              <w:tab/>
              <w:tab/>
            </w:r>
            <w:r>
              <w:rPr>
                <w:spacing w:val="-1"/>
                <w:sz w:val="22"/>
              </w:rPr>
              <w:t>continuas, </w:t>
            </w:r>
            <w:r>
              <w:rPr>
                <w:sz w:val="22"/>
              </w:rPr>
              <w:t>infinitamente divisibles; que los</w:t>
              <w:tab/>
              <w:t>precios</w:t>
              <w:tab/>
              <w:tab/>
              <w:t>son infinitamente divisibles, y que el hombre económico es infinitamente</w:t>
            </w:r>
            <w:r>
              <w:rPr>
                <w:spacing w:val="-7"/>
                <w:sz w:val="22"/>
              </w:rPr>
              <w:t> </w:t>
            </w:r>
            <w:r>
              <w:rPr>
                <w:sz w:val="22"/>
              </w:rPr>
              <w:t>sensible.</w:t>
            </w:r>
          </w:p>
        </w:tc>
        <w:tc>
          <w:tcPr>
            <w:tcW w:w="2941" w:type="dxa"/>
            <w:tcBorders>
              <w:bottom w:val="single" w:sz="8" w:space="0" w:color="000000"/>
              <w:right w:val="single" w:sz="8" w:space="0" w:color="000000"/>
            </w:tcBorders>
          </w:tcPr>
          <w:p>
            <w:pPr>
              <w:pStyle w:val="TableParagraph"/>
              <w:ind w:left="106" w:right="95"/>
              <w:jc w:val="both"/>
              <w:rPr>
                <w:sz w:val="22"/>
              </w:rPr>
            </w:pPr>
            <w:r>
              <w:rPr>
                <w:sz w:val="22"/>
              </w:rPr>
              <w:t>Esto significa dos cosas: puede ordenar débilmente los estados en que puede colocarse y toma sus decisiones para maximizar algo.</w:t>
            </w:r>
          </w:p>
        </w:tc>
      </w:tr>
    </w:tbl>
    <w:p>
      <w:pPr>
        <w:spacing w:line="227" w:lineRule="exact" w:before="0"/>
        <w:ind w:left="102" w:right="3182" w:firstLine="0"/>
        <w:jc w:val="left"/>
        <w:rPr>
          <w:sz w:val="20"/>
        </w:rPr>
      </w:pPr>
      <w:r>
        <w:rPr>
          <w:b/>
          <w:sz w:val="20"/>
        </w:rPr>
        <w:t>Fuente</w:t>
      </w:r>
      <w:r>
        <w:rPr>
          <w:sz w:val="20"/>
        </w:rPr>
        <w:t>: Elaboración propia con base en  Ward (1979).</w:t>
      </w:r>
    </w:p>
    <w:p>
      <w:pPr>
        <w:spacing w:after="0" w:line="227" w:lineRule="exact"/>
        <w:jc w:val="left"/>
        <w:rPr>
          <w:sz w:val="20"/>
        </w:rPr>
        <w:sectPr>
          <w:pgSz w:w="12240" w:h="15840"/>
          <w:pgMar w:header="0" w:footer="992" w:top="1360" w:bottom="1180" w:left="1600" w:right="1580"/>
        </w:sectPr>
      </w:pPr>
    </w:p>
    <w:p>
      <w:pPr>
        <w:pStyle w:val="BodyText"/>
        <w:spacing w:line="360" w:lineRule="auto" w:before="54"/>
        <w:ind w:left="102" w:right="114"/>
        <w:jc w:val="both"/>
      </w:pPr>
      <w:r>
        <w:rPr/>
        <w:t>Como ya se ha manifestado en párrafos anteriores, cuando se alude a la teoría de la</w:t>
      </w:r>
      <w:r>
        <w:rPr>
          <w:spacing w:val="-13"/>
        </w:rPr>
        <w:t> </w:t>
      </w:r>
      <w:r>
        <w:rPr/>
        <w:t>decisión,</w:t>
      </w:r>
      <w:r>
        <w:rPr>
          <w:spacing w:val="-16"/>
        </w:rPr>
        <w:t> </w:t>
      </w:r>
      <w:r>
        <w:rPr/>
        <w:t>abarca</w:t>
      </w:r>
      <w:r>
        <w:rPr>
          <w:spacing w:val="-16"/>
        </w:rPr>
        <w:t> </w:t>
      </w:r>
      <w:r>
        <w:rPr/>
        <w:t>una</w:t>
      </w:r>
      <w:r>
        <w:rPr>
          <w:spacing w:val="-15"/>
        </w:rPr>
        <w:t> </w:t>
      </w:r>
      <w:r>
        <w:rPr/>
        <w:t>relación</w:t>
      </w:r>
      <w:r>
        <w:rPr>
          <w:spacing w:val="-14"/>
        </w:rPr>
        <w:t> </w:t>
      </w:r>
      <w:r>
        <w:rPr/>
        <w:t>de</w:t>
      </w:r>
      <w:r>
        <w:rPr>
          <w:spacing w:val="-16"/>
        </w:rPr>
        <w:t> </w:t>
      </w:r>
      <w:r>
        <w:rPr/>
        <w:t>temas</w:t>
      </w:r>
      <w:r>
        <w:rPr>
          <w:spacing w:val="-16"/>
        </w:rPr>
        <w:t> </w:t>
      </w:r>
      <w:r>
        <w:rPr/>
        <w:t>que</w:t>
      </w:r>
      <w:r>
        <w:rPr>
          <w:spacing w:val="-16"/>
        </w:rPr>
        <w:t> </w:t>
      </w:r>
      <w:r>
        <w:rPr/>
        <w:t>bien</w:t>
      </w:r>
      <w:r>
        <w:rPr>
          <w:spacing w:val="-15"/>
        </w:rPr>
        <w:t> </w:t>
      </w:r>
      <w:r>
        <w:rPr/>
        <w:t>pudieran</w:t>
      </w:r>
      <w:r>
        <w:rPr>
          <w:spacing w:val="-15"/>
        </w:rPr>
        <w:t> </w:t>
      </w:r>
      <w:r>
        <w:rPr/>
        <w:t>ser</w:t>
      </w:r>
      <w:r>
        <w:rPr>
          <w:spacing w:val="-17"/>
        </w:rPr>
        <w:t> </w:t>
      </w:r>
      <w:r>
        <w:rPr/>
        <w:t>herramientas</w:t>
      </w:r>
      <w:r>
        <w:rPr>
          <w:spacing w:val="-16"/>
        </w:rPr>
        <w:t> </w:t>
      </w:r>
      <w:r>
        <w:rPr/>
        <w:t>o</w:t>
      </w:r>
      <w:r>
        <w:rPr>
          <w:spacing w:val="-16"/>
        </w:rPr>
        <w:t> </w:t>
      </w:r>
      <w:r>
        <w:rPr/>
        <w:t>bien pudieran coadyuvar a darle connotación a esta misma, es por eso que no se deja de lado diversas teorías que van aparejadas a la teoría de la decisión una de ellas es</w:t>
      </w:r>
      <w:r>
        <w:rPr>
          <w:spacing w:val="-9"/>
        </w:rPr>
        <w:t> </w:t>
      </w:r>
      <w:r>
        <w:rPr/>
        <w:t>la</w:t>
      </w:r>
      <w:r>
        <w:rPr>
          <w:spacing w:val="-11"/>
        </w:rPr>
        <w:t> </w:t>
      </w:r>
      <w:r>
        <w:rPr>
          <w:u w:val="single"/>
        </w:rPr>
        <w:t>teoría</w:t>
      </w:r>
      <w:r>
        <w:rPr>
          <w:spacing w:val="-8"/>
          <w:u w:val="single"/>
        </w:rPr>
        <w:t> </w:t>
      </w:r>
      <w:r>
        <w:rPr>
          <w:u w:val="single"/>
        </w:rPr>
        <w:t>de</w:t>
      </w:r>
      <w:r>
        <w:rPr>
          <w:spacing w:val="-8"/>
          <w:u w:val="single"/>
        </w:rPr>
        <w:t> </w:t>
      </w:r>
      <w:r>
        <w:rPr>
          <w:u w:val="single"/>
        </w:rPr>
        <w:t>las</w:t>
      </w:r>
      <w:r>
        <w:rPr>
          <w:spacing w:val="-11"/>
          <w:u w:val="single"/>
        </w:rPr>
        <w:t> </w:t>
      </w:r>
      <w:r>
        <w:rPr>
          <w:u w:val="single"/>
        </w:rPr>
        <w:t>elecciones</w:t>
      </w:r>
      <w:r>
        <w:rPr>
          <w:spacing w:val="-12"/>
          <w:u w:val="single"/>
        </w:rPr>
        <w:t> </w:t>
      </w:r>
      <w:r>
        <w:rPr>
          <w:u w:val="single"/>
        </w:rPr>
        <w:t>sin</w:t>
      </w:r>
      <w:r>
        <w:rPr>
          <w:spacing w:val="-9"/>
          <w:u w:val="single"/>
        </w:rPr>
        <w:t> </w:t>
      </w:r>
      <w:r>
        <w:rPr>
          <w:u w:val="single"/>
        </w:rPr>
        <w:t>riesgo</w:t>
      </w:r>
      <w:r>
        <w:rPr/>
        <w:t>.</w:t>
      </w:r>
      <w:r>
        <w:rPr>
          <w:spacing w:val="-11"/>
        </w:rPr>
        <w:t> </w:t>
      </w:r>
      <w:r>
        <w:rPr/>
        <w:t>En</w:t>
      </w:r>
      <w:r>
        <w:rPr>
          <w:spacing w:val="-11"/>
        </w:rPr>
        <w:t> </w:t>
      </w:r>
      <w:r>
        <w:rPr/>
        <w:t>el</w:t>
      </w:r>
      <w:r>
        <w:rPr>
          <w:spacing w:val="-9"/>
        </w:rPr>
        <w:t> </w:t>
      </w:r>
      <w:r>
        <w:rPr/>
        <w:t>cuadro</w:t>
      </w:r>
      <w:r>
        <w:rPr>
          <w:spacing w:val="-11"/>
        </w:rPr>
        <w:t> </w:t>
      </w:r>
      <w:r>
        <w:rPr/>
        <w:t>1</w:t>
      </w:r>
      <w:r>
        <w:rPr>
          <w:spacing w:val="-10"/>
        </w:rPr>
        <w:t> </w:t>
      </w:r>
      <w:r>
        <w:rPr/>
        <w:t>se</w:t>
      </w:r>
      <w:r>
        <w:rPr>
          <w:spacing w:val="-11"/>
        </w:rPr>
        <w:t> </w:t>
      </w:r>
      <w:r>
        <w:rPr/>
        <w:t>explica</w:t>
      </w:r>
      <w:r>
        <w:rPr>
          <w:spacing w:val="46"/>
        </w:rPr>
        <w:t> </w:t>
      </w:r>
      <w:r>
        <w:rPr/>
        <w:t>un</w:t>
      </w:r>
      <w:r>
        <w:rPr>
          <w:spacing w:val="-8"/>
        </w:rPr>
        <w:t> </w:t>
      </w:r>
      <w:r>
        <w:rPr/>
        <w:t>elemento</w:t>
      </w:r>
      <w:r>
        <w:rPr>
          <w:spacing w:val="-11"/>
        </w:rPr>
        <w:t> </w:t>
      </w:r>
      <w:r>
        <w:rPr/>
        <w:t>bajo el</w:t>
      </w:r>
      <w:r>
        <w:rPr>
          <w:spacing w:val="-5"/>
        </w:rPr>
        <w:t> </w:t>
      </w:r>
      <w:r>
        <w:rPr/>
        <w:t>cual</w:t>
      </w:r>
      <w:r>
        <w:rPr>
          <w:spacing w:val="-5"/>
        </w:rPr>
        <w:t> </w:t>
      </w:r>
      <w:r>
        <w:rPr/>
        <w:t>la</w:t>
      </w:r>
      <w:r>
        <w:rPr>
          <w:spacing w:val="-6"/>
        </w:rPr>
        <w:t> </w:t>
      </w:r>
      <w:r>
        <w:rPr/>
        <w:t>teoría</w:t>
      </w:r>
      <w:r>
        <w:rPr>
          <w:spacing w:val="-3"/>
        </w:rPr>
        <w:t> </w:t>
      </w:r>
      <w:r>
        <w:rPr/>
        <w:t>de</w:t>
      </w:r>
      <w:r>
        <w:rPr>
          <w:spacing w:val="-4"/>
        </w:rPr>
        <w:t> </w:t>
      </w:r>
      <w:r>
        <w:rPr/>
        <w:t>las</w:t>
      </w:r>
      <w:r>
        <w:rPr>
          <w:spacing w:val="-6"/>
        </w:rPr>
        <w:t> </w:t>
      </w:r>
      <w:r>
        <w:rPr/>
        <w:t>elecciones</w:t>
      </w:r>
      <w:r>
        <w:rPr>
          <w:spacing w:val="-7"/>
        </w:rPr>
        <w:t> </w:t>
      </w:r>
      <w:r>
        <w:rPr/>
        <w:t>sin</w:t>
      </w:r>
      <w:r>
        <w:rPr>
          <w:spacing w:val="-4"/>
        </w:rPr>
        <w:t> </w:t>
      </w:r>
      <w:r>
        <w:rPr/>
        <w:t>riesgo</w:t>
      </w:r>
      <w:r>
        <w:rPr>
          <w:spacing w:val="-4"/>
        </w:rPr>
        <w:t> </w:t>
      </w:r>
      <w:r>
        <w:rPr/>
        <w:t>se</w:t>
      </w:r>
      <w:r>
        <w:rPr>
          <w:spacing w:val="-6"/>
        </w:rPr>
        <w:t> </w:t>
      </w:r>
      <w:r>
        <w:rPr/>
        <w:t>fundamenta.</w:t>
      </w:r>
      <w:r>
        <w:rPr>
          <w:spacing w:val="-4"/>
        </w:rPr>
        <w:t> </w:t>
      </w:r>
      <w:r>
        <w:rPr/>
        <w:t>Este es</w:t>
      </w:r>
      <w:r>
        <w:rPr>
          <w:spacing w:val="-6"/>
        </w:rPr>
        <w:t> </w:t>
      </w:r>
      <w:r>
        <w:rPr/>
        <w:t>que</w:t>
      </w:r>
      <w:r>
        <w:rPr>
          <w:spacing w:val="-4"/>
        </w:rPr>
        <w:t> </w:t>
      </w:r>
      <w:r>
        <w:rPr/>
        <w:t>la</w:t>
      </w:r>
      <w:r>
        <w:rPr>
          <w:spacing w:val="-4"/>
        </w:rPr>
        <w:t> </w:t>
      </w:r>
      <w:r>
        <w:rPr/>
        <w:t>persona que</w:t>
      </w:r>
      <w:r>
        <w:rPr>
          <w:spacing w:val="-9"/>
        </w:rPr>
        <w:t> </w:t>
      </w:r>
      <w:r>
        <w:rPr/>
        <w:t>toma</w:t>
      </w:r>
      <w:r>
        <w:rPr>
          <w:spacing w:val="-9"/>
        </w:rPr>
        <w:t> </w:t>
      </w:r>
      <w:r>
        <w:rPr/>
        <w:t>cualquier</w:t>
      </w:r>
      <w:r>
        <w:rPr>
          <w:spacing w:val="-10"/>
        </w:rPr>
        <w:t> </w:t>
      </w:r>
      <w:r>
        <w:rPr/>
        <w:t>decisión</w:t>
      </w:r>
      <w:r>
        <w:rPr>
          <w:spacing w:val="-9"/>
        </w:rPr>
        <w:t> </w:t>
      </w:r>
      <w:r>
        <w:rPr/>
        <w:t>a</w:t>
      </w:r>
      <w:r>
        <w:rPr>
          <w:spacing w:val="-9"/>
        </w:rPr>
        <w:t> </w:t>
      </w:r>
      <w:r>
        <w:rPr/>
        <w:t>que</w:t>
      </w:r>
      <w:r>
        <w:rPr>
          <w:spacing w:val="-9"/>
        </w:rPr>
        <w:t> </w:t>
      </w:r>
      <w:r>
        <w:rPr/>
        <w:t>se</w:t>
      </w:r>
      <w:r>
        <w:rPr>
          <w:spacing w:val="-9"/>
        </w:rPr>
        <w:t> </w:t>
      </w:r>
      <w:r>
        <w:rPr/>
        <w:t>aplica</w:t>
      </w:r>
      <w:r>
        <w:rPr>
          <w:spacing w:val="-9"/>
        </w:rPr>
        <w:t> </w:t>
      </w:r>
      <w:r>
        <w:rPr/>
        <w:t>la</w:t>
      </w:r>
      <w:r>
        <w:rPr>
          <w:spacing w:val="-9"/>
        </w:rPr>
        <w:t> </w:t>
      </w:r>
      <w:r>
        <w:rPr/>
        <w:t>teoría</w:t>
      </w:r>
      <w:r>
        <w:rPr>
          <w:spacing w:val="-9"/>
        </w:rPr>
        <w:t> </w:t>
      </w:r>
      <w:r>
        <w:rPr/>
        <w:t>es:</w:t>
      </w:r>
      <w:r>
        <w:rPr>
          <w:spacing w:val="-10"/>
        </w:rPr>
        <w:t> </w:t>
      </w:r>
      <w:r>
        <w:rPr/>
        <w:t>un</w:t>
      </w:r>
      <w:r>
        <w:rPr>
          <w:spacing w:val="-9"/>
        </w:rPr>
        <w:t> </w:t>
      </w:r>
      <w:r>
        <w:rPr/>
        <w:t>hombre</w:t>
      </w:r>
      <w:r>
        <w:rPr>
          <w:spacing w:val="-12"/>
        </w:rPr>
        <w:t> </w:t>
      </w:r>
      <w:r>
        <w:rPr/>
        <w:t>económico.</w:t>
      </w:r>
      <w:r>
        <w:rPr>
          <w:spacing w:val="-7"/>
        </w:rPr>
        <w:t> </w:t>
      </w:r>
      <w:r>
        <w:rPr/>
        <w:t>Por lo tanto, citando el cuadro anterior tenemos que ese hombre a su vez tiene tres propiedades: a) está completamente informado, b) es infinitamente sensible y c)</w:t>
      </w:r>
      <w:r>
        <w:rPr>
          <w:spacing w:val="-31"/>
        </w:rPr>
        <w:t> </w:t>
      </w:r>
      <w:r>
        <w:rPr/>
        <w:t>es racional.</w:t>
      </w:r>
    </w:p>
    <w:p>
      <w:pPr>
        <w:pStyle w:val="BodyText"/>
        <w:spacing w:line="360" w:lineRule="auto" w:before="204"/>
        <w:ind w:left="102" w:right="116"/>
        <w:jc w:val="both"/>
      </w:pPr>
      <w:r>
        <w:rPr/>
        <w:t>Otras teorías que complementan esta sinergia de la teoría de la decisión son: la teoría de las elecciones riesgosas y la teoría de los juegos, sólo por nombrar las más relevantes.</w:t>
      </w:r>
    </w:p>
    <w:p>
      <w:pPr>
        <w:spacing w:before="201"/>
        <w:ind w:left="954" w:right="115" w:firstLine="0"/>
        <w:jc w:val="both"/>
        <w:rPr>
          <w:sz w:val="22"/>
        </w:rPr>
      </w:pPr>
      <w:r>
        <w:rPr/>
        <w:pict>
          <v:line style="position:absolute;mso-position-horizontal-relative:page;mso-position-vertical-relative:paragraph;z-index:-681496" from="301.489990pt,21.987865pt" to="304.60999pt,21.987865pt" stroked="true" strokeweight=".84pt" strokecolor="#000000">
            <w10:wrap type="none"/>
          </v:line>
        </w:pict>
      </w:r>
      <w:r>
        <w:rPr>
          <w:sz w:val="22"/>
        </w:rPr>
        <w:t>Teoría</w:t>
      </w:r>
      <w:r>
        <w:rPr>
          <w:spacing w:val="-6"/>
          <w:sz w:val="22"/>
        </w:rPr>
        <w:t> </w:t>
      </w:r>
      <w:r>
        <w:rPr>
          <w:sz w:val="22"/>
        </w:rPr>
        <w:t>de</w:t>
      </w:r>
      <w:r>
        <w:rPr>
          <w:spacing w:val="-7"/>
          <w:sz w:val="22"/>
        </w:rPr>
        <w:t> </w:t>
      </w:r>
      <w:r>
        <w:rPr>
          <w:sz w:val="22"/>
        </w:rPr>
        <w:t>las</w:t>
      </w:r>
      <w:r>
        <w:rPr>
          <w:spacing w:val="-6"/>
          <w:sz w:val="22"/>
        </w:rPr>
        <w:t> </w:t>
      </w:r>
      <w:r>
        <w:rPr>
          <w:sz w:val="22"/>
        </w:rPr>
        <w:t>Elecciones</w:t>
      </w:r>
      <w:r>
        <w:rPr>
          <w:spacing w:val="-11"/>
          <w:sz w:val="22"/>
        </w:rPr>
        <w:t> </w:t>
      </w:r>
      <w:r>
        <w:rPr>
          <w:sz w:val="22"/>
        </w:rPr>
        <w:t>Riesgosas.</w:t>
      </w:r>
      <w:r>
        <w:rPr>
          <w:spacing w:val="-5"/>
          <w:sz w:val="22"/>
        </w:rPr>
        <w:t> </w:t>
      </w:r>
      <w:r>
        <w:rPr>
          <w:sz w:val="22"/>
        </w:rPr>
        <w:t>El</w:t>
      </w:r>
      <w:r>
        <w:rPr>
          <w:spacing w:val="-9"/>
          <w:sz w:val="22"/>
        </w:rPr>
        <w:t> </w:t>
      </w:r>
      <w:r>
        <w:rPr>
          <w:sz w:val="22"/>
        </w:rPr>
        <w:t>periodo</w:t>
      </w:r>
      <w:r>
        <w:rPr>
          <w:spacing w:val="-9"/>
          <w:sz w:val="22"/>
        </w:rPr>
        <w:t> </w:t>
      </w:r>
      <w:r>
        <w:rPr>
          <w:sz w:val="22"/>
        </w:rPr>
        <w:t>moderno</w:t>
      </w:r>
      <w:r>
        <w:rPr>
          <w:spacing w:val="-6"/>
          <w:sz w:val="22"/>
        </w:rPr>
        <w:t> </w:t>
      </w:r>
      <w:r>
        <w:rPr>
          <w:sz w:val="22"/>
        </w:rPr>
        <w:t>del</w:t>
      </w:r>
      <w:r>
        <w:rPr>
          <w:spacing w:val="-9"/>
          <w:sz w:val="22"/>
        </w:rPr>
        <w:t> </w:t>
      </w:r>
      <w:r>
        <w:rPr>
          <w:sz w:val="22"/>
        </w:rPr>
        <w:t>estudio</w:t>
      </w:r>
      <w:r>
        <w:rPr>
          <w:spacing w:val="-6"/>
          <w:sz w:val="22"/>
        </w:rPr>
        <w:t> </w:t>
      </w:r>
      <w:r>
        <w:rPr>
          <w:sz w:val="22"/>
        </w:rPr>
        <w:t>de</w:t>
      </w:r>
      <w:r>
        <w:rPr>
          <w:spacing w:val="-9"/>
          <w:sz w:val="22"/>
        </w:rPr>
        <w:t> </w:t>
      </w:r>
      <w:r>
        <w:rPr>
          <w:sz w:val="22"/>
        </w:rPr>
        <w:t>la</w:t>
      </w:r>
      <w:r>
        <w:rPr>
          <w:spacing w:val="-9"/>
          <w:sz w:val="22"/>
        </w:rPr>
        <w:t> </w:t>
      </w:r>
      <w:r>
        <w:rPr>
          <w:sz w:val="22"/>
        </w:rPr>
        <w:t>toma</w:t>
      </w:r>
      <w:r>
        <w:rPr>
          <w:spacing w:val="-8"/>
          <w:sz w:val="22"/>
        </w:rPr>
        <w:t> </w:t>
      </w:r>
      <w:r>
        <w:rPr>
          <w:sz w:val="22"/>
        </w:rPr>
        <w:t>de decisiones riesgosas se inició con la publicación en 1944 del libro monumental de Von Neumann y Morgenstern, </w:t>
      </w:r>
      <w:r>
        <w:rPr>
          <w:i/>
          <w:sz w:val="22"/>
        </w:rPr>
        <w:t>Theory of games and economic behavior</w:t>
      </w:r>
      <w:r>
        <w:rPr>
          <w:sz w:val="22"/>
        </w:rPr>
        <w:t>. Von Neumann y Morgenstern observaron que el supuesto usual de que el hombre económico</w:t>
      </w:r>
      <w:r>
        <w:rPr>
          <w:spacing w:val="-4"/>
          <w:sz w:val="22"/>
        </w:rPr>
        <w:t> </w:t>
      </w:r>
      <w:r>
        <w:rPr>
          <w:sz w:val="22"/>
        </w:rPr>
        <w:t>puede</w:t>
      </w:r>
      <w:r>
        <w:rPr>
          <w:spacing w:val="-4"/>
          <w:sz w:val="22"/>
        </w:rPr>
        <w:t> </w:t>
      </w:r>
      <w:r>
        <w:rPr>
          <w:sz w:val="22"/>
        </w:rPr>
        <w:t>decir</w:t>
      </w:r>
      <w:r>
        <w:rPr>
          <w:spacing w:val="-3"/>
          <w:sz w:val="22"/>
        </w:rPr>
        <w:t> </w:t>
      </w:r>
      <w:r>
        <w:rPr>
          <w:sz w:val="22"/>
        </w:rPr>
        <w:t>siempre</w:t>
      </w:r>
      <w:r>
        <w:rPr>
          <w:spacing w:val="-4"/>
          <w:sz w:val="22"/>
        </w:rPr>
        <w:t> </w:t>
      </w:r>
      <w:r>
        <w:rPr>
          <w:sz w:val="22"/>
        </w:rPr>
        <w:t>si</w:t>
      </w:r>
      <w:r>
        <w:rPr>
          <w:spacing w:val="-5"/>
          <w:sz w:val="22"/>
        </w:rPr>
        <w:t> </w:t>
      </w:r>
      <w:r>
        <w:rPr>
          <w:sz w:val="22"/>
        </w:rPr>
        <w:t>prefiere</w:t>
      </w:r>
      <w:r>
        <w:rPr>
          <w:spacing w:val="-6"/>
          <w:sz w:val="22"/>
        </w:rPr>
        <w:t> </w:t>
      </w:r>
      <w:r>
        <w:rPr>
          <w:sz w:val="22"/>
        </w:rPr>
        <w:t>un</w:t>
      </w:r>
      <w:r>
        <w:rPr>
          <w:spacing w:val="-2"/>
          <w:sz w:val="22"/>
        </w:rPr>
        <w:t> </w:t>
      </w:r>
      <w:r>
        <w:rPr>
          <w:sz w:val="22"/>
        </w:rPr>
        <w:t>estado</w:t>
      </w:r>
      <w:r>
        <w:rPr>
          <w:spacing w:val="-4"/>
          <w:sz w:val="22"/>
        </w:rPr>
        <w:t> </w:t>
      </w:r>
      <w:r>
        <w:rPr>
          <w:sz w:val="22"/>
        </w:rPr>
        <w:t>a</w:t>
      </w:r>
      <w:r>
        <w:rPr>
          <w:spacing w:val="-4"/>
          <w:sz w:val="22"/>
        </w:rPr>
        <w:t> </w:t>
      </w:r>
      <w:r>
        <w:rPr>
          <w:sz w:val="22"/>
        </w:rPr>
        <w:t>otro</w:t>
      </w:r>
      <w:r>
        <w:rPr>
          <w:spacing w:val="-4"/>
          <w:sz w:val="22"/>
        </w:rPr>
        <w:t> </w:t>
      </w:r>
      <w:r>
        <w:rPr>
          <w:sz w:val="22"/>
        </w:rPr>
        <w:t>o</w:t>
      </w:r>
      <w:r>
        <w:rPr>
          <w:spacing w:val="-4"/>
          <w:sz w:val="22"/>
        </w:rPr>
        <w:t> </w:t>
      </w:r>
      <w:r>
        <w:rPr>
          <w:sz w:val="22"/>
        </w:rPr>
        <w:t>se</w:t>
      </w:r>
      <w:r>
        <w:rPr>
          <w:spacing w:val="-6"/>
          <w:sz w:val="22"/>
        </w:rPr>
        <w:t> </w:t>
      </w:r>
      <w:r>
        <w:rPr>
          <w:sz w:val="22"/>
        </w:rPr>
        <w:t>siente</w:t>
      </w:r>
      <w:r>
        <w:rPr>
          <w:spacing w:val="-4"/>
          <w:sz w:val="22"/>
        </w:rPr>
        <w:t> </w:t>
      </w:r>
      <w:r>
        <w:rPr>
          <w:sz w:val="22"/>
        </w:rPr>
        <w:t>indiferente entre ellos debe modificarse sólo de modo ligero para implicar la utilidad cardinal. La modificación consiste en que el hombre económico puede también ordenar cabalmente combinaciones de probabilidad de estados (Ward,</w:t>
      </w:r>
      <w:r>
        <w:rPr>
          <w:spacing w:val="-16"/>
          <w:sz w:val="22"/>
        </w:rPr>
        <w:t> </w:t>
      </w:r>
      <w:r>
        <w:rPr>
          <w:sz w:val="22"/>
        </w:rPr>
        <w:t>1979:31-32).</w:t>
      </w:r>
    </w:p>
    <w:p>
      <w:pPr>
        <w:pStyle w:val="BodyText"/>
        <w:spacing w:before="5"/>
        <w:rPr>
          <w:sz w:val="17"/>
        </w:rPr>
      </w:pPr>
    </w:p>
    <w:p>
      <w:pPr>
        <w:pStyle w:val="BodyText"/>
        <w:spacing w:line="360" w:lineRule="auto"/>
        <w:ind w:left="102" w:right="119"/>
        <w:jc w:val="both"/>
      </w:pPr>
      <w:r>
        <w:rPr/>
        <w:t>Para hablar de la teoría de los juegos se debe principalmente aludir al término estrategia e imputaciones.</w:t>
      </w:r>
    </w:p>
    <w:p>
      <w:pPr>
        <w:spacing w:before="204"/>
        <w:ind w:left="954" w:right="115" w:firstLine="0"/>
        <w:jc w:val="both"/>
        <w:rPr>
          <w:sz w:val="22"/>
        </w:rPr>
      </w:pPr>
      <w:r>
        <w:rPr>
          <w:sz w:val="22"/>
        </w:rPr>
        <w:t>Estrategia es un conjunto de reglas personales para el juego. Para cada primera movida posible de su parte, su oponente tendrá un conjunto de respuestas posibles. Para cada respuesta posible de su oponente, usted tendrá un conjunto de respuestas, y así sucesivamente a lo largo del juego. A las estrategias se asocian las imputaciones. Una imputación es un conjunto de pagos hechos a resultas del juego, una para cada jugador. Una solución es un conjunto de imputaciones, ninguna de las cuales domina a otra, tal que cada imputación que no</w:t>
      </w:r>
      <w:r>
        <w:rPr>
          <w:spacing w:val="-11"/>
          <w:sz w:val="22"/>
        </w:rPr>
        <w:t> </w:t>
      </w:r>
      <w:r>
        <w:rPr>
          <w:sz w:val="22"/>
        </w:rPr>
        <w:t>se</w:t>
      </w:r>
      <w:r>
        <w:rPr>
          <w:spacing w:val="-11"/>
          <w:sz w:val="22"/>
        </w:rPr>
        <w:t> </w:t>
      </w:r>
      <w:r>
        <w:rPr>
          <w:sz w:val="22"/>
        </w:rPr>
        <w:t>encuentre</w:t>
      </w:r>
      <w:r>
        <w:rPr>
          <w:spacing w:val="-13"/>
          <w:sz w:val="22"/>
        </w:rPr>
        <w:t> </w:t>
      </w:r>
      <w:r>
        <w:rPr>
          <w:sz w:val="22"/>
        </w:rPr>
        <w:t>en</w:t>
      </w:r>
      <w:r>
        <w:rPr>
          <w:spacing w:val="-13"/>
          <w:sz w:val="22"/>
        </w:rPr>
        <w:t> </w:t>
      </w:r>
      <w:r>
        <w:rPr>
          <w:sz w:val="22"/>
        </w:rPr>
        <w:t>la</w:t>
      </w:r>
      <w:r>
        <w:rPr>
          <w:spacing w:val="-11"/>
          <w:sz w:val="22"/>
        </w:rPr>
        <w:t> </w:t>
      </w:r>
      <w:r>
        <w:rPr>
          <w:sz w:val="22"/>
        </w:rPr>
        <w:t>solución</w:t>
      </w:r>
      <w:r>
        <w:rPr>
          <w:spacing w:val="-11"/>
          <w:sz w:val="22"/>
        </w:rPr>
        <w:t> </w:t>
      </w:r>
      <w:r>
        <w:rPr>
          <w:sz w:val="22"/>
        </w:rPr>
        <w:t>sea</w:t>
      </w:r>
      <w:r>
        <w:rPr>
          <w:spacing w:val="-11"/>
          <w:sz w:val="22"/>
        </w:rPr>
        <w:t> </w:t>
      </w:r>
      <w:r>
        <w:rPr>
          <w:sz w:val="22"/>
        </w:rPr>
        <w:t>dominada</w:t>
      </w:r>
      <w:r>
        <w:rPr>
          <w:spacing w:val="-11"/>
          <w:sz w:val="22"/>
        </w:rPr>
        <w:t> </w:t>
      </w:r>
      <w:r>
        <w:rPr>
          <w:sz w:val="22"/>
        </w:rPr>
        <w:t>por</w:t>
      </w:r>
      <w:r>
        <w:rPr>
          <w:spacing w:val="-12"/>
          <w:sz w:val="22"/>
        </w:rPr>
        <w:t> </w:t>
      </w:r>
      <w:r>
        <w:rPr>
          <w:sz w:val="22"/>
        </w:rPr>
        <w:t>lo</w:t>
      </w:r>
      <w:r>
        <w:rPr>
          <w:spacing w:val="-11"/>
          <w:sz w:val="22"/>
        </w:rPr>
        <w:t> </w:t>
      </w:r>
      <w:r>
        <w:rPr>
          <w:sz w:val="22"/>
        </w:rPr>
        <w:t>menos</w:t>
      </w:r>
      <w:r>
        <w:rPr>
          <w:spacing w:val="-13"/>
          <w:sz w:val="22"/>
        </w:rPr>
        <w:t> </w:t>
      </w:r>
      <w:r>
        <w:rPr>
          <w:sz w:val="22"/>
        </w:rPr>
        <w:t>por</w:t>
      </w:r>
      <w:r>
        <w:rPr>
          <w:spacing w:val="-12"/>
          <w:sz w:val="22"/>
        </w:rPr>
        <w:t> </w:t>
      </w:r>
      <w:r>
        <w:rPr>
          <w:sz w:val="22"/>
        </w:rPr>
        <w:t>una</w:t>
      </w:r>
      <w:r>
        <w:rPr>
          <w:spacing w:val="-11"/>
          <w:sz w:val="22"/>
        </w:rPr>
        <w:t> </w:t>
      </w:r>
      <w:r>
        <w:rPr>
          <w:sz w:val="22"/>
        </w:rPr>
        <w:t>imputación</w:t>
      </w:r>
      <w:r>
        <w:rPr>
          <w:spacing w:val="-11"/>
          <w:sz w:val="22"/>
        </w:rPr>
        <w:t> </w:t>
      </w:r>
      <w:r>
        <w:rPr>
          <w:sz w:val="22"/>
        </w:rPr>
        <w:t>que si se encuentre en la solución (Ward,</w:t>
      </w:r>
      <w:r>
        <w:rPr>
          <w:spacing w:val="-9"/>
          <w:sz w:val="22"/>
        </w:rPr>
        <w:t> </w:t>
      </w:r>
      <w:r>
        <w:rPr>
          <w:sz w:val="22"/>
        </w:rPr>
        <w:t>1979:51-52).</w:t>
      </w:r>
    </w:p>
    <w:p>
      <w:pPr>
        <w:pStyle w:val="BodyText"/>
        <w:rPr>
          <w:sz w:val="22"/>
        </w:rPr>
      </w:pPr>
    </w:p>
    <w:p>
      <w:pPr>
        <w:pStyle w:val="BodyText"/>
        <w:rPr>
          <w:sz w:val="22"/>
        </w:rPr>
      </w:pPr>
    </w:p>
    <w:p>
      <w:pPr>
        <w:pStyle w:val="BodyText"/>
        <w:spacing w:before="9"/>
        <w:rPr>
          <w:sz w:val="23"/>
        </w:rPr>
      </w:pPr>
    </w:p>
    <w:p>
      <w:pPr>
        <w:pStyle w:val="BodyText"/>
        <w:spacing w:line="360" w:lineRule="auto"/>
        <w:ind w:left="102" w:right="122"/>
        <w:jc w:val="both"/>
      </w:pPr>
      <w:r>
        <w:rPr/>
        <w:t>De acuerdo con Dougherty (1993) la teoría de los juegos se basa en una forma abstracta de razonamiento, que surge de una    combinación de la matemática y la</w:t>
      </w:r>
    </w:p>
    <w:p>
      <w:pPr>
        <w:spacing w:after="0" w:line="360" w:lineRule="auto"/>
        <w:jc w:val="both"/>
        <w:sectPr>
          <w:pgSz w:w="12240" w:h="15840"/>
          <w:pgMar w:header="0" w:footer="992" w:top="1360" w:bottom="1180" w:left="1600" w:right="1580"/>
        </w:sectPr>
      </w:pPr>
    </w:p>
    <w:p>
      <w:pPr>
        <w:pStyle w:val="BodyText"/>
        <w:spacing w:line="362" w:lineRule="auto" w:before="54"/>
        <w:ind w:left="102" w:right="116"/>
        <w:jc w:val="both"/>
      </w:pPr>
      <w:r>
        <w:rPr/>
        <w:t>lógica. En la teoría de los juegos lo importante es ganar más que saber la forma</w:t>
      </w:r>
      <w:r>
        <w:rPr>
          <w:spacing w:val="-36"/>
        </w:rPr>
        <w:t> </w:t>
      </w:r>
      <w:r>
        <w:rPr/>
        <w:t>en que los individuos se comportan concretamente en situaciones de</w:t>
      </w:r>
      <w:r>
        <w:rPr>
          <w:spacing w:val="-25"/>
        </w:rPr>
        <w:t> </w:t>
      </w:r>
      <w:r>
        <w:rPr/>
        <w:t>conflicto.</w:t>
      </w:r>
    </w:p>
    <w:p>
      <w:pPr>
        <w:pStyle w:val="BodyText"/>
        <w:spacing w:line="360" w:lineRule="auto" w:before="201"/>
        <w:ind w:left="102" w:right="118"/>
        <w:jc w:val="both"/>
      </w:pPr>
      <w:r>
        <w:rPr/>
        <w:t>La teoría de la decisión es el resultado de los esfuerzos conjuntos de economistas, matemáticos, filósofos, científicos sociales, estadísticos, entre otros, para  explicar</w:t>
      </w:r>
    </w:p>
    <w:p>
      <w:pPr>
        <w:pStyle w:val="BodyText"/>
        <w:spacing w:line="360" w:lineRule="auto" w:before="5"/>
        <w:ind w:left="102" w:right="119"/>
        <w:jc w:val="both"/>
      </w:pPr>
      <w:r>
        <w:rPr/>
        <w:t>¿Cómo toman? o ¿Cómo deberían tomar decisiones? los individuos y los grupos, también cabe resaltar que la teoría de la decisión, es un conjunto de teorías que aportan conceptos muy notables a está misma, teorías que brevemente ya se hicieron notar en párrafos anteriores.</w:t>
      </w:r>
    </w:p>
    <w:p>
      <w:pPr>
        <w:pStyle w:val="BodyText"/>
        <w:spacing w:line="360" w:lineRule="auto" w:before="205"/>
        <w:ind w:left="102" w:right="115"/>
        <w:jc w:val="both"/>
      </w:pPr>
      <w:r>
        <w:rPr/>
        <w:t>Es por ello, que hablar sobre la teoría de la decisión y encontrar el punto exacto de un antes y un después de esta teoría, a fin de plantearla en una línea de tiempo, sería</w:t>
      </w:r>
      <w:r>
        <w:rPr>
          <w:spacing w:val="-13"/>
        </w:rPr>
        <w:t> </w:t>
      </w:r>
      <w:r>
        <w:rPr/>
        <w:t>exhaustivo,</w:t>
      </w:r>
      <w:r>
        <w:rPr>
          <w:spacing w:val="-13"/>
        </w:rPr>
        <w:t> </w:t>
      </w:r>
      <w:r>
        <w:rPr/>
        <w:t>el</w:t>
      </w:r>
      <w:r>
        <w:rPr>
          <w:spacing w:val="-14"/>
        </w:rPr>
        <w:t> </w:t>
      </w:r>
      <w:r>
        <w:rPr/>
        <w:t>cual</w:t>
      </w:r>
      <w:r>
        <w:rPr>
          <w:spacing w:val="-14"/>
        </w:rPr>
        <w:t> </w:t>
      </w:r>
      <w:r>
        <w:rPr/>
        <w:t>no</w:t>
      </w:r>
      <w:r>
        <w:rPr>
          <w:spacing w:val="-16"/>
        </w:rPr>
        <w:t> </w:t>
      </w:r>
      <w:r>
        <w:rPr/>
        <w:t>es</w:t>
      </w:r>
      <w:r>
        <w:rPr>
          <w:spacing w:val="-14"/>
        </w:rPr>
        <w:t> </w:t>
      </w:r>
      <w:r>
        <w:rPr/>
        <w:t>la</w:t>
      </w:r>
      <w:r>
        <w:rPr>
          <w:spacing w:val="-16"/>
        </w:rPr>
        <w:t> </w:t>
      </w:r>
      <w:r>
        <w:rPr/>
        <w:t>idea,</w:t>
      </w:r>
      <w:r>
        <w:rPr>
          <w:spacing w:val="-11"/>
        </w:rPr>
        <w:t> </w:t>
      </w:r>
      <w:r>
        <w:rPr/>
        <w:t>lo</w:t>
      </w:r>
      <w:r>
        <w:rPr>
          <w:spacing w:val="-13"/>
        </w:rPr>
        <w:t> </w:t>
      </w:r>
      <w:r>
        <w:rPr/>
        <w:t>que</w:t>
      </w:r>
      <w:r>
        <w:rPr>
          <w:spacing w:val="-16"/>
        </w:rPr>
        <w:t> </w:t>
      </w:r>
      <w:r>
        <w:rPr/>
        <w:t>se</w:t>
      </w:r>
      <w:r>
        <w:rPr>
          <w:spacing w:val="-13"/>
        </w:rPr>
        <w:t> </w:t>
      </w:r>
      <w:r>
        <w:rPr/>
        <w:t>pretende</w:t>
      </w:r>
      <w:r>
        <w:rPr>
          <w:spacing w:val="-13"/>
        </w:rPr>
        <w:t> </w:t>
      </w:r>
      <w:r>
        <w:rPr/>
        <w:t>es</w:t>
      </w:r>
      <w:r>
        <w:rPr>
          <w:spacing w:val="-16"/>
        </w:rPr>
        <w:t> </w:t>
      </w:r>
      <w:r>
        <w:rPr/>
        <w:t>soló</w:t>
      </w:r>
      <w:r>
        <w:rPr>
          <w:spacing w:val="-14"/>
        </w:rPr>
        <w:t> </w:t>
      </w:r>
      <w:r>
        <w:rPr/>
        <w:t>resaltar</w:t>
      </w:r>
      <w:r>
        <w:rPr>
          <w:spacing w:val="-14"/>
        </w:rPr>
        <w:t> </w:t>
      </w:r>
      <w:r>
        <w:rPr/>
        <w:t>de</w:t>
      </w:r>
      <w:r>
        <w:rPr>
          <w:spacing w:val="-15"/>
        </w:rPr>
        <w:t> </w:t>
      </w:r>
      <w:r>
        <w:rPr/>
        <w:t>manera general reseñando la importancia de está, para el objeto de la investigación. Además,</w:t>
      </w:r>
      <w:r>
        <w:rPr>
          <w:spacing w:val="-9"/>
        </w:rPr>
        <w:t> </w:t>
      </w:r>
      <w:r>
        <w:rPr/>
        <w:t>cada</w:t>
      </w:r>
      <w:r>
        <w:rPr>
          <w:spacing w:val="-8"/>
        </w:rPr>
        <w:t> </w:t>
      </w:r>
      <w:r>
        <w:rPr/>
        <w:t>autor,</w:t>
      </w:r>
      <w:r>
        <w:rPr>
          <w:spacing w:val="-9"/>
        </w:rPr>
        <w:t> </w:t>
      </w:r>
      <w:r>
        <w:rPr/>
        <w:t>presenta</w:t>
      </w:r>
      <w:r>
        <w:rPr>
          <w:spacing w:val="-8"/>
        </w:rPr>
        <w:t> </w:t>
      </w:r>
      <w:r>
        <w:rPr/>
        <w:t>elementos</w:t>
      </w:r>
      <w:r>
        <w:rPr>
          <w:spacing w:val="-5"/>
        </w:rPr>
        <w:t> </w:t>
      </w:r>
      <w:r>
        <w:rPr/>
        <w:t>que</w:t>
      </w:r>
      <w:r>
        <w:rPr>
          <w:spacing w:val="-8"/>
        </w:rPr>
        <w:t> </w:t>
      </w:r>
      <w:r>
        <w:rPr/>
        <w:t>en</w:t>
      </w:r>
      <w:r>
        <w:rPr>
          <w:spacing w:val="-8"/>
        </w:rPr>
        <w:t> </w:t>
      </w:r>
      <w:r>
        <w:rPr/>
        <w:t>algunos</w:t>
      </w:r>
      <w:r>
        <w:rPr>
          <w:spacing w:val="-7"/>
        </w:rPr>
        <w:t> </w:t>
      </w:r>
      <w:r>
        <w:rPr/>
        <w:t>casos</w:t>
      </w:r>
      <w:r>
        <w:rPr>
          <w:spacing w:val="-7"/>
        </w:rPr>
        <w:t> </w:t>
      </w:r>
      <w:r>
        <w:rPr/>
        <w:t>suele</w:t>
      </w:r>
      <w:r>
        <w:rPr>
          <w:spacing w:val="-6"/>
        </w:rPr>
        <w:t> </w:t>
      </w:r>
      <w:r>
        <w:rPr/>
        <w:t>coincidir</w:t>
      </w:r>
      <w:r>
        <w:rPr>
          <w:spacing w:val="-7"/>
        </w:rPr>
        <w:t> </w:t>
      </w:r>
      <w:r>
        <w:rPr/>
        <w:t>y</w:t>
      </w:r>
      <w:r>
        <w:rPr>
          <w:spacing w:val="-9"/>
        </w:rPr>
        <w:t> </w:t>
      </w:r>
      <w:r>
        <w:rPr/>
        <w:t>en otros sólo lo nombra de forma diferente o son aportaciones</w:t>
      </w:r>
      <w:r>
        <w:rPr>
          <w:spacing w:val="-29"/>
        </w:rPr>
        <w:t> </w:t>
      </w:r>
      <w:r>
        <w:rPr/>
        <w:t>nuevas.</w:t>
      </w:r>
    </w:p>
    <w:p>
      <w:pPr>
        <w:pStyle w:val="BodyText"/>
      </w:pPr>
    </w:p>
    <w:p>
      <w:pPr>
        <w:pStyle w:val="Heading1"/>
        <w:numPr>
          <w:ilvl w:val="2"/>
          <w:numId w:val="8"/>
        </w:numPr>
        <w:tabs>
          <w:tab w:pos="1941" w:val="left" w:leader="none"/>
        </w:tabs>
        <w:spacing w:line="240" w:lineRule="auto" w:before="205" w:after="0"/>
        <w:ind w:left="1940" w:right="0" w:hanging="703"/>
        <w:jc w:val="left"/>
      </w:pPr>
      <w:bookmarkStart w:name="_TOC_250048" w:id="4"/>
      <w:r>
        <w:rPr/>
        <w:t>Conceptualización de la toma de</w:t>
      </w:r>
      <w:r>
        <w:rPr>
          <w:spacing w:val="-21"/>
        </w:rPr>
        <w:t> </w:t>
      </w:r>
      <w:bookmarkEnd w:id="4"/>
      <w:r>
        <w:rPr/>
        <w:t>decisiones</w:t>
      </w:r>
    </w:p>
    <w:p>
      <w:pPr>
        <w:pStyle w:val="BodyText"/>
        <w:rPr>
          <w:b/>
          <w:sz w:val="28"/>
        </w:rPr>
      </w:pPr>
    </w:p>
    <w:p>
      <w:pPr>
        <w:pStyle w:val="BodyText"/>
        <w:rPr>
          <w:b/>
          <w:sz w:val="28"/>
        </w:rPr>
      </w:pPr>
    </w:p>
    <w:p>
      <w:pPr>
        <w:pStyle w:val="BodyText"/>
        <w:spacing w:before="8"/>
        <w:rPr>
          <w:b/>
          <w:sz w:val="30"/>
        </w:rPr>
      </w:pPr>
    </w:p>
    <w:p>
      <w:pPr>
        <w:pStyle w:val="BodyText"/>
        <w:spacing w:line="360" w:lineRule="auto"/>
        <w:ind w:left="102" w:right="114"/>
        <w:jc w:val="both"/>
      </w:pPr>
      <w:r>
        <w:rPr/>
        <w:t>Para determinar un concepto unificado de toma de decisiones, es importante tener en cuenta las características que cada autor presenta en su conceptualización; se comenzará</w:t>
      </w:r>
      <w:r>
        <w:rPr>
          <w:spacing w:val="-11"/>
        </w:rPr>
        <w:t> </w:t>
      </w:r>
      <w:r>
        <w:rPr/>
        <w:t>definiendo</w:t>
      </w:r>
      <w:r>
        <w:rPr>
          <w:spacing w:val="-15"/>
        </w:rPr>
        <w:t> </w:t>
      </w:r>
      <w:r>
        <w:rPr/>
        <w:t>la</w:t>
      </w:r>
      <w:r>
        <w:rPr>
          <w:spacing w:val="-12"/>
        </w:rPr>
        <w:t> </w:t>
      </w:r>
      <w:r>
        <w:rPr/>
        <w:t>decisión,</w:t>
      </w:r>
      <w:r>
        <w:rPr>
          <w:spacing w:val="-14"/>
        </w:rPr>
        <w:t> </w:t>
      </w:r>
      <w:r>
        <w:rPr/>
        <w:t>continuando</w:t>
      </w:r>
      <w:r>
        <w:rPr>
          <w:spacing w:val="-10"/>
        </w:rPr>
        <w:t> </w:t>
      </w:r>
      <w:r>
        <w:rPr/>
        <w:t>con</w:t>
      </w:r>
      <w:r>
        <w:rPr>
          <w:spacing w:val="-12"/>
        </w:rPr>
        <w:t> </w:t>
      </w:r>
      <w:r>
        <w:rPr/>
        <w:t>la</w:t>
      </w:r>
      <w:r>
        <w:rPr>
          <w:spacing w:val="-14"/>
        </w:rPr>
        <w:t> </w:t>
      </w:r>
      <w:r>
        <w:rPr/>
        <w:t>toma</w:t>
      </w:r>
      <w:r>
        <w:rPr>
          <w:spacing w:val="-14"/>
        </w:rPr>
        <w:t> </w:t>
      </w:r>
      <w:r>
        <w:rPr/>
        <w:t>de</w:t>
      </w:r>
      <w:r>
        <w:rPr>
          <w:spacing w:val="-13"/>
        </w:rPr>
        <w:t> </w:t>
      </w:r>
      <w:r>
        <w:rPr/>
        <w:t>decisión</w:t>
      </w:r>
      <w:r>
        <w:rPr>
          <w:spacing w:val="-10"/>
        </w:rPr>
        <w:t> </w:t>
      </w:r>
      <w:r>
        <w:rPr/>
        <w:t>y</w:t>
      </w:r>
      <w:r>
        <w:rPr>
          <w:spacing w:val="-17"/>
        </w:rPr>
        <w:t> </w:t>
      </w:r>
      <w:r>
        <w:rPr/>
        <w:t>finalmente se concertarán los elementos aportados, tratando de englobar cada uno en un concepto</w:t>
      </w:r>
      <w:r>
        <w:rPr>
          <w:spacing w:val="-11"/>
        </w:rPr>
        <w:t> </w:t>
      </w:r>
      <w:r>
        <w:rPr/>
        <w:t>generalizado.</w:t>
      </w:r>
    </w:p>
    <w:p>
      <w:pPr>
        <w:pStyle w:val="BodyText"/>
        <w:spacing w:line="360" w:lineRule="auto" w:before="205"/>
        <w:ind w:left="102" w:right="116"/>
        <w:jc w:val="both"/>
      </w:pPr>
      <w:r>
        <w:rPr/>
        <w:t>La decisión, como toda actividad humana importante involucra, determinación, resolución, audacia, disciplina, ponderación, claridad de ideas y propósitos, una dedicación</w:t>
      </w:r>
      <w:r>
        <w:rPr>
          <w:spacing w:val="-18"/>
        </w:rPr>
        <w:t> </w:t>
      </w:r>
      <w:r>
        <w:rPr/>
        <w:t>así</w:t>
      </w:r>
      <w:r>
        <w:rPr>
          <w:spacing w:val="-19"/>
        </w:rPr>
        <w:t> </w:t>
      </w:r>
      <w:r>
        <w:rPr/>
        <w:t>mismo</w:t>
      </w:r>
      <w:r>
        <w:rPr>
          <w:spacing w:val="-17"/>
        </w:rPr>
        <w:t> </w:t>
      </w:r>
      <w:r>
        <w:rPr/>
        <w:t>como</w:t>
      </w:r>
      <w:r>
        <w:rPr>
          <w:spacing w:val="-19"/>
        </w:rPr>
        <w:t> </w:t>
      </w:r>
      <w:r>
        <w:rPr/>
        <w:t>un</w:t>
      </w:r>
      <w:r>
        <w:rPr>
          <w:spacing w:val="-15"/>
        </w:rPr>
        <w:t> </w:t>
      </w:r>
      <w:r>
        <w:rPr/>
        <w:t>compromiso</w:t>
      </w:r>
      <w:r>
        <w:rPr>
          <w:spacing w:val="-17"/>
        </w:rPr>
        <w:t> </w:t>
      </w:r>
      <w:r>
        <w:rPr/>
        <w:t>y</w:t>
      </w:r>
      <w:r>
        <w:rPr>
          <w:spacing w:val="-20"/>
        </w:rPr>
        <w:t> </w:t>
      </w:r>
      <w:r>
        <w:rPr/>
        <w:t>renuncia.</w:t>
      </w:r>
      <w:r>
        <w:rPr>
          <w:spacing w:val="-15"/>
        </w:rPr>
        <w:t> </w:t>
      </w:r>
      <w:r>
        <w:rPr/>
        <w:t>“Decisión,</w:t>
      </w:r>
      <w:r>
        <w:rPr>
          <w:spacing w:val="-19"/>
        </w:rPr>
        <w:t> </w:t>
      </w:r>
      <w:r>
        <w:rPr/>
        <w:t>del</w:t>
      </w:r>
      <w:r>
        <w:rPr>
          <w:spacing w:val="-20"/>
        </w:rPr>
        <w:t> </w:t>
      </w:r>
      <w:r>
        <w:rPr/>
        <w:t>latín</w:t>
      </w:r>
      <w:r>
        <w:rPr>
          <w:spacing w:val="-15"/>
        </w:rPr>
        <w:t> </w:t>
      </w:r>
      <w:r>
        <w:rPr>
          <w:i/>
        </w:rPr>
        <w:t>decidere, </w:t>
      </w:r>
      <w:r>
        <w:rPr/>
        <w:t>es</w:t>
      </w:r>
      <w:r>
        <w:rPr>
          <w:spacing w:val="-20"/>
        </w:rPr>
        <w:t> </w:t>
      </w:r>
      <w:r>
        <w:rPr/>
        <w:t>un</w:t>
      </w:r>
      <w:r>
        <w:rPr>
          <w:spacing w:val="-18"/>
        </w:rPr>
        <w:t> </w:t>
      </w:r>
      <w:r>
        <w:rPr/>
        <w:t>término</w:t>
      </w:r>
      <w:r>
        <w:rPr>
          <w:spacing w:val="-18"/>
        </w:rPr>
        <w:t> </w:t>
      </w:r>
      <w:r>
        <w:rPr/>
        <w:t>afín</w:t>
      </w:r>
      <w:r>
        <w:rPr>
          <w:spacing w:val="-19"/>
        </w:rPr>
        <w:t> </w:t>
      </w:r>
      <w:r>
        <w:rPr/>
        <w:t>a</w:t>
      </w:r>
      <w:r>
        <w:rPr>
          <w:spacing w:val="-19"/>
        </w:rPr>
        <w:t> </w:t>
      </w:r>
      <w:r>
        <w:rPr/>
        <w:t>incisión,</w:t>
      </w:r>
      <w:r>
        <w:rPr>
          <w:spacing w:val="-19"/>
        </w:rPr>
        <w:t> </w:t>
      </w:r>
      <w:r>
        <w:rPr/>
        <w:t>precisión,</w:t>
      </w:r>
      <w:r>
        <w:rPr>
          <w:spacing w:val="-19"/>
        </w:rPr>
        <w:t> </w:t>
      </w:r>
      <w:r>
        <w:rPr/>
        <w:t>preciso,</w:t>
      </w:r>
      <w:r>
        <w:rPr>
          <w:spacing w:val="-19"/>
        </w:rPr>
        <w:t> </w:t>
      </w:r>
      <w:r>
        <w:rPr/>
        <w:t>conciso,</w:t>
      </w:r>
      <w:r>
        <w:rPr>
          <w:spacing w:val="-19"/>
        </w:rPr>
        <w:t> </w:t>
      </w:r>
      <w:r>
        <w:rPr/>
        <w:t>circuncisión,</w:t>
      </w:r>
      <w:r>
        <w:rPr>
          <w:spacing w:val="-19"/>
        </w:rPr>
        <w:t> </w:t>
      </w:r>
      <w:r>
        <w:rPr/>
        <w:t>cisura,</w:t>
      </w:r>
      <w:r>
        <w:rPr>
          <w:spacing w:val="-19"/>
        </w:rPr>
        <w:t> </w:t>
      </w:r>
      <w:r>
        <w:rPr/>
        <w:t>cesura, inciso, occiso. Entraña la idea de cortar y dejar. Supone que un individuo ante </w:t>
      </w:r>
      <w:r>
        <w:rPr>
          <w:spacing w:val="3"/>
        </w:rPr>
        <w:t> </w:t>
      </w:r>
      <w:r>
        <w:rPr/>
        <w:t>dos</w:t>
      </w:r>
    </w:p>
    <w:p>
      <w:pPr>
        <w:spacing w:after="0" w:line="360" w:lineRule="auto"/>
        <w:jc w:val="both"/>
        <w:sectPr>
          <w:pgSz w:w="12240" w:h="15840"/>
          <w:pgMar w:header="0" w:footer="992" w:top="1360" w:bottom="1180" w:left="1600" w:right="1580"/>
        </w:sectPr>
      </w:pPr>
    </w:p>
    <w:p>
      <w:pPr>
        <w:pStyle w:val="BodyText"/>
        <w:spacing w:line="362" w:lineRule="auto" w:before="54"/>
        <w:ind w:left="102" w:right="125"/>
        <w:jc w:val="both"/>
      </w:pPr>
      <w:r>
        <w:rPr/>
        <w:t>o más alternativas que tienen algo de apetecible, toma una y deja las otras.” (Rodríguez y Márquez, 1988:8)</w:t>
      </w:r>
    </w:p>
    <w:p>
      <w:pPr>
        <w:pStyle w:val="BodyText"/>
        <w:spacing w:line="360" w:lineRule="auto" w:before="201"/>
        <w:ind w:left="102" w:right="114"/>
        <w:jc w:val="both"/>
      </w:pPr>
      <w:r>
        <w:rPr/>
        <w:t>Decisión implica directamente la voluntad del individuo o de un grupo de personas, lo cual conlleva a su vez un proceso de deliberación. La decisión es algo cercano  a todos, aunque sólo sea de una forma intuitiva. Desde siempre las personas y organizaciones están sujetas a una cadena ininterrumpida de decisiones. “Se dice que</w:t>
      </w:r>
      <w:r>
        <w:rPr>
          <w:spacing w:val="-7"/>
        </w:rPr>
        <w:t> </w:t>
      </w:r>
      <w:r>
        <w:rPr/>
        <w:t>una</w:t>
      </w:r>
      <w:r>
        <w:rPr>
          <w:spacing w:val="-9"/>
        </w:rPr>
        <w:t> </w:t>
      </w:r>
      <w:r>
        <w:rPr/>
        <w:t>decisión</w:t>
      </w:r>
      <w:r>
        <w:rPr>
          <w:spacing w:val="-9"/>
        </w:rPr>
        <w:t> </w:t>
      </w:r>
      <w:r>
        <w:rPr/>
        <w:t>es</w:t>
      </w:r>
      <w:r>
        <w:rPr>
          <w:spacing w:val="-8"/>
        </w:rPr>
        <w:t> </w:t>
      </w:r>
      <w:r>
        <w:rPr/>
        <w:t>la</w:t>
      </w:r>
      <w:r>
        <w:rPr>
          <w:spacing w:val="-9"/>
        </w:rPr>
        <w:t> </w:t>
      </w:r>
      <w:r>
        <w:rPr/>
        <w:t>conclusión</w:t>
      </w:r>
      <w:r>
        <w:rPr>
          <w:spacing w:val="-9"/>
        </w:rPr>
        <w:t> </w:t>
      </w:r>
      <w:r>
        <w:rPr/>
        <w:t>de</w:t>
      </w:r>
      <w:r>
        <w:rPr>
          <w:spacing w:val="-9"/>
        </w:rPr>
        <w:t> </w:t>
      </w:r>
      <w:r>
        <w:rPr/>
        <w:t>un</w:t>
      </w:r>
      <w:r>
        <w:rPr>
          <w:spacing w:val="-9"/>
        </w:rPr>
        <w:t> </w:t>
      </w:r>
      <w:r>
        <w:rPr/>
        <w:t>proceso</w:t>
      </w:r>
      <w:r>
        <w:rPr>
          <w:spacing w:val="-7"/>
        </w:rPr>
        <w:t> </w:t>
      </w:r>
      <w:r>
        <w:rPr/>
        <w:t>de</w:t>
      </w:r>
      <w:r>
        <w:rPr>
          <w:spacing w:val="-9"/>
        </w:rPr>
        <w:t> </w:t>
      </w:r>
      <w:r>
        <w:rPr/>
        <w:t>análisis</w:t>
      </w:r>
      <w:r>
        <w:rPr>
          <w:spacing w:val="-8"/>
        </w:rPr>
        <w:t> </w:t>
      </w:r>
      <w:r>
        <w:rPr/>
        <w:t>por</w:t>
      </w:r>
      <w:r>
        <w:rPr>
          <w:spacing w:val="-11"/>
        </w:rPr>
        <w:t> </w:t>
      </w:r>
      <w:r>
        <w:rPr/>
        <w:t>parte</w:t>
      </w:r>
      <w:r>
        <w:rPr>
          <w:spacing w:val="-7"/>
        </w:rPr>
        <w:t> </w:t>
      </w:r>
      <w:r>
        <w:rPr/>
        <w:t>de</w:t>
      </w:r>
      <w:r>
        <w:rPr>
          <w:spacing w:val="-7"/>
        </w:rPr>
        <w:t> </w:t>
      </w:r>
      <w:r>
        <w:rPr/>
        <w:t>la</w:t>
      </w:r>
      <w:r>
        <w:rPr>
          <w:spacing w:val="-9"/>
        </w:rPr>
        <w:t> </w:t>
      </w:r>
      <w:r>
        <w:rPr/>
        <w:t>persona que decide. Antes de que una persona tome una decisión, efectúa un análisis racional de la situación de interés, que puede ser intensivo o no según las características particulares de la situación considerada” (Reheault,</w:t>
      </w:r>
      <w:r>
        <w:rPr>
          <w:spacing w:val="-15"/>
        </w:rPr>
        <w:t> </w:t>
      </w:r>
      <w:r>
        <w:rPr/>
        <w:t>1977:20).</w:t>
      </w:r>
    </w:p>
    <w:p>
      <w:pPr>
        <w:pStyle w:val="BodyText"/>
        <w:spacing w:line="360" w:lineRule="auto" w:before="204"/>
        <w:ind w:left="102" w:right="118"/>
        <w:jc w:val="both"/>
      </w:pPr>
      <w:r>
        <w:rPr/>
        <w:t>Peter F. Drucker (2002), da su definición de decisión eficaz, la cual en resumen es el resultado de un proceso sistemático, compuesto de elementos claramente definidos</w:t>
      </w:r>
      <w:r>
        <w:rPr>
          <w:spacing w:val="-5"/>
        </w:rPr>
        <w:t> </w:t>
      </w:r>
      <w:r>
        <w:rPr/>
        <w:t>y</w:t>
      </w:r>
      <w:r>
        <w:rPr>
          <w:spacing w:val="-8"/>
        </w:rPr>
        <w:t> </w:t>
      </w:r>
      <w:r>
        <w:rPr/>
        <w:t>escalonado</w:t>
      </w:r>
      <w:r>
        <w:rPr>
          <w:spacing w:val="-7"/>
        </w:rPr>
        <w:t> </w:t>
      </w:r>
      <w:r>
        <w:rPr/>
        <w:t>en</w:t>
      </w:r>
      <w:r>
        <w:rPr>
          <w:spacing w:val="-7"/>
        </w:rPr>
        <w:t> </w:t>
      </w:r>
      <w:r>
        <w:rPr/>
        <w:t>una</w:t>
      </w:r>
      <w:r>
        <w:rPr>
          <w:spacing w:val="-7"/>
        </w:rPr>
        <w:t> </w:t>
      </w:r>
      <w:r>
        <w:rPr/>
        <w:t>secuencia</w:t>
      </w:r>
      <w:r>
        <w:rPr>
          <w:spacing w:val="-7"/>
        </w:rPr>
        <w:t> </w:t>
      </w:r>
      <w:r>
        <w:rPr/>
        <w:t>de</w:t>
      </w:r>
      <w:r>
        <w:rPr>
          <w:spacing w:val="-9"/>
        </w:rPr>
        <w:t> </w:t>
      </w:r>
      <w:r>
        <w:rPr/>
        <w:t>etapas</w:t>
      </w:r>
      <w:r>
        <w:rPr>
          <w:spacing w:val="-8"/>
        </w:rPr>
        <w:t> </w:t>
      </w:r>
      <w:r>
        <w:rPr/>
        <w:t>bien</w:t>
      </w:r>
      <w:r>
        <w:rPr>
          <w:spacing w:val="-6"/>
        </w:rPr>
        <w:t> </w:t>
      </w:r>
      <w:r>
        <w:rPr/>
        <w:t>determinadas. Finalmente “(…)</w:t>
      </w:r>
      <w:r>
        <w:rPr>
          <w:spacing w:val="-11"/>
        </w:rPr>
        <w:t> </w:t>
      </w:r>
      <w:r>
        <w:rPr/>
        <w:t>las</w:t>
      </w:r>
      <w:r>
        <w:rPr>
          <w:spacing w:val="-9"/>
        </w:rPr>
        <w:t> </w:t>
      </w:r>
      <w:r>
        <w:rPr/>
        <w:t>decisiones</w:t>
      </w:r>
      <w:r>
        <w:rPr>
          <w:spacing w:val="-9"/>
        </w:rPr>
        <w:t> </w:t>
      </w:r>
      <w:r>
        <w:rPr/>
        <w:t>son,</w:t>
      </w:r>
      <w:r>
        <w:rPr>
          <w:spacing w:val="-9"/>
        </w:rPr>
        <w:t> </w:t>
      </w:r>
      <w:r>
        <w:rPr/>
        <w:t>según</w:t>
      </w:r>
      <w:r>
        <w:rPr>
          <w:spacing w:val="-11"/>
        </w:rPr>
        <w:t> </w:t>
      </w:r>
      <w:r>
        <w:rPr/>
        <w:t>la</w:t>
      </w:r>
      <w:r>
        <w:rPr>
          <w:spacing w:val="-9"/>
        </w:rPr>
        <w:t> </w:t>
      </w:r>
      <w:r>
        <w:rPr/>
        <w:t>terminología</w:t>
      </w:r>
      <w:r>
        <w:rPr>
          <w:spacing w:val="-8"/>
        </w:rPr>
        <w:t> </w:t>
      </w:r>
      <w:r>
        <w:rPr/>
        <w:t>de</w:t>
      </w:r>
      <w:r>
        <w:rPr>
          <w:spacing w:val="-6"/>
        </w:rPr>
        <w:t> </w:t>
      </w:r>
      <w:r>
        <w:rPr/>
        <w:t>David</w:t>
      </w:r>
      <w:r>
        <w:rPr>
          <w:spacing w:val="-9"/>
        </w:rPr>
        <w:t> </w:t>
      </w:r>
      <w:r>
        <w:rPr/>
        <w:t>Easton,</w:t>
      </w:r>
      <w:r>
        <w:rPr>
          <w:spacing w:val="-9"/>
        </w:rPr>
        <w:t> </w:t>
      </w:r>
      <w:r>
        <w:rPr/>
        <w:t>los</w:t>
      </w:r>
      <w:r>
        <w:rPr>
          <w:spacing w:val="-13"/>
        </w:rPr>
        <w:t> </w:t>
      </w:r>
      <w:r>
        <w:rPr/>
        <w:t>“resultados”</w:t>
      </w:r>
      <w:r>
        <w:rPr>
          <w:spacing w:val="-12"/>
        </w:rPr>
        <w:t> </w:t>
      </w:r>
      <w:r>
        <w:rPr/>
        <w:t>del sistema político, mediante el cual valores son autoritariamente distribuidos dentro de una sociedad”</w:t>
      </w:r>
      <w:r>
        <w:rPr>
          <w:spacing w:val="-11"/>
        </w:rPr>
        <w:t> </w:t>
      </w:r>
      <w:r>
        <w:rPr/>
        <w:t>(Dougherty,1993:481).</w:t>
      </w:r>
    </w:p>
    <w:p>
      <w:pPr>
        <w:pStyle w:val="BodyText"/>
        <w:spacing w:line="360" w:lineRule="auto" w:before="204"/>
        <w:ind w:left="102" w:right="117"/>
        <w:jc w:val="both"/>
      </w:pPr>
      <w:r>
        <w:rPr/>
        <w:t>Continuando con el siguiente concepto: la toma de decisiones, generalizando simplemente,</w:t>
      </w:r>
      <w:r>
        <w:rPr>
          <w:spacing w:val="-6"/>
        </w:rPr>
        <w:t> </w:t>
      </w:r>
      <w:r>
        <w:rPr/>
        <w:t>es</w:t>
      </w:r>
      <w:r>
        <w:rPr>
          <w:spacing w:val="-4"/>
        </w:rPr>
        <w:t> </w:t>
      </w:r>
      <w:r>
        <w:rPr/>
        <w:t>el</w:t>
      </w:r>
      <w:r>
        <w:rPr>
          <w:spacing w:val="-5"/>
        </w:rPr>
        <w:t> </w:t>
      </w:r>
      <w:r>
        <w:rPr/>
        <w:t>acto</w:t>
      </w:r>
      <w:r>
        <w:rPr>
          <w:spacing w:val="-4"/>
        </w:rPr>
        <w:t> </w:t>
      </w:r>
      <w:r>
        <w:rPr/>
        <w:t>de</w:t>
      </w:r>
      <w:r>
        <w:rPr>
          <w:spacing w:val="-4"/>
        </w:rPr>
        <w:t> </w:t>
      </w:r>
      <w:r>
        <w:rPr/>
        <w:t>elegir</w:t>
      </w:r>
      <w:r>
        <w:rPr>
          <w:spacing w:val="-6"/>
        </w:rPr>
        <w:t> </w:t>
      </w:r>
      <w:r>
        <w:rPr/>
        <w:t>entre</w:t>
      </w:r>
      <w:r>
        <w:rPr>
          <w:spacing w:val="-4"/>
        </w:rPr>
        <w:t> </w:t>
      </w:r>
      <w:r>
        <w:rPr/>
        <w:t>alternativas</w:t>
      </w:r>
      <w:r>
        <w:rPr>
          <w:spacing w:val="-4"/>
        </w:rPr>
        <w:t> </w:t>
      </w:r>
      <w:r>
        <w:rPr/>
        <w:t>posibles</w:t>
      </w:r>
      <w:r>
        <w:rPr>
          <w:spacing w:val="-4"/>
        </w:rPr>
        <w:t> </w:t>
      </w:r>
      <w:r>
        <w:rPr/>
        <w:t>sobre</w:t>
      </w:r>
      <w:r>
        <w:rPr>
          <w:spacing w:val="-4"/>
        </w:rPr>
        <w:t> </w:t>
      </w:r>
      <w:r>
        <w:rPr/>
        <w:t>las</w:t>
      </w:r>
      <w:r>
        <w:rPr>
          <w:spacing w:val="-4"/>
        </w:rPr>
        <w:t> </w:t>
      </w:r>
      <w:r>
        <w:rPr/>
        <w:t>cuales</w:t>
      </w:r>
      <w:r>
        <w:rPr>
          <w:spacing w:val="-4"/>
        </w:rPr>
        <w:t> </w:t>
      </w:r>
      <w:r>
        <w:rPr/>
        <w:t>existe algún tipo de incertidumbre. “La toma de decisiones es un proceso que da como resultado la selección de entre un número limitado y socialmente definido de proyectos alternativos y problemáticos (objetivos) de un proyecto destinado a producir el estado futuro particular de cosas que desean los encargados de tomar decisiones” (Greenwood,</w:t>
      </w:r>
      <w:r>
        <w:rPr>
          <w:spacing w:val="-11"/>
        </w:rPr>
        <w:t> </w:t>
      </w:r>
      <w:r>
        <w:rPr/>
        <w:t>1978:33).</w:t>
      </w:r>
    </w:p>
    <w:p>
      <w:pPr>
        <w:pStyle w:val="BodyText"/>
        <w:spacing w:before="3"/>
        <w:rPr>
          <w:sz w:val="21"/>
        </w:rPr>
      </w:pPr>
    </w:p>
    <w:p>
      <w:pPr>
        <w:spacing w:before="1"/>
        <w:ind w:left="954" w:right="114" w:firstLine="0"/>
        <w:jc w:val="both"/>
        <w:rPr>
          <w:sz w:val="22"/>
        </w:rPr>
      </w:pPr>
      <w:r>
        <w:rPr>
          <w:sz w:val="22"/>
        </w:rPr>
        <w:t>La toma de decisiones es el proceso de aprendizaje natural o estructurado mediante el cual se elige entre dos o más alternativas, opciones o formas para resolver diferentes situaciones o conflictos de la vida, la familia, empresa, organización. Cada día tomamos decisiones para las cuales no necesariamente tomamos la mejor opción (FUNDESYRAM, 2011:16).</w:t>
      </w:r>
    </w:p>
    <w:p>
      <w:pPr>
        <w:spacing w:after="0"/>
        <w:jc w:val="both"/>
        <w:rPr>
          <w:sz w:val="22"/>
        </w:rPr>
        <w:sectPr>
          <w:pgSz w:w="12240" w:h="15840"/>
          <w:pgMar w:header="0" w:footer="992" w:top="1360" w:bottom="1180" w:left="1600" w:right="1580"/>
        </w:sectPr>
      </w:pPr>
    </w:p>
    <w:p>
      <w:pPr>
        <w:pStyle w:val="BodyText"/>
        <w:spacing w:line="360" w:lineRule="auto" w:before="54"/>
        <w:ind w:left="102" w:right="116"/>
        <w:jc w:val="both"/>
      </w:pPr>
      <w:r>
        <w:rPr/>
        <w:t>Finalmente y con base en Peter F. Drucker (2002) y desde un punto de vista empresarial manifiesta que los ejecutivos eficaces no toman un gran número de decisiones. Se concentran en lo que es importante. Intentan realizar unas pocas decisiones importantes al nivel elevado de entendimiento conceptual, tratan de hallar</w:t>
      </w:r>
      <w:r>
        <w:rPr>
          <w:spacing w:val="-8"/>
        </w:rPr>
        <w:t> </w:t>
      </w:r>
      <w:r>
        <w:rPr/>
        <w:t>las</w:t>
      </w:r>
      <w:r>
        <w:rPr>
          <w:spacing w:val="-7"/>
        </w:rPr>
        <w:t> </w:t>
      </w:r>
      <w:r>
        <w:rPr/>
        <w:t>constantes</w:t>
      </w:r>
      <w:r>
        <w:rPr>
          <w:spacing w:val="-10"/>
        </w:rPr>
        <w:t> </w:t>
      </w:r>
      <w:r>
        <w:rPr/>
        <w:t>de</w:t>
      </w:r>
      <w:r>
        <w:rPr>
          <w:spacing w:val="-7"/>
        </w:rPr>
        <w:t> </w:t>
      </w:r>
      <w:r>
        <w:rPr/>
        <w:t>la</w:t>
      </w:r>
      <w:r>
        <w:rPr>
          <w:spacing w:val="-7"/>
        </w:rPr>
        <w:t> </w:t>
      </w:r>
      <w:r>
        <w:rPr/>
        <w:t>situación,</w:t>
      </w:r>
      <w:r>
        <w:rPr>
          <w:spacing w:val="-10"/>
        </w:rPr>
        <w:t> </w:t>
      </w:r>
      <w:r>
        <w:rPr/>
        <w:t>de</w:t>
      </w:r>
      <w:r>
        <w:rPr>
          <w:spacing w:val="-9"/>
        </w:rPr>
        <w:t> </w:t>
      </w:r>
      <w:r>
        <w:rPr/>
        <w:t>detectar</w:t>
      </w:r>
      <w:r>
        <w:rPr>
          <w:spacing w:val="-8"/>
        </w:rPr>
        <w:t> </w:t>
      </w:r>
      <w:r>
        <w:rPr/>
        <w:t>lo</w:t>
      </w:r>
      <w:r>
        <w:rPr>
          <w:spacing w:val="-7"/>
        </w:rPr>
        <w:t> </w:t>
      </w:r>
      <w:r>
        <w:rPr/>
        <w:t>que</w:t>
      </w:r>
      <w:r>
        <w:rPr>
          <w:spacing w:val="-9"/>
        </w:rPr>
        <w:t> </w:t>
      </w:r>
      <w:r>
        <w:rPr/>
        <w:t>es</w:t>
      </w:r>
      <w:r>
        <w:rPr>
          <w:spacing w:val="-10"/>
        </w:rPr>
        <w:t> </w:t>
      </w:r>
      <w:r>
        <w:rPr/>
        <w:t>estratégico</w:t>
      </w:r>
      <w:r>
        <w:rPr>
          <w:spacing w:val="-7"/>
        </w:rPr>
        <w:t> </w:t>
      </w:r>
      <w:r>
        <w:rPr/>
        <w:t>y</w:t>
      </w:r>
      <w:r>
        <w:rPr>
          <w:spacing w:val="-10"/>
        </w:rPr>
        <w:t> </w:t>
      </w:r>
      <w:r>
        <w:rPr/>
        <w:t>genérico</w:t>
      </w:r>
      <w:r>
        <w:rPr>
          <w:spacing w:val="-7"/>
        </w:rPr>
        <w:t> </w:t>
      </w:r>
      <w:r>
        <w:rPr/>
        <w:t>en lugar de intentar resolver problemas. Por lo tanto, no se dejan impresionar en gran manera por la necesidad de tomar decisiones con gran rapidez; en lugar de eso, consideran que la habilidad de operar con un gran número de variables es un síntoma de baja calidad intelectual. Desean conocer en que consiste la decisión y cuáles son las realidades subyacentes que hay que satisfacer al tomarla. Prefieren crear un impacto más que una técnica. Y buscan la firmeza de la decisión que la habilidad de tomarla. Los ejecutivos eficaces saben cuándo una decisión hay que tomarla pragmáticamente, según las circunstancias de cada caso. Saben que la decisión</w:t>
      </w:r>
      <w:r>
        <w:rPr>
          <w:spacing w:val="32"/>
        </w:rPr>
        <w:t> </w:t>
      </w:r>
      <w:r>
        <w:rPr/>
        <w:t>eficaz</w:t>
      </w:r>
      <w:r>
        <w:rPr>
          <w:spacing w:val="-21"/>
        </w:rPr>
        <w:t> </w:t>
      </w:r>
      <w:r>
        <w:rPr/>
        <w:t>está</w:t>
      </w:r>
      <w:r>
        <w:rPr>
          <w:spacing w:val="-16"/>
        </w:rPr>
        <w:t> </w:t>
      </w:r>
      <w:r>
        <w:rPr/>
        <w:t>situada</w:t>
      </w:r>
      <w:r>
        <w:rPr>
          <w:spacing w:val="-18"/>
        </w:rPr>
        <w:t> </w:t>
      </w:r>
      <w:r>
        <w:rPr/>
        <w:t>entre</w:t>
      </w:r>
      <w:r>
        <w:rPr>
          <w:spacing w:val="-21"/>
        </w:rPr>
        <w:t> </w:t>
      </w:r>
      <w:r>
        <w:rPr/>
        <w:t>el</w:t>
      </w:r>
      <w:r>
        <w:rPr>
          <w:spacing w:val="-19"/>
        </w:rPr>
        <w:t> </w:t>
      </w:r>
      <w:r>
        <w:rPr/>
        <w:t>compromiso</w:t>
      </w:r>
      <w:r>
        <w:rPr>
          <w:spacing w:val="-18"/>
        </w:rPr>
        <w:t> </w:t>
      </w:r>
      <w:r>
        <w:rPr/>
        <w:t>acertado</w:t>
      </w:r>
      <w:r>
        <w:rPr>
          <w:spacing w:val="-18"/>
        </w:rPr>
        <w:t> </w:t>
      </w:r>
      <w:r>
        <w:rPr/>
        <w:t>y</w:t>
      </w:r>
      <w:r>
        <w:rPr>
          <w:spacing w:val="-21"/>
        </w:rPr>
        <w:t> </w:t>
      </w:r>
      <w:r>
        <w:rPr/>
        <w:t>el</w:t>
      </w:r>
      <w:r>
        <w:rPr>
          <w:spacing w:val="-19"/>
        </w:rPr>
        <w:t> </w:t>
      </w:r>
      <w:r>
        <w:rPr/>
        <w:t>equivocado.</w:t>
      </w:r>
      <w:r>
        <w:rPr>
          <w:spacing w:val="-12"/>
        </w:rPr>
        <w:t> </w:t>
      </w:r>
      <w:r>
        <w:rPr/>
        <w:t>La</w:t>
      </w:r>
      <w:r>
        <w:rPr>
          <w:spacing w:val="-20"/>
        </w:rPr>
        <w:t> </w:t>
      </w:r>
      <w:r>
        <w:rPr/>
        <w:t>etapa de este proceso que más tiempo absorbe no es la de tomar la decisión sino la de llevarla a cabo. Si una decisión no se ha dirigido hacia una actividad no es una decisión;</w:t>
      </w:r>
      <w:r>
        <w:rPr>
          <w:spacing w:val="41"/>
        </w:rPr>
        <w:t> </w:t>
      </w:r>
      <w:r>
        <w:rPr/>
        <w:t>en</w:t>
      </w:r>
      <w:r>
        <w:rPr>
          <w:spacing w:val="-12"/>
        </w:rPr>
        <w:t> </w:t>
      </w:r>
      <w:r>
        <w:rPr/>
        <w:t>el</w:t>
      </w:r>
      <w:r>
        <w:rPr>
          <w:spacing w:val="-13"/>
        </w:rPr>
        <w:t> </w:t>
      </w:r>
      <w:r>
        <w:rPr/>
        <w:t>mejor</w:t>
      </w:r>
      <w:r>
        <w:rPr>
          <w:spacing w:val="-13"/>
        </w:rPr>
        <w:t> </w:t>
      </w:r>
      <w:r>
        <w:rPr/>
        <w:t>de</w:t>
      </w:r>
      <w:r>
        <w:rPr>
          <w:spacing w:val="-11"/>
        </w:rPr>
        <w:t> </w:t>
      </w:r>
      <w:r>
        <w:rPr/>
        <w:t>los</w:t>
      </w:r>
      <w:r>
        <w:rPr>
          <w:spacing w:val="-12"/>
        </w:rPr>
        <w:t> </w:t>
      </w:r>
      <w:r>
        <w:rPr/>
        <w:t>casos</w:t>
      </w:r>
      <w:r>
        <w:rPr>
          <w:spacing w:val="43"/>
        </w:rPr>
        <w:t> </w:t>
      </w:r>
      <w:r>
        <w:rPr/>
        <w:t>sólo</w:t>
      </w:r>
      <w:r>
        <w:rPr>
          <w:spacing w:val="-12"/>
        </w:rPr>
        <w:t> </w:t>
      </w:r>
      <w:r>
        <w:rPr/>
        <w:t>se</w:t>
      </w:r>
      <w:r>
        <w:rPr>
          <w:spacing w:val="-12"/>
        </w:rPr>
        <w:t> </w:t>
      </w:r>
      <w:r>
        <w:rPr/>
        <w:t>trata</w:t>
      </w:r>
      <w:r>
        <w:rPr>
          <w:spacing w:val="-11"/>
        </w:rPr>
        <w:t> </w:t>
      </w:r>
      <w:r>
        <w:rPr/>
        <w:t>de</w:t>
      </w:r>
      <w:r>
        <w:rPr>
          <w:spacing w:val="-12"/>
        </w:rPr>
        <w:t> </w:t>
      </w:r>
      <w:r>
        <w:rPr/>
        <w:t>una</w:t>
      </w:r>
      <w:r>
        <w:rPr>
          <w:spacing w:val="-12"/>
        </w:rPr>
        <w:t> </w:t>
      </w:r>
      <w:r>
        <w:rPr/>
        <w:t>buena</w:t>
      </w:r>
      <w:r>
        <w:rPr>
          <w:spacing w:val="-12"/>
        </w:rPr>
        <w:t> </w:t>
      </w:r>
      <w:r>
        <w:rPr/>
        <w:t>intención.</w:t>
      </w:r>
      <w:r>
        <w:rPr>
          <w:spacing w:val="-12"/>
        </w:rPr>
        <w:t> </w:t>
      </w:r>
      <w:r>
        <w:rPr/>
        <w:t>Por</w:t>
      </w:r>
      <w:r>
        <w:rPr>
          <w:spacing w:val="-14"/>
        </w:rPr>
        <w:t> </w:t>
      </w:r>
      <w:r>
        <w:rPr/>
        <w:t>encima de todo, el ejecutivo eficaz sabe que la toma de decisiones tiene su propio proceso sistemático y sus propios elementos claramente</w:t>
      </w:r>
      <w:r>
        <w:rPr>
          <w:spacing w:val="-15"/>
        </w:rPr>
        <w:t> </w:t>
      </w:r>
      <w:r>
        <w:rPr/>
        <w:t>definidos.</w:t>
      </w:r>
    </w:p>
    <w:p>
      <w:pPr>
        <w:pStyle w:val="BodyText"/>
        <w:spacing w:line="360" w:lineRule="auto" w:before="204"/>
        <w:ind w:left="102" w:right="116"/>
        <w:jc w:val="both"/>
      </w:pPr>
      <w:r>
        <w:rPr/>
        <w:t>La toma de decisiones es solamente una de las tareas que conlleva una serie de elementos en donde el principal objetivo de decidir es llevar a cabo una acción </w:t>
      </w:r>
      <w:r>
        <w:rPr>
          <w:spacing w:val="-2"/>
        </w:rPr>
        <w:t>que </w:t>
      </w:r>
      <w:r>
        <w:rPr/>
        <w:t>bajo</w:t>
      </w:r>
      <w:r>
        <w:rPr>
          <w:spacing w:val="-19"/>
        </w:rPr>
        <w:t> </w:t>
      </w:r>
      <w:r>
        <w:rPr/>
        <w:t>un</w:t>
      </w:r>
      <w:r>
        <w:rPr>
          <w:spacing w:val="-19"/>
        </w:rPr>
        <w:t> </w:t>
      </w:r>
      <w:r>
        <w:rPr/>
        <w:t>escenario</w:t>
      </w:r>
      <w:r>
        <w:rPr>
          <w:spacing w:val="-21"/>
        </w:rPr>
        <w:t> </w:t>
      </w:r>
      <w:r>
        <w:rPr/>
        <w:t>de</w:t>
      </w:r>
      <w:r>
        <w:rPr>
          <w:spacing w:val="-19"/>
        </w:rPr>
        <w:t> </w:t>
      </w:r>
      <w:r>
        <w:rPr/>
        <w:t>certidumbre</w:t>
      </w:r>
      <w:r>
        <w:rPr>
          <w:spacing w:val="-17"/>
        </w:rPr>
        <w:t> </w:t>
      </w:r>
      <w:r>
        <w:rPr/>
        <w:t>o</w:t>
      </w:r>
      <w:r>
        <w:rPr>
          <w:spacing w:val="-19"/>
        </w:rPr>
        <w:t> </w:t>
      </w:r>
      <w:r>
        <w:rPr/>
        <w:t>incertidumbre,</w:t>
      </w:r>
      <w:r>
        <w:rPr>
          <w:spacing w:val="-20"/>
        </w:rPr>
        <w:t> </w:t>
      </w:r>
      <w:r>
        <w:rPr/>
        <w:t>dará</w:t>
      </w:r>
      <w:r>
        <w:rPr>
          <w:spacing w:val="-19"/>
        </w:rPr>
        <w:t> </w:t>
      </w:r>
      <w:r>
        <w:rPr/>
        <w:t>como</w:t>
      </w:r>
      <w:r>
        <w:rPr>
          <w:spacing w:val="-19"/>
        </w:rPr>
        <w:t> </w:t>
      </w:r>
      <w:r>
        <w:rPr/>
        <w:t>resultado</w:t>
      </w:r>
      <w:r>
        <w:rPr>
          <w:spacing w:val="-19"/>
        </w:rPr>
        <w:t> </w:t>
      </w:r>
      <w:r>
        <w:rPr/>
        <w:t>la</w:t>
      </w:r>
      <w:r>
        <w:rPr>
          <w:spacing w:val="-17"/>
        </w:rPr>
        <w:t> </w:t>
      </w:r>
      <w:r>
        <w:rPr/>
        <w:t>resolución de una</w:t>
      </w:r>
      <w:r>
        <w:rPr>
          <w:spacing w:val="-7"/>
        </w:rPr>
        <w:t> </w:t>
      </w:r>
      <w:r>
        <w:rPr/>
        <w:t>problemática.</w:t>
      </w:r>
    </w:p>
    <w:p>
      <w:pPr>
        <w:pStyle w:val="BodyText"/>
      </w:pPr>
    </w:p>
    <w:p>
      <w:pPr>
        <w:pStyle w:val="Heading1"/>
        <w:numPr>
          <w:ilvl w:val="2"/>
          <w:numId w:val="8"/>
        </w:numPr>
        <w:tabs>
          <w:tab w:pos="2469" w:val="left" w:leader="none"/>
        </w:tabs>
        <w:spacing w:line="240" w:lineRule="auto" w:before="206" w:after="0"/>
        <w:ind w:left="2469" w:right="0" w:hanging="704"/>
        <w:jc w:val="left"/>
      </w:pPr>
      <w:bookmarkStart w:name="_TOC_250047" w:id="5"/>
      <w:r>
        <w:rPr/>
        <w:t>Elementos de la toma de</w:t>
      </w:r>
      <w:r>
        <w:rPr>
          <w:spacing w:val="-17"/>
        </w:rPr>
        <w:t> </w:t>
      </w:r>
      <w:bookmarkEnd w:id="5"/>
      <w:r>
        <w:rPr/>
        <w:t>decisiones</w:t>
      </w:r>
    </w:p>
    <w:p>
      <w:pPr>
        <w:pStyle w:val="BodyText"/>
        <w:rPr>
          <w:b/>
          <w:sz w:val="28"/>
        </w:rPr>
      </w:pPr>
    </w:p>
    <w:p>
      <w:pPr>
        <w:pStyle w:val="BodyText"/>
        <w:rPr>
          <w:b/>
          <w:sz w:val="28"/>
        </w:rPr>
      </w:pPr>
    </w:p>
    <w:p>
      <w:pPr>
        <w:pStyle w:val="BodyText"/>
        <w:spacing w:before="8"/>
        <w:rPr>
          <w:b/>
          <w:sz w:val="30"/>
        </w:rPr>
      </w:pPr>
    </w:p>
    <w:p>
      <w:pPr>
        <w:pStyle w:val="BodyText"/>
        <w:spacing w:line="360" w:lineRule="auto"/>
        <w:ind w:left="102" w:right="119"/>
        <w:jc w:val="both"/>
      </w:pPr>
      <w:r>
        <w:rPr/>
        <w:t>El objetivo de este tema es dar a conocer los elementos que contiene una toma de decisión. Así, el lector obtendrá variables básicas como marco de referencia, de aquellos compendios con los cuales se compone una toma de decisiones.</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Enunciando cada uno de ellos, cabe nuevamente resaltar que cada autor tiene su concepto de los elementos que debe comprender la toma de</w:t>
      </w:r>
      <w:r>
        <w:rPr>
          <w:spacing w:val="-46"/>
        </w:rPr>
        <w:t> </w:t>
      </w:r>
      <w:r>
        <w:rPr/>
        <w:t>decisión, sin embargo a continuación se exponen aquellos en los cuales se logra</w:t>
      </w:r>
      <w:r>
        <w:rPr>
          <w:spacing w:val="-28"/>
        </w:rPr>
        <w:t> </w:t>
      </w:r>
      <w:r>
        <w:rPr/>
        <w:t>coincidir.</w:t>
      </w:r>
    </w:p>
    <w:p>
      <w:pPr>
        <w:pStyle w:val="BodyText"/>
      </w:pPr>
    </w:p>
    <w:p>
      <w:pPr>
        <w:pStyle w:val="BodyText"/>
      </w:pPr>
    </w:p>
    <w:p>
      <w:pPr>
        <w:pStyle w:val="BodyText"/>
        <w:spacing w:before="2"/>
        <w:rPr>
          <w:sz w:val="23"/>
        </w:rPr>
      </w:pPr>
    </w:p>
    <w:p>
      <w:pPr>
        <w:pStyle w:val="ListParagraph"/>
        <w:numPr>
          <w:ilvl w:val="1"/>
          <w:numId w:val="9"/>
        </w:numPr>
        <w:tabs>
          <w:tab w:pos="822" w:val="left" w:leader="none"/>
        </w:tabs>
        <w:spacing w:line="240" w:lineRule="auto" w:before="0" w:after="0"/>
        <w:ind w:left="822" w:right="0" w:hanging="360"/>
        <w:jc w:val="left"/>
        <w:rPr>
          <w:sz w:val="24"/>
        </w:rPr>
      </w:pPr>
      <w:r>
        <w:rPr>
          <w:sz w:val="24"/>
        </w:rPr>
        <w:t>Acción</w:t>
      </w:r>
    </w:p>
    <w:p>
      <w:pPr>
        <w:pStyle w:val="BodyText"/>
      </w:pPr>
    </w:p>
    <w:p>
      <w:pPr>
        <w:pStyle w:val="BodyText"/>
      </w:pPr>
    </w:p>
    <w:p>
      <w:pPr>
        <w:pStyle w:val="BodyText"/>
        <w:spacing w:line="360" w:lineRule="auto" w:before="209"/>
        <w:ind w:left="102" w:right="119"/>
        <w:jc w:val="both"/>
      </w:pPr>
      <w:r>
        <w:rPr/>
        <w:t>Todo comportamiento implica una selección, consciente o inconsciente, de determinadas acciones, entre todas las que son físicamente posibles, para el que actúa y para aquellas personas sobre las cuales éste ejerce influencia o autoridad. La</w:t>
      </w:r>
      <w:r>
        <w:rPr>
          <w:spacing w:val="-8"/>
        </w:rPr>
        <w:t> </w:t>
      </w:r>
      <w:r>
        <w:rPr/>
        <w:t>base</w:t>
      </w:r>
      <w:r>
        <w:rPr>
          <w:spacing w:val="-11"/>
        </w:rPr>
        <w:t> </w:t>
      </w:r>
      <w:r>
        <w:rPr/>
        <w:t>fundamental</w:t>
      </w:r>
      <w:r>
        <w:rPr>
          <w:spacing w:val="-10"/>
        </w:rPr>
        <w:t> </w:t>
      </w:r>
      <w:r>
        <w:rPr/>
        <w:t>de</w:t>
      </w:r>
      <w:r>
        <w:rPr>
          <w:spacing w:val="-8"/>
        </w:rPr>
        <w:t> </w:t>
      </w:r>
      <w:r>
        <w:rPr/>
        <w:t>la</w:t>
      </w:r>
      <w:r>
        <w:rPr>
          <w:spacing w:val="-9"/>
        </w:rPr>
        <w:t> </w:t>
      </w:r>
      <w:r>
        <w:rPr/>
        <w:t>teoría</w:t>
      </w:r>
      <w:r>
        <w:rPr>
          <w:spacing w:val="-8"/>
        </w:rPr>
        <w:t> </w:t>
      </w:r>
      <w:r>
        <w:rPr/>
        <w:t>de</w:t>
      </w:r>
      <w:r>
        <w:rPr>
          <w:spacing w:val="-8"/>
        </w:rPr>
        <w:t> </w:t>
      </w:r>
      <w:r>
        <w:rPr/>
        <w:t>la</w:t>
      </w:r>
      <w:r>
        <w:rPr>
          <w:spacing w:val="-9"/>
        </w:rPr>
        <w:t> </w:t>
      </w:r>
      <w:r>
        <w:rPr/>
        <w:t>decisión</w:t>
      </w:r>
      <w:r>
        <w:rPr>
          <w:spacing w:val="-8"/>
        </w:rPr>
        <w:t> </w:t>
      </w:r>
      <w:r>
        <w:rPr/>
        <w:t>la</w:t>
      </w:r>
      <w:r>
        <w:rPr>
          <w:spacing w:val="-9"/>
        </w:rPr>
        <w:t> </w:t>
      </w:r>
      <w:r>
        <w:rPr/>
        <w:t>componen</w:t>
      </w:r>
      <w:r>
        <w:rPr>
          <w:spacing w:val="-8"/>
        </w:rPr>
        <w:t> </w:t>
      </w:r>
      <w:r>
        <w:rPr/>
        <w:t>las</w:t>
      </w:r>
      <w:r>
        <w:rPr>
          <w:spacing w:val="-9"/>
        </w:rPr>
        <w:t> </w:t>
      </w:r>
      <w:r>
        <w:rPr/>
        <w:t>acciones</w:t>
      </w:r>
      <w:r>
        <w:rPr>
          <w:spacing w:val="-9"/>
        </w:rPr>
        <w:t> </w:t>
      </w:r>
      <w:r>
        <w:rPr/>
        <w:t>que</w:t>
      </w:r>
      <w:r>
        <w:rPr>
          <w:spacing w:val="-8"/>
        </w:rPr>
        <w:t> </w:t>
      </w:r>
      <w:r>
        <w:rPr/>
        <w:t>tiene a</w:t>
      </w:r>
      <w:r>
        <w:rPr>
          <w:spacing w:val="-8"/>
        </w:rPr>
        <w:t> </w:t>
      </w:r>
      <w:r>
        <w:rPr/>
        <w:t>su</w:t>
      </w:r>
      <w:r>
        <w:rPr>
          <w:spacing w:val="-13"/>
        </w:rPr>
        <w:t> </w:t>
      </w:r>
      <w:r>
        <w:rPr/>
        <w:t>disposición</w:t>
      </w:r>
      <w:r>
        <w:rPr>
          <w:spacing w:val="-13"/>
        </w:rPr>
        <w:t> </w:t>
      </w:r>
      <w:r>
        <w:rPr/>
        <w:t>un</w:t>
      </w:r>
      <w:r>
        <w:rPr>
          <w:spacing w:val="-11"/>
        </w:rPr>
        <w:t> </w:t>
      </w:r>
      <w:r>
        <w:rPr/>
        <w:t>decisor</w:t>
      </w:r>
      <w:r>
        <w:rPr>
          <w:spacing w:val="-12"/>
        </w:rPr>
        <w:t> </w:t>
      </w:r>
      <w:r>
        <w:rPr/>
        <w:t>y</w:t>
      </w:r>
      <w:r>
        <w:rPr>
          <w:spacing w:val="-12"/>
        </w:rPr>
        <w:t> </w:t>
      </w:r>
      <w:r>
        <w:rPr/>
        <w:t>sobre</w:t>
      </w:r>
      <w:r>
        <w:rPr>
          <w:spacing w:val="-9"/>
        </w:rPr>
        <w:t> </w:t>
      </w:r>
      <w:r>
        <w:rPr/>
        <w:t>las</w:t>
      </w:r>
      <w:r>
        <w:rPr>
          <w:spacing w:val="-11"/>
        </w:rPr>
        <w:t> </w:t>
      </w:r>
      <w:r>
        <w:rPr/>
        <w:t>consecuencias</w:t>
      </w:r>
      <w:r>
        <w:rPr>
          <w:spacing w:val="-11"/>
        </w:rPr>
        <w:t> </w:t>
      </w:r>
      <w:r>
        <w:rPr/>
        <w:t>que</w:t>
      </w:r>
      <w:r>
        <w:rPr>
          <w:spacing w:val="-11"/>
        </w:rPr>
        <w:t> </w:t>
      </w:r>
      <w:r>
        <w:rPr/>
        <w:t>pudiesen</w:t>
      </w:r>
      <w:r>
        <w:rPr>
          <w:spacing w:val="-13"/>
        </w:rPr>
        <w:t> </w:t>
      </w:r>
      <w:r>
        <w:rPr/>
        <w:t>presentarse</w:t>
      </w:r>
      <w:r>
        <w:rPr>
          <w:spacing w:val="-11"/>
        </w:rPr>
        <w:t> </w:t>
      </w:r>
      <w:r>
        <w:rPr/>
        <w:t>en la</w:t>
      </w:r>
      <w:r>
        <w:rPr>
          <w:spacing w:val="-12"/>
        </w:rPr>
        <w:t> </w:t>
      </w:r>
      <w:r>
        <w:rPr/>
        <w:t>adopción</w:t>
      </w:r>
      <w:r>
        <w:rPr>
          <w:spacing w:val="-14"/>
        </w:rPr>
        <w:t> </w:t>
      </w:r>
      <w:r>
        <w:rPr/>
        <w:t>de</w:t>
      </w:r>
      <w:r>
        <w:rPr>
          <w:spacing w:val="-14"/>
        </w:rPr>
        <w:t> </w:t>
      </w:r>
      <w:r>
        <w:rPr/>
        <w:t>alguna</w:t>
      </w:r>
      <w:r>
        <w:rPr>
          <w:spacing w:val="-14"/>
        </w:rPr>
        <w:t> </w:t>
      </w:r>
      <w:r>
        <w:rPr/>
        <w:t>acción.</w:t>
      </w:r>
      <w:r>
        <w:rPr>
          <w:spacing w:val="-14"/>
        </w:rPr>
        <w:t> </w:t>
      </w:r>
      <w:r>
        <w:rPr/>
        <w:t>“Cuando</w:t>
      </w:r>
      <w:r>
        <w:rPr>
          <w:spacing w:val="-14"/>
        </w:rPr>
        <w:t> </w:t>
      </w:r>
      <w:r>
        <w:rPr/>
        <w:t>un</w:t>
      </w:r>
      <w:r>
        <w:rPr>
          <w:spacing w:val="-14"/>
        </w:rPr>
        <w:t> </w:t>
      </w:r>
      <w:r>
        <w:rPr/>
        <w:t>decisor</w:t>
      </w:r>
      <w:r>
        <w:rPr>
          <w:spacing w:val="-13"/>
        </w:rPr>
        <w:t> </w:t>
      </w:r>
      <w:r>
        <w:rPr/>
        <w:t>enfrenta</w:t>
      </w:r>
      <w:r>
        <w:rPr>
          <w:spacing w:val="-14"/>
        </w:rPr>
        <w:t> </w:t>
      </w:r>
      <w:r>
        <w:rPr/>
        <w:t>un</w:t>
      </w:r>
      <w:r>
        <w:rPr>
          <w:spacing w:val="-14"/>
        </w:rPr>
        <w:t> </w:t>
      </w:r>
      <w:r>
        <w:rPr/>
        <w:t>problema,</w:t>
      </w:r>
      <w:r>
        <w:rPr>
          <w:spacing w:val="-14"/>
        </w:rPr>
        <w:t> </w:t>
      </w:r>
      <w:r>
        <w:rPr/>
        <w:t>debe</w:t>
      </w:r>
      <w:r>
        <w:rPr>
          <w:spacing w:val="-14"/>
        </w:rPr>
        <w:t> </w:t>
      </w:r>
      <w:r>
        <w:rPr/>
        <w:t>tener en cuenta las acciones que puede adoptar, los eventos que se pueden presentar, relacionados con el problema, y las consecuencias provenientes de la escogencia de cada acción  de la ocurrencia de cada evento” (Moreno,</w:t>
      </w:r>
      <w:r>
        <w:rPr>
          <w:spacing w:val="-23"/>
        </w:rPr>
        <w:t> </w:t>
      </w:r>
      <w:r>
        <w:rPr/>
        <w:t>2011:1).</w:t>
      </w:r>
    </w:p>
    <w:p>
      <w:pPr>
        <w:spacing w:before="202"/>
        <w:ind w:left="954" w:right="114" w:firstLine="0"/>
        <w:jc w:val="both"/>
        <w:rPr>
          <w:sz w:val="22"/>
        </w:rPr>
      </w:pPr>
      <w:r>
        <w:rPr>
          <w:sz w:val="22"/>
        </w:rPr>
        <w:t>En la teoría de las decisiones se asume que cada actividad posible es conocida por el decisor (una persona o una organización) y solo una de estas puede seleccionarse. Las actividades potenciales del decisor se conocen con el nombre de “acciones”. Al adoptar una acción, quien lo hace debe tener en cuenta sus consecuencias o resultados, los cuales también dependen del “estado de naturaleza” (Moreno, 2011:2).</w:t>
      </w:r>
    </w:p>
    <w:p>
      <w:pPr>
        <w:pStyle w:val="BodyText"/>
        <w:rPr>
          <w:sz w:val="22"/>
        </w:rPr>
      </w:pPr>
    </w:p>
    <w:p>
      <w:pPr>
        <w:pStyle w:val="BodyText"/>
        <w:rPr>
          <w:sz w:val="22"/>
        </w:rPr>
      </w:pPr>
    </w:p>
    <w:p>
      <w:pPr>
        <w:pStyle w:val="BodyText"/>
        <w:spacing w:line="360" w:lineRule="auto" w:before="148"/>
        <w:ind w:left="102" w:right="116"/>
        <w:jc w:val="both"/>
      </w:pPr>
      <w:r>
        <w:rPr/>
        <w:t>Citando nuevamente a Peter F. Drucker (2002), al tema manifestado señala que convertir</w:t>
      </w:r>
      <w:r>
        <w:rPr>
          <w:spacing w:val="-13"/>
        </w:rPr>
        <w:t> </w:t>
      </w:r>
      <w:r>
        <w:rPr/>
        <w:t>una</w:t>
      </w:r>
      <w:r>
        <w:rPr>
          <w:spacing w:val="-12"/>
        </w:rPr>
        <w:t> </w:t>
      </w:r>
      <w:r>
        <w:rPr/>
        <w:t>decisión</w:t>
      </w:r>
      <w:r>
        <w:rPr>
          <w:spacing w:val="-14"/>
        </w:rPr>
        <w:t> </w:t>
      </w:r>
      <w:r>
        <w:rPr/>
        <w:t>en</w:t>
      </w:r>
      <w:r>
        <w:rPr>
          <w:spacing w:val="-12"/>
        </w:rPr>
        <w:t> </w:t>
      </w:r>
      <w:r>
        <w:rPr/>
        <w:t>acción</w:t>
      </w:r>
      <w:r>
        <w:rPr>
          <w:spacing w:val="-12"/>
        </w:rPr>
        <w:t> </w:t>
      </w:r>
      <w:r>
        <w:rPr/>
        <w:t>implica</w:t>
      </w:r>
      <w:r>
        <w:rPr>
          <w:spacing w:val="-12"/>
        </w:rPr>
        <w:t> </w:t>
      </w:r>
      <w:r>
        <w:rPr/>
        <w:t>la</w:t>
      </w:r>
      <w:r>
        <w:rPr>
          <w:spacing w:val="-12"/>
        </w:rPr>
        <w:t> </w:t>
      </w:r>
      <w:r>
        <w:rPr/>
        <w:t>respuesta</w:t>
      </w:r>
      <w:r>
        <w:rPr>
          <w:spacing w:val="-12"/>
        </w:rPr>
        <w:t> </w:t>
      </w:r>
      <w:r>
        <w:rPr/>
        <w:t>a</w:t>
      </w:r>
      <w:r>
        <w:rPr>
          <w:spacing w:val="-12"/>
        </w:rPr>
        <w:t> </w:t>
      </w:r>
      <w:r>
        <w:rPr/>
        <w:t>varias</w:t>
      </w:r>
      <w:r>
        <w:rPr>
          <w:spacing w:val="-13"/>
        </w:rPr>
        <w:t> </w:t>
      </w:r>
      <w:r>
        <w:rPr/>
        <w:t>preguntas</w:t>
      </w:r>
      <w:r>
        <w:rPr>
          <w:spacing w:val="-15"/>
        </w:rPr>
        <w:t> </w:t>
      </w:r>
      <w:r>
        <w:rPr/>
        <w:t>bien</w:t>
      </w:r>
      <w:r>
        <w:rPr>
          <w:spacing w:val="-11"/>
        </w:rPr>
        <w:t> </w:t>
      </w:r>
      <w:r>
        <w:rPr/>
        <w:t>claras:</w:t>
      </w:r>
    </w:p>
    <w:p>
      <w:pPr>
        <w:pStyle w:val="BodyText"/>
        <w:spacing w:before="5"/>
        <w:ind w:left="102"/>
        <w:jc w:val="both"/>
      </w:pPr>
      <w:r>
        <w:rPr/>
        <w:t>¿Quién  tiene  que  conocer  esta  decisión?,  ¿Qué  acción  hay  que emprender?,</w:t>
      </w:r>
    </w:p>
    <w:p>
      <w:pPr>
        <w:pStyle w:val="BodyText"/>
        <w:spacing w:line="360" w:lineRule="auto" w:before="137"/>
        <w:ind w:left="102" w:right="122"/>
        <w:jc w:val="both"/>
      </w:pPr>
      <w:r>
        <w:rPr/>
        <w:t>¿Quién la llevará a cabo? y ¿En qué consiste la acción de forma que la gente encargada de llevarla a cabo la pueda hacer?.</w:t>
      </w:r>
    </w:p>
    <w:p>
      <w:pPr>
        <w:spacing w:before="204"/>
        <w:ind w:left="954" w:right="115" w:firstLine="0"/>
        <w:jc w:val="both"/>
        <w:rPr>
          <w:sz w:val="22"/>
        </w:rPr>
      </w:pPr>
      <w:r>
        <w:rPr>
          <w:sz w:val="22"/>
        </w:rPr>
        <w:t>Una acción es una solución o respuesta a un problema específico. En todo problema de decisión que se plantee, es preciso que existan soluciones al mismo entre las que poder elegir. Una acción podrá ser: una persona o grupo; un objeto material; un proyecto de investigación; un programa de acción pública; una localización  espacial;  una  ruta  para  una  carretera;  un  medio publicitario;  una</w:t>
      </w:r>
    </w:p>
    <w:p>
      <w:pPr>
        <w:spacing w:after="0"/>
        <w:jc w:val="both"/>
        <w:rPr>
          <w:sz w:val="22"/>
        </w:rPr>
        <w:sectPr>
          <w:footerReference w:type="default" r:id="rId15"/>
          <w:pgSz w:w="12240" w:h="15840"/>
          <w:pgMar w:footer="992" w:header="0" w:top="1360" w:bottom="1180" w:left="1600" w:right="1580"/>
        </w:sectPr>
      </w:pPr>
    </w:p>
    <w:p>
      <w:pPr>
        <w:spacing w:before="53"/>
        <w:ind w:left="954" w:right="120" w:firstLine="0"/>
        <w:jc w:val="both"/>
        <w:rPr>
          <w:sz w:val="22"/>
        </w:rPr>
      </w:pPr>
      <w:r>
        <w:rPr>
          <w:sz w:val="22"/>
        </w:rPr>
        <w:t>composición química de un producto; o la ordenación secuencial de un proceso productivo, entre otras posibilidades (Diez et al., 1997:41-42).</w:t>
      </w:r>
    </w:p>
    <w:p>
      <w:pPr>
        <w:pStyle w:val="BodyText"/>
        <w:rPr>
          <w:sz w:val="22"/>
        </w:rPr>
      </w:pPr>
    </w:p>
    <w:p>
      <w:pPr>
        <w:pStyle w:val="BodyText"/>
        <w:rPr>
          <w:sz w:val="22"/>
        </w:rPr>
      </w:pPr>
    </w:p>
    <w:p>
      <w:pPr>
        <w:pStyle w:val="BodyText"/>
        <w:spacing w:line="360" w:lineRule="auto" w:before="146"/>
        <w:ind w:left="102" w:right="115"/>
        <w:jc w:val="both"/>
      </w:pPr>
      <w:r>
        <w:rPr/>
        <w:t>Transformar</w:t>
      </w:r>
      <w:r>
        <w:rPr>
          <w:spacing w:val="-10"/>
        </w:rPr>
        <w:t> </w:t>
      </w:r>
      <w:r>
        <w:rPr/>
        <w:t>una</w:t>
      </w:r>
      <w:r>
        <w:rPr>
          <w:spacing w:val="-11"/>
        </w:rPr>
        <w:t> </w:t>
      </w:r>
      <w:r>
        <w:rPr/>
        <w:t>decisión</w:t>
      </w:r>
      <w:r>
        <w:rPr>
          <w:spacing w:val="-8"/>
        </w:rPr>
        <w:t> </w:t>
      </w:r>
      <w:r>
        <w:rPr/>
        <w:t>en</w:t>
      </w:r>
      <w:r>
        <w:rPr>
          <w:spacing w:val="-11"/>
        </w:rPr>
        <w:t> </w:t>
      </w:r>
      <w:r>
        <w:rPr/>
        <w:t>una</w:t>
      </w:r>
      <w:r>
        <w:rPr>
          <w:spacing w:val="-8"/>
        </w:rPr>
        <w:t> </w:t>
      </w:r>
      <w:r>
        <w:rPr/>
        <w:t>acción</w:t>
      </w:r>
      <w:r>
        <w:rPr>
          <w:spacing w:val="-8"/>
        </w:rPr>
        <w:t> </w:t>
      </w:r>
      <w:r>
        <w:rPr/>
        <w:t>efectiva</w:t>
      </w:r>
      <w:r>
        <w:rPr>
          <w:spacing w:val="-6"/>
        </w:rPr>
        <w:t> </w:t>
      </w:r>
      <w:r>
        <w:rPr/>
        <w:t>y</w:t>
      </w:r>
      <w:r>
        <w:rPr>
          <w:spacing w:val="-12"/>
        </w:rPr>
        <w:t> </w:t>
      </w:r>
      <w:r>
        <w:rPr/>
        <w:t>eficaz</w:t>
      </w:r>
      <w:r>
        <w:rPr>
          <w:spacing w:val="48"/>
        </w:rPr>
        <w:t> </w:t>
      </w:r>
      <w:r>
        <w:rPr/>
        <w:t>no</w:t>
      </w:r>
      <w:r>
        <w:rPr>
          <w:spacing w:val="-8"/>
        </w:rPr>
        <w:t> </w:t>
      </w:r>
      <w:r>
        <w:rPr/>
        <w:t>es</w:t>
      </w:r>
      <w:r>
        <w:rPr>
          <w:spacing w:val="-9"/>
        </w:rPr>
        <w:t> </w:t>
      </w:r>
      <w:r>
        <w:rPr/>
        <w:t>tarea</w:t>
      </w:r>
      <w:r>
        <w:rPr>
          <w:spacing w:val="-10"/>
        </w:rPr>
        <w:t> </w:t>
      </w:r>
      <w:r>
        <w:rPr/>
        <w:t>nada</w:t>
      </w:r>
      <w:r>
        <w:rPr>
          <w:spacing w:val="-8"/>
        </w:rPr>
        <w:t> </w:t>
      </w:r>
      <w:r>
        <w:rPr/>
        <w:t>sencilla, esto implica tiempo, de hecho no hay decisión mientras que no se asigne y se responsabilice</w:t>
      </w:r>
      <w:r>
        <w:rPr>
          <w:spacing w:val="-13"/>
        </w:rPr>
        <w:t> </w:t>
      </w:r>
      <w:r>
        <w:rPr/>
        <w:t>a</w:t>
      </w:r>
      <w:r>
        <w:rPr>
          <w:spacing w:val="-13"/>
        </w:rPr>
        <w:t> </w:t>
      </w:r>
      <w:r>
        <w:rPr/>
        <w:t>quien</w:t>
      </w:r>
      <w:r>
        <w:rPr>
          <w:spacing w:val="-15"/>
        </w:rPr>
        <w:t> </w:t>
      </w:r>
      <w:r>
        <w:rPr/>
        <w:t>ejecutara</w:t>
      </w:r>
      <w:r>
        <w:rPr>
          <w:spacing w:val="-14"/>
        </w:rPr>
        <w:t> </w:t>
      </w:r>
      <w:r>
        <w:rPr/>
        <w:t>la</w:t>
      </w:r>
      <w:r>
        <w:rPr>
          <w:spacing w:val="-13"/>
        </w:rPr>
        <w:t> </w:t>
      </w:r>
      <w:r>
        <w:rPr/>
        <w:t>acción</w:t>
      </w:r>
      <w:r>
        <w:rPr>
          <w:spacing w:val="-13"/>
        </w:rPr>
        <w:t> </w:t>
      </w:r>
      <w:r>
        <w:rPr/>
        <w:t>determinada;</w:t>
      </w:r>
      <w:r>
        <w:rPr>
          <w:spacing w:val="-13"/>
        </w:rPr>
        <w:t> </w:t>
      </w:r>
      <w:r>
        <w:rPr/>
        <w:t>por</w:t>
      </w:r>
      <w:r>
        <w:rPr>
          <w:spacing w:val="-15"/>
        </w:rPr>
        <w:t> </w:t>
      </w:r>
      <w:r>
        <w:rPr/>
        <w:t>ello,</w:t>
      </w:r>
      <w:r>
        <w:rPr>
          <w:spacing w:val="41"/>
        </w:rPr>
        <w:t> </w:t>
      </w:r>
      <w:r>
        <w:rPr/>
        <w:t>la</w:t>
      </w:r>
      <w:r>
        <w:rPr>
          <w:spacing w:val="-13"/>
        </w:rPr>
        <w:t> </w:t>
      </w:r>
      <w:r>
        <w:rPr/>
        <w:t>acción</w:t>
      </w:r>
      <w:r>
        <w:rPr>
          <w:spacing w:val="-13"/>
        </w:rPr>
        <w:t> </w:t>
      </w:r>
      <w:r>
        <w:rPr/>
        <w:t>tiene</w:t>
      </w:r>
      <w:r>
        <w:rPr>
          <w:spacing w:val="-13"/>
        </w:rPr>
        <w:t> </w:t>
      </w:r>
      <w:r>
        <w:rPr/>
        <w:t>que ser adecuada a la capacidad de los individuos que la tiene que llevar a cabo. “La factibilidad</w:t>
      </w:r>
      <w:r>
        <w:rPr>
          <w:spacing w:val="-13"/>
        </w:rPr>
        <w:t> </w:t>
      </w:r>
      <w:r>
        <w:rPr/>
        <w:t>o</w:t>
      </w:r>
      <w:r>
        <w:rPr>
          <w:spacing w:val="-10"/>
        </w:rPr>
        <w:t> </w:t>
      </w:r>
      <w:r>
        <w:rPr/>
        <w:t>no</w:t>
      </w:r>
      <w:r>
        <w:rPr>
          <w:spacing w:val="-13"/>
        </w:rPr>
        <w:t> </w:t>
      </w:r>
      <w:r>
        <w:rPr/>
        <w:t>de</w:t>
      </w:r>
      <w:r>
        <w:rPr>
          <w:spacing w:val="-11"/>
        </w:rPr>
        <w:t> </w:t>
      </w:r>
      <w:r>
        <w:rPr/>
        <w:t>una</w:t>
      </w:r>
      <w:r>
        <w:rPr>
          <w:spacing w:val="-13"/>
        </w:rPr>
        <w:t> </w:t>
      </w:r>
      <w:r>
        <w:rPr/>
        <w:t>acción,</w:t>
      </w:r>
      <w:r>
        <w:rPr>
          <w:spacing w:val="-11"/>
        </w:rPr>
        <w:t> </w:t>
      </w:r>
      <w:r>
        <w:rPr/>
        <w:t>no</w:t>
      </w:r>
      <w:r>
        <w:rPr>
          <w:spacing w:val="-11"/>
        </w:rPr>
        <w:t> </w:t>
      </w:r>
      <w:r>
        <w:rPr/>
        <w:t>depende</w:t>
      </w:r>
      <w:r>
        <w:rPr>
          <w:spacing w:val="-11"/>
        </w:rPr>
        <w:t> </w:t>
      </w:r>
      <w:r>
        <w:rPr/>
        <w:t>sólo</w:t>
      </w:r>
      <w:r>
        <w:rPr>
          <w:spacing w:val="-11"/>
        </w:rPr>
        <w:t> </w:t>
      </w:r>
      <w:r>
        <w:rPr/>
        <w:t>de</w:t>
      </w:r>
      <w:r>
        <w:rPr>
          <w:spacing w:val="-11"/>
        </w:rPr>
        <w:t> </w:t>
      </w:r>
      <w:r>
        <w:rPr/>
        <w:t>sus</w:t>
      </w:r>
      <w:r>
        <w:rPr>
          <w:spacing w:val="-12"/>
        </w:rPr>
        <w:t> </w:t>
      </w:r>
      <w:r>
        <w:rPr/>
        <w:t>propias</w:t>
      </w:r>
      <w:r>
        <w:rPr>
          <w:spacing w:val="-11"/>
        </w:rPr>
        <w:t> </w:t>
      </w:r>
      <w:r>
        <w:rPr/>
        <w:t>características,</w:t>
      </w:r>
      <w:r>
        <w:rPr>
          <w:spacing w:val="-11"/>
        </w:rPr>
        <w:t> </w:t>
      </w:r>
      <w:r>
        <w:rPr/>
        <w:t>sino también, y muy especialmente en el ámbito público de las circunstancias y restricciones peculiares de un determinado momento. La voluntad política o los recursos disponibles o asignables pueden influir más en la posible realización de una acción que la propia bondad de esa” (Diez et al., 1997:</w:t>
      </w:r>
      <w:r>
        <w:rPr>
          <w:spacing w:val="-21"/>
        </w:rPr>
        <w:t> </w:t>
      </w:r>
      <w:r>
        <w:rPr/>
        <w:t>43).</w:t>
      </w:r>
    </w:p>
    <w:p>
      <w:pPr>
        <w:pStyle w:val="ListParagraph"/>
        <w:numPr>
          <w:ilvl w:val="1"/>
          <w:numId w:val="9"/>
        </w:numPr>
        <w:tabs>
          <w:tab w:pos="822" w:val="left" w:leader="none"/>
        </w:tabs>
        <w:spacing w:line="240" w:lineRule="auto" w:before="204" w:after="0"/>
        <w:ind w:left="822" w:right="0" w:hanging="360"/>
        <w:jc w:val="left"/>
        <w:rPr>
          <w:sz w:val="24"/>
        </w:rPr>
      </w:pPr>
      <w:r>
        <w:rPr>
          <w:sz w:val="24"/>
        </w:rPr>
        <w:t>Evento o estado de</w:t>
      </w:r>
      <w:r>
        <w:rPr>
          <w:spacing w:val="-13"/>
          <w:sz w:val="24"/>
        </w:rPr>
        <w:t> </w:t>
      </w:r>
      <w:r>
        <w:rPr>
          <w:sz w:val="24"/>
        </w:rPr>
        <w:t>naturaleza</w:t>
      </w:r>
    </w:p>
    <w:p>
      <w:pPr>
        <w:pStyle w:val="BodyText"/>
        <w:spacing w:before="4"/>
        <w:rPr>
          <w:sz w:val="29"/>
        </w:rPr>
      </w:pPr>
    </w:p>
    <w:p>
      <w:pPr>
        <w:pStyle w:val="BodyText"/>
        <w:spacing w:line="360" w:lineRule="auto" w:before="1"/>
        <w:ind w:left="102" w:right="116"/>
        <w:jc w:val="both"/>
      </w:pPr>
      <w:r>
        <w:rPr/>
        <w:t>Cuando tratan el concepto de evento o estado de naturaleza hablan de la representación real de la situación del mundo en el cual aplicamos la acción; un estado de naturaleza, considera los factores que afectan el logro de los objetivos y que se encuentran fuera del control del individuo que decide, “(…) todas las decisiones implican la escogencia de una acción, pero los resultados provenientes de</w:t>
      </w:r>
      <w:r>
        <w:rPr>
          <w:spacing w:val="-5"/>
        </w:rPr>
        <w:t> </w:t>
      </w:r>
      <w:r>
        <w:rPr/>
        <w:t>cada</w:t>
      </w:r>
      <w:r>
        <w:rPr>
          <w:spacing w:val="-6"/>
        </w:rPr>
        <w:t> </w:t>
      </w:r>
      <w:r>
        <w:rPr/>
        <w:t>acción</w:t>
      </w:r>
      <w:r>
        <w:rPr>
          <w:spacing w:val="-5"/>
        </w:rPr>
        <w:t> </w:t>
      </w:r>
      <w:r>
        <w:rPr/>
        <w:t>son</w:t>
      </w:r>
      <w:r>
        <w:rPr>
          <w:spacing w:val="-7"/>
        </w:rPr>
        <w:t> </w:t>
      </w:r>
      <w:r>
        <w:rPr/>
        <w:t>inciertos,</w:t>
      </w:r>
      <w:r>
        <w:rPr>
          <w:spacing w:val="-7"/>
        </w:rPr>
        <w:t> </w:t>
      </w:r>
      <w:r>
        <w:rPr/>
        <w:t>porque</w:t>
      </w:r>
      <w:r>
        <w:rPr>
          <w:spacing w:val="-7"/>
        </w:rPr>
        <w:t> </w:t>
      </w:r>
      <w:r>
        <w:rPr/>
        <w:t>un</w:t>
      </w:r>
      <w:r>
        <w:rPr>
          <w:spacing w:val="-7"/>
        </w:rPr>
        <w:t> </w:t>
      </w:r>
      <w:r>
        <w:rPr/>
        <w:t>resultado</w:t>
      </w:r>
      <w:r>
        <w:rPr>
          <w:spacing w:val="-7"/>
        </w:rPr>
        <w:t> </w:t>
      </w:r>
      <w:r>
        <w:rPr/>
        <w:t>es</w:t>
      </w:r>
      <w:r>
        <w:rPr>
          <w:spacing w:val="-8"/>
        </w:rPr>
        <w:t> </w:t>
      </w:r>
      <w:r>
        <w:rPr/>
        <w:t>determinado</w:t>
      </w:r>
      <w:r>
        <w:rPr>
          <w:spacing w:val="-5"/>
        </w:rPr>
        <w:t> </w:t>
      </w:r>
      <w:r>
        <w:rPr/>
        <w:t>parcialmente</w:t>
      </w:r>
      <w:r>
        <w:rPr>
          <w:spacing w:val="-7"/>
        </w:rPr>
        <w:t> </w:t>
      </w:r>
      <w:r>
        <w:rPr/>
        <w:t>por la escogencia y parcialmente por el azar” (Moreno, 2011:</w:t>
      </w:r>
      <w:r>
        <w:rPr>
          <w:spacing w:val="-19"/>
        </w:rPr>
        <w:t> </w:t>
      </w:r>
      <w:r>
        <w:rPr/>
        <w:t>2).</w:t>
      </w:r>
    </w:p>
    <w:p>
      <w:pPr>
        <w:spacing w:before="204"/>
        <w:ind w:left="954" w:right="118" w:firstLine="0"/>
        <w:jc w:val="both"/>
        <w:rPr>
          <w:sz w:val="22"/>
        </w:rPr>
      </w:pPr>
      <w:r>
        <w:rPr>
          <w:sz w:val="22"/>
        </w:rPr>
        <w:t>El estado de naturaleza se refiere a los aspectos del ambiente del tomador de decisiones que afectan su elección. Se incluyen aquí las relaciones entre las elecciones y los resultados. Las relaciones pueden ser aleatorias, o sea, probabilísticas. También es posible que el tomador de decisiones no conozca las relaciones. (Greenwood, 1978:83)</w:t>
      </w:r>
    </w:p>
    <w:p>
      <w:pPr>
        <w:pStyle w:val="BodyText"/>
        <w:rPr>
          <w:sz w:val="22"/>
        </w:rPr>
      </w:pPr>
    </w:p>
    <w:p>
      <w:pPr>
        <w:pStyle w:val="BodyText"/>
        <w:rPr>
          <w:sz w:val="22"/>
        </w:rPr>
      </w:pPr>
    </w:p>
    <w:p>
      <w:pPr>
        <w:pStyle w:val="ListParagraph"/>
        <w:numPr>
          <w:ilvl w:val="1"/>
          <w:numId w:val="9"/>
        </w:numPr>
        <w:tabs>
          <w:tab w:pos="669" w:val="left" w:leader="none"/>
        </w:tabs>
        <w:spacing w:line="240" w:lineRule="auto" w:before="149" w:after="0"/>
        <w:ind w:left="668" w:right="0" w:hanging="360"/>
        <w:jc w:val="left"/>
        <w:rPr>
          <w:sz w:val="24"/>
        </w:rPr>
      </w:pPr>
      <w:r>
        <w:rPr>
          <w:sz w:val="24"/>
        </w:rPr>
        <w:t>Actores</w:t>
      </w:r>
      <w:r>
        <w:rPr>
          <w:spacing w:val="-5"/>
          <w:sz w:val="24"/>
        </w:rPr>
        <w:t> </w:t>
      </w:r>
      <w:r>
        <w:rPr>
          <w:sz w:val="24"/>
        </w:rPr>
        <w:t>Involucrados</w:t>
      </w:r>
    </w:p>
    <w:p>
      <w:pPr>
        <w:pStyle w:val="BodyText"/>
        <w:spacing w:before="2"/>
        <w:rPr>
          <w:sz w:val="29"/>
        </w:rPr>
      </w:pPr>
    </w:p>
    <w:p>
      <w:pPr>
        <w:pStyle w:val="BodyText"/>
        <w:spacing w:line="360" w:lineRule="auto"/>
        <w:ind w:left="102" w:right="117"/>
        <w:jc w:val="both"/>
      </w:pPr>
      <w:r>
        <w:rPr/>
        <w:t>En el transcurso de un proceso de decisión se produce, en un momento u otro mismo, la aparición de numerosas personas, grupos o instituciones. Algunos de ellos</w:t>
      </w:r>
      <w:r>
        <w:rPr>
          <w:spacing w:val="52"/>
        </w:rPr>
        <w:t> </w:t>
      </w:r>
      <w:r>
        <w:rPr/>
        <w:t>carecen</w:t>
      </w:r>
      <w:r>
        <w:rPr>
          <w:spacing w:val="53"/>
        </w:rPr>
        <w:t> </w:t>
      </w:r>
      <w:r>
        <w:rPr/>
        <w:t>de</w:t>
      </w:r>
      <w:r>
        <w:rPr>
          <w:spacing w:val="53"/>
        </w:rPr>
        <w:t> </w:t>
      </w:r>
      <w:r>
        <w:rPr/>
        <w:t>influencia</w:t>
      </w:r>
      <w:r>
        <w:rPr>
          <w:spacing w:val="53"/>
        </w:rPr>
        <w:t> </w:t>
      </w:r>
      <w:r>
        <w:rPr/>
        <w:t>significativa</w:t>
      </w:r>
      <w:r>
        <w:rPr>
          <w:spacing w:val="53"/>
        </w:rPr>
        <w:t> </w:t>
      </w:r>
      <w:r>
        <w:rPr/>
        <w:t>y</w:t>
      </w:r>
      <w:r>
        <w:rPr>
          <w:spacing w:val="50"/>
        </w:rPr>
        <w:t> </w:t>
      </w:r>
      <w:r>
        <w:rPr/>
        <w:t>pueden</w:t>
      </w:r>
      <w:r>
        <w:rPr>
          <w:spacing w:val="53"/>
        </w:rPr>
        <w:t> </w:t>
      </w:r>
      <w:r>
        <w:rPr/>
        <w:t>ser fácilmente</w:t>
      </w:r>
      <w:r>
        <w:rPr>
          <w:spacing w:val="51"/>
        </w:rPr>
        <w:t> </w:t>
      </w:r>
      <w:r>
        <w:rPr/>
        <w:t>ignorados</w:t>
      </w:r>
      <w:r>
        <w:rPr>
          <w:spacing w:val="52"/>
        </w:rPr>
        <w:t> </w:t>
      </w:r>
      <w:r>
        <w:rPr/>
        <w:t>por</w:t>
      </w:r>
    </w:p>
    <w:p>
      <w:pPr>
        <w:spacing w:after="0" w:line="360" w:lineRule="auto"/>
        <w:jc w:val="both"/>
        <w:sectPr>
          <w:footerReference w:type="default" r:id="rId16"/>
          <w:pgSz w:w="12240" w:h="15840"/>
          <w:pgMar w:footer="992" w:header="0" w:top="1360" w:bottom="1180" w:left="1600" w:right="1580"/>
          <w:pgNumType w:start="21"/>
        </w:sectPr>
      </w:pPr>
    </w:p>
    <w:p>
      <w:pPr>
        <w:pStyle w:val="BodyText"/>
        <w:spacing w:line="362" w:lineRule="auto" w:before="54"/>
        <w:ind w:left="102" w:right="123"/>
        <w:jc w:val="both"/>
      </w:pPr>
      <w:r>
        <w:rPr/>
        <w:t>irrelevantes. Otros, en cambio, contribuyen sustancialmente al tipo y la calidad de la decisión a adoptar. Dicho lo anterior nos referimos al tomador de decisiones.</w:t>
      </w:r>
    </w:p>
    <w:p>
      <w:pPr>
        <w:pStyle w:val="BodyText"/>
        <w:spacing w:line="360" w:lineRule="auto" w:before="201"/>
        <w:ind w:left="102" w:right="115"/>
        <w:jc w:val="both"/>
      </w:pPr>
      <w:r>
        <w:rPr/>
        <w:t>Partiendo de la idea de lo que implica ser el decisor conforme a Rehault (1977), tenemos</w:t>
      </w:r>
      <w:r>
        <w:rPr>
          <w:spacing w:val="-7"/>
        </w:rPr>
        <w:t> </w:t>
      </w:r>
      <w:r>
        <w:rPr/>
        <w:t>que</w:t>
      </w:r>
      <w:r>
        <w:rPr>
          <w:spacing w:val="-4"/>
        </w:rPr>
        <w:t> </w:t>
      </w:r>
      <w:r>
        <w:rPr/>
        <w:t>un</w:t>
      </w:r>
      <w:r>
        <w:rPr>
          <w:spacing w:val="-4"/>
        </w:rPr>
        <w:t> </w:t>
      </w:r>
      <w:r>
        <w:rPr/>
        <w:t>decisor</w:t>
      </w:r>
      <w:r>
        <w:rPr>
          <w:spacing w:val="-5"/>
        </w:rPr>
        <w:t> </w:t>
      </w:r>
      <w:r>
        <w:rPr/>
        <w:t>tiene</w:t>
      </w:r>
      <w:r>
        <w:rPr>
          <w:spacing w:val="-6"/>
        </w:rPr>
        <w:t> </w:t>
      </w:r>
      <w:r>
        <w:rPr/>
        <w:t>la</w:t>
      </w:r>
      <w:r>
        <w:rPr>
          <w:spacing w:val="-4"/>
        </w:rPr>
        <w:t> </w:t>
      </w:r>
      <w:r>
        <w:rPr/>
        <w:t>tarea</w:t>
      </w:r>
      <w:r>
        <w:rPr>
          <w:spacing w:val="-2"/>
        </w:rPr>
        <w:t> </w:t>
      </w:r>
      <w:r>
        <w:rPr/>
        <w:t>de</w:t>
      </w:r>
      <w:r>
        <w:rPr>
          <w:spacing w:val="-4"/>
        </w:rPr>
        <w:t> </w:t>
      </w:r>
      <w:r>
        <w:rPr/>
        <w:t>identificar</w:t>
      </w:r>
      <w:r>
        <w:rPr>
          <w:spacing w:val="-5"/>
        </w:rPr>
        <w:t> </w:t>
      </w:r>
      <w:r>
        <w:rPr/>
        <w:t>el</w:t>
      </w:r>
      <w:r>
        <w:rPr>
          <w:spacing w:val="-5"/>
        </w:rPr>
        <w:t> </w:t>
      </w:r>
      <w:r>
        <w:rPr/>
        <w:t>conjunto</w:t>
      </w:r>
      <w:r>
        <w:rPr>
          <w:spacing w:val="-6"/>
        </w:rPr>
        <w:t> </w:t>
      </w:r>
      <w:r>
        <w:rPr/>
        <w:t>de</w:t>
      </w:r>
      <w:r>
        <w:rPr>
          <w:spacing w:val="-4"/>
        </w:rPr>
        <w:t> </w:t>
      </w:r>
      <w:r>
        <w:rPr/>
        <w:t>cursos</w:t>
      </w:r>
      <w:r>
        <w:rPr>
          <w:spacing w:val="-4"/>
        </w:rPr>
        <w:t> </w:t>
      </w:r>
      <w:r>
        <w:rPr/>
        <w:t>de</w:t>
      </w:r>
      <w:r>
        <w:rPr>
          <w:spacing w:val="-6"/>
        </w:rPr>
        <w:t> </w:t>
      </w:r>
      <w:r>
        <w:rPr/>
        <w:t>acción a su alcance, así como debe enumerar los estados naturales de tal manera que sean mutuamente excluyentes y totalmente exhaustivos; además debe cuantificar los resultados que corresponden a cada combinación posible de curso de acción especificado y de un estado determinado de naturaleza; también debe escoger un criterio de decisión adecuado para elegir el curso de acción que le convenga</w:t>
      </w:r>
      <w:r>
        <w:rPr>
          <w:spacing w:val="-30"/>
        </w:rPr>
        <w:t> </w:t>
      </w:r>
      <w:r>
        <w:rPr/>
        <w:t>más.</w:t>
      </w:r>
    </w:p>
    <w:p>
      <w:pPr>
        <w:pStyle w:val="BodyText"/>
        <w:spacing w:line="360" w:lineRule="auto" w:before="202"/>
        <w:ind w:left="102" w:right="115"/>
        <w:jc w:val="both"/>
      </w:pPr>
      <w:r>
        <w:rPr/>
        <w:t>Por lo tanto, este elemento es demasiado importante, como ya se reconoció en el párrafo</w:t>
      </w:r>
      <w:r>
        <w:rPr>
          <w:spacing w:val="-11"/>
        </w:rPr>
        <w:t> </w:t>
      </w:r>
      <w:r>
        <w:rPr/>
        <w:t>anterior,</w:t>
      </w:r>
      <w:r>
        <w:rPr>
          <w:spacing w:val="-12"/>
        </w:rPr>
        <w:t> </w:t>
      </w:r>
      <w:r>
        <w:rPr/>
        <w:t>el</w:t>
      </w:r>
      <w:r>
        <w:rPr>
          <w:spacing w:val="-10"/>
        </w:rPr>
        <w:t> </w:t>
      </w:r>
      <w:r>
        <w:rPr/>
        <w:t>decisor,</w:t>
      </w:r>
      <w:r>
        <w:rPr>
          <w:spacing w:val="-9"/>
        </w:rPr>
        <w:t> </w:t>
      </w:r>
      <w:r>
        <w:rPr/>
        <w:t>que</w:t>
      </w:r>
      <w:r>
        <w:rPr>
          <w:spacing w:val="-8"/>
        </w:rPr>
        <w:t> </w:t>
      </w:r>
      <w:r>
        <w:rPr/>
        <w:t>no</w:t>
      </w:r>
      <w:r>
        <w:rPr>
          <w:spacing w:val="-11"/>
        </w:rPr>
        <w:t> </w:t>
      </w:r>
      <w:r>
        <w:rPr/>
        <w:t>es</w:t>
      </w:r>
      <w:r>
        <w:rPr>
          <w:spacing w:val="-9"/>
        </w:rPr>
        <w:t> </w:t>
      </w:r>
      <w:r>
        <w:rPr/>
        <w:t>otra</w:t>
      </w:r>
      <w:r>
        <w:rPr>
          <w:spacing w:val="-9"/>
        </w:rPr>
        <w:t> </w:t>
      </w:r>
      <w:r>
        <w:rPr/>
        <w:t>cosa</w:t>
      </w:r>
      <w:r>
        <w:rPr>
          <w:spacing w:val="-8"/>
        </w:rPr>
        <w:t> </w:t>
      </w:r>
      <w:r>
        <w:rPr/>
        <w:t>que</w:t>
      </w:r>
      <w:r>
        <w:rPr>
          <w:spacing w:val="-8"/>
        </w:rPr>
        <w:t> </w:t>
      </w:r>
      <w:r>
        <w:rPr/>
        <w:t>el</w:t>
      </w:r>
      <w:r>
        <w:rPr>
          <w:spacing w:val="-10"/>
        </w:rPr>
        <w:t> </w:t>
      </w:r>
      <w:r>
        <w:rPr/>
        <w:t>actor,</w:t>
      </w:r>
      <w:r>
        <w:rPr>
          <w:spacing w:val="-9"/>
        </w:rPr>
        <w:t> </w:t>
      </w:r>
      <w:r>
        <w:rPr/>
        <w:t>a</w:t>
      </w:r>
      <w:r>
        <w:rPr>
          <w:spacing w:val="-8"/>
        </w:rPr>
        <w:t> </w:t>
      </w:r>
      <w:r>
        <w:rPr/>
        <w:t>quien</w:t>
      </w:r>
      <w:r>
        <w:rPr>
          <w:spacing w:val="-8"/>
        </w:rPr>
        <w:t> </w:t>
      </w:r>
      <w:r>
        <w:rPr/>
        <w:t>le</w:t>
      </w:r>
      <w:r>
        <w:rPr>
          <w:spacing w:val="-8"/>
        </w:rPr>
        <w:t> </w:t>
      </w:r>
      <w:r>
        <w:rPr/>
        <w:t>corresponde la toma de decisión</w:t>
      </w:r>
      <w:r>
        <w:rPr>
          <w:sz w:val="22"/>
        </w:rPr>
        <w:t>. “</w:t>
      </w:r>
      <w:r>
        <w:rPr/>
        <w:t>Actor es toda persona, grupo o institución que intervenga en un proceso de decisión y cuya aportación influya de manera destacada cara al resultado final. El actor está capacitado para poseer una naturaleza muy diversa” (Diez, et al., 1997:</w:t>
      </w:r>
      <w:r>
        <w:rPr>
          <w:spacing w:val="-6"/>
        </w:rPr>
        <w:t> </w:t>
      </w:r>
      <w:r>
        <w:rPr/>
        <w:t>71).</w:t>
      </w:r>
    </w:p>
    <w:p>
      <w:pPr>
        <w:pStyle w:val="BodyText"/>
        <w:spacing w:before="204"/>
        <w:ind w:left="102"/>
        <w:jc w:val="both"/>
      </w:pPr>
      <w:r>
        <w:rPr/>
        <w:t>Las principales categorías en que se agrupan son:</w:t>
      </w:r>
    </w:p>
    <w:p>
      <w:pPr>
        <w:pStyle w:val="BodyText"/>
        <w:spacing w:before="4"/>
        <w:rPr>
          <w:sz w:val="29"/>
        </w:rPr>
      </w:pPr>
    </w:p>
    <w:p>
      <w:pPr>
        <w:pStyle w:val="ListParagraph"/>
        <w:numPr>
          <w:ilvl w:val="0"/>
          <w:numId w:val="10"/>
        </w:numPr>
        <w:tabs>
          <w:tab w:pos="814" w:val="left" w:leader="none"/>
          <w:tab w:pos="815" w:val="left" w:leader="none"/>
        </w:tabs>
        <w:spacing w:line="355" w:lineRule="auto" w:before="0" w:after="0"/>
        <w:ind w:left="814" w:right="125" w:hanging="355"/>
        <w:jc w:val="left"/>
        <w:rPr>
          <w:sz w:val="24"/>
        </w:rPr>
      </w:pPr>
      <w:r>
        <w:rPr>
          <w:sz w:val="24"/>
        </w:rPr>
        <w:t>Un individuo. Así, cualquier directivo de una organización que estudia la adopción de una decisión sobre un asunto de su</w:t>
      </w:r>
      <w:r>
        <w:rPr>
          <w:spacing w:val="-22"/>
          <w:sz w:val="24"/>
        </w:rPr>
        <w:t> </w:t>
      </w:r>
      <w:r>
        <w:rPr>
          <w:sz w:val="24"/>
        </w:rPr>
        <w:t>competencia.</w:t>
      </w:r>
    </w:p>
    <w:p>
      <w:pPr>
        <w:pStyle w:val="ListParagraph"/>
        <w:numPr>
          <w:ilvl w:val="0"/>
          <w:numId w:val="10"/>
        </w:numPr>
        <w:tabs>
          <w:tab w:pos="814" w:val="left" w:leader="none"/>
          <w:tab w:pos="815" w:val="left" w:leader="none"/>
        </w:tabs>
        <w:spacing w:line="355" w:lineRule="auto" w:before="10" w:after="0"/>
        <w:ind w:left="814" w:right="121" w:hanging="355"/>
        <w:jc w:val="left"/>
        <w:rPr>
          <w:sz w:val="24"/>
        </w:rPr>
      </w:pPr>
      <w:r>
        <w:rPr>
          <w:sz w:val="24"/>
        </w:rPr>
        <w:t>Un</w:t>
      </w:r>
      <w:r>
        <w:rPr>
          <w:spacing w:val="-4"/>
          <w:sz w:val="24"/>
        </w:rPr>
        <w:t> </w:t>
      </w:r>
      <w:r>
        <w:rPr>
          <w:sz w:val="24"/>
        </w:rPr>
        <w:t>grupo.</w:t>
      </w:r>
      <w:r>
        <w:rPr>
          <w:spacing w:val="-4"/>
          <w:sz w:val="24"/>
        </w:rPr>
        <w:t> </w:t>
      </w:r>
      <w:r>
        <w:rPr>
          <w:sz w:val="24"/>
        </w:rPr>
        <w:t>Cuando</w:t>
      </w:r>
      <w:r>
        <w:rPr>
          <w:spacing w:val="-4"/>
          <w:sz w:val="24"/>
        </w:rPr>
        <w:t> </w:t>
      </w:r>
      <w:r>
        <w:rPr>
          <w:sz w:val="24"/>
        </w:rPr>
        <w:t>dos</w:t>
      </w:r>
      <w:r>
        <w:rPr>
          <w:spacing w:val="-7"/>
          <w:sz w:val="24"/>
        </w:rPr>
        <w:t> </w:t>
      </w:r>
      <w:r>
        <w:rPr>
          <w:sz w:val="24"/>
        </w:rPr>
        <w:t>o</w:t>
      </w:r>
      <w:r>
        <w:rPr>
          <w:spacing w:val="-1"/>
          <w:sz w:val="24"/>
        </w:rPr>
        <w:t> </w:t>
      </w:r>
      <w:r>
        <w:rPr>
          <w:sz w:val="24"/>
        </w:rPr>
        <w:t>más</w:t>
      </w:r>
      <w:r>
        <w:rPr>
          <w:spacing w:val="-4"/>
          <w:sz w:val="24"/>
        </w:rPr>
        <w:t> </w:t>
      </w:r>
      <w:r>
        <w:rPr>
          <w:sz w:val="24"/>
        </w:rPr>
        <w:t>personas</w:t>
      </w:r>
      <w:r>
        <w:rPr>
          <w:spacing w:val="-7"/>
          <w:sz w:val="24"/>
        </w:rPr>
        <w:t> </w:t>
      </w:r>
      <w:r>
        <w:rPr>
          <w:sz w:val="24"/>
        </w:rPr>
        <w:t>se</w:t>
      </w:r>
      <w:r>
        <w:rPr>
          <w:spacing w:val="-4"/>
          <w:sz w:val="24"/>
        </w:rPr>
        <w:t> </w:t>
      </w:r>
      <w:r>
        <w:rPr>
          <w:sz w:val="24"/>
        </w:rPr>
        <w:t>reúnen</w:t>
      </w:r>
      <w:r>
        <w:rPr>
          <w:spacing w:val="-4"/>
          <w:sz w:val="24"/>
        </w:rPr>
        <w:t> </w:t>
      </w:r>
      <w:r>
        <w:rPr>
          <w:sz w:val="24"/>
        </w:rPr>
        <w:t>para</w:t>
      </w:r>
      <w:r>
        <w:rPr>
          <w:spacing w:val="-7"/>
          <w:sz w:val="24"/>
        </w:rPr>
        <w:t> </w:t>
      </w:r>
      <w:r>
        <w:rPr>
          <w:sz w:val="24"/>
        </w:rPr>
        <w:t>aprobar</w:t>
      </w:r>
      <w:r>
        <w:rPr>
          <w:spacing w:val="-5"/>
          <w:sz w:val="24"/>
        </w:rPr>
        <w:t> </w:t>
      </w:r>
      <w:r>
        <w:rPr>
          <w:sz w:val="24"/>
        </w:rPr>
        <w:t>una</w:t>
      </w:r>
      <w:r>
        <w:rPr>
          <w:spacing w:val="-6"/>
          <w:sz w:val="24"/>
        </w:rPr>
        <w:t> </w:t>
      </w:r>
      <w:r>
        <w:rPr>
          <w:sz w:val="24"/>
        </w:rPr>
        <w:t>línea</w:t>
      </w:r>
      <w:r>
        <w:rPr>
          <w:spacing w:val="-4"/>
          <w:sz w:val="24"/>
        </w:rPr>
        <w:t> </w:t>
      </w:r>
      <w:r>
        <w:rPr>
          <w:sz w:val="24"/>
        </w:rPr>
        <w:t>de acción.</w:t>
      </w:r>
    </w:p>
    <w:p>
      <w:pPr>
        <w:pStyle w:val="ListParagraph"/>
        <w:numPr>
          <w:ilvl w:val="0"/>
          <w:numId w:val="10"/>
        </w:numPr>
        <w:tabs>
          <w:tab w:pos="814" w:val="left" w:leader="none"/>
          <w:tab w:pos="815" w:val="left" w:leader="none"/>
        </w:tabs>
        <w:spacing w:line="357" w:lineRule="auto" w:before="10" w:after="0"/>
        <w:ind w:left="814" w:right="124" w:hanging="355"/>
        <w:jc w:val="left"/>
        <w:rPr>
          <w:sz w:val="24"/>
        </w:rPr>
      </w:pPr>
      <w:r>
        <w:rPr>
          <w:sz w:val="24"/>
        </w:rPr>
        <w:t>Una colectividad. Son todos los integrantes de una organización los que actúan, a la vez como</w:t>
      </w:r>
      <w:r>
        <w:rPr>
          <w:spacing w:val="-8"/>
          <w:sz w:val="24"/>
        </w:rPr>
        <w:t> </w:t>
      </w:r>
      <w:r>
        <w:rPr>
          <w:sz w:val="24"/>
        </w:rPr>
        <w:t>actor.</w:t>
      </w:r>
    </w:p>
    <w:p>
      <w:pPr>
        <w:pStyle w:val="Heading2"/>
        <w:spacing w:before="125"/>
      </w:pPr>
      <w:r>
        <w:rPr/>
        <w:t>Tipos de actores</w:t>
      </w:r>
    </w:p>
    <w:p>
      <w:pPr>
        <w:pStyle w:val="BodyText"/>
        <w:spacing w:before="5"/>
        <w:rPr>
          <w:b/>
          <w:sz w:val="29"/>
        </w:rPr>
      </w:pPr>
    </w:p>
    <w:p>
      <w:pPr>
        <w:pStyle w:val="BodyText"/>
        <w:spacing w:line="360" w:lineRule="auto"/>
        <w:ind w:left="102" w:right="120"/>
        <w:jc w:val="both"/>
      </w:pPr>
      <w:r>
        <w:rPr/>
        <w:t>Discernir entre los actores con base en su poder o intenciones es frecuente. Es posible definir los siguientes actores en un proceso de decisión.</w:t>
      </w:r>
    </w:p>
    <w:p>
      <w:pPr>
        <w:pStyle w:val="BodyText"/>
        <w:spacing w:line="360" w:lineRule="auto" w:before="204"/>
        <w:ind w:left="102" w:right="118"/>
        <w:jc w:val="both"/>
      </w:pPr>
      <w:r>
        <w:rPr>
          <w:b/>
        </w:rPr>
        <w:t>Decisor.</w:t>
      </w:r>
      <w:r>
        <w:rPr>
          <w:b/>
          <w:spacing w:val="-11"/>
        </w:rPr>
        <w:t> </w:t>
      </w:r>
      <w:r>
        <w:rPr/>
        <w:t>Es</w:t>
      </w:r>
      <w:r>
        <w:rPr>
          <w:spacing w:val="-9"/>
        </w:rPr>
        <w:t> </w:t>
      </w:r>
      <w:r>
        <w:rPr/>
        <w:t>la</w:t>
      </w:r>
      <w:r>
        <w:rPr>
          <w:spacing w:val="-9"/>
        </w:rPr>
        <w:t> </w:t>
      </w:r>
      <w:r>
        <w:rPr/>
        <w:t>persona</w:t>
      </w:r>
      <w:r>
        <w:rPr>
          <w:spacing w:val="-8"/>
        </w:rPr>
        <w:t> </w:t>
      </w:r>
      <w:r>
        <w:rPr/>
        <w:t>a</w:t>
      </w:r>
      <w:r>
        <w:rPr>
          <w:spacing w:val="-8"/>
        </w:rPr>
        <w:t> </w:t>
      </w:r>
      <w:r>
        <w:rPr/>
        <w:t>quien</w:t>
      </w:r>
      <w:r>
        <w:rPr>
          <w:spacing w:val="-8"/>
        </w:rPr>
        <w:t> </w:t>
      </w:r>
      <w:r>
        <w:rPr/>
        <w:t>se</w:t>
      </w:r>
      <w:r>
        <w:rPr>
          <w:spacing w:val="-11"/>
        </w:rPr>
        <w:t> </w:t>
      </w:r>
      <w:r>
        <w:rPr/>
        <w:t>dirige</w:t>
      </w:r>
      <w:r>
        <w:rPr>
          <w:spacing w:val="-8"/>
        </w:rPr>
        <w:t> </w:t>
      </w:r>
      <w:r>
        <w:rPr/>
        <w:t>la</w:t>
      </w:r>
      <w:r>
        <w:rPr>
          <w:spacing w:val="-9"/>
        </w:rPr>
        <w:t> </w:t>
      </w:r>
      <w:r>
        <w:rPr/>
        <w:t>ayuda</w:t>
      </w:r>
      <w:r>
        <w:rPr>
          <w:spacing w:val="-8"/>
        </w:rPr>
        <w:t> </w:t>
      </w:r>
      <w:r>
        <w:rPr/>
        <w:t>a</w:t>
      </w:r>
      <w:r>
        <w:rPr>
          <w:spacing w:val="-8"/>
        </w:rPr>
        <w:t> </w:t>
      </w:r>
      <w:r>
        <w:rPr/>
        <w:t>la</w:t>
      </w:r>
      <w:r>
        <w:rPr>
          <w:spacing w:val="-9"/>
        </w:rPr>
        <w:t> </w:t>
      </w:r>
      <w:r>
        <w:rPr/>
        <w:t>decisión.</w:t>
      </w:r>
      <w:r>
        <w:rPr>
          <w:spacing w:val="-9"/>
        </w:rPr>
        <w:t> </w:t>
      </w:r>
      <w:r>
        <w:rPr/>
        <w:t>Ocupa</w:t>
      </w:r>
      <w:r>
        <w:rPr>
          <w:spacing w:val="-11"/>
        </w:rPr>
        <w:t> </w:t>
      </w:r>
      <w:r>
        <w:rPr/>
        <w:t>una</w:t>
      </w:r>
      <w:r>
        <w:rPr>
          <w:spacing w:val="-11"/>
        </w:rPr>
        <w:t> </w:t>
      </w:r>
      <w:r>
        <w:rPr/>
        <w:t>posición central en el proceso. Identificarlo es precisar los objetivos al servicio de los</w:t>
      </w:r>
      <w:r>
        <w:rPr>
          <w:spacing w:val="-6"/>
        </w:rPr>
        <w:t> </w:t>
      </w:r>
      <w:r>
        <w:rPr/>
        <w:t>cuales</w:t>
      </w:r>
    </w:p>
    <w:p>
      <w:pPr>
        <w:spacing w:after="0" w:line="360" w:lineRule="auto"/>
        <w:jc w:val="both"/>
        <w:sectPr>
          <w:pgSz w:w="12240" w:h="15840"/>
          <w:pgMar w:header="0" w:footer="992" w:top="1360" w:bottom="1180" w:left="1600" w:right="1580"/>
        </w:sectPr>
      </w:pPr>
    </w:p>
    <w:p>
      <w:pPr>
        <w:pStyle w:val="BodyText"/>
        <w:spacing w:line="362" w:lineRule="auto" w:before="54"/>
        <w:ind w:left="102" w:right="126"/>
        <w:jc w:val="both"/>
      </w:pPr>
      <w:r>
        <w:rPr/>
        <w:t>está normalmente colocado. Expresa las preferencias y las hace prevalecer en la evolución del proceso.</w:t>
      </w:r>
    </w:p>
    <w:p>
      <w:pPr>
        <w:pStyle w:val="BodyText"/>
        <w:spacing w:line="360" w:lineRule="auto" w:before="201"/>
        <w:ind w:left="102" w:right="123"/>
        <w:jc w:val="both"/>
      </w:pPr>
      <w:r>
        <w:rPr/>
        <w:t>El actor goza de poder (institucional o no) para seleccionar e implantar una acción, o podría gozar de un grado del mismo que le convertirá en agente fundamental o coadyuvante al proceso decisorio.</w:t>
      </w:r>
    </w:p>
    <w:p>
      <w:pPr>
        <w:pStyle w:val="BodyText"/>
        <w:spacing w:line="360" w:lineRule="auto" w:before="204"/>
        <w:ind w:left="102" w:right="125"/>
        <w:jc w:val="both"/>
      </w:pPr>
      <w:r>
        <w:rPr>
          <w:b/>
        </w:rPr>
        <w:t>Intervinientes. </w:t>
      </w:r>
      <w:r>
        <w:rPr/>
        <w:t>Buscan influenciar al decisor en una de las fases del proceso, en razón de la naturaleza de sus valores y en función de su propio sistema de preferencias.</w:t>
      </w:r>
    </w:p>
    <w:p>
      <w:pPr>
        <w:pStyle w:val="BodyText"/>
        <w:spacing w:line="360" w:lineRule="auto" w:before="205"/>
        <w:ind w:left="102" w:right="124"/>
        <w:jc w:val="both"/>
      </w:pPr>
      <w:r>
        <w:rPr>
          <w:b/>
        </w:rPr>
        <w:t>Afectados</w:t>
      </w:r>
      <w:r>
        <w:rPr/>
        <w:t>. Son los concernidos por las consecuencias de la decisión. Intervienen indirectamente en el proceso por la imagen que otros actores se hacen de sus valores y más concretamente de su sistema de preferencias.</w:t>
      </w:r>
    </w:p>
    <w:p>
      <w:pPr>
        <w:pStyle w:val="BodyText"/>
        <w:spacing w:line="360" w:lineRule="auto" w:before="204"/>
        <w:ind w:left="102" w:right="122"/>
        <w:jc w:val="both"/>
      </w:pPr>
      <w:r>
        <w:rPr>
          <w:b/>
        </w:rPr>
        <w:t>Actores fantasmas o latentes</w:t>
      </w:r>
      <w:r>
        <w:rPr/>
        <w:t>. Intervienen indirectamente, como los afectados, aunque no están involucrados en las consecuencias de la decisión.</w:t>
      </w:r>
    </w:p>
    <w:p>
      <w:pPr>
        <w:pStyle w:val="ListParagraph"/>
        <w:numPr>
          <w:ilvl w:val="1"/>
          <w:numId w:val="9"/>
        </w:numPr>
        <w:tabs>
          <w:tab w:pos="1031" w:val="left" w:leader="none"/>
        </w:tabs>
        <w:spacing w:line="240" w:lineRule="auto" w:before="202" w:after="0"/>
        <w:ind w:left="1030" w:right="0" w:hanging="360"/>
        <w:jc w:val="left"/>
        <w:rPr>
          <w:sz w:val="24"/>
        </w:rPr>
      </w:pPr>
      <w:r>
        <w:rPr>
          <w:sz w:val="24"/>
        </w:rPr>
        <w:t>Metas o</w:t>
      </w:r>
      <w:r>
        <w:rPr>
          <w:spacing w:val="-3"/>
          <w:sz w:val="24"/>
        </w:rPr>
        <w:t> </w:t>
      </w:r>
      <w:r>
        <w:rPr>
          <w:sz w:val="24"/>
        </w:rPr>
        <w:t>fines</w:t>
      </w:r>
    </w:p>
    <w:p>
      <w:pPr>
        <w:pStyle w:val="BodyText"/>
        <w:spacing w:before="5"/>
        <w:rPr>
          <w:sz w:val="29"/>
        </w:rPr>
      </w:pPr>
    </w:p>
    <w:p>
      <w:pPr>
        <w:pStyle w:val="BodyText"/>
        <w:spacing w:line="360" w:lineRule="auto"/>
        <w:ind w:left="102" w:right="116"/>
        <w:jc w:val="both"/>
      </w:pPr>
      <w:r>
        <w:rPr/>
        <w:t>Con base en Greenwood (1978) en cuanto a metas o fines estas son los objetivos que los tomadores de decisiones tratan de alcanzar. En algunas situaciones de elección, las metas están claramente definidas y se aplican. En otras, como en la situación de elección secuencial, donde las elecciones se ven afectadas por las elecciones del pasado y los resultados, las metas no siempre son identificables, operacionales o estables.</w:t>
      </w:r>
    </w:p>
    <w:p>
      <w:pPr>
        <w:pStyle w:val="BodyText"/>
      </w:pPr>
    </w:p>
    <w:p>
      <w:pPr>
        <w:pStyle w:val="Heading1"/>
        <w:numPr>
          <w:ilvl w:val="2"/>
          <w:numId w:val="8"/>
        </w:numPr>
        <w:tabs>
          <w:tab w:pos="2882" w:val="left" w:leader="none"/>
        </w:tabs>
        <w:spacing w:line="240" w:lineRule="auto" w:before="203" w:after="0"/>
        <w:ind w:left="2881" w:right="0" w:hanging="703"/>
        <w:jc w:val="left"/>
      </w:pPr>
      <w:bookmarkStart w:name="_TOC_250046" w:id="6"/>
      <w:r>
        <w:rPr/>
        <w:t>Proceso de Toma de</w:t>
      </w:r>
      <w:r>
        <w:rPr>
          <w:spacing w:val="-14"/>
        </w:rPr>
        <w:t> </w:t>
      </w:r>
      <w:bookmarkEnd w:id="6"/>
      <w:r>
        <w:rPr/>
        <w:t>Decisión</w:t>
      </w:r>
    </w:p>
    <w:p>
      <w:pPr>
        <w:pStyle w:val="BodyText"/>
        <w:rPr>
          <w:b/>
          <w:sz w:val="28"/>
        </w:rPr>
      </w:pPr>
    </w:p>
    <w:p>
      <w:pPr>
        <w:pStyle w:val="BodyText"/>
        <w:rPr>
          <w:b/>
          <w:sz w:val="28"/>
        </w:rPr>
      </w:pPr>
    </w:p>
    <w:p>
      <w:pPr>
        <w:pStyle w:val="BodyText"/>
        <w:spacing w:before="8"/>
        <w:rPr>
          <w:b/>
          <w:sz w:val="30"/>
        </w:rPr>
      </w:pPr>
    </w:p>
    <w:p>
      <w:pPr>
        <w:pStyle w:val="BodyText"/>
        <w:spacing w:line="360" w:lineRule="auto" w:before="1"/>
        <w:ind w:left="102" w:right="115"/>
        <w:jc w:val="both"/>
      </w:pPr>
      <w:r>
        <w:rPr/>
        <w:t>Tomar una decisión es una acción que se ejerce una vez teniendo la información y los escenarios posibles acerca del comportamiento de la decisión tomada. Para tomar una decisión, no importa su naturaleza, es necesario conocer, comprender, analizar un problema, para así poder darle solución; en algunos casos por ser  tan</w:t>
      </w:r>
    </w:p>
    <w:p>
      <w:pPr>
        <w:spacing w:after="0" w:line="360" w:lineRule="auto"/>
        <w:jc w:val="both"/>
        <w:sectPr>
          <w:pgSz w:w="12240" w:h="15840"/>
          <w:pgMar w:header="0" w:footer="992" w:top="1360" w:bottom="1180" w:left="1600" w:right="1580"/>
        </w:sectPr>
      </w:pPr>
    </w:p>
    <w:p>
      <w:pPr>
        <w:pStyle w:val="BodyText"/>
        <w:spacing w:line="360" w:lineRule="auto" w:before="54"/>
        <w:ind w:left="102" w:right="120"/>
        <w:jc w:val="both"/>
      </w:pPr>
      <w:r>
        <w:rPr/>
        <w:t>simples y cotidianos, este proceso se realiza de forma implícita y se soluciona muy rápidamente, pero existen otros casos en los cuales es necesario realizar un proceso más estructurado que puede dar mayor seguridad e información para resolver el problema.</w:t>
      </w:r>
    </w:p>
    <w:p>
      <w:pPr>
        <w:pStyle w:val="BodyText"/>
        <w:rPr>
          <w:sz w:val="21"/>
        </w:rPr>
      </w:pPr>
    </w:p>
    <w:p>
      <w:pPr>
        <w:spacing w:before="1"/>
        <w:ind w:left="954" w:right="115" w:firstLine="0"/>
        <w:jc w:val="both"/>
        <w:rPr>
          <w:sz w:val="22"/>
        </w:rPr>
      </w:pPr>
      <w:r>
        <w:rPr>
          <w:sz w:val="22"/>
        </w:rPr>
        <w:t>La</w:t>
      </w:r>
      <w:r>
        <w:rPr>
          <w:spacing w:val="-13"/>
          <w:sz w:val="22"/>
        </w:rPr>
        <w:t> </w:t>
      </w:r>
      <w:r>
        <w:rPr>
          <w:sz w:val="22"/>
        </w:rPr>
        <w:t>toma</w:t>
      </w:r>
      <w:r>
        <w:rPr>
          <w:spacing w:val="-14"/>
          <w:sz w:val="22"/>
        </w:rPr>
        <w:t> </w:t>
      </w:r>
      <w:r>
        <w:rPr>
          <w:sz w:val="22"/>
        </w:rPr>
        <w:t>de</w:t>
      </w:r>
      <w:r>
        <w:rPr>
          <w:spacing w:val="-13"/>
          <w:sz w:val="22"/>
        </w:rPr>
        <w:t> </w:t>
      </w:r>
      <w:r>
        <w:rPr>
          <w:sz w:val="22"/>
        </w:rPr>
        <w:t>decisiones</w:t>
      </w:r>
      <w:r>
        <w:rPr>
          <w:spacing w:val="-12"/>
          <w:sz w:val="22"/>
        </w:rPr>
        <w:t> </w:t>
      </w:r>
      <w:r>
        <w:rPr>
          <w:sz w:val="22"/>
        </w:rPr>
        <w:t>sigue</w:t>
      </w:r>
      <w:r>
        <w:rPr>
          <w:spacing w:val="-13"/>
          <w:sz w:val="22"/>
        </w:rPr>
        <w:t> </w:t>
      </w:r>
      <w:r>
        <w:rPr>
          <w:sz w:val="22"/>
        </w:rPr>
        <w:t>un</w:t>
      </w:r>
      <w:r>
        <w:rPr>
          <w:spacing w:val="-13"/>
          <w:sz w:val="22"/>
        </w:rPr>
        <w:t> </w:t>
      </w:r>
      <w:r>
        <w:rPr>
          <w:sz w:val="22"/>
        </w:rPr>
        <w:t>proceso</w:t>
      </w:r>
      <w:r>
        <w:rPr>
          <w:spacing w:val="-12"/>
          <w:sz w:val="22"/>
        </w:rPr>
        <w:t> </w:t>
      </w:r>
      <w:r>
        <w:rPr>
          <w:sz w:val="22"/>
        </w:rPr>
        <w:t>estructurado</w:t>
      </w:r>
      <w:r>
        <w:rPr>
          <w:spacing w:val="-12"/>
          <w:sz w:val="22"/>
        </w:rPr>
        <w:t> </w:t>
      </w:r>
      <w:r>
        <w:rPr>
          <w:sz w:val="22"/>
        </w:rPr>
        <w:t>que</w:t>
      </w:r>
      <w:r>
        <w:rPr>
          <w:spacing w:val="-13"/>
          <w:sz w:val="22"/>
        </w:rPr>
        <w:t> </w:t>
      </w:r>
      <w:r>
        <w:rPr>
          <w:sz w:val="22"/>
        </w:rPr>
        <w:t>inicia</w:t>
      </w:r>
      <w:r>
        <w:rPr>
          <w:spacing w:val="-12"/>
          <w:sz w:val="22"/>
        </w:rPr>
        <w:t> </w:t>
      </w:r>
      <w:r>
        <w:rPr>
          <w:sz w:val="22"/>
        </w:rPr>
        <w:t>con</w:t>
      </w:r>
      <w:r>
        <w:rPr>
          <w:spacing w:val="-13"/>
          <w:sz w:val="22"/>
        </w:rPr>
        <w:t> </w:t>
      </w:r>
      <w:r>
        <w:rPr>
          <w:sz w:val="22"/>
        </w:rPr>
        <w:t>una</w:t>
      </w:r>
      <w:r>
        <w:rPr>
          <w:spacing w:val="-12"/>
          <w:sz w:val="22"/>
        </w:rPr>
        <w:t> </w:t>
      </w:r>
      <w:r>
        <w:rPr>
          <w:sz w:val="22"/>
        </w:rPr>
        <w:t>necesidad de resolver problemas, continúa con la identificación de criterios de decisión que ayuden a solventar el problema, sigue con la asignación de</w:t>
      </w:r>
      <w:r>
        <w:rPr>
          <w:spacing w:val="-42"/>
          <w:sz w:val="22"/>
        </w:rPr>
        <w:t> </w:t>
      </w:r>
      <w:r>
        <w:rPr>
          <w:sz w:val="22"/>
        </w:rPr>
        <w:t>una ponderación a los criterios de decisión seleccionados, enseguida desarrolla todas las alternativas posibles y por último selecciona la mejor alternativa (FUNDESYRAM,</w:t>
      </w:r>
      <w:r>
        <w:rPr>
          <w:spacing w:val="-23"/>
          <w:sz w:val="22"/>
        </w:rPr>
        <w:t> </w:t>
      </w:r>
      <w:r>
        <w:rPr>
          <w:sz w:val="22"/>
        </w:rPr>
        <w:t>2011:21)</w:t>
      </w:r>
    </w:p>
    <w:p>
      <w:pPr>
        <w:pStyle w:val="BodyText"/>
        <w:rPr>
          <w:sz w:val="22"/>
        </w:rPr>
      </w:pPr>
    </w:p>
    <w:p>
      <w:pPr>
        <w:pStyle w:val="BodyText"/>
        <w:rPr>
          <w:sz w:val="22"/>
        </w:rPr>
      </w:pPr>
    </w:p>
    <w:p>
      <w:pPr>
        <w:pStyle w:val="BodyText"/>
        <w:spacing w:before="10"/>
        <w:rPr>
          <w:sz w:val="19"/>
        </w:rPr>
      </w:pPr>
    </w:p>
    <w:p>
      <w:pPr>
        <w:pStyle w:val="BodyText"/>
        <w:spacing w:line="360" w:lineRule="auto"/>
        <w:ind w:left="102" w:right="116"/>
        <w:jc w:val="both"/>
      </w:pPr>
      <w:r>
        <w:rPr/>
        <w:t>No hay proceso que sea universalmente aplicable. Cada decisor y situación tiene características únicas que provocan una actuación distinta y una manera irreprochable de hacer las cosas. Sin embargo, hay una serie de fases que se pueden seleccionar por ser consideradas mayoritariamente de importancia en la formulación de un adecuado proceso de toma de decisiones. Casi todos los especialistas en toma de decisiones coinciden en que este proceso se desarrolla bajo</w:t>
      </w:r>
      <w:r>
        <w:rPr>
          <w:spacing w:val="-6"/>
        </w:rPr>
        <w:t> </w:t>
      </w:r>
      <w:r>
        <w:rPr/>
        <w:t>seis</w:t>
      </w:r>
      <w:r>
        <w:rPr>
          <w:spacing w:val="-10"/>
        </w:rPr>
        <w:t> </w:t>
      </w:r>
      <w:r>
        <w:rPr/>
        <w:t>fases.</w:t>
      </w:r>
      <w:r>
        <w:rPr>
          <w:spacing w:val="-8"/>
        </w:rPr>
        <w:t> </w:t>
      </w:r>
      <w:r>
        <w:rPr/>
        <w:t>“Los</w:t>
      </w:r>
      <w:r>
        <w:rPr>
          <w:spacing w:val="-9"/>
        </w:rPr>
        <w:t> </w:t>
      </w:r>
      <w:r>
        <w:rPr/>
        <w:t>elementos</w:t>
      </w:r>
      <w:r>
        <w:rPr>
          <w:spacing w:val="-9"/>
        </w:rPr>
        <w:t> </w:t>
      </w:r>
      <w:r>
        <w:rPr/>
        <w:t>no</w:t>
      </w:r>
      <w:r>
        <w:rPr>
          <w:spacing w:val="-8"/>
        </w:rPr>
        <w:t> </w:t>
      </w:r>
      <w:r>
        <w:rPr/>
        <w:t>toman</w:t>
      </w:r>
      <w:r>
        <w:rPr>
          <w:spacing w:val="-8"/>
        </w:rPr>
        <w:t> </w:t>
      </w:r>
      <w:r>
        <w:rPr/>
        <w:t>por</w:t>
      </w:r>
      <w:r>
        <w:rPr>
          <w:spacing w:val="-10"/>
        </w:rPr>
        <w:t> </w:t>
      </w:r>
      <w:r>
        <w:rPr/>
        <w:t>sí</w:t>
      </w:r>
      <w:r>
        <w:rPr>
          <w:spacing w:val="-5"/>
        </w:rPr>
        <w:t> </w:t>
      </w:r>
      <w:r>
        <w:rPr/>
        <w:t>mismos</w:t>
      </w:r>
      <w:r>
        <w:rPr>
          <w:spacing w:val="-9"/>
        </w:rPr>
        <w:t> </w:t>
      </w:r>
      <w:r>
        <w:rPr/>
        <w:t>las</w:t>
      </w:r>
      <w:r>
        <w:rPr>
          <w:spacing w:val="-9"/>
        </w:rPr>
        <w:t> </w:t>
      </w:r>
      <w:r>
        <w:rPr/>
        <w:t>decisiones.</w:t>
      </w:r>
      <w:r>
        <w:rPr>
          <w:spacing w:val="-6"/>
        </w:rPr>
        <w:t> </w:t>
      </w:r>
      <w:r>
        <w:rPr/>
        <w:t>En</w:t>
      </w:r>
      <w:r>
        <w:rPr>
          <w:spacing w:val="-6"/>
        </w:rPr>
        <w:t> </w:t>
      </w:r>
      <w:r>
        <w:rPr/>
        <w:t>realidad toda decisión implica emitir un juicio sobre la adopción de un riesgo. Pero como estos elementos no constituyen los pilares fundamentales del proceso de decisión de un ejecutivo, éste no tomará una decisión correcta, y por supuesto tampoco eficaz” (Drucker,</w:t>
      </w:r>
      <w:r>
        <w:rPr>
          <w:spacing w:val="-7"/>
        </w:rPr>
        <w:t> </w:t>
      </w:r>
      <w:r>
        <w:rPr/>
        <w:t>2002:2).</w:t>
      </w:r>
    </w:p>
    <w:p>
      <w:pPr>
        <w:pStyle w:val="Heading2"/>
        <w:spacing w:before="202"/>
        <w:ind w:left="270"/>
        <w:jc w:val="left"/>
      </w:pPr>
      <w:r>
        <w:rPr/>
        <w:t>Cuadro 2. Proceso de la toma de decisiones de acuerdo a Peter F. Drucker</w:t>
      </w:r>
    </w:p>
    <w:p>
      <w:pPr>
        <w:pStyle w:val="BodyText"/>
        <w:rPr>
          <w:b/>
          <w:sz w:val="20"/>
        </w:rPr>
      </w:pPr>
    </w:p>
    <w:p>
      <w:pPr>
        <w:pStyle w:val="BodyText"/>
        <w:spacing w:before="6"/>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0"/>
        <w:gridCol w:w="1418"/>
        <w:gridCol w:w="1514"/>
        <w:gridCol w:w="1481"/>
        <w:gridCol w:w="1455"/>
        <w:gridCol w:w="1452"/>
      </w:tblGrid>
      <w:tr>
        <w:trPr>
          <w:trHeight w:val="1610" w:hRule="exact"/>
        </w:trPr>
        <w:tc>
          <w:tcPr>
            <w:tcW w:w="1500" w:type="dxa"/>
            <w:shd w:val="clear" w:color="auto" w:fill="000000"/>
          </w:tcPr>
          <w:p>
            <w:pPr>
              <w:pStyle w:val="TableParagraph"/>
              <w:spacing w:before="5"/>
              <w:ind w:left="136" w:right="150"/>
              <w:jc w:val="center"/>
              <w:rPr>
                <w:b/>
                <w:sz w:val="20"/>
              </w:rPr>
            </w:pPr>
            <w:r>
              <w:rPr>
                <w:b/>
                <w:color w:val="FFFFFF"/>
                <w:w w:val="95"/>
                <w:sz w:val="20"/>
              </w:rPr>
              <w:t>Clasificación </w:t>
            </w:r>
            <w:r>
              <w:rPr>
                <w:b/>
                <w:color w:val="FFFFFF"/>
                <w:sz w:val="20"/>
              </w:rPr>
              <w:t>del    problema.</w:t>
            </w:r>
          </w:p>
        </w:tc>
        <w:tc>
          <w:tcPr>
            <w:tcW w:w="1418" w:type="dxa"/>
            <w:shd w:val="clear" w:color="auto" w:fill="000000"/>
          </w:tcPr>
          <w:p>
            <w:pPr>
              <w:pStyle w:val="TableParagraph"/>
              <w:spacing w:before="5"/>
              <w:ind w:left="233" w:right="225"/>
              <w:jc w:val="center"/>
              <w:rPr>
                <w:b/>
                <w:sz w:val="20"/>
              </w:rPr>
            </w:pPr>
            <w:r>
              <w:rPr>
                <w:b/>
                <w:color w:val="FFFFFF"/>
                <w:w w:val="95"/>
                <w:sz w:val="20"/>
              </w:rPr>
              <w:t>Definición </w:t>
            </w:r>
            <w:r>
              <w:rPr>
                <w:b/>
                <w:color w:val="FFFFFF"/>
                <w:sz w:val="20"/>
              </w:rPr>
              <w:t>del problema</w:t>
            </w:r>
          </w:p>
        </w:tc>
        <w:tc>
          <w:tcPr>
            <w:tcW w:w="1514" w:type="dxa"/>
            <w:shd w:val="clear" w:color="auto" w:fill="000000"/>
          </w:tcPr>
          <w:p>
            <w:pPr>
              <w:pStyle w:val="TableParagraph"/>
              <w:spacing w:before="5"/>
              <w:ind w:left="166" w:right="148"/>
              <w:jc w:val="center"/>
              <w:rPr>
                <w:b/>
                <w:sz w:val="20"/>
              </w:rPr>
            </w:pPr>
            <w:r>
              <w:rPr>
                <w:b/>
                <w:color w:val="FFFFFF"/>
                <w:w w:val="95"/>
                <w:sz w:val="20"/>
              </w:rPr>
              <w:t>Condiciones </w:t>
            </w:r>
            <w:r>
              <w:rPr>
                <w:b/>
                <w:color w:val="FFFFFF"/>
                <w:sz w:val="20"/>
              </w:rPr>
              <w:t>que tiene que  satisfacer la respuesta al problema</w:t>
            </w:r>
          </w:p>
        </w:tc>
        <w:tc>
          <w:tcPr>
            <w:tcW w:w="1481" w:type="dxa"/>
            <w:shd w:val="clear" w:color="auto" w:fill="000000"/>
          </w:tcPr>
          <w:p>
            <w:pPr>
              <w:pStyle w:val="TableParagraph"/>
              <w:spacing w:before="5"/>
              <w:ind w:left="145" w:right="148" w:firstLine="1"/>
              <w:jc w:val="center"/>
              <w:rPr>
                <w:b/>
                <w:sz w:val="20"/>
              </w:rPr>
            </w:pPr>
            <w:r>
              <w:rPr>
                <w:b/>
                <w:color w:val="FFFFFF"/>
                <w:sz w:val="20"/>
              </w:rPr>
              <w:t>Decidir sobre lo</w:t>
            </w:r>
            <w:r>
              <w:rPr>
                <w:b/>
                <w:color w:val="FFFFFF"/>
                <w:spacing w:val="-7"/>
                <w:sz w:val="20"/>
              </w:rPr>
              <w:t> </w:t>
            </w:r>
            <w:r>
              <w:rPr>
                <w:b/>
                <w:color w:val="FFFFFF"/>
                <w:sz w:val="20"/>
              </w:rPr>
              <w:t>que es</w:t>
            </w:r>
            <w:r>
              <w:rPr>
                <w:b/>
                <w:color w:val="FFFFFF"/>
                <w:spacing w:val="-5"/>
                <w:sz w:val="20"/>
              </w:rPr>
              <w:t> </w:t>
            </w:r>
            <w:r>
              <w:rPr>
                <w:b/>
                <w:color w:val="FFFFFF"/>
                <w:sz w:val="20"/>
              </w:rPr>
              <w:t>correcto</w:t>
            </w:r>
          </w:p>
        </w:tc>
        <w:tc>
          <w:tcPr>
            <w:tcW w:w="1455" w:type="dxa"/>
            <w:shd w:val="clear" w:color="auto" w:fill="000000"/>
          </w:tcPr>
          <w:p>
            <w:pPr>
              <w:pStyle w:val="TableParagraph"/>
              <w:spacing w:before="5"/>
              <w:ind w:left="119" w:right="125" w:firstLine="1"/>
              <w:jc w:val="center"/>
              <w:rPr>
                <w:b/>
                <w:sz w:val="20"/>
              </w:rPr>
            </w:pPr>
            <w:r>
              <w:rPr>
                <w:b/>
                <w:color w:val="FFFFFF"/>
                <w:sz w:val="20"/>
              </w:rPr>
              <w:t>Acciones que hay que llevar a</w:t>
            </w:r>
            <w:r>
              <w:rPr>
                <w:b/>
                <w:color w:val="FFFFFF"/>
                <w:spacing w:val="-7"/>
                <w:sz w:val="20"/>
              </w:rPr>
              <w:t> </w:t>
            </w:r>
            <w:r>
              <w:rPr>
                <w:b/>
                <w:color w:val="FFFFFF"/>
                <w:sz w:val="20"/>
              </w:rPr>
              <w:t>cabo</w:t>
            </w:r>
          </w:p>
        </w:tc>
        <w:tc>
          <w:tcPr>
            <w:tcW w:w="1452" w:type="dxa"/>
            <w:shd w:val="clear" w:color="auto" w:fill="000000"/>
          </w:tcPr>
          <w:p>
            <w:pPr>
              <w:pStyle w:val="TableParagraph"/>
              <w:spacing w:before="5"/>
              <w:ind w:left="383" w:right="205" w:hanging="168"/>
              <w:rPr>
                <w:b/>
                <w:sz w:val="20"/>
              </w:rPr>
            </w:pPr>
            <w:r>
              <w:rPr>
                <w:b/>
                <w:color w:val="FFFFFF"/>
                <w:sz w:val="20"/>
              </w:rPr>
              <w:t>Establecer control</w:t>
            </w:r>
          </w:p>
        </w:tc>
      </w:tr>
      <w:tr>
        <w:trPr>
          <w:trHeight w:val="2081" w:hRule="exact"/>
        </w:trPr>
        <w:tc>
          <w:tcPr>
            <w:tcW w:w="1500" w:type="dxa"/>
            <w:tcBorders>
              <w:left w:val="single" w:sz="8" w:space="0" w:color="000000"/>
              <w:bottom w:val="single" w:sz="8" w:space="0" w:color="000000"/>
            </w:tcBorders>
          </w:tcPr>
          <w:p>
            <w:pPr>
              <w:pStyle w:val="TableParagraph"/>
              <w:ind w:left="177" w:right="197" w:hanging="1"/>
              <w:jc w:val="center"/>
              <w:rPr>
                <w:sz w:val="20"/>
              </w:rPr>
            </w:pPr>
            <w:r>
              <w:rPr>
                <w:sz w:val="20"/>
              </w:rPr>
              <w:t>¿Se trata de un problema</w:t>
            </w:r>
            <w:r>
              <w:rPr>
                <w:w w:val="99"/>
                <w:sz w:val="20"/>
              </w:rPr>
              <w:t> </w:t>
            </w:r>
            <w:r>
              <w:rPr>
                <w:sz w:val="20"/>
              </w:rPr>
              <w:t>genérico?</w:t>
            </w:r>
          </w:p>
          <w:p>
            <w:pPr>
              <w:pStyle w:val="TableParagraph"/>
              <w:ind w:left="117" w:right="137" w:hanging="2"/>
              <w:jc w:val="center"/>
              <w:rPr>
                <w:sz w:val="20"/>
              </w:rPr>
            </w:pPr>
            <w:r>
              <w:rPr>
                <w:sz w:val="20"/>
              </w:rPr>
              <w:t>¿Es  excepcional y único? ¿O constituye la primera </w:t>
            </w:r>
            <w:r>
              <w:rPr>
                <w:w w:val="95"/>
                <w:sz w:val="20"/>
              </w:rPr>
              <w:t>manifestación</w:t>
            </w:r>
          </w:p>
        </w:tc>
        <w:tc>
          <w:tcPr>
            <w:tcW w:w="1418" w:type="dxa"/>
            <w:tcBorders>
              <w:bottom w:val="single" w:sz="8" w:space="0" w:color="000000"/>
            </w:tcBorders>
          </w:tcPr>
          <w:p>
            <w:pPr>
              <w:pStyle w:val="TableParagraph"/>
              <w:spacing w:line="242" w:lineRule="auto"/>
              <w:ind w:left="139" w:right="130" w:firstLine="3"/>
              <w:jc w:val="center"/>
              <w:rPr>
                <w:sz w:val="20"/>
              </w:rPr>
            </w:pPr>
            <w:r>
              <w:rPr>
                <w:sz w:val="20"/>
              </w:rPr>
              <w:t>¿Con qué nos tenemos que  enfrentar?</w:t>
            </w:r>
          </w:p>
        </w:tc>
        <w:tc>
          <w:tcPr>
            <w:tcW w:w="1514" w:type="dxa"/>
            <w:tcBorders>
              <w:bottom w:val="single" w:sz="8" w:space="0" w:color="000000"/>
            </w:tcBorders>
          </w:tcPr>
          <w:p>
            <w:pPr>
              <w:pStyle w:val="TableParagraph"/>
              <w:ind w:left="132" w:right="114" w:hanging="1"/>
              <w:jc w:val="center"/>
              <w:rPr>
                <w:sz w:val="20"/>
              </w:rPr>
            </w:pPr>
            <w:r>
              <w:rPr>
                <w:sz w:val="20"/>
              </w:rPr>
              <w:t>¿Cuáles son las     condiciones de campo que delimita el problema?</w:t>
            </w:r>
          </w:p>
        </w:tc>
        <w:tc>
          <w:tcPr>
            <w:tcW w:w="1481" w:type="dxa"/>
            <w:tcBorders>
              <w:bottom w:val="single" w:sz="8" w:space="0" w:color="000000"/>
            </w:tcBorders>
          </w:tcPr>
          <w:p>
            <w:pPr>
              <w:pStyle w:val="TableParagraph"/>
              <w:ind w:left="116" w:right="117" w:firstLine="1"/>
              <w:jc w:val="center"/>
              <w:rPr>
                <w:sz w:val="20"/>
              </w:rPr>
            </w:pPr>
            <w:r>
              <w:rPr>
                <w:sz w:val="20"/>
              </w:rPr>
              <w:t>¿Qué es lo que satisfará totalmente a las     condiciones antes de que se consideren los     </w:t>
            </w:r>
            <w:r>
              <w:rPr>
                <w:w w:val="95"/>
                <w:sz w:val="20"/>
              </w:rPr>
              <w:t>compromisos,</w:t>
            </w:r>
          </w:p>
        </w:tc>
        <w:tc>
          <w:tcPr>
            <w:tcW w:w="1455" w:type="dxa"/>
            <w:tcBorders>
              <w:bottom w:val="single" w:sz="8" w:space="0" w:color="000000"/>
            </w:tcBorders>
          </w:tcPr>
          <w:p>
            <w:pPr>
              <w:pStyle w:val="TableParagraph"/>
              <w:ind w:left="119" w:right="125" w:firstLine="2"/>
              <w:jc w:val="center"/>
              <w:rPr>
                <w:sz w:val="20"/>
              </w:rPr>
            </w:pPr>
            <w:r>
              <w:rPr>
                <w:sz w:val="20"/>
              </w:rPr>
              <w:t>¿En qué consisten</w:t>
            </w:r>
            <w:r>
              <w:rPr>
                <w:spacing w:val="51"/>
                <w:sz w:val="20"/>
              </w:rPr>
              <w:t> </w:t>
            </w:r>
            <w:r>
              <w:rPr>
                <w:sz w:val="20"/>
              </w:rPr>
              <w:t>las</w:t>
            </w:r>
            <w:r>
              <w:rPr>
                <w:w w:val="99"/>
                <w:sz w:val="20"/>
              </w:rPr>
              <w:t> </w:t>
            </w:r>
            <w:r>
              <w:rPr>
                <w:sz w:val="20"/>
              </w:rPr>
              <w:t>acciones que hay que realizar?</w:t>
            </w:r>
          </w:p>
          <w:p>
            <w:pPr>
              <w:pStyle w:val="TableParagraph"/>
              <w:spacing w:line="242" w:lineRule="auto"/>
              <w:ind w:left="220" w:right="226"/>
              <w:jc w:val="center"/>
              <w:rPr>
                <w:sz w:val="20"/>
              </w:rPr>
            </w:pPr>
            <w:r>
              <w:rPr>
                <w:sz w:val="20"/>
              </w:rPr>
              <w:t>¿Quién las tiene que conocer?</w:t>
            </w:r>
          </w:p>
        </w:tc>
        <w:tc>
          <w:tcPr>
            <w:tcW w:w="1452" w:type="dxa"/>
            <w:tcBorders>
              <w:bottom w:val="single" w:sz="8" w:space="0" w:color="000000"/>
              <w:right w:val="single" w:sz="8" w:space="0" w:color="000000"/>
            </w:tcBorders>
          </w:tcPr>
          <w:p>
            <w:pPr>
              <w:pStyle w:val="TableParagraph"/>
              <w:ind w:left="134" w:right="131" w:hanging="3"/>
              <w:jc w:val="center"/>
              <w:rPr>
                <w:sz w:val="20"/>
              </w:rPr>
            </w:pPr>
            <w:r>
              <w:rPr>
                <w:sz w:val="20"/>
              </w:rPr>
              <w:t>¿Cómo se está</w:t>
            </w:r>
            <w:r>
              <w:rPr>
                <w:spacing w:val="-6"/>
                <w:sz w:val="20"/>
              </w:rPr>
              <w:t> </w:t>
            </w:r>
            <w:r>
              <w:rPr>
                <w:sz w:val="20"/>
              </w:rPr>
              <w:t>llevando a cabo la decisión?</w:t>
            </w:r>
          </w:p>
          <w:p>
            <w:pPr>
              <w:pStyle w:val="TableParagraph"/>
              <w:ind w:left="127" w:right="125" w:firstLine="3"/>
              <w:jc w:val="center"/>
              <w:rPr>
                <w:sz w:val="20"/>
              </w:rPr>
            </w:pPr>
            <w:r>
              <w:rPr>
                <w:sz w:val="20"/>
              </w:rPr>
              <w:t>¿Son adecuados u obsoletos los supuestos en</w:t>
            </w:r>
          </w:p>
        </w:tc>
      </w:tr>
    </w:tbl>
    <w:p>
      <w:pPr>
        <w:spacing w:after="0"/>
        <w:jc w:val="center"/>
        <w:rPr>
          <w:sz w:val="20"/>
        </w:rPr>
        <w:sectPr>
          <w:pgSz w:w="12240" w:h="15840"/>
          <w:pgMar w:header="0" w:footer="992" w:top="1360" w:bottom="1180" w:left="1600" w:right="1580"/>
        </w:sectPr>
      </w:pP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58"/>
        <w:gridCol w:w="3760"/>
        <w:gridCol w:w="2101"/>
      </w:tblGrid>
      <w:tr>
        <w:trPr>
          <w:trHeight w:val="1832" w:hRule="exact"/>
        </w:trPr>
        <w:tc>
          <w:tcPr>
            <w:tcW w:w="2958" w:type="dxa"/>
            <w:tcBorders>
              <w:right w:val="nil"/>
            </w:tcBorders>
          </w:tcPr>
          <w:p>
            <w:pPr>
              <w:pStyle w:val="TableParagraph"/>
              <w:ind w:left="98" w:right="1579" w:firstLine="3"/>
              <w:jc w:val="center"/>
              <w:rPr>
                <w:sz w:val="20"/>
              </w:rPr>
            </w:pPr>
            <w:r>
              <w:rPr>
                <w:sz w:val="20"/>
              </w:rPr>
              <w:t>de un nuevo tipo de problema más para los que todavía no existe una norma?</w:t>
            </w:r>
          </w:p>
        </w:tc>
        <w:tc>
          <w:tcPr>
            <w:tcW w:w="3760" w:type="dxa"/>
            <w:tcBorders>
              <w:left w:val="nil"/>
              <w:right w:val="nil"/>
            </w:tcBorders>
          </w:tcPr>
          <w:p>
            <w:pPr>
              <w:pStyle w:val="TableParagraph"/>
              <w:ind w:left="1581" w:right="913" w:hanging="1"/>
              <w:jc w:val="center"/>
              <w:rPr>
                <w:sz w:val="20"/>
              </w:rPr>
            </w:pPr>
            <w:r>
              <w:rPr>
                <w:sz w:val="20"/>
              </w:rPr>
              <w:t>adaptaciones y</w:t>
            </w:r>
            <w:r>
              <w:rPr>
                <w:spacing w:val="-6"/>
                <w:sz w:val="20"/>
              </w:rPr>
              <w:t> </w:t>
            </w:r>
            <w:r>
              <w:rPr>
                <w:sz w:val="20"/>
              </w:rPr>
              <w:t>concesiones necesarias</w:t>
            </w:r>
          </w:p>
        </w:tc>
        <w:tc>
          <w:tcPr>
            <w:tcW w:w="2101" w:type="dxa"/>
            <w:tcBorders>
              <w:left w:val="nil"/>
            </w:tcBorders>
          </w:tcPr>
          <w:p>
            <w:pPr>
              <w:pStyle w:val="TableParagraph"/>
              <w:spacing w:line="242" w:lineRule="auto"/>
              <w:ind w:left="1098" w:right="245" w:hanging="183"/>
              <w:rPr>
                <w:sz w:val="20"/>
              </w:rPr>
            </w:pPr>
            <w:r>
              <w:rPr>
                <w:sz w:val="20"/>
              </w:rPr>
              <w:t>los que se basa?</w:t>
            </w:r>
          </w:p>
        </w:tc>
      </w:tr>
    </w:tbl>
    <w:p>
      <w:pPr>
        <w:spacing w:line="223" w:lineRule="exact" w:before="0"/>
        <w:ind w:left="102" w:right="0" w:firstLine="0"/>
        <w:jc w:val="both"/>
        <w:rPr>
          <w:sz w:val="20"/>
        </w:rPr>
      </w:pPr>
      <w:r>
        <w:rPr>
          <w:b/>
          <w:sz w:val="20"/>
        </w:rPr>
        <w:t>Fuente</w:t>
      </w:r>
      <w:r>
        <w:rPr>
          <w:sz w:val="20"/>
        </w:rPr>
        <w:t>: Elaboración propia con base en Drucker (2002).</w:t>
      </w:r>
    </w:p>
    <w:p>
      <w:pPr>
        <w:pStyle w:val="BodyText"/>
        <w:rPr>
          <w:sz w:val="20"/>
        </w:rPr>
      </w:pPr>
    </w:p>
    <w:p>
      <w:pPr>
        <w:pStyle w:val="BodyText"/>
        <w:rPr>
          <w:sz w:val="20"/>
        </w:rPr>
      </w:pPr>
    </w:p>
    <w:p>
      <w:pPr>
        <w:pStyle w:val="BodyText"/>
        <w:rPr>
          <w:sz w:val="20"/>
        </w:rPr>
      </w:pPr>
    </w:p>
    <w:p>
      <w:pPr>
        <w:pStyle w:val="BodyText"/>
        <w:spacing w:line="360" w:lineRule="auto" w:before="170"/>
        <w:ind w:left="102" w:right="115"/>
        <w:jc w:val="both"/>
      </w:pPr>
      <w:r>
        <w:rPr/>
        <w:t>En el cuadro 2 Drucker señala que todos los acontecimientos, excepto el que es auténticamente único, implican una solución genérica. Necesitan una regla, una norma, o un principio. Una vez que se haya desarrollado el principio adecuado, todas las manifestaciones de la misma situación genérica se podrán tratar prácticamente: adaptando la norma a las circunstancias concretas de cada caso. Sin embargo, los sucesos verdaderamente singulares, hay que tratarlos individualmente. El ejecutivo no puede articular reglas para lo que es excepcional. Es por eso, que este autor, realiza un proceso de toma de decisiones basado en una serie de preguntas, que él mismo se realiza, para llevar a cabo los planteamientos para que el ejecutivo eficaz de pronta solución a las problemáticas acontecidas en la vida diaria del ejecutivo.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2"/>
        <w:spacing w:before="150"/>
      </w:pPr>
      <w:r>
        <w:rPr/>
        <w:t>Figura 1. El proceso decisional de acuerdo a Rodríguez y Márquez</w:t>
      </w:r>
    </w:p>
    <w:p>
      <w:pPr>
        <w:spacing w:after="0"/>
        <w:sectPr>
          <w:pgSz w:w="12240" w:h="15840"/>
          <w:pgMar w:header="0" w:footer="992" w:top="1420" w:bottom="1180" w:left="1600" w:right="1580"/>
        </w:sectPr>
      </w:pPr>
    </w:p>
    <w:p>
      <w:pPr>
        <w:pStyle w:val="BodyText"/>
        <w:ind w:left="113"/>
        <w:rPr>
          <w:sz w:val="20"/>
        </w:rPr>
      </w:pPr>
      <w:r>
        <w:rPr>
          <w:sz w:val="20"/>
        </w:rPr>
        <w:pict>
          <v:group style="width:432.75pt;height:258.75pt;mso-position-horizontal-relative:char;mso-position-vertical-relative:line" coordorigin="0,0" coordsize="8655,5175">
            <v:shape style="position:absolute;left:1875;top:218;width:4906;height:4824" type="#_x0000_t75" stroked="false">
              <v:imagedata r:id="rId17" o:title=""/>
            </v:shape>
            <v:shape style="position:absolute;left:1942;top:265;width:4772;height:4680" coordorigin="1942,265" coordsize="4772,4680" path="m4657,4925l4006,4925,4079,4945,4586,4945,4657,4925xm3009,405l3073,545,3007,585,2942,625,2878,665,2817,725,2757,765,2699,825,2642,885,2588,945,2536,1005,2485,1045,2437,1125,2390,1185,2346,1245,2303,1305,2263,1365,2225,1445,2189,1505,2156,1585,2124,1665,2096,1725,2069,1805,2045,1885,2023,1945,2005,2025,1989,2105,1975,2165,1964,2245,1955,2325,1948,2385,1944,2465,1942,2545,1942,2605,1945,2685,1949,2765,1956,2825,1965,2905,1976,2965,1989,3045,2004,3105,2021,3185,2040,3245,2061,3305,2084,3385,2109,3445,2136,3505,2165,3585,2196,3645,2229,3705,2263,3765,2299,3825,2337,3885,2377,3945,2418,4005,2461,4045,2506,4105,2552,4165,2600,4205,2650,4265,2701,4305,2754,4365,2808,4405,2864,4445,2921,4505,2979,4545,3039,4585,3101,4625,3164,4645,3228,4685,3293,4725,3360,4745,3428,4785,3497,4805,3933,4925,4728,4925,4868,4885,4936,4885,5072,4845,5139,4805,5270,4765,5335,4725,5398,4705,5429,4685,4143,4685,4072,4665,4002,4665,3932,4645,3863,4645,3592,4565,3526,4525,3461,4505,3396,4465,3333,4445,3271,4405,3209,4365,3149,4325,3090,4285,3032,4245,2976,4205,2921,4145,2867,4105,2815,4045,2765,4005,2716,3945,2669,3885,2623,3825,2579,3765,2538,3705,2498,3645,2461,3565,2427,3505,2395,3445,2366,3365,2339,3305,2315,3225,2293,3165,2274,3085,2258,3025,2243,2945,2232,2885,2222,2805,2215,2745,2211,2665,2209,2605,2209,2525,2212,2465,2217,2385,2224,2305,2234,2245,2246,2165,2261,2105,2277,2045,2296,1965,2317,1905,2341,1825,2366,1765,2394,1705,2424,1645,2457,1565,2491,1505,2528,1445,2567,1385,2607,1325,2650,1265,2696,1225,2743,1165,2792,1105,2843,1065,2897,1005,2952,965,3010,905,3069,865,3131,825,3194,785,3278,785,3312,565,3009,405xm4943,265l4874,525,5026,565,5101,605,5174,625,5245,665,5316,705,5385,725,5452,765,5518,825,5582,865,5644,905,5705,965,5764,1005,5820,1065,5875,1125,5928,1185,5979,1245,6027,1305,6073,1365,6117,1445,6157,1505,6194,1565,6228,1625,6260,1705,6289,1765,6316,1845,6340,1905,6362,1985,6381,2045,6397,2125,6412,2185,6423,2265,6433,2325,6440,2405,6444,2465,6446,2545,6446,2605,6443,2685,6438,2745,6431,2825,6421,2885,6409,2965,6394,3025,6378,3105,6359,3165,6338,3245,6314,3305,6289,3365,6261,3445,6231,3505,6198,3565,6164,3625,6127,3685,6089,3745,6048,3805,6005,3865,5960,3925,5912,3985,5863,4025,5812,4085,5758,4125,5703,4185,5645,4225,5586,4265,5524,4325,5461,4365,5330,4445,5263,4465,5196,4505,5128,4525,5060,4565,4781,4645,4710,4645,4639,4665,4569,4665,4497,4685,5429,4685,5460,4665,5522,4625,5582,4605,5642,4565,5700,4525,5757,4485,5813,4445,5868,4385,5921,4345,5973,4305,6023,4245,6073,4205,6120,4145,6167,4085,6211,4025,6254,3985,6296,3925,6336,3865,6374,3805,6410,3725,6445,3665,6477,3605,6508,3545,6537,3465,6564,3405,6588,3325,6611,3265,6632,3185,6650,3105,6666,3045,6680,2965,6691,2885,6700,2825,6707,2745,6711,2665,6713,2605,6713,2525,6710,2445,6706,2385,6699,2305,6690,2245,6679,2165,6666,2105,6651,2025,6634,1965,6615,1885,6594,1825,6571,1765,6546,1685,6519,1625,6490,1565,6459,1505,6426,1445,6392,1385,6356,1305,6318,1265,6278,1205,6237,1145,6194,1085,6149,1025,6103,985,6055,925,6005,865,5954,825,5901,785,5847,725,5791,685,5734,645,5676,605,5616,565,5554,525,5491,485,5427,445,5362,425,5295,385,5227,365,5158,325,4943,265xm3278,785l3194,785,3259,905,3278,785xe" filled="true" fillcolor="#cacaca" stroked="false">
              <v:path arrowok="t"/>
              <v:fill type="solid"/>
            </v:shape>
            <v:shape style="position:absolute;left:3325;top:0;width:2004;height:1070" type="#_x0000_t75" stroked="false">
              <v:imagedata r:id="rId18" o:title=""/>
            </v:shape>
            <v:shape style="position:absolute;left:5101;top:1025;width:2006;height:1073" type="#_x0000_t75" stroked="false">
              <v:imagedata r:id="rId19" o:title=""/>
            </v:shape>
            <v:shape style="position:absolute;left:5101;top:3077;width:2006;height:1073" type="#_x0000_t75" stroked="false">
              <v:imagedata r:id="rId20" o:title=""/>
            </v:shape>
            <v:shape style="position:absolute;left:3325;top:4104;width:2004;height:1070" type="#_x0000_t75" stroked="false">
              <v:imagedata r:id="rId18" o:title=""/>
            </v:shape>
            <v:shape style="position:absolute;left:1549;top:3077;width:2004;height:1073" type="#_x0000_t75" stroked="false">
              <v:imagedata r:id="rId21" o:title=""/>
            </v:shape>
            <v:shape style="position:absolute;left:1549;top:1025;width:2004;height:1073" type="#_x0000_t75" stroked="false">
              <v:imagedata r:id="rId21" o:title=""/>
            </v:shape>
            <v:rect style="position:absolute;left:8;top:36;width:8640;height:5040" filled="false" stroked="true" strokeweight=".75pt" strokecolor="#000000"/>
            <v:shape style="position:absolute;left:3807;top:222;width:1044;height:562" type="#_x0000_t202" filled="false" stroked="false">
              <v:textbox inset="0,0,0,0">
                <w:txbxContent>
                  <w:p>
                    <w:pPr>
                      <w:spacing w:line="216" w:lineRule="auto" w:before="0"/>
                      <w:ind w:left="0" w:right="0" w:hanging="4"/>
                      <w:jc w:val="center"/>
                      <w:rPr>
                        <w:rFonts w:ascii="Cambria" w:hAnsi="Cambria"/>
                        <w:sz w:val="18"/>
                      </w:rPr>
                    </w:pPr>
                    <w:r>
                      <w:rPr>
                        <w:rFonts w:ascii="Cambria" w:hAnsi="Cambria"/>
                        <w:sz w:val="18"/>
                      </w:rPr>
                      <w:t>Percepción y definición</w:t>
                    </w:r>
                    <w:r>
                      <w:rPr>
                        <w:rFonts w:ascii="Cambria" w:hAnsi="Cambria"/>
                        <w:spacing w:val="-6"/>
                        <w:sz w:val="18"/>
                      </w:rPr>
                      <w:t> </w:t>
                    </w:r>
                    <w:r>
                      <w:rPr>
                        <w:rFonts w:ascii="Cambria" w:hAnsi="Cambria"/>
                        <w:sz w:val="18"/>
                      </w:rPr>
                      <w:t>del problema</w:t>
                    </w:r>
                  </w:p>
                </w:txbxContent>
              </v:textbox>
              <w10:wrap type="none"/>
            </v:shape>
            <v:shape style="position:absolute;left:2291;top:1438;width:518;height:180" type="#_x0000_t202" filled="false" stroked="false">
              <v:textbox inset="0,0,0,0">
                <w:txbxContent>
                  <w:p>
                    <w:pPr>
                      <w:spacing w:line="180" w:lineRule="exact" w:before="0"/>
                      <w:ind w:left="0" w:right="-19" w:firstLine="0"/>
                      <w:jc w:val="left"/>
                      <w:rPr>
                        <w:rFonts w:ascii="Cambria" w:hAnsi="Cambria"/>
                        <w:sz w:val="18"/>
                      </w:rPr>
                    </w:pPr>
                    <w:r>
                      <w:rPr>
                        <w:rFonts w:ascii="Cambria" w:hAnsi="Cambria"/>
                        <w:sz w:val="18"/>
                      </w:rPr>
                      <w:t>Acción</w:t>
                    </w:r>
                  </w:p>
                </w:txbxContent>
              </v:textbox>
              <w10:wrap type="none"/>
            </v:shape>
            <v:shape style="position:absolute;left:5313;top:1249;width:1584;height:562" type="#_x0000_t202" filled="false" stroked="false">
              <v:textbox inset="0,0,0,0">
                <w:txbxContent>
                  <w:p>
                    <w:pPr>
                      <w:spacing w:line="216" w:lineRule="auto" w:before="0"/>
                      <w:ind w:left="0" w:right="0" w:firstLine="1"/>
                      <w:jc w:val="center"/>
                      <w:rPr>
                        <w:rFonts w:ascii="Cambria" w:hAnsi="Cambria"/>
                        <w:sz w:val="18"/>
                      </w:rPr>
                    </w:pPr>
                    <w:r>
                      <w:rPr>
                        <w:rFonts w:ascii="Cambria" w:hAnsi="Cambria"/>
                        <w:sz w:val="18"/>
                      </w:rPr>
                      <w:t>Fijación de objetivos(resultados deseados)</w:t>
                    </w:r>
                  </w:p>
                </w:txbxContent>
              </v:textbox>
              <w10:wrap type="none"/>
            </v:shape>
            <v:shape style="position:absolute;left:1823;top:3396;width:1453;height:372" type="#_x0000_t202" filled="false" stroked="false">
              <v:textbox inset="0,0,0,0">
                <w:txbxContent>
                  <w:p>
                    <w:pPr>
                      <w:spacing w:line="218" w:lineRule="auto" w:before="0"/>
                      <w:ind w:left="446" w:right="-19" w:hanging="447"/>
                      <w:jc w:val="left"/>
                      <w:rPr>
                        <w:rFonts w:ascii="Cambria" w:hAnsi="Cambria"/>
                        <w:sz w:val="18"/>
                      </w:rPr>
                    </w:pPr>
                    <w:r>
                      <w:rPr>
                        <w:rFonts w:ascii="Cambria" w:hAnsi="Cambria"/>
                        <w:sz w:val="18"/>
                      </w:rPr>
                      <w:t>Estrategía (plan de acción)</w:t>
                    </w:r>
                  </w:p>
                </w:txbxContent>
              </v:textbox>
              <w10:wrap type="none"/>
            </v:shape>
            <v:shape style="position:absolute;left:5572;top:3301;width:1065;height:562" type="#_x0000_t202" filled="false" stroked="false">
              <v:textbox inset="0,0,0,0">
                <w:txbxContent>
                  <w:p>
                    <w:pPr>
                      <w:spacing w:line="216" w:lineRule="auto" w:before="0"/>
                      <w:ind w:left="0" w:right="0" w:firstLine="0"/>
                      <w:jc w:val="center"/>
                      <w:rPr>
                        <w:rFonts w:ascii="Cambria"/>
                        <w:sz w:val="18"/>
                      </w:rPr>
                    </w:pPr>
                    <w:r>
                      <w:rPr>
                        <w:rFonts w:ascii="Cambria"/>
                        <w:sz w:val="18"/>
                      </w:rPr>
                      <w:t>Estudio de</w:t>
                    </w:r>
                    <w:r>
                      <w:rPr>
                        <w:rFonts w:ascii="Cambria"/>
                        <w:spacing w:val="-7"/>
                        <w:sz w:val="18"/>
                      </w:rPr>
                      <w:t> </w:t>
                    </w:r>
                    <w:r>
                      <w:rPr>
                        <w:rFonts w:ascii="Cambria"/>
                        <w:sz w:val="18"/>
                      </w:rPr>
                      <w:t>las diferentes alternativas</w:t>
                    </w:r>
                  </w:p>
                </w:txbxContent>
              </v:textbox>
              <w10:wrap type="none"/>
            </v:shape>
            <v:shape style="position:absolute;left:3728;top:4421;width:1198;height:372" type="#_x0000_t202" filled="false" stroked="false">
              <v:textbox inset="0,0,0,0">
                <w:txbxContent>
                  <w:p>
                    <w:pPr>
                      <w:spacing w:line="218" w:lineRule="auto" w:before="0"/>
                      <w:ind w:left="180" w:right="-16" w:hanging="180"/>
                      <w:jc w:val="left"/>
                      <w:rPr>
                        <w:rFonts w:ascii="Cambria" w:hAnsi="Cambria"/>
                        <w:sz w:val="18"/>
                      </w:rPr>
                    </w:pPr>
                    <w:r>
                      <w:rPr>
                        <w:rFonts w:ascii="Cambria" w:hAnsi="Cambria"/>
                        <w:sz w:val="18"/>
                      </w:rPr>
                      <w:t>Elección de</w:t>
                    </w:r>
                    <w:r>
                      <w:rPr>
                        <w:rFonts w:ascii="Cambria" w:hAnsi="Cambria"/>
                        <w:spacing w:val="-6"/>
                        <w:sz w:val="18"/>
                      </w:rPr>
                      <w:t> </w:t>
                    </w:r>
                    <w:r>
                      <w:rPr>
                        <w:rFonts w:ascii="Cambria" w:hAnsi="Cambria"/>
                        <w:sz w:val="18"/>
                      </w:rPr>
                      <w:t>una alternativa</w:t>
                    </w:r>
                  </w:p>
                </w:txbxContent>
              </v:textbox>
              <w10:wrap type="none"/>
            </v:shape>
          </v:group>
        </w:pict>
      </w:r>
      <w:r>
        <w:rPr>
          <w:sz w:val="20"/>
        </w:rPr>
      </w:r>
    </w:p>
    <w:p>
      <w:pPr>
        <w:spacing w:before="84"/>
        <w:ind w:left="122" w:right="0" w:firstLine="0"/>
        <w:jc w:val="both"/>
        <w:rPr>
          <w:sz w:val="20"/>
        </w:rPr>
      </w:pPr>
      <w:r>
        <w:rPr>
          <w:b/>
          <w:sz w:val="20"/>
        </w:rPr>
        <w:t>Fuente</w:t>
      </w:r>
      <w:r>
        <w:rPr>
          <w:sz w:val="20"/>
        </w:rPr>
        <w:t>: Elaboración propia con base en Rodríguez y Márquez (1988).</w:t>
      </w:r>
    </w:p>
    <w:p>
      <w:pPr>
        <w:pStyle w:val="BodyText"/>
        <w:rPr>
          <w:sz w:val="20"/>
        </w:rPr>
      </w:pPr>
    </w:p>
    <w:p>
      <w:pPr>
        <w:pStyle w:val="BodyText"/>
        <w:rPr>
          <w:sz w:val="20"/>
        </w:rPr>
      </w:pPr>
    </w:p>
    <w:p>
      <w:pPr>
        <w:pStyle w:val="BodyText"/>
        <w:spacing w:before="9"/>
        <w:rPr>
          <w:sz w:val="20"/>
        </w:rPr>
      </w:pPr>
    </w:p>
    <w:p>
      <w:pPr>
        <w:pStyle w:val="BodyText"/>
        <w:spacing w:line="360" w:lineRule="auto"/>
        <w:ind w:left="122" w:right="115"/>
        <w:jc w:val="both"/>
      </w:pPr>
      <w:r>
        <w:rPr/>
        <w:t>En</w:t>
      </w:r>
      <w:r>
        <w:rPr>
          <w:spacing w:val="-4"/>
        </w:rPr>
        <w:t> </w:t>
      </w:r>
      <w:r>
        <w:rPr/>
        <w:t>la</w:t>
      </w:r>
      <w:r>
        <w:rPr>
          <w:spacing w:val="-6"/>
        </w:rPr>
        <w:t> </w:t>
      </w:r>
      <w:r>
        <w:rPr/>
        <w:t>figura</w:t>
      </w:r>
      <w:r>
        <w:rPr>
          <w:spacing w:val="-7"/>
        </w:rPr>
        <w:t> </w:t>
      </w:r>
      <w:r>
        <w:rPr/>
        <w:t>1</w:t>
      </w:r>
      <w:r>
        <w:rPr>
          <w:spacing w:val="-3"/>
        </w:rPr>
        <w:t> </w:t>
      </w:r>
      <w:r>
        <w:rPr/>
        <w:t>se</w:t>
      </w:r>
      <w:r>
        <w:rPr>
          <w:spacing w:val="-6"/>
        </w:rPr>
        <w:t> </w:t>
      </w:r>
      <w:r>
        <w:rPr/>
        <w:t>representa</w:t>
      </w:r>
      <w:r>
        <w:rPr>
          <w:spacing w:val="-5"/>
        </w:rPr>
        <w:t> </w:t>
      </w:r>
      <w:r>
        <w:rPr/>
        <w:t>el</w:t>
      </w:r>
      <w:r>
        <w:rPr>
          <w:spacing w:val="-5"/>
        </w:rPr>
        <w:t> </w:t>
      </w:r>
      <w:r>
        <w:rPr/>
        <w:t>proceso</w:t>
      </w:r>
      <w:r>
        <w:rPr>
          <w:spacing w:val="-4"/>
        </w:rPr>
        <w:t> </w:t>
      </w:r>
      <w:r>
        <w:rPr/>
        <w:t>que</w:t>
      </w:r>
      <w:r>
        <w:rPr>
          <w:spacing w:val="-4"/>
        </w:rPr>
        <w:t> </w:t>
      </w:r>
      <w:r>
        <w:rPr/>
        <w:t>debe seguirse</w:t>
      </w:r>
      <w:r>
        <w:rPr>
          <w:spacing w:val="-4"/>
        </w:rPr>
        <w:t> </w:t>
      </w:r>
      <w:r>
        <w:rPr/>
        <w:t>para</w:t>
      </w:r>
      <w:r>
        <w:rPr>
          <w:spacing w:val="-7"/>
        </w:rPr>
        <w:t> </w:t>
      </w:r>
      <w:r>
        <w:rPr/>
        <w:t>tomar</w:t>
      </w:r>
      <w:r>
        <w:rPr>
          <w:spacing w:val="-4"/>
        </w:rPr>
        <w:t> </w:t>
      </w:r>
      <w:r>
        <w:rPr/>
        <w:t>una</w:t>
      </w:r>
      <w:r>
        <w:rPr>
          <w:spacing w:val="-6"/>
        </w:rPr>
        <w:t> </w:t>
      </w:r>
      <w:r>
        <w:rPr/>
        <w:t>decisión. Como primer punto presenta la percepción y definición del problema. En este sentido el que decide será capaz de distinguir entre las causas y los efectos, así mismo</w:t>
      </w:r>
      <w:r>
        <w:rPr>
          <w:spacing w:val="-7"/>
        </w:rPr>
        <w:t> </w:t>
      </w:r>
      <w:r>
        <w:rPr/>
        <w:t>como</w:t>
      </w:r>
      <w:r>
        <w:rPr>
          <w:spacing w:val="-9"/>
        </w:rPr>
        <w:t> </w:t>
      </w:r>
      <w:r>
        <w:rPr/>
        <w:t>de</w:t>
      </w:r>
      <w:r>
        <w:rPr>
          <w:spacing w:val="-7"/>
        </w:rPr>
        <w:t> </w:t>
      </w:r>
      <w:r>
        <w:rPr/>
        <w:t>los</w:t>
      </w:r>
      <w:r>
        <w:rPr>
          <w:spacing w:val="-10"/>
        </w:rPr>
        <w:t> </w:t>
      </w:r>
      <w:r>
        <w:rPr/>
        <w:t>síntomas</w:t>
      </w:r>
      <w:r>
        <w:rPr>
          <w:spacing w:val="-8"/>
        </w:rPr>
        <w:t> </w:t>
      </w:r>
      <w:r>
        <w:rPr/>
        <w:t>que</w:t>
      </w:r>
      <w:r>
        <w:rPr>
          <w:spacing w:val="-7"/>
        </w:rPr>
        <w:t> </w:t>
      </w:r>
      <w:r>
        <w:rPr/>
        <w:t>presenta</w:t>
      </w:r>
      <w:r>
        <w:rPr>
          <w:spacing w:val="-7"/>
        </w:rPr>
        <w:t> </w:t>
      </w:r>
      <w:r>
        <w:rPr/>
        <w:t>alguna</w:t>
      </w:r>
      <w:r>
        <w:rPr>
          <w:spacing w:val="-7"/>
        </w:rPr>
        <w:t> </w:t>
      </w:r>
      <w:r>
        <w:rPr/>
        <w:t>problemática</w:t>
      </w:r>
      <w:r>
        <w:rPr>
          <w:spacing w:val="-7"/>
        </w:rPr>
        <w:t> </w:t>
      </w:r>
      <w:r>
        <w:rPr/>
        <w:t>suscitada.</w:t>
      </w:r>
      <w:r>
        <w:rPr>
          <w:spacing w:val="-10"/>
        </w:rPr>
        <w:t> </w:t>
      </w:r>
      <w:r>
        <w:rPr/>
        <w:t>Analizar el problema requiere una máxima objetividad. En suma en esta etapa el decisor debe tener disponible toda la información que lo auxilie para identificar el tipo de problema al que  se</w:t>
      </w:r>
      <w:r>
        <w:rPr>
          <w:spacing w:val="-11"/>
        </w:rPr>
        <w:t> </w:t>
      </w:r>
      <w:r>
        <w:rPr/>
        <w:t>enfrenta.</w:t>
      </w:r>
    </w:p>
    <w:p>
      <w:pPr>
        <w:pStyle w:val="BodyText"/>
        <w:spacing w:line="360" w:lineRule="auto" w:before="204"/>
        <w:ind w:left="122" w:right="115"/>
        <w:jc w:val="both"/>
      </w:pPr>
      <w:r>
        <w:rPr/>
        <w:t>Después</w:t>
      </w:r>
      <w:r>
        <w:rPr>
          <w:spacing w:val="-15"/>
        </w:rPr>
        <w:t> </w:t>
      </w:r>
      <w:r>
        <w:rPr/>
        <w:t>de</w:t>
      </w:r>
      <w:r>
        <w:rPr>
          <w:spacing w:val="-12"/>
        </w:rPr>
        <w:t> </w:t>
      </w:r>
      <w:r>
        <w:rPr/>
        <w:t>analizar</w:t>
      </w:r>
      <w:r>
        <w:rPr>
          <w:spacing w:val="-13"/>
        </w:rPr>
        <w:t> </w:t>
      </w:r>
      <w:r>
        <w:rPr/>
        <w:t>exhaustivamente</w:t>
      </w:r>
      <w:r>
        <w:rPr>
          <w:spacing w:val="-12"/>
        </w:rPr>
        <w:t> </w:t>
      </w:r>
      <w:r>
        <w:rPr/>
        <w:t>el</w:t>
      </w:r>
      <w:r>
        <w:rPr>
          <w:spacing w:val="-13"/>
        </w:rPr>
        <w:t> </w:t>
      </w:r>
      <w:r>
        <w:rPr/>
        <w:t>problema,</w:t>
      </w:r>
      <w:r>
        <w:rPr>
          <w:spacing w:val="-12"/>
        </w:rPr>
        <w:t> </w:t>
      </w:r>
      <w:r>
        <w:rPr/>
        <w:t>se</w:t>
      </w:r>
      <w:r>
        <w:rPr>
          <w:spacing w:val="-10"/>
        </w:rPr>
        <w:t> </w:t>
      </w:r>
      <w:r>
        <w:rPr/>
        <w:t>determina</w:t>
      </w:r>
      <w:r>
        <w:rPr>
          <w:spacing w:val="-11"/>
        </w:rPr>
        <w:t> </w:t>
      </w:r>
      <w:r>
        <w:rPr/>
        <w:t>el</w:t>
      </w:r>
      <w:r>
        <w:rPr>
          <w:spacing w:val="-15"/>
        </w:rPr>
        <w:t> </w:t>
      </w:r>
      <w:r>
        <w:rPr/>
        <w:t>resultado</w:t>
      </w:r>
      <w:r>
        <w:rPr>
          <w:spacing w:val="-12"/>
        </w:rPr>
        <w:t> </w:t>
      </w:r>
      <w:r>
        <w:rPr/>
        <w:t>al</w:t>
      </w:r>
      <w:r>
        <w:rPr>
          <w:spacing w:val="-13"/>
        </w:rPr>
        <w:t> </w:t>
      </w:r>
      <w:r>
        <w:rPr/>
        <w:t>que se desea llegar, se establecen los objetivos. A continuación se idea el mayor número de soluciones para escoger la más viable. Posteriormente, se elige la alternativa que elimine el problema, seleccionando áquella que satisfaga las condiciones presentadas y se acerque al objetivo</w:t>
      </w:r>
      <w:r>
        <w:rPr>
          <w:spacing w:val="-24"/>
        </w:rPr>
        <w:t> </w:t>
      </w:r>
      <w:r>
        <w:rPr/>
        <w:t>planteado.</w:t>
      </w:r>
    </w:p>
    <w:p>
      <w:pPr>
        <w:pStyle w:val="BodyText"/>
        <w:spacing w:line="360" w:lineRule="auto" w:before="204"/>
        <w:ind w:left="122" w:right="124"/>
        <w:jc w:val="both"/>
      </w:pPr>
      <w:r>
        <w:rPr/>
        <w:t>Por</w:t>
      </w:r>
      <w:r>
        <w:rPr>
          <w:spacing w:val="-5"/>
        </w:rPr>
        <w:t> </w:t>
      </w:r>
      <w:r>
        <w:rPr/>
        <w:t>último,</w:t>
      </w:r>
      <w:r>
        <w:rPr>
          <w:spacing w:val="-4"/>
        </w:rPr>
        <w:t> </w:t>
      </w:r>
      <w:r>
        <w:rPr/>
        <w:t>se</w:t>
      </w:r>
      <w:r>
        <w:rPr>
          <w:spacing w:val="-4"/>
        </w:rPr>
        <w:t> </w:t>
      </w:r>
      <w:r>
        <w:rPr/>
        <w:t>elabora</w:t>
      </w:r>
      <w:r>
        <w:rPr>
          <w:spacing w:val="-7"/>
        </w:rPr>
        <w:t> </w:t>
      </w:r>
      <w:r>
        <w:rPr/>
        <w:t>el</w:t>
      </w:r>
      <w:r>
        <w:rPr>
          <w:spacing w:val="-5"/>
        </w:rPr>
        <w:t> </w:t>
      </w:r>
      <w:r>
        <w:rPr/>
        <w:t>plan</w:t>
      </w:r>
      <w:r>
        <w:rPr>
          <w:spacing w:val="-6"/>
        </w:rPr>
        <w:t> </w:t>
      </w:r>
      <w:r>
        <w:rPr/>
        <w:t>de</w:t>
      </w:r>
      <w:r>
        <w:rPr>
          <w:spacing w:val="-6"/>
        </w:rPr>
        <w:t> </w:t>
      </w:r>
      <w:r>
        <w:rPr/>
        <w:t>acción</w:t>
      </w:r>
      <w:r>
        <w:rPr>
          <w:spacing w:val="-6"/>
        </w:rPr>
        <w:t> </w:t>
      </w:r>
      <w:r>
        <w:rPr/>
        <w:t>de</w:t>
      </w:r>
      <w:r>
        <w:rPr>
          <w:spacing w:val="-4"/>
        </w:rPr>
        <w:t> </w:t>
      </w:r>
      <w:r>
        <w:rPr/>
        <w:t>la</w:t>
      </w:r>
      <w:r>
        <w:rPr>
          <w:spacing w:val="-6"/>
        </w:rPr>
        <w:t> </w:t>
      </w:r>
      <w:r>
        <w:rPr/>
        <w:t>alternativa</w:t>
      </w:r>
      <w:r>
        <w:rPr>
          <w:spacing w:val="-4"/>
        </w:rPr>
        <w:t> </w:t>
      </w:r>
      <w:r>
        <w:rPr/>
        <w:t>seleccionada</w:t>
      </w:r>
      <w:r>
        <w:rPr>
          <w:spacing w:val="-4"/>
        </w:rPr>
        <w:t> </w:t>
      </w:r>
      <w:r>
        <w:rPr/>
        <w:t>y</w:t>
      </w:r>
      <w:r>
        <w:rPr>
          <w:spacing w:val="-7"/>
        </w:rPr>
        <w:t> </w:t>
      </w:r>
      <w:r>
        <w:rPr/>
        <w:t>se</w:t>
      </w:r>
      <w:r>
        <w:rPr>
          <w:spacing w:val="-4"/>
        </w:rPr>
        <w:t> </w:t>
      </w:r>
      <w:r>
        <w:rPr/>
        <w:t>pone</w:t>
      </w:r>
      <w:r>
        <w:rPr>
          <w:spacing w:val="-4"/>
        </w:rPr>
        <w:t> </w:t>
      </w:r>
      <w:r>
        <w:rPr/>
        <w:t>en práctica dicho</w:t>
      </w:r>
      <w:r>
        <w:rPr>
          <w:spacing w:val="-4"/>
        </w:rPr>
        <w:t> </w:t>
      </w:r>
      <w:r>
        <w:rPr/>
        <w:t>plan.</w:t>
      </w:r>
    </w:p>
    <w:p>
      <w:pPr>
        <w:spacing w:before="201"/>
        <w:ind w:left="1873" w:right="0" w:firstLine="0"/>
        <w:jc w:val="left"/>
        <w:rPr>
          <w:b/>
          <w:sz w:val="22"/>
        </w:rPr>
      </w:pPr>
      <w:r>
        <w:rPr>
          <w:b/>
          <w:sz w:val="22"/>
        </w:rPr>
        <w:t>Figura 2. Proceso Racional de Toma de Decisiones</w:t>
      </w:r>
    </w:p>
    <w:p>
      <w:pPr>
        <w:spacing w:after="0"/>
        <w:jc w:val="left"/>
        <w:rPr>
          <w:sz w:val="22"/>
        </w:rPr>
        <w:sectPr>
          <w:pgSz w:w="12240" w:h="15840"/>
          <w:pgMar w:header="0" w:footer="992" w:top="1480" w:bottom="1180" w:left="1580" w:right="1580"/>
        </w:sectPr>
      </w:pPr>
    </w:p>
    <w:p>
      <w:pPr>
        <w:pStyle w:val="BodyText"/>
        <w:ind w:left="142"/>
        <w:rPr>
          <w:sz w:val="20"/>
        </w:rPr>
      </w:pPr>
      <w:r>
        <w:rPr>
          <w:sz w:val="20"/>
        </w:rPr>
        <w:pict>
          <v:group style="width:434.2pt;height:168.35pt;mso-position-horizontal-relative:char;mso-position-vertical-relative:line" coordorigin="0,0" coordsize="8684,3367">
            <v:shape style="position:absolute;left:0;top:1953;width:1464;height:943" type="#_x0000_t75" stroked="false">
              <v:imagedata r:id="rId22" o:title=""/>
            </v:shape>
            <v:shape style="position:absolute;left:1073;top:1581;width:394;height:396" type="#_x0000_t75" stroked="false">
              <v:imagedata r:id="rId23" o:title=""/>
            </v:shape>
            <v:shape style="position:absolute;left:1445;top:1595;width:1464;height:943" type="#_x0000_t75" stroked="false">
              <v:imagedata r:id="rId22" o:title=""/>
            </v:shape>
            <v:shape style="position:absolute;left:2515;top:1223;width:396;height:396" type="#_x0000_t75" stroked="false">
              <v:imagedata r:id="rId23" o:title=""/>
            </v:shape>
            <v:shape style="position:absolute;left:2887;top:1237;width:1464;height:943" type="#_x0000_t75" stroked="false">
              <v:imagedata r:id="rId22" o:title=""/>
            </v:shape>
            <v:shape style="position:absolute;left:3960;top:865;width:396;height:396" type="#_x0000_t75" stroked="false">
              <v:imagedata r:id="rId24" o:title=""/>
            </v:shape>
            <v:shape style="position:absolute;left:4332;top:880;width:1464;height:943" type="#_x0000_t75" stroked="false">
              <v:imagedata r:id="rId22" o:title=""/>
            </v:shape>
            <v:shape style="position:absolute;left:5405;top:510;width:394;height:394" type="#_x0000_t75" stroked="false">
              <v:imagedata r:id="rId24" o:title=""/>
            </v:shape>
            <v:shape style="position:absolute;left:5777;top:522;width:1464;height:943" type="#_x0000_t75" stroked="false">
              <v:imagedata r:id="rId22" o:title=""/>
            </v:shape>
            <v:shape style="position:absolute;left:6847;top:153;width:396;height:394" type="#_x0000_t75" stroked="false">
              <v:imagedata r:id="rId24" o:title=""/>
            </v:shape>
            <v:shape style="position:absolute;left:7219;top:165;width:1464;height:943" type="#_x0000_t75" stroked="false">
              <v:imagedata r:id="rId22" o:title=""/>
            </v:shape>
            <v:rect style="position:absolute;left:79;top:60;width:8530;height:3247" filled="false" stroked="true" strokeweight="6.0pt" strokecolor="#000000"/>
            <v:shape style="position:absolute;left:6067;top:760;width:1014;height:411" type="#_x0000_t202" filled="false" stroked="false">
              <v:textbox inset="0,0,0,0">
                <w:txbxContent>
                  <w:p>
                    <w:pPr>
                      <w:spacing w:line="216" w:lineRule="auto" w:before="0"/>
                      <w:ind w:left="0" w:right="-11" w:firstLine="36"/>
                      <w:jc w:val="left"/>
                      <w:rPr>
                        <w:rFonts w:ascii="Cambria"/>
                        <w:sz w:val="20"/>
                      </w:rPr>
                    </w:pPr>
                    <w:r>
                      <w:rPr>
                        <w:rFonts w:ascii="Cambria"/>
                        <w:sz w:val="20"/>
                      </w:rPr>
                      <w:t>Evaluar las </w:t>
                    </w:r>
                    <w:r>
                      <w:rPr>
                        <w:rFonts w:ascii="Cambria"/>
                        <w:spacing w:val="-1"/>
                        <w:sz w:val="20"/>
                      </w:rPr>
                      <w:t>alternativas</w:t>
                    </w:r>
                  </w:p>
                </w:txbxContent>
              </v:textbox>
              <w10:wrap type="none"/>
            </v:shape>
            <v:shape style="position:absolute;left:7533;top:403;width:975;height:622" type="#_x0000_t202" filled="false" stroked="false">
              <v:textbox inset="0,0,0,0">
                <w:txbxContent>
                  <w:p>
                    <w:pPr>
                      <w:spacing w:line="216" w:lineRule="auto" w:before="0"/>
                      <w:ind w:left="0" w:right="0" w:firstLine="0"/>
                      <w:jc w:val="center"/>
                      <w:rPr>
                        <w:rFonts w:ascii="Cambria"/>
                        <w:sz w:val="20"/>
                      </w:rPr>
                    </w:pPr>
                    <w:r>
                      <w:rPr>
                        <w:rFonts w:ascii="Cambria"/>
                        <w:spacing w:val="-1"/>
                        <w:sz w:val="20"/>
                      </w:rPr>
                      <w:t>Seleccionar </w:t>
                    </w:r>
                    <w:r>
                      <w:rPr>
                        <w:rFonts w:ascii="Cambria"/>
                        <w:sz w:val="20"/>
                      </w:rPr>
                      <w:t>la mejor alternativa</w:t>
                    </w:r>
                  </w:p>
                </w:txbxContent>
              </v:textbox>
              <w10:wrap type="none"/>
            </v:shape>
            <v:shape style="position:absolute;left:3270;top:1475;width:832;height:622" type="#_x0000_t202" filled="false" stroked="false">
              <v:textbox inset="0,0,0,0">
                <w:txbxContent>
                  <w:p>
                    <w:pPr>
                      <w:spacing w:line="216" w:lineRule="auto" w:before="0"/>
                      <w:ind w:left="0" w:right="0" w:firstLine="40"/>
                      <w:jc w:val="both"/>
                      <w:rPr>
                        <w:rFonts w:ascii="Cambria"/>
                        <w:sz w:val="20"/>
                      </w:rPr>
                    </w:pPr>
                    <w:r>
                      <w:rPr>
                        <w:rFonts w:ascii="Cambria"/>
                        <w:sz w:val="20"/>
                      </w:rPr>
                      <w:t>Asiganar peso a</w:t>
                    </w:r>
                    <w:r>
                      <w:rPr>
                        <w:rFonts w:ascii="Cambria"/>
                        <w:spacing w:val="-5"/>
                        <w:sz w:val="20"/>
                      </w:rPr>
                      <w:t> </w:t>
                    </w:r>
                    <w:r>
                      <w:rPr>
                        <w:rFonts w:ascii="Cambria"/>
                        <w:sz w:val="20"/>
                      </w:rPr>
                      <w:t>los criterios</w:t>
                    </w:r>
                  </w:p>
                </w:txbxContent>
              </v:textbox>
              <w10:wrap type="none"/>
            </v:shape>
            <v:shape style="position:absolute;left:4623;top:1117;width:1014;height:622" type="#_x0000_t202" filled="false" stroked="false">
              <v:textbox inset="0,0,0,0">
                <w:txbxContent>
                  <w:p>
                    <w:pPr>
                      <w:spacing w:line="216" w:lineRule="auto" w:before="0"/>
                      <w:ind w:left="-1" w:right="0" w:firstLine="1"/>
                      <w:jc w:val="center"/>
                      <w:rPr>
                        <w:rFonts w:ascii="Cambria"/>
                        <w:sz w:val="20"/>
                      </w:rPr>
                    </w:pPr>
                    <w:r>
                      <w:rPr>
                        <w:rFonts w:ascii="Cambria"/>
                        <w:sz w:val="20"/>
                      </w:rPr>
                      <w:t>Desarrollar todas las </w:t>
                    </w:r>
                    <w:r>
                      <w:rPr>
                        <w:rFonts w:ascii="Cambria"/>
                        <w:spacing w:val="-1"/>
                        <w:sz w:val="20"/>
                      </w:rPr>
                      <w:t>alternativas</w:t>
                    </w:r>
                  </w:p>
                </w:txbxContent>
              </v:textbox>
              <w10:wrap type="none"/>
            </v:shape>
            <v:shape style="position:absolute;left:274;top:2190;width:1048;height:833" type="#_x0000_t202" filled="false" stroked="false">
              <v:textbox inset="0,0,0,0">
                <w:txbxContent>
                  <w:p>
                    <w:pPr>
                      <w:spacing w:line="216" w:lineRule="auto" w:before="0"/>
                      <w:ind w:left="-1" w:right="0" w:firstLine="4"/>
                      <w:jc w:val="center"/>
                      <w:rPr>
                        <w:rFonts w:ascii="Cambria" w:hAnsi="Cambria"/>
                        <w:sz w:val="20"/>
                      </w:rPr>
                    </w:pPr>
                    <w:r>
                      <w:rPr>
                        <w:rFonts w:ascii="Cambria" w:hAnsi="Cambria"/>
                        <w:sz w:val="20"/>
                      </w:rPr>
                      <w:t>Determinar la</w:t>
                    </w:r>
                    <w:r>
                      <w:rPr>
                        <w:rFonts w:ascii="Cambria" w:hAnsi="Cambria"/>
                        <w:spacing w:val="-9"/>
                        <w:sz w:val="20"/>
                      </w:rPr>
                      <w:t> </w:t>
                    </w:r>
                    <w:r>
                      <w:rPr>
                        <w:rFonts w:ascii="Cambria" w:hAnsi="Cambria"/>
                        <w:sz w:val="20"/>
                      </w:rPr>
                      <w:t>necesidad de una decisión</w:t>
                    </w:r>
                  </w:p>
                </w:txbxContent>
              </v:textbox>
              <w10:wrap type="none"/>
            </v:shape>
            <v:shape style="position:absolute;left:1740;top:1832;width:1008;height:622" type="#_x0000_t202" filled="false" stroked="false">
              <v:textbox inset="0,0,0,0">
                <w:txbxContent>
                  <w:p>
                    <w:pPr>
                      <w:spacing w:line="216" w:lineRule="auto" w:before="0"/>
                      <w:ind w:left="0" w:right="0" w:firstLine="0"/>
                      <w:jc w:val="center"/>
                      <w:rPr>
                        <w:rFonts w:ascii="Cambria" w:hAnsi="Cambria"/>
                        <w:sz w:val="20"/>
                      </w:rPr>
                    </w:pPr>
                    <w:r>
                      <w:rPr>
                        <w:rFonts w:ascii="Cambria" w:hAnsi="Cambria"/>
                        <w:sz w:val="20"/>
                      </w:rPr>
                      <w:t>Identificar los</w:t>
                    </w:r>
                    <w:r>
                      <w:rPr>
                        <w:rFonts w:ascii="Cambria" w:hAnsi="Cambria"/>
                        <w:spacing w:val="-9"/>
                        <w:sz w:val="20"/>
                      </w:rPr>
                      <w:t> </w:t>
                    </w:r>
                    <w:r>
                      <w:rPr>
                        <w:rFonts w:ascii="Cambria" w:hAnsi="Cambria"/>
                        <w:sz w:val="20"/>
                      </w:rPr>
                      <w:t>criterios de</w:t>
                    </w:r>
                    <w:r>
                      <w:rPr>
                        <w:rFonts w:ascii="Cambria" w:hAnsi="Cambria"/>
                        <w:spacing w:val="-6"/>
                        <w:sz w:val="20"/>
                      </w:rPr>
                      <w:t> </w:t>
                    </w:r>
                    <w:r>
                      <w:rPr>
                        <w:rFonts w:ascii="Cambria" w:hAnsi="Cambria"/>
                        <w:sz w:val="20"/>
                      </w:rPr>
                      <w:t>decisión</w:t>
                    </w:r>
                  </w:p>
                </w:txbxContent>
              </v:textbox>
              <w10:wrap type="none"/>
            </v:shape>
          </v:group>
        </w:pict>
      </w:r>
      <w:r>
        <w:rPr>
          <w:sz w:val="20"/>
        </w:rPr>
      </w:r>
    </w:p>
    <w:p>
      <w:pPr>
        <w:pStyle w:val="BodyText"/>
        <w:spacing w:before="11"/>
        <w:rPr>
          <w:b/>
          <w:sz w:val="7"/>
        </w:rPr>
      </w:pPr>
    </w:p>
    <w:p>
      <w:pPr>
        <w:spacing w:before="74"/>
        <w:ind w:left="102" w:right="0" w:firstLine="0"/>
        <w:jc w:val="both"/>
        <w:rPr>
          <w:sz w:val="20"/>
        </w:rPr>
      </w:pPr>
      <w:r>
        <w:rPr>
          <w:b/>
          <w:sz w:val="20"/>
        </w:rPr>
        <w:t>Fuente: </w:t>
      </w:r>
      <w:r>
        <w:rPr>
          <w:sz w:val="20"/>
        </w:rPr>
        <w:t>Elaboración propia con base en FUNDESYRAM (2011).</w:t>
      </w:r>
    </w:p>
    <w:p>
      <w:pPr>
        <w:pStyle w:val="BodyText"/>
        <w:rPr>
          <w:sz w:val="20"/>
        </w:rPr>
      </w:pPr>
    </w:p>
    <w:p>
      <w:pPr>
        <w:pStyle w:val="BodyText"/>
        <w:rPr>
          <w:sz w:val="20"/>
        </w:rPr>
      </w:pPr>
    </w:p>
    <w:p>
      <w:pPr>
        <w:pStyle w:val="BodyText"/>
        <w:spacing w:before="8"/>
        <w:rPr>
          <w:sz w:val="18"/>
        </w:rPr>
      </w:pPr>
    </w:p>
    <w:p>
      <w:pPr>
        <w:pStyle w:val="BodyText"/>
        <w:spacing w:line="360" w:lineRule="auto"/>
        <w:ind w:left="102" w:right="117"/>
        <w:jc w:val="both"/>
      </w:pPr>
      <w:r>
        <w:rPr/>
        <w:t>En la figura 2 el proceso de toma de decisiones comienza con reconocer una necesidad</w:t>
      </w:r>
      <w:r>
        <w:rPr>
          <w:spacing w:val="-6"/>
        </w:rPr>
        <w:t> </w:t>
      </w:r>
      <w:r>
        <w:rPr/>
        <w:t>de</w:t>
      </w:r>
      <w:r>
        <w:rPr>
          <w:spacing w:val="-6"/>
        </w:rPr>
        <w:t> </w:t>
      </w:r>
      <w:r>
        <w:rPr/>
        <w:t>tomar</w:t>
      </w:r>
      <w:r>
        <w:rPr>
          <w:spacing w:val="-7"/>
        </w:rPr>
        <w:t> </w:t>
      </w:r>
      <w:r>
        <w:rPr/>
        <w:t>una</w:t>
      </w:r>
      <w:r>
        <w:rPr>
          <w:spacing w:val="-6"/>
        </w:rPr>
        <w:t> </w:t>
      </w:r>
      <w:r>
        <w:rPr/>
        <w:t>decisión.</w:t>
      </w:r>
      <w:r>
        <w:rPr>
          <w:spacing w:val="-6"/>
        </w:rPr>
        <w:t> </w:t>
      </w:r>
      <w:r>
        <w:rPr/>
        <w:t>Ese</w:t>
      </w:r>
      <w:r>
        <w:rPr>
          <w:spacing w:val="-6"/>
        </w:rPr>
        <w:t> </w:t>
      </w:r>
      <w:r>
        <w:rPr/>
        <w:t>reconocimiento</w:t>
      </w:r>
      <w:r>
        <w:rPr>
          <w:spacing w:val="-6"/>
        </w:rPr>
        <w:t> </w:t>
      </w:r>
      <w:r>
        <w:rPr/>
        <w:t>lo</w:t>
      </w:r>
      <w:r>
        <w:rPr>
          <w:spacing w:val="-6"/>
        </w:rPr>
        <w:t> </w:t>
      </w:r>
      <w:r>
        <w:rPr/>
        <w:t>genera</w:t>
      </w:r>
      <w:r>
        <w:rPr>
          <w:spacing w:val="-7"/>
        </w:rPr>
        <w:t> </w:t>
      </w:r>
      <w:r>
        <w:rPr/>
        <w:t>la</w:t>
      </w:r>
      <w:r>
        <w:rPr>
          <w:spacing w:val="-6"/>
        </w:rPr>
        <w:t> </w:t>
      </w:r>
      <w:r>
        <w:rPr/>
        <w:t>existencia</w:t>
      </w:r>
      <w:r>
        <w:rPr>
          <w:spacing w:val="-6"/>
        </w:rPr>
        <w:t> </w:t>
      </w:r>
      <w:r>
        <w:rPr/>
        <w:t>de</w:t>
      </w:r>
      <w:r>
        <w:rPr>
          <w:spacing w:val="-6"/>
        </w:rPr>
        <w:t> </w:t>
      </w:r>
      <w:r>
        <w:rPr/>
        <w:t>un problema. “Una necesidad es una sensación de carencia unida al deseo de satisfacerla” (FUNDESYRAM,</w:t>
      </w:r>
      <w:r>
        <w:rPr>
          <w:spacing w:val="-9"/>
        </w:rPr>
        <w:t> </w:t>
      </w:r>
      <w:r>
        <w:rPr/>
        <w:t>2011:27).</w:t>
      </w:r>
    </w:p>
    <w:p>
      <w:pPr>
        <w:pStyle w:val="BodyText"/>
        <w:spacing w:line="360" w:lineRule="auto" w:before="204"/>
        <w:ind w:left="102" w:right="116"/>
        <w:jc w:val="both"/>
      </w:pPr>
      <w:r>
        <w:rPr/>
        <w:t>Una vez determinada la necesidad de tomar una decisión, se tienen que identificar los criterios bajo los cuales se ejercerá la decisión. Después de identificar los criterios,</w:t>
      </w:r>
      <w:r>
        <w:rPr>
          <w:spacing w:val="-11"/>
        </w:rPr>
        <w:t> </w:t>
      </w:r>
      <w:r>
        <w:rPr/>
        <w:t>estos</w:t>
      </w:r>
      <w:r>
        <w:rPr>
          <w:spacing w:val="-12"/>
        </w:rPr>
        <w:t> </w:t>
      </w:r>
      <w:r>
        <w:rPr/>
        <w:t>se</w:t>
      </w:r>
      <w:r>
        <w:rPr>
          <w:spacing w:val="-13"/>
        </w:rPr>
        <w:t> </w:t>
      </w:r>
      <w:r>
        <w:rPr/>
        <w:t>tienen</w:t>
      </w:r>
      <w:r>
        <w:rPr>
          <w:spacing w:val="-11"/>
        </w:rPr>
        <w:t> </w:t>
      </w:r>
      <w:r>
        <w:rPr/>
        <w:t>que</w:t>
      </w:r>
      <w:r>
        <w:rPr>
          <w:spacing w:val="-11"/>
        </w:rPr>
        <w:t> </w:t>
      </w:r>
      <w:r>
        <w:rPr/>
        <w:t>enumerar</w:t>
      </w:r>
      <w:r>
        <w:rPr>
          <w:spacing w:val="-12"/>
        </w:rPr>
        <w:t> </w:t>
      </w:r>
      <w:r>
        <w:rPr/>
        <w:t>de</w:t>
      </w:r>
      <w:r>
        <w:rPr>
          <w:spacing w:val="-13"/>
        </w:rPr>
        <w:t> </w:t>
      </w:r>
      <w:r>
        <w:rPr/>
        <w:t>acuerdo</w:t>
      </w:r>
      <w:r>
        <w:rPr>
          <w:spacing w:val="-11"/>
        </w:rPr>
        <w:t> </w:t>
      </w:r>
      <w:r>
        <w:rPr/>
        <w:t>a</w:t>
      </w:r>
      <w:r>
        <w:rPr>
          <w:spacing w:val="-11"/>
        </w:rPr>
        <w:t> </w:t>
      </w:r>
      <w:r>
        <w:rPr/>
        <w:t>la</w:t>
      </w:r>
      <w:r>
        <w:rPr>
          <w:spacing w:val="-11"/>
        </w:rPr>
        <w:t> </w:t>
      </w:r>
      <w:r>
        <w:rPr/>
        <w:t>importancia.</w:t>
      </w:r>
      <w:r>
        <w:rPr>
          <w:spacing w:val="-13"/>
        </w:rPr>
        <w:t> </w:t>
      </w:r>
      <w:r>
        <w:rPr/>
        <w:t>Posteriormente se</w:t>
      </w:r>
      <w:r>
        <w:rPr>
          <w:spacing w:val="-13"/>
        </w:rPr>
        <w:t> </w:t>
      </w:r>
      <w:r>
        <w:rPr/>
        <w:t>deberán</w:t>
      </w:r>
      <w:r>
        <w:rPr>
          <w:spacing w:val="-13"/>
        </w:rPr>
        <w:t> </w:t>
      </w:r>
      <w:r>
        <w:rPr/>
        <w:t>desplegar</w:t>
      </w:r>
      <w:r>
        <w:rPr>
          <w:spacing w:val="-13"/>
        </w:rPr>
        <w:t> </w:t>
      </w:r>
      <w:r>
        <w:rPr/>
        <w:t>todas</w:t>
      </w:r>
      <w:r>
        <w:rPr>
          <w:spacing w:val="-15"/>
        </w:rPr>
        <w:t> </w:t>
      </w:r>
      <w:r>
        <w:rPr/>
        <w:t>las</w:t>
      </w:r>
      <w:r>
        <w:rPr>
          <w:spacing w:val="-14"/>
        </w:rPr>
        <w:t> </w:t>
      </w:r>
      <w:r>
        <w:rPr/>
        <w:t>alternativas</w:t>
      </w:r>
      <w:r>
        <w:rPr>
          <w:spacing w:val="-13"/>
        </w:rPr>
        <w:t> </w:t>
      </w:r>
      <w:r>
        <w:rPr/>
        <w:t>posibles,</w:t>
      </w:r>
      <w:r>
        <w:rPr>
          <w:spacing w:val="-14"/>
        </w:rPr>
        <w:t> </w:t>
      </w:r>
      <w:r>
        <w:rPr/>
        <w:t>haciendo</w:t>
      </w:r>
      <w:r>
        <w:rPr>
          <w:spacing w:val="-10"/>
        </w:rPr>
        <w:t> </w:t>
      </w:r>
      <w:r>
        <w:rPr/>
        <w:t>un</w:t>
      </w:r>
      <w:r>
        <w:rPr>
          <w:spacing w:val="-13"/>
        </w:rPr>
        <w:t> </w:t>
      </w:r>
      <w:r>
        <w:rPr/>
        <w:t>análisis</w:t>
      </w:r>
      <w:r>
        <w:rPr>
          <w:spacing w:val="-13"/>
        </w:rPr>
        <w:t> </w:t>
      </w:r>
      <w:r>
        <w:rPr/>
        <w:t>detallado de las posibles</w:t>
      </w:r>
      <w:r>
        <w:rPr>
          <w:spacing w:val="-7"/>
        </w:rPr>
        <w:t> </w:t>
      </w:r>
      <w:r>
        <w:rPr/>
        <w:t>soluciones.</w:t>
      </w:r>
    </w:p>
    <w:p>
      <w:pPr>
        <w:pStyle w:val="BodyText"/>
        <w:spacing w:line="360" w:lineRule="auto" w:before="204"/>
        <w:ind w:left="102" w:right="117"/>
        <w:jc w:val="both"/>
      </w:pPr>
      <w:r>
        <w:rPr/>
        <w:t>Finalmente, el siguiente paso es evaluar las alternativas; el tomador de decisiones tiene que evaluar de forma crítica cada alternativa, las ventajas y desventajas de cada</w:t>
      </w:r>
      <w:r>
        <w:rPr>
          <w:spacing w:val="-20"/>
        </w:rPr>
        <w:t> </w:t>
      </w:r>
      <w:r>
        <w:rPr/>
        <w:t>posible</w:t>
      </w:r>
      <w:r>
        <w:rPr>
          <w:spacing w:val="-19"/>
        </w:rPr>
        <w:t> </w:t>
      </w:r>
      <w:r>
        <w:rPr/>
        <w:t>solución.</w:t>
      </w:r>
      <w:r>
        <w:rPr>
          <w:spacing w:val="-21"/>
        </w:rPr>
        <w:t> </w:t>
      </w:r>
      <w:r>
        <w:rPr/>
        <w:t>El</w:t>
      </w:r>
      <w:r>
        <w:rPr>
          <w:spacing w:val="-20"/>
        </w:rPr>
        <w:t> </w:t>
      </w:r>
      <w:r>
        <w:rPr/>
        <w:t>tomador</w:t>
      </w:r>
      <w:r>
        <w:rPr>
          <w:spacing w:val="-20"/>
        </w:rPr>
        <w:t> </w:t>
      </w:r>
      <w:r>
        <w:rPr/>
        <w:t>de</w:t>
      </w:r>
      <w:r>
        <w:rPr>
          <w:spacing w:val="-20"/>
        </w:rPr>
        <w:t> </w:t>
      </w:r>
      <w:r>
        <w:rPr/>
        <w:t>decisiones</w:t>
      </w:r>
      <w:r>
        <w:rPr>
          <w:spacing w:val="-20"/>
        </w:rPr>
        <w:t> </w:t>
      </w:r>
      <w:r>
        <w:rPr/>
        <w:t>cierra</w:t>
      </w:r>
      <w:r>
        <w:rPr>
          <w:spacing w:val="-19"/>
        </w:rPr>
        <w:t> </w:t>
      </w:r>
      <w:r>
        <w:rPr/>
        <w:t>el</w:t>
      </w:r>
      <w:r>
        <w:rPr>
          <w:spacing w:val="-20"/>
        </w:rPr>
        <w:t> </w:t>
      </w:r>
      <w:r>
        <w:rPr/>
        <w:t>proceso</w:t>
      </w:r>
      <w:r>
        <w:rPr>
          <w:spacing w:val="-19"/>
        </w:rPr>
        <w:t> </w:t>
      </w:r>
      <w:r>
        <w:rPr/>
        <w:t>cuando</w:t>
      </w:r>
      <w:r>
        <w:rPr>
          <w:spacing w:val="-19"/>
        </w:rPr>
        <w:t> </w:t>
      </w:r>
      <w:r>
        <w:rPr/>
        <w:t>selecciona la mejor alternativa que de los resultados esperados u</w:t>
      </w:r>
      <w:r>
        <w:rPr>
          <w:spacing w:val="-24"/>
        </w:rPr>
        <w:t> </w:t>
      </w:r>
      <w:r>
        <w:rPr/>
        <w:t>óptimos.</w:t>
      </w:r>
    </w:p>
    <w:p>
      <w:pPr>
        <w:pStyle w:val="BodyText"/>
        <w:spacing w:line="360" w:lineRule="auto" w:before="205"/>
        <w:ind w:left="102" w:right="116"/>
        <w:jc w:val="both"/>
      </w:pPr>
      <w:r>
        <w:rPr/>
        <w:t>Ahora bien, el proceso de toma de decisiones dependerá de quien le toca decidir, ya sea una persona, un grupo pequeño de personas o una organización compleja. Independientemente del decisor, éste deberá ser capaz de distinguir entre las causas</w:t>
      </w:r>
      <w:r>
        <w:rPr>
          <w:spacing w:val="-7"/>
        </w:rPr>
        <w:t> </w:t>
      </w:r>
      <w:r>
        <w:rPr/>
        <w:t>y</w:t>
      </w:r>
      <w:r>
        <w:rPr>
          <w:spacing w:val="-7"/>
        </w:rPr>
        <w:t> </w:t>
      </w:r>
      <w:r>
        <w:rPr/>
        <w:t>los</w:t>
      </w:r>
      <w:r>
        <w:rPr>
          <w:spacing w:val="-4"/>
        </w:rPr>
        <w:t> </w:t>
      </w:r>
      <w:r>
        <w:rPr/>
        <w:t>efectos,</w:t>
      </w:r>
      <w:r>
        <w:rPr>
          <w:spacing w:val="-6"/>
        </w:rPr>
        <w:t> </w:t>
      </w:r>
      <w:r>
        <w:rPr/>
        <w:t>así</w:t>
      </w:r>
      <w:r>
        <w:rPr>
          <w:spacing w:val="-6"/>
        </w:rPr>
        <w:t> </w:t>
      </w:r>
      <w:r>
        <w:rPr/>
        <w:t>como</w:t>
      </w:r>
      <w:r>
        <w:rPr>
          <w:spacing w:val="-6"/>
        </w:rPr>
        <w:t> </w:t>
      </w:r>
      <w:r>
        <w:rPr/>
        <w:t>de</w:t>
      </w:r>
      <w:r>
        <w:rPr>
          <w:spacing w:val="-4"/>
        </w:rPr>
        <w:t> </w:t>
      </w:r>
      <w:r>
        <w:rPr/>
        <w:t>los</w:t>
      </w:r>
      <w:r>
        <w:rPr>
          <w:spacing w:val="-6"/>
        </w:rPr>
        <w:t> </w:t>
      </w:r>
      <w:r>
        <w:rPr/>
        <w:t>síntomas</w:t>
      </w:r>
      <w:r>
        <w:rPr>
          <w:spacing w:val="-4"/>
        </w:rPr>
        <w:t> </w:t>
      </w:r>
      <w:r>
        <w:rPr/>
        <w:t>y</w:t>
      </w:r>
      <w:r>
        <w:rPr>
          <w:spacing w:val="-7"/>
        </w:rPr>
        <w:t> </w:t>
      </w:r>
      <w:r>
        <w:rPr/>
        <w:t>problemas,</w:t>
      </w:r>
      <w:r>
        <w:rPr>
          <w:spacing w:val="-3"/>
        </w:rPr>
        <w:t> </w:t>
      </w:r>
      <w:r>
        <w:rPr/>
        <w:t>para</w:t>
      </w:r>
      <w:r>
        <w:rPr>
          <w:spacing w:val="-7"/>
        </w:rPr>
        <w:t> </w:t>
      </w:r>
      <w:r>
        <w:rPr/>
        <w:t>que</w:t>
      </w:r>
      <w:r>
        <w:rPr>
          <w:spacing w:val="-4"/>
        </w:rPr>
        <w:t> </w:t>
      </w:r>
      <w:r>
        <w:rPr/>
        <w:t>pueda</w:t>
      </w:r>
      <w:r>
        <w:rPr>
          <w:spacing w:val="-6"/>
        </w:rPr>
        <w:t> </w:t>
      </w:r>
      <w:r>
        <w:rPr/>
        <w:t>tomar la decisión sobre la acción a implementar para resolver determinada circunstancia. Por</w:t>
      </w:r>
      <w:r>
        <w:rPr>
          <w:spacing w:val="23"/>
        </w:rPr>
        <w:t> </w:t>
      </w:r>
      <w:r>
        <w:rPr/>
        <w:t>ejemplo,</w:t>
      </w:r>
      <w:r>
        <w:rPr>
          <w:spacing w:val="23"/>
        </w:rPr>
        <w:t> </w:t>
      </w:r>
      <w:r>
        <w:rPr/>
        <w:t>un</w:t>
      </w:r>
      <w:r>
        <w:rPr>
          <w:spacing w:val="25"/>
        </w:rPr>
        <w:t> </w:t>
      </w:r>
      <w:r>
        <w:rPr/>
        <w:t>político</w:t>
      </w:r>
      <w:r>
        <w:rPr>
          <w:spacing w:val="25"/>
        </w:rPr>
        <w:t> </w:t>
      </w:r>
      <w:r>
        <w:rPr/>
        <w:t>sabe</w:t>
      </w:r>
      <w:r>
        <w:rPr>
          <w:spacing w:val="25"/>
        </w:rPr>
        <w:t> </w:t>
      </w:r>
      <w:r>
        <w:rPr/>
        <w:t>que</w:t>
      </w:r>
      <w:r>
        <w:rPr>
          <w:spacing w:val="25"/>
        </w:rPr>
        <w:t> </w:t>
      </w:r>
      <w:r>
        <w:rPr/>
        <w:t>aprobar</w:t>
      </w:r>
      <w:r>
        <w:rPr>
          <w:spacing w:val="23"/>
        </w:rPr>
        <w:t> </w:t>
      </w:r>
      <w:r>
        <w:rPr/>
        <w:t>una</w:t>
      </w:r>
      <w:r>
        <w:rPr>
          <w:spacing w:val="25"/>
        </w:rPr>
        <w:t> </w:t>
      </w:r>
      <w:r>
        <w:rPr/>
        <w:t>u</w:t>
      </w:r>
      <w:r>
        <w:rPr>
          <w:spacing w:val="25"/>
        </w:rPr>
        <w:t> </w:t>
      </w:r>
      <w:r>
        <w:rPr/>
        <w:t>otra</w:t>
      </w:r>
      <w:r>
        <w:rPr>
          <w:spacing w:val="25"/>
        </w:rPr>
        <w:t> </w:t>
      </w:r>
      <w:r>
        <w:rPr/>
        <w:t>medida</w:t>
      </w:r>
      <w:r>
        <w:rPr>
          <w:spacing w:val="25"/>
        </w:rPr>
        <w:t> </w:t>
      </w:r>
      <w:r>
        <w:rPr/>
        <w:t>legal</w:t>
      </w:r>
      <w:r>
        <w:rPr>
          <w:spacing w:val="24"/>
        </w:rPr>
        <w:t> </w:t>
      </w:r>
      <w:r>
        <w:rPr/>
        <w:t>influirá</w:t>
      </w:r>
      <w:r>
        <w:rPr>
          <w:spacing w:val="25"/>
        </w:rPr>
        <w:t> </w:t>
      </w:r>
      <w:r>
        <w:rPr/>
        <w:t>en</w:t>
      </w:r>
      <w:r>
        <w:rPr>
          <w:spacing w:val="25"/>
        </w:rPr>
        <w:t> </w:t>
      </w:r>
      <w:r>
        <w:rPr/>
        <w:t>su</w:t>
      </w:r>
    </w:p>
    <w:p>
      <w:pPr>
        <w:spacing w:after="0" w:line="360" w:lineRule="auto"/>
        <w:jc w:val="both"/>
        <w:sectPr>
          <w:pgSz w:w="12240" w:h="15840"/>
          <w:pgMar w:header="0" w:footer="992" w:top="1420" w:bottom="1180" w:left="1600" w:right="1580"/>
        </w:sectPr>
      </w:pPr>
    </w:p>
    <w:p>
      <w:pPr>
        <w:pStyle w:val="BodyText"/>
        <w:spacing w:line="360" w:lineRule="auto" w:before="54"/>
        <w:ind w:left="102" w:right="116"/>
        <w:jc w:val="both"/>
      </w:pPr>
      <w:r>
        <w:rPr/>
        <w:t>carrera personal y en la comunidad social en que se encuentra de distinta forma, motivo por el cual el decisor debe efectuar un análisis sobre el curso de acción a seguir,</w:t>
      </w:r>
      <w:r>
        <w:rPr>
          <w:spacing w:val="-9"/>
        </w:rPr>
        <w:t> </w:t>
      </w:r>
      <w:r>
        <w:rPr/>
        <w:t>para</w:t>
      </w:r>
      <w:r>
        <w:rPr>
          <w:spacing w:val="-9"/>
        </w:rPr>
        <w:t> </w:t>
      </w:r>
      <w:r>
        <w:rPr/>
        <w:t>evitar</w:t>
      </w:r>
      <w:r>
        <w:rPr>
          <w:spacing w:val="-10"/>
        </w:rPr>
        <w:t> </w:t>
      </w:r>
      <w:r>
        <w:rPr/>
        <w:t>los</w:t>
      </w:r>
      <w:r>
        <w:rPr>
          <w:spacing w:val="-9"/>
        </w:rPr>
        <w:t> </w:t>
      </w:r>
      <w:r>
        <w:rPr/>
        <w:t>riesgos,</w:t>
      </w:r>
      <w:r>
        <w:rPr>
          <w:spacing w:val="-9"/>
        </w:rPr>
        <w:t> </w:t>
      </w:r>
      <w:r>
        <w:rPr/>
        <w:t>o</w:t>
      </w:r>
      <w:r>
        <w:rPr>
          <w:spacing w:val="-8"/>
        </w:rPr>
        <w:t> </w:t>
      </w:r>
      <w:r>
        <w:rPr/>
        <w:t>que</w:t>
      </w:r>
      <w:r>
        <w:rPr>
          <w:spacing w:val="-11"/>
        </w:rPr>
        <w:t> </w:t>
      </w:r>
      <w:r>
        <w:rPr/>
        <w:t>estos</w:t>
      </w:r>
      <w:r>
        <w:rPr>
          <w:spacing w:val="-9"/>
        </w:rPr>
        <w:t> </w:t>
      </w:r>
      <w:r>
        <w:rPr/>
        <w:t>sean</w:t>
      </w:r>
      <w:r>
        <w:rPr>
          <w:spacing w:val="-8"/>
        </w:rPr>
        <w:t> </w:t>
      </w:r>
      <w:r>
        <w:rPr/>
        <w:t>de</w:t>
      </w:r>
      <w:r>
        <w:rPr>
          <w:spacing w:val="-11"/>
        </w:rPr>
        <w:t> </w:t>
      </w:r>
      <w:r>
        <w:rPr/>
        <w:t>menor</w:t>
      </w:r>
      <w:r>
        <w:rPr>
          <w:spacing w:val="-10"/>
        </w:rPr>
        <w:t> </w:t>
      </w:r>
      <w:r>
        <w:rPr/>
        <w:t>incertidumbre.</w:t>
      </w:r>
      <w:r>
        <w:rPr>
          <w:spacing w:val="-7"/>
        </w:rPr>
        <w:t> </w:t>
      </w:r>
      <w:r>
        <w:rPr/>
        <w:t>A</w:t>
      </w:r>
      <w:r>
        <w:rPr>
          <w:spacing w:val="-9"/>
        </w:rPr>
        <w:t> </w:t>
      </w:r>
      <w:r>
        <w:rPr/>
        <w:t>partir</w:t>
      </w:r>
      <w:r>
        <w:rPr>
          <w:spacing w:val="-10"/>
        </w:rPr>
        <w:t> </w:t>
      </w:r>
      <w:r>
        <w:rPr/>
        <w:t>de lo anterior, se concluye que el proceso de toma de decisión contiene las siguientes fases o</w:t>
      </w:r>
      <w:r>
        <w:rPr>
          <w:spacing w:val="-5"/>
        </w:rPr>
        <w:t> </w:t>
      </w:r>
      <w:r>
        <w:rPr/>
        <w:t>etapas:</w:t>
      </w:r>
    </w:p>
    <w:p>
      <w:pPr>
        <w:pStyle w:val="BodyText"/>
        <w:spacing w:line="360" w:lineRule="auto" w:before="204"/>
        <w:ind w:left="102" w:right="116"/>
        <w:jc w:val="both"/>
      </w:pPr>
      <w:r>
        <w:rPr>
          <w:b/>
        </w:rPr>
        <w:t>1</w:t>
      </w:r>
      <w:r>
        <w:rPr/>
        <w:t>.- </w:t>
      </w:r>
      <w:r>
        <w:rPr>
          <w:b/>
        </w:rPr>
        <w:t>Identificación y definición del problema. </w:t>
      </w:r>
      <w:r>
        <w:rPr/>
        <w:t>La producción de un hecho no deseado que perturba la marcha de un decisor hacia la obtención de sus metas es el inicio que marca el arranque de un proceso de decisión. Es necesario un hecho que motive o desencadene tomar una decisión. “El proceso de toma de decisiones comienza con el reconocimiento de que se necesita tomar una decisión. Ese reconocimiento</w:t>
      </w:r>
      <w:r>
        <w:rPr>
          <w:spacing w:val="-8"/>
        </w:rPr>
        <w:t> </w:t>
      </w:r>
      <w:r>
        <w:rPr/>
        <w:t>lo</w:t>
      </w:r>
      <w:r>
        <w:rPr>
          <w:spacing w:val="-9"/>
        </w:rPr>
        <w:t> </w:t>
      </w:r>
      <w:r>
        <w:rPr/>
        <w:t>genera</w:t>
      </w:r>
      <w:r>
        <w:rPr>
          <w:spacing w:val="-9"/>
        </w:rPr>
        <w:t> </w:t>
      </w:r>
      <w:r>
        <w:rPr/>
        <w:t>la</w:t>
      </w:r>
      <w:r>
        <w:rPr>
          <w:spacing w:val="-11"/>
        </w:rPr>
        <w:t> </w:t>
      </w:r>
      <w:r>
        <w:rPr/>
        <w:t>existencia</w:t>
      </w:r>
      <w:r>
        <w:rPr>
          <w:spacing w:val="-9"/>
        </w:rPr>
        <w:t> </w:t>
      </w:r>
      <w:r>
        <w:rPr/>
        <w:t>de</w:t>
      </w:r>
      <w:r>
        <w:rPr>
          <w:spacing w:val="-11"/>
        </w:rPr>
        <w:t> </w:t>
      </w:r>
      <w:r>
        <w:rPr/>
        <w:t>un</w:t>
      </w:r>
      <w:r>
        <w:rPr>
          <w:spacing w:val="-13"/>
        </w:rPr>
        <w:t> </w:t>
      </w:r>
      <w:r>
        <w:rPr/>
        <w:t>problema</w:t>
      </w:r>
      <w:r>
        <w:rPr>
          <w:spacing w:val="-11"/>
        </w:rPr>
        <w:t> </w:t>
      </w:r>
      <w:r>
        <w:rPr/>
        <w:t>o</w:t>
      </w:r>
      <w:r>
        <w:rPr>
          <w:spacing w:val="-8"/>
        </w:rPr>
        <w:t> </w:t>
      </w:r>
      <w:r>
        <w:rPr/>
        <w:t>una</w:t>
      </w:r>
      <w:r>
        <w:rPr>
          <w:spacing w:val="-11"/>
        </w:rPr>
        <w:t> </w:t>
      </w:r>
      <w:r>
        <w:rPr/>
        <w:t>disparidad</w:t>
      </w:r>
      <w:r>
        <w:rPr>
          <w:spacing w:val="-11"/>
        </w:rPr>
        <w:t> </w:t>
      </w:r>
      <w:r>
        <w:rPr/>
        <w:t>entre</w:t>
      </w:r>
      <w:r>
        <w:rPr>
          <w:spacing w:val="-11"/>
        </w:rPr>
        <w:t> </w:t>
      </w:r>
      <w:r>
        <w:rPr/>
        <w:t>cierto estado deseado y la condición real del momento</w:t>
      </w:r>
      <w:r>
        <w:rPr>
          <w:rFonts w:ascii="Verdana" w:hAnsi="Verdana"/>
        </w:rPr>
        <w:t>” </w:t>
      </w:r>
      <w:r>
        <w:rPr>
          <w:rFonts w:ascii="Constantia" w:hAnsi="Constantia"/>
        </w:rPr>
        <w:t>(</w:t>
      </w:r>
      <w:r>
        <w:rPr/>
        <w:t>FUNDESYRAM,</w:t>
      </w:r>
      <w:r>
        <w:rPr>
          <w:spacing w:val="-35"/>
        </w:rPr>
        <w:t> </w:t>
      </w:r>
      <w:r>
        <w:rPr/>
        <w:t>2011:27).</w:t>
      </w:r>
    </w:p>
    <w:p>
      <w:pPr>
        <w:pStyle w:val="BodyText"/>
        <w:spacing w:before="3"/>
        <w:rPr>
          <w:sz w:val="19"/>
        </w:rPr>
      </w:pPr>
    </w:p>
    <w:p>
      <w:pPr>
        <w:spacing w:before="0"/>
        <w:ind w:left="954" w:right="118" w:firstLine="0"/>
        <w:jc w:val="both"/>
        <w:rPr>
          <w:sz w:val="22"/>
        </w:rPr>
      </w:pPr>
      <w:r>
        <w:rPr>
          <w:sz w:val="22"/>
        </w:rPr>
        <w:t>La definición de un problema es conseguir identificar plenamente la separación ocurrida.</w:t>
      </w:r>
      <w:r>
        <w:rPr>
          <w:spacing w:val="-15"/>
          <w:sz w:val="22"/>
        </w:rPr>
        <w:t> </w:t>
      </w:r>
      <w:r>
        <w:rPr>
          <w:sz w:val="22"/>
        </w:rPr>
        <w:t>Esa</w:t>
      </w:r>
      <w:r>
        <w:rPr>
          <w:spacing w:val="-13"/>
          <w:sz w:val="22"/>
        </w:rPr>
        <w:t> </w:t>
      </w:r>
      <w:r>
        <w:rPr>
          <w:sz w:val="22"/>
        </w:rPr>
        <w:t>labor</w:t>
      </w:r>
      <w:r>
        <w:rPr>
          <w:spacing w:val="-13"/>
          <w:sz w:val="22"/>
        </w:rPr>
        <w:t> </w:t>
      </w:r>
      <w:r>
        <w:rPr>
          <w:sz w:val="22"/>
        </w:rPr>
        <w:t>no</w:t>
      </w:r>
      <w:r>
        <w:rPr>
          <w:spacing w:val="-13"/>
          <w:sz w:val="22"/>
        </w:rPr>
        <w:t> </w:t>
      </w:r>
      <w:r>
        <w:rPr>
          <w:sz w:val="22"/>
        </w:rPr>
        <w:t>está</w:t>
      </w:r>
      <w:r>
        <w:rPr>
          <w:spacing w:val="-13"/>
          <w:sz w:val="22"/>
        </w:rPr>
        <w:t> </w:t>
      </w:r>
      <w:r>
        <w:rPr>
          <w:sz w:val="22"/>
        </w:rPr>
        <w:t>exenta</w:t>
      </w:r>
      <w:r>
        <w:rPr>
          <w:spacing w:val="-13"/>
          <w:sz w:val="22"/>
        </w:rPr>
        <w:t> </w:t>
      </w:r>
      <w:r>
        <w:rPr>
          <w:sz w:val="22"/>
        </w:rPr>
        <w:t>de</w:t>
      </w:r>
      <w:r>
        <w:rPr>
          <w:spacing w:val="-16"/>
          <w:sz w:val="22"/>
        </w:rPr>
        <w:t> </w:t>
      </w:r>
      <w:r>
        <w:rPr>
          <w:sz w:val="22"/>
        </w:rPr>
        <w:t>graves</w:t>
      </w:r>
      <w:r>
        <w:rPr>
          <w:spacing w:val="-13"/>
          <w:sz w:val="22"/>
        </w:rPr>
        <w:t> </w:t>
      </w:r>
      <w:r>
        <w:rPr>
          <w:sz w:val="22"/>
        </w:rPr>
        <w:t>peligros</w:t>
      </w:r>
      <w:r>
        <w:rPr>
          <w:spacing w:val="-13"/>
          <w:sz w:val="22"/>
        </w:rPr>
        <w:t> </w:t>
      </w:r>
      <w:r>
        <w:rPr>
          <w:sz w:val="22"/>
        </w:rPr>
        <w:t>a</w:t>
      </w:r>
      <w:r>
        <w:rPr>
          <w:spacing w:val="-13"/>
          <w:sz w:val="22"/>
        </w:rPr>
        <w:t> </w:t>
      </w:r>
      <w:r>
        <w:rPr>
          <w:sz w:val="22"/>
        </w:rPr>
        <w:t>esquivar.</w:t>
      </w:r>
      <w:r>
        <w:rPr>
          <w:spacing w:val="-14"/>
          <w:sz w:val="22"/>
        </w:rPr>
        <w:t> </w:t>
      </w:r>
      <w:r>
        <w:rPr>
          <w:sz w:val="22"/>
        </w:rPr>
        <w:t>Tres</w:t>
      </w:r>
      <w:r>
        <w:rPr>
          <w:spacing w:val="-13"/>
          <w:sz w:val="22"/>
        </w:rPr>
        <w:t> </w:t>
      </w:r>
      <w:r>
        <w:rPr>
          <w:sz w:val="22"/>
        </w:rPr>
        <w:t>de</w:t>
      </w:r>
      <w:r>
        <w:rPr>
          <w:spacing w:val="-14"/>
          <w:sz w:val="22"/>
        </w:rPr>
        <w:t> </w:t>
      </w:r>
      <w:r>
        <w:rPr>
          <w:sz w:val="22"/>
        </w:rPr>
        <w:t>ellos</w:t>
      </w:r>
      <w:r>
        <w:rPr>
          <w:spacing w:val="-13"/>
          <w:sz w:val="22"/>
        </w:rPr>
        <w:t> </w:t>
      </w:r>
      <w:r>
        <w:rPr>
          <w:sz w:val="22"/>
        </w:rPr>
        <w:t>son: la tendencia a definir el problema en términos de una solución propuesta; la tendencia de concentrarse en metas estrechas, de orden inferior; y la tendencia a diagnosticar el problema según los síntomas (Diez et al.,</w:t>
      </w:r>
      <w:r>
        <w:rPr>
          <w:spacing w:val="-18"/>
          <w:sz w:val="22"/>
        </w:rPr>
        <w:t> </w:t>
      </w:r>
      <w:r>
        <w:rPr>
          <w:sz w:val="22"/>
        </w:rPr>
        <w:t>1997:24).</w:t>
      </w:r>
    </w:p>
    <w:p>
      <w:pPr>
        <w:pStyle w:val="BodyText"/>
        <w:rPr>
          <w:sz w:val="22"/>
        </w:rPr>
      </w:pPr>
    </w:p>
    <w:p>
      <w:pPr>
        <w:pStyle w:val="BodyText"/>
        <w:rPr>
          <w:sz w:val="22"/>
        </w:rPr>
      </w:pPr>
    </w:p>
    <w:p>
      <w:pPr>
        <w:pStyle w:val="BodyText"/>
        <w:spacing w:line="360" w:lineRule="auto" w:before="146"/>
        <w:ind w:left="102" w:right="114"/>
        <w:jc w:val="both"/>
      </w:pPr>
      <w:r>
        <w:rPr>
          <w:b/>
        </w:rPr>
        <w:t>2.</w:t>
      </w:r>
      <w:r>
        <w:rPr/>
        <w:t>- </w:t>
      </w:r>
      <w:r>
        <w:rPr>
          <w:b/>
        </w:rPr>
        <w:t>Definición de criterios de decisión</w:t>
      </w:r>
      <w:r>
        <w:rPr/>
        <w:t>. Se refiere a la enumeración de las perspectivas o bases en que justificar la selección. “Un criterio es un aspecto significativo sobre el que efectuar el análisis de las valoraciones de las acciones” (Diez, et al., 1997:48).</w:t>
      </w:r>
    </w:p>
    <w:p>
      <w:pPr>
        <w:pStyle w:val="BodyText"/>
        <w:spacing w:line="360" w:lineRule="auto" w:before="202"/>
        <w:ind w:left="102" w:right="113"/>
        <w:jc w:val="both"/>
      </w:pPr>
      <w:r>
        <w:rPr/>
        <w:t>Se considera entonces dos tipos de criterios: mínimax y maximín, de Bayes y máxima verosimillitud. Un procedimiento para obtener soluciones a los problemas de</w:t>
      </w:r>
      <w:r>
        <w:rPr>
          <w:spacing w:val="-8"/>
        </w:rPr>
        <w:t> </w:t>
      </w:r>
      <w:r>
        <w:rPr/>
        <w:t>la</w:t>
      </w:r>
      <w:r>
        <w:rPr>
          <w:spacing w:val="-11"/>
        </w:rPr>
        <w:t> </w:t>
      </w:r>
      <w:r>
        <w:rPr/>
        <w:t>Teoría</w:t>
      </w:r>
      <w:r>
        <w:rPr>
          <w:spacing w:val="-11"/>
        </w:rPr>
        <w:t> </w:t>
      </w:r>
      <w:r>
        <w:rPr/>
        <w:t>de</w:t>
      </w:r>
      <w:r>
        <w:rPr>
          <w:spacing w:val="-11"/>
        </w:rPr>
        <w:t> </w:t>
      </w:r>
      <w:r>
        <w:rPr/>
        <w:t>la</w:t>
      </w:r>
      <w:r>
        <w:rPr>
          <w:spacing w:val="-11"/>
        </w:rPr>
        <w:t> </w:t>
      </w:r>
      <w:r>
        <w:rPr/>
        <w:t>Decisión</w:t>
      </w:r>
      <w:r>
        <w:rPr>
          <w:spacing w:val="-10"/>
        </w:rPr>
        <w:t> </w:t>
      </w:r>
      <w:r>
        <w:rPr/>
        <w:t>es</w:t>
      </w:r>
      <w:r>
        <w:rPr>
          <w:spacing w:val="-12"/>
        </w:rPr>
        <w:t> </w:t>
      </w:r>
      <w:r>
        <w:rPr/>
        <w:t>a</w:t>
      </w:r>
      <w:r>
        <w:rPr>
          <w:spacing w:val="-11"/>
        </w:rPr>
        <w:t> </w:t>
      </w:r>
      <w:r>
        <w:rPr/>
        <w:t>través</w:t>
      </w:r>
      <w:r>
        <w:rPr>
          <w:spacing w:val="-12"/>
        </w:rPr>
        <w:t> </w:t>
      </w:r>
      <w:r>
        <w:rPr/>
        <w:t>del</w:t>
      </w:r>
      <w:r>
        <w:rPr>
          <w:spacing w:val="-6"/>
        </w:rPr>
        <w:t> </w:t>
      </w:r>
      <w:r>
        <w:rPr/>
        <w:t>criterio</w:t>
      </w:r>
      <w:r>
        <w:rPr>
          <w:spacing w:val="-11"/>
        </w:rPr>
        <w:t> </w:t>
      </w:r>
      <w:r>
        <w:rPr/>
        <w:t>o</w:t>
      </w:r>
      <w:r>
        <w:rPr>
          <w:spacing w:val="-11"/>
        </w:rPr>
        <w:t> </w:t>
      </w:r>
      <w:r>
        <w:rPr/>
        <w:t>principio</w:t>
      </w:r>
      <w:r>
        <w:rPr>
          <w:spacing w:val="-11"/>
        </w:rPr>
        <w:t> </w:t>
      </w:r>
      <w:r>
        <w:rPr/>
        <w:t>minimax.</w:t>
      </w:r>
      <w:r>
        <w:rPr>
          <w:spacing w:val="-11"/>
        </w:rPr>
        <w:t> </w:t>
      </w:r>
      <w:r>
        <w:rPr/>
        <w:t>Este</w:t>
      </w:r>
      <w:r>
        <w:rPr>
          <w:spacing w:val="-10"/>
        </w:rPr>
        <w:t> </w:t>
      </w:r>
      <w:r>
        <w:rPr/>
        <w:t>principio propone al decisor que encuentre el costo máximo (la perdida máxima) para cada una de sus acciones y que elija aquella del menor costo máximo (la menor perdida máxima). “El criterio mínimax se puede aplicar a situaciones que involucran ganancias, trocando nuestra regla, esto es, seleccionando la acción que tenga el máximo</w:t>
      </w:r>
      <w:r>
        <w:rPr>
          <w:spacing w:val="-17"/>
        </w:rPr>
        <w:t> </w:t>
      </w:r>
      <w:r>
        <w:rPr/>
        <w:t>de</w:t>
      </w:r>
      <w:r>
        <w:rPr>
          <w:spacing w:val="-17"/>
        </w:rPr>
        <w:t> </w:t>
      </w:r>
      <w:r>
        <w:rPr/>
        <w:t>las</w:t>
      </w:r>
      <w:r>
        <w:rPr>
          <w:spacing w:val="-17"/>
        </w:rPr>
        <w:t> </w:t>
      </w:r>
      <w:r>
        <w:rPr/>
        <w:t>ganancias</w:t>
      </w:r>
      <w:r>
        <w:rPr>
          <w:spacing w:val="-17"/>
        </w:rPr>
        <w:t> </w:t>
      </w:r>
      <w:r>
        <w:rPr/>
        <w:t>mínimas.</w:t>
      </w:r>
      <w:r>
        <w:rPr>
          <w:spacing w:val="-17"/>
        </w:rPr>
        <w:t> </w:t>
      </w:r>
      <w:r>
        <w:rPr/>
        <w:t>Este</w:t>
      </w:r>
      <w:r>
        <w:rPr>
          <w:spacing w:val="-17"/>
        </w:rPr>
        <w:t> </w:t>
      </w:r>
      <w:r>
        <w:rPr/>
        <w:t>criterio,</w:t>
      </w:r>
      <w:r>
        <w:rPr>
          <w:spacing w:val="-17"/>
        </w:rPr>
        <w:t> </w:t>
      </w:r>
      <w:r>
        <w:rPr/>
        <w:t>conocido</w:t>
      </w:r>
      <w:r>
        <w:rPr>
          <w:spacing w:val="-16"/>
        </w:rPr>
        <w:t> </w:t>
      </w:r>
      <w:r>
        <w:rPr/>
        <w:t>como</w:t>
      </w:r>
      <w:r>
        <w:rPr>
          <w:spacing w:val="-17"/>
        </w:rPr>
        <w:t> </w:t>
      </w:r>
      <w:r>
        <w:rPr/>
        <w:t>el</w:t>
      </w:r>
      <w:r>
        <w:rPr>
          <w:spacing w:val="-15"/>
        </w:rPr>
        <w:t> </w:t>
      </w:r>
      <w:r>
        <w:rPr/>
        <w:t>‘criterio</w:t>
      </w:r>
      <w:r>
        <w:rPr>
          <w:spacing w:val="-17"/>
        </w:rPr>
        <w:t> </w:t>
      </w:r>
      <w:r>
        <w:rPr/>
        <w:t>o</w:t>
      </w:r>
      <w:r>
        <w:rPr>
          <w:spacing w:val="-17"/>
        </w:rPr>
        <w:t> </w:t>
      </w:r>
      <w:r>
        <w:rPr/>
        <w:t>pincipio</w:t>
      </w:r>
    </w:p>
    <w:p>
      <w:pPr>
        <w:spacing w:after="0" w:line="360" w:lineRule="auto"/>
        <w:jc w:val="both"/>
        <w:sectPr>
          <w:pgSz w:w="12240" w:h="15840"/>
          <w:pgMar w:header="0" w:footer="992" w:top="1360" w:bottom="1180" w:left="1600" w:right="1580"/>
        </w:sectPr>
      </w:pPr>
    </w:p>
    <w:p>
      <w:pPr>
        <w:pStyle w:val="BodyText"/>
        <w:spacing w:line="362" w:lineRule="auto" w:before="54"/>
        <w:ind w:left="102" w:right="116"/>
        <w:jc w:val="both"/>
      </w:pPr>
      <w:r>
        <w:rPr/>
        <w:t>maximin’,</w:t>
      </w:r>
      <w:r>
        <w:rPr>
          <w:spacing w:val="-9"/>
        </w:rPr>
        <w:t> </w:t>
      </w:r>
      <w:r>
        <w:rPr/>
        <w:t>es</w:t>
      </w:r>
      <w:r>
        <w:rPr>
          <w:spacing w:val="-9"/>
        </w:rPr>
        <w:t> </w:t>
      </w:r>
      <w:r>
        <w:rPr/>
        <w:t>idéntico</w:t>
      </w:r>
      <w:r>
        <w:rPr>
          <w:spacing w:val="-8"/>
        </w:rPr>
        <w:t> </w:t>
      </w:r>
      <w:r>
        <w:rPr/>
        <w:t>al</w:t>
      </w:r>
      <w:r>
        <w:rPr>
          <w:spacing w:val="-10"/>
        </w:rPr>
        <w:t> </w:t>
      </w:r>
      <w:r>
        <w:rPr/>
        <w:t>anterior</w:t>
      </w:r>
      <w:r>
        <w:rPr>
          <w:spacing w:val="-10"/>
        </w:rPr>
        <w:t> </w:t>
      </w:r>
      <w:r>
        <w:rPr/>
        <w:t>en</w:t>
      </w:r>
      <w:r>
        <w:rPr>
          <w:spacing w:val="-8"/>
        </w:rPr>
        <w:t> </w:t>
      </w:r>
      <w:r>
        <w:rPr/>
        <w:t>el</w:t>
      </w:r>
      <w:r>
        <w:rPr>
          <w:spacing w:val="-10"/>
        </w:rPr>
        <w:t> </w:t>
      </w:r>
      <w:r>
        <w:rPr/>
        <w:t>sentido</w:t>
      </w:r>
      <w:r>
        <w:rPr>
          <w:spacing w:val="-11"/>
        </w:rPr>
        <w:t> </w:t>
      </w:r>
      <w:r>
        <w:rPr/>
        <w:t>de</w:t>
      </w:r>
      <w:r>
        <w:rPr>
          <w:spacing w:val="-8"/>
        </w:rPr>
        <w:t> </w:t>
      </w:r>
      <w:r>
        <w:rPr/>
        <w:t>que</w:t>
      </w:r>
      <w:r>
        <w:rPr>
          <w:spacing w:val="-8"/>
        </w:rPr>
        <w:t> </w:t>
      </w:r>
      <w:r>
        <w:rPr/>
        <w:t>la</w:t>
      </w:r>
      <w:r>
        <w:rPr>
          <w:spacing w:val="-9"/>
        </w:rPr>
        <w:t> </w:t>
      </w:r>
      <w:r>
        <w:rPr/>
        <w:t>ganancia</w:t>
      </w:r>
      <w:r>
        <w:rPr>
          <w:spacing w:val="-8"/>
        </w:rPr>
        <w:t> </w:t>
      </w:r>
      <w:r>
        <w:rPr/>
        <w:t>puede</w:t>
      </w:r>
      <w:r>
        <w:rPr>
          <w:spacing w:val="-1"/>
        </w:rPr>
        <w:t> </w:t>
      </w:r>
      <w:r>
        <w:rPr/>
        <w:t>verse</w:t>
      </w:r>
      <w:r>
        <w:rPr>
          <w:spacing w:val="-9"/>
        </w:rPr>
        <w:t> </w:t>
      </w:r>
      <w:r>
        <w:rPr/>
        <w:t>como una perdida negativa” (Moreno,</w:t>
      </w:r>
      <w:r>
        <w:rPr>
          <w:spacing w:val="-15"/>
        </w:rPr>
        <w:t> </w:t>
      </w:r>
      <w:r>
        <w:rPr/>
        <w:t>2011:14).</w:t>
      </w:r>
    </w:p>
    <w:p>
      <w:pPr>
        <w:spacing w:before="201"/>
        <w:ind w:left="954" w:right="116" w:firstLine="0"/>
        <w:jc w:val="both"/>
        <w:rPr>
          <w:sz w:val="22"/>
        </w:rPr>
      </w:pPr>
      <w:r>
        <w:rPr>
          <w:sz w:val="22"/>
        </w:rPr>
        <w:t>En algunas situaciones el decisor tendrá cierta información sobre los eventos que pueden ocurrir. Evidentemente, el decisor debe tener en cuenta esta información, que por lo general se puede resumir en una distribución, llamada “distribución a priori”. Con frecuencia las distribuciones a priori son subjetivas, en el sentido de que</w:t>
      </w:r>
      <w:r>
        <w:rPr>
          <w:spacing w:val="-11"/>
          <w:sz w:val="22"/>
        </w:rPr>
        <w:t> </w:t>
      </w:r>
      <w:r>
        <w:rPr>
          <w:sz w:val="22"/>
        </w:rPr>
        <w:t>pueden</w:t>
      </w:r>
      <w:r>
        <w:rPr>
          <w:spacing w:val="-11"/>
          <w:sz w:val="22"/>
        </w:rPr>
        <w:t> </w:t>
      </w:r>
      <w:r>
        <w:rPr>
          <w:sz w:val="22"/>
        </w:rPr>
        <w:t>depender</w:t>
      </w:r>
      <w:r>
        <w:rPr>
          <w:spacing w:val="-10"/>
          <w:sz w:val="22"/>
        </w:rPr>
        <w:t> </w:t>
      </w:r>
      <w:r>
        <w:rPr>
          <w:sz w:val="22"/>
        </w:rPr>
        <w:t>de</w:t>
      </w:r>
      <w:r>
        <w:rPr>
          <w:spacing w:val="-11"/>
          <w:sz w:val="22"/>
        </w:rPr>
        <w:t> </w:t>
      </w:r>
      <w:r>
        <w:rPr>
          <w:sz w:val="22"/>
        </w:rPr>
        <w:t>la</w:t>
      </w:r>
      <w:r>
        <w:rPr>
          <w:spacing w:val="-9"/>
          <w:sz w:val="22"/>
        </w:rPr>
        <w:t> </w:t>
      </w:r>
      <w:r>
        <w:rPr>
          <w:sz w:val="22"/>
        </w:rPr>
        <w:t>experiencia</w:t>
      </w:r>
      <w:r>
        <w:rPr>
          <w:spacing w:val="-9"/>
          <w:sz w:val="22"/>
        </w:rPr>
        <w:t> </w:t>
      </w:r>
      <w:r>
        <w:rPr>
          <w:sz w:val="22"/>
        </w:rPr>
        <w:t>o</w:t>
      </w:r>
      <w:r>
        <w:rPr>
          <w:spacing w:val="-11"/>
          <w:sz w:val="22"/>
        </w:rPr>
        <w:t> </w:t>
      </w:r>
      <w:r>
        <w:rPr>
          <w:sz w:val="22"/>
        </w:rPr>
        <w:t>de</w:t>
      </w:r>
      <w:r>
        <w:rPr>
          <w:spacing w:val="-11"/>
          <w:sz w:val="22"/>
        </w:rPr>
        <w:t> </w:t>
      </w:r>
      <w:r>
        <w:rPr>
          <w:sz w:val="22"/>
        </w:rPr>
        <w:t>la</w:t>
      </w:r>
      <w:r>
        <w:rPr>
          <w:spacing w:val="-9"/>
          <w:sz w:val="22"/>
        </w:rPr>
        <w:t> </w:t>
      </w:r>
      <w:r>
        <w:rPr>
          <w:sz w:val="22"/>
        </w:rPr>
        <w:t>intuición</w:t>
      </w:r>
      <w:r>
        <w:rPr>
          <w:spacing w:val="-9"/>
          <w:sz w:val="22"/>
        </w:rPr>
        <w:t> </w:t>
      </w:r>
      <w:r>
        <w:rPr>
          <w:sz w:val="22"/>
        </w:rPr>
        <w:t>de</w:t>
      </w:r>
      <w:r>
        <w:rPr>
          <w:spacing w:val="-9"/>
          <w:sz w:val="22"/>
        </w:rPr>
        <w:t> </w:t>
      </w:r>
      <w:r>
        <w:rPr>
          <w:sz w:val="22"/>
        </w:rPr>
        <w:t>una</w:t>
      </w:r>
      <w:r>
        <w:rPr>
          <w:spacing w:val="-11"/>
          <w:sz w:val="22"/>
        </w:rPr>
        <w:t> </w:t>
      </w:r>
      <w:r>
        <w:rPr>
          <w:sz w:val="22"/>
        </w:rPr>
        <w:t>persona.</w:t>
      </w:r>
      <w:r>
        <w:rPr>
          <w:spacing w:val="-10"/>
          <w:sz w:val="22"/>
        </w:rPr>
        <w:t> </w:t>
      </w:r>
      <w:r>
        <w:rPr>
          <w:sz w:val="22"/>
        </w:rPr>
        <w:t>El</w:t>
      </w:r>
      <w:r>
        <w:rPr>
          <w:spacing w:val="-10"/>
          <w:sz w:val="22"/>
        </w:rPr>
        <w:t> </w:t>
      </w:r>
      <w:r>
        <w:rPr>
          <w:sz w:val="22"/>
        </w:rPr>
        <w:t>criterio de</w:t>
      </w:r>
      <w:r>
        <w:rPr>
          <w:spacing w:val="-10"/>
          <w:sz w:val="22"/>
        </w:rPr>
        <w:t> </w:t>
      </w:r>
      <w:r>
        <w:rPr>
          <w:sz w:val="22"/>
        </w:rPr>
        <w:t>Bayes</w:t>
      </w:r>
      <w:r>
        <w:rPr>
          <w:spacing w:val="-10"/>
          <w:sz w:val="22"/>
        </w:rPr>
        <w:t> </w:t>
      </w:r>
      <w:r>
        <w:rPr>
          <w:sz w:val="22"/>
        </w:rPr>
        <w:t>es</w:t>
      </w:r>
      <w:r>
        <w:rPr>
          <w:spacing w:val="-10"/>
          <w:sz w:val="22"/>
        </w:rPr>
        <w:t> </w:t>
      </w:r>
      <w:r>
        <w:rPr>
          <w:sz w:val="22"/>
        </w:rPr>
        <w:t>un</w:t>
      </w:r>
      <w:r>
        <w:rPr>
          <w:spacing w:val="-13"/>
          <w:sz w:val="22"/>
        </w:rPr>
        <w:t> </w:t>
      </w:r>
      <w:r>
        <w:rPr>
          <w:sz w:val="22"/>
        </w:rPr>
        <w:t>procedimiento</w:t>
      </w:r>
      <w:r>
        <w:rPr>
          <w:spacing w:val="-12"/>
          <w:sz w:val="22"/>
        </w:rPr>
        <w:t> </w:t>
      </w:r>
      <w:r>
        <w:rPr>
          <w:sz w:val="22"/>
        </w:rPr>
        <w:t>que</w:t>
      </w:r>
      <w:r>
        <w:rPr>
          <w:spacing w:val="-10"/>
          <w:sz w:val="22"/>
        </w:rPr>
        <w:t> </w:t>
      </w:r>
      <w:r>
        <w:rPr>
          <w:sz w:val="22"/>
        </w:rPr>
        <w:t>utiliza</w:t>
      </w:r>
      <w:r>
        <w:rPr>
          <w:spacing w:val="-10"/>
          <w:sz w:val="22"/>
        </w:rPr>
        <w:t> </w:t>
      </w:r>
      <w:r>
        <w:rPr>
          <w:sz w:val="22"/>
        </w:rPr>
        <w:t>la</w:t>
      </w:r>
      <w:r>
        <w:rPr>
          <w:spacing w:val="-10"/>
          <w:sz w:val="22"/>
        </w:rPr>
        <w:t> </w:t>
      </w:r>
      <w:r>
        <w:rPr>
          <w:sz w:val="22"/>
        </w:rPr>
        <w:t>distribución</w:t>
      </w:r>
      <w:r>
        <w:rPr>
          <w:spacing w:val="-10"/>
          <w:sz w:val="22"/>
        </w:rPr>
        <w:t> </w:t>
      </w:r>
      <w:r>
        <w:rPr>
          <w:sz w:val="22"/>
        </w:rPr>
        <w:t>a</w:t>
      </w:r>
      <w:r>
        <w:rPr>
          <w:spacing w:val="-10"/>
          <w:sz w:val="22"/>
        </w:rPr>
        <w:t> </w:t>
      </w:r>
      <w:r>
        <w:rPr>
          <w:sz w:val="22"/>
        </w:rPr>
        <w:t>priori</w:t>
      </w:r>
      <w:r>
        <w:rPr>
          <w:spacing w:val="-11"/>
          <w:sz w:val="22"/>
        </w:rPr>
        <w:t> </w:t>
      </w:r>
      <w:r>
        <w:rPr>
          <w:sz w:val="22"/>
        </w:rPr>
        <w:t>con</w:t>
      </w:r>
      <w:r>
        <w:rPr>
          <w:spacing w:val="-13"/>
          <w:sz w:val="22"/>
        </w:rPr>
        <w:t> </w:t>
      </w:r>
      <w:r>
        <w:rPr>
          <w:sz w:val="22"/>
        </w:rPr>
        <w:t>el</w:t>
      </w:r>
      <w:r>
        <w:rPr>
          <w:spacing w:val="-14"/>
          <w:sz w:val="22"/>
        </w:rPr>
        <w:t> </w:t>
      </w:r>
      <w:r>
        <w:rPr>
          <w:sz w:val="22"/>
        </w:rPr>
        <w:t>fin</w:t>
      </w:r>
      <w:r>
        <w:rPr>
          <w:spacing w:val="-13"/>
          <w:sz w:val="22"/>
        </w:rPr>
        <w:t> </w:t>
      </w:r>
      <w:r>
        <w:rPr>
          <w:sz w:val="22"/>
        </w:rPr>
        <w:t>de</w:t>
      </w:r>
      <w:r>
        <w:rPr>
          <w:spacing w:val="-13"/>
          <w:sz w:val="22"/>
        </w:rPr>
        <w:t> </w:t>
      </w:r>
      <w:r>
        <w:rPr>
          <w:sz w:val="22"/>
        </w:rPr>
        <w:t>ayudar en la selección de una acción (Moreno,</w:t>
      </w:r>
      <w:r>
        <w:rPr>
          <w:spacing w:val="-8"/>
          <w:sz w:val="22"/>
        </w:rPr>
        <w:t> </w:t>
      </w:r>
      <w:r>
        <w:rPr>
          <w:sz w:val="22"/>
        </w:rPr>
        <w:t>2011:16-17).</w:t>
      </w:r>
    </w:p>
    <w:p>
      <w:pPr>
        <w:pStyle w:val="BodyText"/>
        <w:rPr>
          <w:sz w:val="22"/>
        </w:rPr>
      </w:pPr>
    </w:p>
    <w:p>
      <w:pPr>
        <w:pStyle w:val="BodyText"/>
        <w:rPr>
          <w:sz w:val="22"/>
        </w:rPr>
      </w:pPr>
    </w:p>
    <w:p>
      <w:pPr>
        <w:pStyle w:val="BodyText"/>
        <w:spacing w:line="360" w:lineRule="auto" w:before="149"/>
        <w:ind w:left="102" w:right="117"/>
        <w:jc w:val="both"/>
      </w:pPr>
      <w:r>
        <w:rPr/>
        <w:t>Por</w:t>
      </w:r>
      <w:r>
        <w:rPr>
          <w:spacing w:val="-7"/>
        </w:rPr>
        <w:t> </w:t>
      </w:r>
      <w:r>
        <w:rPr/>
        <w:t>último</w:t>
      </w:r>
      <w:r>
        <w:rPr>
          <w:spacing w:val="-6"/>
        </w:rPr>
        <w:t> </w:t>
      </w:r>
      <w:r>
        <w:rPr/>
        <w:t>de</w:t>
      </w:r>
      <w:r>
        <w:rPr>
          <w:spacing w:val="-6"/>
        </w:rPr>
        <w:t> </w:t>
      </w:r>
      <w:r>
        <w:rPr/>
        <w:t>acuerdo</w:t>
      </w:r>
      <w:r>
        <w:rPr>
          <w:spacing w:val="-8"/>
        </w:rPr>
        <w:t> </w:t>
      </w:r>
      <w:r>
        <w:rPr/>
        <w:t>al</w:t>
      </w:r>
      <w:r>
        <w:rPr>
          <w:spacing w:val="-7"/>
        </w:rPr>
        <w:t> </w:t>
      </w:r>
      <w:r>
        <w:rPr/>
        <w:t>mismo</w:t>
      </w:r>
      <w:r>
        <w:rPr>
          <w:spacing w:val="-6"/>
        </w:rPr>
        <w:t> </w:t>
      </w:r>
      <w:r>
        <w:rPr/>
        <w:t>autor</w:t>
      </w:r>
      <w:r>
        <w:rPr>
          <w:spacing w:val="-7"/>
        </w:rPr>
        <w:t> </w:t>
      </w:r>
      <w:r>
        <w:rPr/>
        <w:t>Moreno</w:t>
      </w:r>
      <w:r>
        <w:rPr>
          <w:spacing w:val="-8"/>
        </w:rPr>
        <w:t> </w:t>
      </w:r>
      <w:r>
        <w:rPr/>
        <w:t>(2011)</w:t>
      </w:r>
      <w:r>
        <w:rPr>
          <w:spacing w:val="-7"/>
        </w:rPr>
        <w:t> </w:t>
      </w:r>
      <w:r>
        <w:rPr/>
        <w:t>tenemos</w:t>
      </w:r>
      <w:r>
        <w:rPr>
          <w:spacing w:val="-7"/>
        </w:rPr>
        <w:t> </w:t>
      </w:r>
      <w:r>
        <w:rPr/>
        <w:t>el</w:t>
      </w:r>
      <w:r>
        <w:rPr>
          <w:spacing w:val="-7"/>
        </w:rPr>
        <w:t> </w:t>
      </w:r>
      <w:r>
        <w:rPr/>
        <w:t>criterio</w:t>
      </w:r>
      <w:r>
        <w:rPr>
          <w:spacing w:val="-6"/>
        </w:rPr>
        <w:t> </w:t>
      </w:r>
      <w:r>
        <w:rPr/>
        <w:t>de</w:t>
      </w:r>
      <w:r>
        <w:rPr>
          <w:spacing w:val="-8"/>
        </w:rPr>
        <w:t> </w:t>
      </w:r>
      <w:r>
        <w:rPr/>
        <w:t>máxima verosimilitud el cual consiste en que el interés se centra en el evento que tiene mayor probabilidad, con la exclusión de los eventos, se escoge la acción más conveniente.</w:t>
      </w:r>
    </w:p>
    <w:p>
      <w:pPr>
        <w:pStyle w:val="BodyText"/>
        <w:spacing w:line="360" w:lineRule="auto" w:before="204"/>
        <w:ind w:left="102" w:right="117"/>
        <w:jc w:val="both"/>
      </w:pPr>
      <w:r>
        <w:rPr>
          <w:b/>
        </w:rPr>
        <w:t>3.</w:t>
      </w:r>
      <w:r>
        <w:rPr/>
        <w:t>-</w:t>
      </w:r>
      <w:r>
        <w:rPr>
          <w:spacing w:val="-5"/>
        </w:rPr>
        <w:t> </w:t>
      </w:r>
      <w:r>
        <w:rPr>
          <w:b/>
        </w:rPr>
        <w:t>Generación</w:t>
      </w:r>
      <w:r>
        <w:rPr>
          <w:b/>
          <w:spacing w:val="-4"/>
        </w:rPr>
        <w:t> </w:t>
      </w:r>
      <w:r>
        <w:rPr>
          <w:b/>
        </w:rPr>
        <w:t>de</w:t>
      </w:r>
      <w:r>
        <w:rPr>
          <w:b/>
          <w:spacing w:val="-6"/>
        </w:rPr>
        <w:t> </w:t>
      </w:r>
      <w:r>
        <w:rPr>
          <w:b/>
        </w:rPr>
        <w:t>acciones</w:t>
      </w:r>
      <w:r>
        <w:rPr>
          <w:b/>
          <w:spacing w:val="-6"/>
        </w:rPr>
        <w:t> </w:t>
      </w:r>
      <w:r>
        <w:rPr>
          <w:b/>
        </w:rPr>
        <w:t>viables</w:t>
      </w:r>
      <w:r>
        <w:rPr/>
        <w:t>.</w:t>
      </w:r>
      <w:r>
        <w:rPr>
          <w:spacing w:val="-4"/>
        </w:rPr>
        <w:t> </w:t>
      </w:r>
      <w:r>
        <w:rPr/>
        <w:t>Es</w:t>
      </w:r>
      <w:r>
        <w:rPr>
          <w:spacing w:val="-7"/>
        </w:rPr>
        <w:t> </w:t>
      </w:r>
      <w:r>
        <w:rPr/>
        <w:t>la</w:t>
      </w:r>
      <w:r>
        <w:rPr>
          <w:spacing w:val="-6"/>
        </w:rPr>
        <w:t> </w:t>
      </w:r>
      <w:r>
        <w:rPr/>
        <w:t>búsqueda</w:t>
      </w:r>
      <w:r>
        <w:rPr>
          <w:spacing w:val="-4"/>
        </w:rPr>
        <w:t> </w:t>
      </w:r>
      <w:r>
        <w:rPr/>
        <w:t>de</w:t>
      </w:r>
      <w:r>
        <w:rPr>
          <w:spacing w:val="-6"/>
        </w:rPr>
        <w:t> </w:t>
      </w:r>
      <w:r>
        <w:rPr/>
        <w:t>acciones</w:t>
      </w:r>
      <w:r>
        <w:rPr>
          <w:spacing w:val="-4"/>
        </w:rPr>
        <w:t> </w:t>
      </w:r>
      <w:r>
        <w:rPr/>
        <w:t>viables</w:t>
      </w:r>
      <w:r>
        <w:rPr>
          <w:spacing w:val="-4"/>
        </w:rPr>
        <w:t> </w:t>
      </w:r>
      <w:r>
        <w:rPr/>
        <w:t>que</w:t>
      </w:r>
      <w:r>
        <w:rPr>
          <w:spacing w:val="-6"/>
        </w:rPr>
        <w:t> </w:t>
      </w:r>
      <w:r>
        <w:rPr/>
        <w:t>den respuesta al problema. Las acciones viables son pues soluciones a un conflicto. “Desplegar las alternativas posibles, para ello es necesario hacer un análisis detallado de las posibles soluciones. La persona debe tomar una decisión y tiene que elaborar una lista de todas las alternativas disponibles para la solución de un determinado problema” (FUNDESYRAM,</w:t>
      </w:r>
      <w:r>
        <w:rPr>
          <w:spacing w:val="-9"/>
        </w:rPr>
        <w:t> </w:t>
      </w:r>
      <w:r>
        <w:rPr/>
        <w:t>2011:28)</w:t>
      </w:r>
    </w:p>
    <w:p>
      <w:pPr>
        <w:pStyle w:val="BodyText"/>
        <w:spacing w:before="3"/>
        <w:rPr>
          <w:sz w:val="21"/>
        </w:rPr>
      </w:pPr>
    </w:p>
    <w:p>
      <w:pPr>
        <w:pStyle w:val="BodyText"/>
        <w:spacing w:line="360" w:lineRule="auto"/>
        <w:ind w:left="102" w:right="117"/>
        <w:jc w:val="both"/>
      </w:pPr>
      <w:r>
        <w:rPr>
          <w:b/>
        </w:rPr>
        <w:t>4.- Evaluación de acciones viables</w:t>
      </w:r>
      <w:r>
        <w:rPr/>
        <w:t>. Convenientemente la vía de conocer las opciones razonables que pueden resolver un problema, son valoradas para poder apreciar las fuerzas y debilidades que presentan, las ventajas y desventajas que reportan. La evaluación de las acciones puede diferir grandemente en la metodología a emplear. “La evaluación de cada alternativa se hace al analizar con respecto a criterios ponderados escritos antes de hacer la evaluación. Una vez identificadas</w:t>
      </w:r>
      <w:r>
        <w:rPr>
          <w:spacing w:val="-13"/>
        </w:rPr>
        <w:t> </w:t>
      </w:r>
      <w:r>
        <w:rPr/>
        <w:t>las</w:t>
      </w:r>
      <w:r>
        <w:rPr>
          <w:spacing w:val="-12"/>
        </w:rPr>
        <w:t> </w:t>
      </w:r>
      <w:r>
        <w:rPr/>
        <w:t>alternativas,</w:t>
      </w:r>
      <w:r>
        <w:rPr>
          <w:spacing w:val="-10"/>
        </w:rPr>
        <w:t> </w:t>
      </w:r>
      <w:r>
        <w:rPr/>
        <w:t>el</w:t>
      </w:r>
      <w:r>
        <w:rPr>
          <w:spacing w:val="-11"/>
        </w:rPr>
        <w:t> </w:t>
      </w:r>
      <w:r>
        <w:rPr/>
        <w:t>tomador</w:t>
      </w:r>
      <w:r>
        <w:rPr>
          <w:spacing w:val="-11"/>
        </w:rPr>
        <w:t> </w:t>
      </w:r>
      <w:r>
        <w:rPr/>
        <w:t>de</w:t>
      </w:r>
      <w:r>
        <w:rPr>
          <w:spacing w:val="-9"/>
        </w:rPr>
        <w:t> </w:t>
      </w:r>
      <w:r>
        <w:rPr/>
        <w:t>decisiones</w:t>
      </w:r>
      <w:r>
        <w:rPr>
          <w:spacing w:val="-13"/>
        </w:rPr>
        <w:t> </w:t>
      </w:r>
      <w:r>
        <w:rPr/>
        <w:t>tiene</w:t>
      </w:r>
      <w:r>
        <w:rPr>
          <w:spacing w:val="-9"/>
        </w:rPr>
        <w:t> </w:t>
      </w:r>
      <w:r>
        <w:rPr/>
        <w:t>que</w:t>
      </w:r>
      <w:r>
        <w:rPr>
          <w:spacing w:val="-12"/>
        </w:rPr>
        <w:t> </w:t>
      </w:r>
      <w:r>
        <w:rPr/>
        <w:t>evaluar</w:t>
      </w:r>
      <w:r>
        <w:rPr>
          <w:spacing w:val="-13"/>
        </w:rPr>
        <w:t> </w:t>
      </w:r>
      <w:r>
        <w:rPr/>
        <w:t>de</w:t>
      </w:r>
      <w:r>
        <w:rPr>
          <w:spacing w:val="-12"/>
        </w:rPr>
        <w:t> </w:t>
      </w:r>
      <w:r>
        <w:rPr/>
        <w:t>manera crítica cada una de ellas. Las ventajas y desventajas de cada alternativa resultan evidentes cuando son comparadas” (FUNDESYRAM,</w:t>
      </w:r>
      <w:r>
        <w:rPr>
          <w:spacing w:val="-14"/>
        </w:rPr>
        <w:t> </w:t>
      </w:r>
      <w:r>
        <w:rPr/>
        <w:t>2011:28).</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b/>
        </w:rPr>
        <w:t>5.- Selección de las acciones viables</w:t>
      </w:r>
      <w:r>
        <w:rPr/>
        <w:t>. En esta etapa se intenta hallar la acción que</w:t>
      </w:r>
      <w:r>
        <w:rPr>
          <w:spacing w:val="-14"/>
        </w:rPr>
        <w:t> </w:t>
      </w:r>
      <w:r>
        <w:rPr/>
        <w:t>mejor</w:t>
      </w:r>
      <w:r>
        <w:rPr>
          <w:spacing w:val="-16"/>
        </w:rPr>
        <w:t> </w:t>
      </w:r>
      <w:r>
        <w:rPr/>
        <w:t>responda</w:t>
      </w:r>
      <w:r>
        <w:rPr>
          <w:spacing w:val="-16"/>
        </w:rPr>
        <w:t> </w:t>
      </w:r>
      <w:r>
        <w:rPr/>
        <w:t>a</w:t>
      </w:r>
      <w:r>
        <w:rPr>
          <w:spacing w:val="-14"/>
        </w:rPr>
        <w:t> </w:t>
      </w:r>
      <w:r>
        <w:rPr/>
        <w:t>las</w:t>
      </w:r>
      <w:r>
        <w:rPr>
          <w:spacing w:val="-15"/>
        </w:rPr>
        <w:t> </w:t>
      </w:r>
      <w:r>
        <w:rPr/>
        <w:t>necesidades</w:t>
      </w:r>
      <w:r>
        <w:rPr>
          <w:spacing w:val="-15"/>
        </w:rPr>
        <w:t> </w:t>
      </w:r>
      <w:r>
        <w:rPr/>
        <w:t>que</w:t>
      </w:r>
      <w:r>
        <w:rPr>
          <w:spacing w:val="-17"/>
        </w:rPr>
        <w:t> </w:t>
      </w:r>
      <w:r>
        <w:rPr/>
        <w:t>plantean</w:t>
      </w:r>
      <w:r>
        <w:rPr>
          <w:spacing w:val="-17"/>
        </w:rPr>
        <w:t> </w:t>
      </w:r>
      <w:r>
        <w:rPr/>
        <w:t>el</w:t>
      </w:r>
      <w:r>
        <w:rPr>
          <w:spacing w:val="-15"/>
        </w:rPr>
        <w:t> </w:t>
      </w:r>
      <w:r>
        <w:rPr/>
        <w:t>problema,</w:t>
      </w:r>
      <w:r>
        <w:rPr>
          <w:spacing w:val="-14"/>
        </w:rPr>
        <w:t> </w:t>
      </w:r>
      <w:r>
        <w:rPr/>
        <w:t>para</w:t>
      </w:r>
      <w:r>
        <w:rPr>
          <w:spacing w:val="-15"/>
        </w:rPr>
        <w:t> </w:t>
      </w:r>
      <w:r>
        <w:rPr/>
        <w:t>la</w:t>
      </w:r>
      <w:r>
        <w:rPr>
          <w:spacing w:val="-14"/>
        </w:rPr>
        <w:t> </w:t>
      </w:r>
      <w:r>
        <w:rPr/>
        <w:t>cual</w:t>
      </w:r>
      <w:r>
        <w:rPr>
          <w:spacing w:val="-9"/>
        </w:rPr>
        <w:t> </w:t>
      </w:r>
      <w:r>
        <w:rPr/>
        <w:t>hacen uso de las técnicas cuantitativas clásicas o las técnicas no</w:t>
      </w:r>
      <w:r>
        <w:rPr>
          <w:spacing w:val="-19"/>
        </w:rPr>
        <w:t> </w:t>
      </w:r>
      <w:r>
        <w:rPr/>
        <w:t>convencionales.</w:t>
      </w:r>
    </w:p>
    <w:p>
      <w:pPr>
        <w:spacing w:before="204"/>
        <w:ind w:left="954" w:right="116" w:firstLine="0"/>
        <w:jc w:val="both"/>
        <w:rPr>
          <w:sz w:val="22"/>
        </w:rPr>
      </w:pPr>
      <w:r>
        <w:rPr>
          <w:sz w:val="22"/>
        </w:rPr>
        <w:t>Un aspecto muy importante en esta fase es que la elección de la alternativa se acompañe de una segunda selección para el caso de que aquella no logre los resultados esperados o encuentre resistencia en su aplicación. El que decide deber</w:t>
      </w:r>
      <w:r>
        <w:rPr>
          <w:spacing w:val="-9"/>
          <w:sz w:val="22"/>
        </w:rPr>
        <w:t> </w:t>
      </w:r>
      <w:r>
        <w:rPr>
          <w:sz w:val="22"/>
        </w:rPr>
        <w:t>ser</w:t>
      </w:r>
      <w:r>
        <w:rPr>
          <w:spacing w:val="-12"/>
          <w:sz w:val="22"/>
        </w:rPr>
        <w:t> </w:t>
      </w:r>
      <w:r>
        <w:rPr>
          <w:sz w:val="22"/>
        </w:rPr>
        <w:t>capaz</w:t>
      </w:r>
      <w:r>
        <w:rPr>
          <w:spacing w:val="-13"/>
          <w:sz w:val="22"/>
        </w:rPr>
        <w:t> </w:t>
      </w:r>
      <w:r>
        <w:rPr>
          <w:sz w:val="22"/>
        </w:rPr>
        <w:t>de</w:t>
      </w:r>
      <w:r>
        <w:rPr>
          <w:spacing w:val="-10"/>
          <w:sz w:val="22"/>
        </w:rPr>
        <w:t> </w:t>
      </w:r>
      <w:r>
        <w:rPr>
          <w:sz w:val="22"/>
        </w:rPr>
        <w:t>prever</w:t>
      </w:r>
      <w:r>
        <w:rPr>
          <w:spacing w:val="-9"/>
          <w:sz w:val="22"/>
        </w:rPr>
        <w:t> </w:t>
      </w:r>
      <w:r>
        <w:rPr>
          <w:sz w:val="22"/>
        </w:rPr>
        <w:t>con</w:t>
      </w:r>
      <w:r>
        <w:rPr>
          <w:spacing w:val="-10"/>
          <w:sz w:val="22"/>
        </w:rPr>
        <w:t> </w:t>
      </w:r>
      <w:r>
        <w:rPr>
          <w:sz w:val="22"/>
        </w:rPr>
        <w:t>anticipación</w:t>
      </w:r>
      <w:r>
        <w:rPr>
          <w:spacing w:val="-10"/>
          <w:sz w:val="22"/>
        </w:rPr>
        <w:t> </w:t>
      </w:r>
      <w:r>
        <w:rPr>
          <w:sz w:val="22"/>
        </w:rPr>
        <w:t>los</w:t>
      </w:r>
      <w:r>
        <w:rPr>
          <w:spacing w:val="-10"/>
          <w:sz w:val="22"/>
        </w:rPr>
        <w:t> </w:t>
      </w:r>
      <w:r>
        <w:rPr>
          <w:sz w:val="22"/>
        </w:rPr>
        <w:t>problemas</w:t>
      </w:r>
      <w:r>
        <w:rPr>
          <w:spacing w:val="-12"/>
          <w:sz w:val="22"/>
        </w:rPr>
        <w:t> </w:t>
      </w:r>
      <w:r>
        <w:rPr>
          <w:sz w:val="22"/>
        </w:rPr>
        <w:t>que</w:t>
      </w:r>
      <w:r>
        <w:rPr>
          <w:spacing w:val="-10"/>
          <w:sz w:val="22"/>
        </w:rPr>
        <w:t> </w:t>
      </w:r>
      <w:r>
        <w:rPr>
          <w:sz w:val="22"/>
        </w:rPr>
        <w:t>puedan</w:t>
      </w:r>
      <w:r>
        <w:rPr>
          <w:spacing w:val="-10"/>
          <w:sz w:val="22"/>
        </w:rPr>
        <w:t> </w:t>
      </w:r>
      <w:r>
        <w:rPr>
          <w:sz w:val="22"/>
        </w:rPr>
        <w:t>presentarse y, al igual que una estrategia militar, introducir cambios en sus filas, de acuerdo con el comportamiento de sus huestes las del enemigo en el campo de batalla (Rodríguez y Márquez,</w:t>
      </w:r>
      <w:r>
        <w:rPr>
          <w:spacing w:val="-7"/>
          <w:sz w:val="22"/>
        </w:rPr>
        <w:t> </w:t>
      </w:r>
      <w:r>
        <w:rPr>
          <w:sz w:val="22"/>
        </w:rPr>
        <w:t>1988:14).</w:t>
      </w:r>
    </w:p>
    <w:p>
      <w:pPr>
        <w:pStyle w:val="BodyText"/>
        <w:spacing w:before="3"/>
        <w:rPr>
          <w:sz w:val="17"/>
        </w:rPr>
      </w:pPr>
    </w:p>
    <w:p>
      <w:pPr>
        <w:pStyle w:val="BodyText"/>
        <w:spacing w:line="360" w:lineRule="auto"/>
        <w:ind w:left="102" w:right="121"/>
        <w:jc w:val="both"/>
      </w:pPr>
      <w:r>
        <w:rPr>
          <w:b/>
        </w:rPr>
        <w:t>6.- Implantación y control</w:t>
      </w:r>
      <w:r>
        <w:rPr/>
        <w:t>. La implantación exige adecuar las estructuras organizativas</w:t>
      </w:r>
      <w:r>
        <w:rPr>
          <w:spacing w:val="-10"/>
        </w:rPr>
        <w:t> </w:t>
      </w:r>
      <w:r>
        <w:rPr/>
        <w:t>y</w:t>
      </w:r>
      <w:r>
        <w:rPr>
          <w:spacing w:val="-13"/>
        </w:rPr>
        <w:t> </w:t>
      </w:r>
      <w:r>
        <w:rPr/>
        <w:t>asignar</w:t>
      </w:r>
      <w:r>
        <w:rPr>
          <w:spacing w:val="-11"/>
        </w:rPr>
        <w:t> </w:t>
      </w:r>
      <w:r>
        <w:rPr/>
        <w:t>los</w:t>
      </w:r>
      <w:r>
        <w:rPr>
          <w:spacing w:val="-10"/>
        </w:rPr>
        <w:t> </w:t>
      </w:r>
      <w:r>
        <w:rPr/>
        <w:t>medios</w:t>
      </w:r>
      <w:r>
        <w:rPr>
          <w:spacing w:val="-10"/>
        </w:rPr>
        <w:t> </w:t>
      </w:r>
      <w:r>
        <w:rPr/>
        <w:t>necesarios</w:t>
      </w:r>
      <w:r>
        <w:rPr>
          <w:spacing w:val="-13"/>
        </w:rPr>
        <w:t> </w:t>
      </w:r>
      <w:r>
        <w:rPr/>
        <w:t>que</w:t>
      </w:r>
      <w:r>
        <w:rPr>
          <w:spacing w:val="-9"/>
        </w:rPr>
        <w:t> </w:t>
      </w:r>
      <w:r>
        <w:rPr/>
        <w:t>contribuyan</w:t>
      </w:r>
      <w:r>
        <w:rPr>
          <w:spacing w:val="-12"/>
        </w:rPr>
        <w:t> </w:t>
      </w:r>
      <w:r>
        <w:rPr/>
        <w:t>a</w:t>
      </w:r>
      <w:r>
        <w:rPr>
          <w:spacing w:val="-9"/>
        </w:rPr>
        <w:t> </w:t>
      </w:r>
      <w:r>
        <w:rPr/>
        <w:t>realizar</w:t>
      </w:r>
      <w:r>
        <w:rPr>
          <w:spacing w:val="-11"/>
        </w:rPr>
        <w:t> </w:t>
      </w:r>
      <w:r>
        <w:rPr/>
        <w:t>en</w:t>
      </w:r>
      <w:r>
        <w:rPr>
          <w:spacing w:val="-9"/>
        </w:rPr>
        <w:t> </w:t>
      </w:r>
      <w:r>
        <w:rPr/>
        <w:t>buenas condiciones las fases que implique ejecutar la acción</w:t>
      </w:r>
      <w:r>
        <w:rPr>
          <w:spacing w:val="-23"/>
        </w:rPr>
        <w:t> </w:t>
      </w:r>
      <w:r>
        <w:rPr/>
        <w:t>recomendada.</w:t>
      </w:r>
    </w:p>
    <w:p>
      <w:pPr>
        <w:pStyle w:val="BodyText"/>
        <w:spacing w:line="360" w:lineRule="auto" w:before="204"/>
        <w:ind w:left="102" w:right="116"/>
        <w:jc w:val="both"/>
      </w:pPr>
      <w:r>
        <w:rPr/>
        <w:t>La culminación del proceso tiene una connotación del plano de lo posible a llevarlo a realidad. Desde que comienza el proceso, al determinar la existencia de un problema, se va abandonando los hechos que hasta cierto momento son observables para concentrarnos en construcciones reales que solucionen cierta problemática. El que decide debe poner mucha atención a la hora de ejecutar y establecer los procedimientos que permitan el seguimiento adecuado de la acción viable que no es otra cosa que la alternativa seleccionada.</w:t>
      </w:r>
    </w:p>
    <w:p>
      <w:pPr>
        <w:pStyle w:val="BodyText"/>
      </w:pPr>
    </w:p>
    <w:p>
      <w:pPr>
        <w:pStyle w:val="Heading1"/>
        <w:numPr>
          <w:ilvl w:val="2"/>
          <w:numId w:val="8"/>
        </w:numPr>
        <w:tabs>
          <w:tab w:pos="2337" w:val="left" w:leader="none"/>
        </w:tabs>
        <w:spacing w:line="240" w:lineRule="auto" w:before="205" w:after="0"/>
        <w:ind w:left="2337" w:right="0" w:hanging="704"/>
        <w:jc w:val="left"/>
      </w:pPr>
      <w:bookmarkStart w:name="_TOC_250045" w:id="7"/>
      <w:r>
        <w:rPr/>
        <w:t>Situaciones de decisión (El</w:t>
      </w:r>
      <w:r>
        <w:rPr>
          <w:spacing w:val="-18"/>
        </w:rPr>
        <w:t> </w:t>
      </w:r>
      <w:bookmarkEnd w:id="7"/>
      <w:r>
        <w:rPr/>
        <w:t>Problema)</w:t>
      </w:r>
    </w:p>
    <w:p>
      <w:pPr>
        <w:pStyle w:val="BodyText"/>
        <w:rPr>
          <w:b/>
          <w:sz w:val="28"/>
        </w:rPr>
      </w:pPr>
    </w:p>
    <w:p>
      <w:pPr>
        <w:pStyle w:val="BodyText"/>
        <w:spacing w:line="360" w:lineRule="auto" w:before="178"/>
        <w:ind w:left="102" w:right="114"/>
        <w:jc w:val="both"/>
      </w:pPr>
      <w:r>
        <w:rPr/>
        <w:t>¿Qué</w:t>
      </w:r>
      <w:r>
        <w:rPr>
          <w:spacing w:val="-5"/>
        </w:rPr>
        <w:t> </w:t>
      </w:r>
      <w:r>
        <w:rPr/>
        <w:t>es</w:t>
      </w:r>
      <w:r>
        <w:rPr>
          <w:spacing w:val="-5"/>
        </w:rPr>
        <w:t> </w:t>
      </w:r>
      <w:r>
        <w:rPr/>
        <w:t>un</w:t>
      </w:r>
      <w:r>
        <w:rPr>
          <w:spacing w:val="-5"/>
        </w:rPr>
        <w:t> </w:t>
      </w:r>
      <w:r>
        <w:rPr/>
        <w:t>problema?;</w:t>
      </w:r>
      <w:r>
        <w:rPr>
          <w:spacing w:val="-3"/>
        </w:rPr>
        <w:t> </w:t>
      </w:r>
      <w:r>
        <w:rPr/>
        <w:t>un</w:t>
      </w:r>
      <w:r>
        <w:rPr>
          <w:spacing w:val="-5"/>
        </w:rPr>
        <w:t> </w:t>
      </w:r>
      <w:r>
        <w:rPr/>
        <w:t>problema</w:t>
      </w:r>
      <w:r>
        <w:rPr>
          <w:spacing w:val="-3"/>
        </w:rPr>
        <w:t> </w:t>
      </w:r>
      <w:r>
        <w:rPr/>
        <w:t>origina</w:t>
      </w:r>
      <w:r>
        <w:rPr>
          <w:spacing w:val="-4"/>
        </w:rPr>
        <w:t> </w:t>
      </w:r>
      <w:r>
        <w:rPr/>
        <w:t>tomar</w:t>
      </w:r>
      <w:r>
        <w:rPr>
          <w:spacing w:val="-5"/>
        </w:rPr>
        <w:t> </w:t>
      </w:r>
      <w:r>
        <w:rPr/>
        <w:t>una</w:t>
      </w:r>
      <w:r>
        <w:rPr>
          <w:spacing w:val="-6"/>
        </w:rPr>
        <w:t> </w:t>
      </w:r>
      <w:r>
        <w:rPr/>
        <w:t>decisión</w:t>
      </w:r>
      <w:r>
        <w:rPr>
          <w:spacing w:val="-6"/>
        </w:rPr>
        <w:t> </w:t>
      </w:r>
      <w:r>
        <w:rPr/>
        <w:t>e</w:t>
      </w:r>
      <w:r>
        <w:rPr>
          <w:spacing w:val="-5"/>
        </w:rPr>
        <w:t> </w:t>
      </w:r>
      <w:r>
        <w:rPr/>
        <w:t>implementar</w:t>
      </w:r>
      <w:r>
        <w:rPr>
          <w:spacing w:val="-5"/>
        </w:rPr>
        <w:t> </w:t>
      </w:r>
      <w:r>
        <w:rPr/>
        <w:t>una acción para solucionarlo. “Un problema es una cuestión determinada o asunto </w:t>
      </w:r>
      <w:r>
        <w:rPr>
          <w:spacing w:val="-2"/>
        </w:rPr>
        <w:t>que </w:t>
      </w:r>
      <w:r>
        <w:rPr/>
        <w:t>requiere</w:t>
      </w:r>
      <w:r>
        <w:rPr>
          <w:spacing w:val="-7"/>
        </w:rPr>
        <w:t> </w:t>
      </w:r>
      <w:r>
        <w:rPr/>
        <w:t>una</w:t>
      </w:r>
      <w:r>
        <w:rPr>
          <w:spacing w:val="-7"/>
        </w:rPr>
        <w:t> </w:t>
      </w:r>
      <w:r>
        <w:rPr/>
        <w:t>solución</w:t>
      </w:r>
      <w:r>
        <w:rPr>
          <w:spacing w:val="-9"/>
        </w:rPr>
        <w:t> </w:t>
      </w:r>
      <w:r>
        <w:rPr/>
        <w:t>o</w:t>
      </w:r>
      <w:r>
        <w:rPr>
          <w:spacing w:val="-7"/>
        </w:rPr>
        <w:t> </w:t>
      </w:r>
      <w:r>
        <w:rPr/>
        <w:t>un</w:t>
      </w:r>
      <w:r>
        <w:rPr>
          <w:spacing w:val="-9"/>
        </w:rPr>
        <w:t> </w:t>
      </w:r>
      <w:r>
        <w:rPr/>
        <w:t>conjunto</w:t>
      </w:r>
      <w:r>
        <w:rPr>
          <w:spacing w:val="-7"/>
        </w:rPr>
        <w:t> </w:t>
      </w:r>
      <w:r>
        <w:rPr/>
        <w:t>de</w:t>
      </w:r>
      <w:r>
        <w:rPr>
          <w:spacing w:val="-9"/>
        </w:rPr>
        <w:t> </w:t>
      </w:r>
      <w:r>
        <w:rPr/>
        <w:t>hechos</w:t>
      </w:r>
      <w:r>
        <w:rPr>
          <w:spacing w:val="-8"/>
        </w:rPr>
        <w:t> </w:t>
      </w:r>
      <w:r>
        <w:rPr/>
        <w:t>o</w:t>
      </w:r>
      <w:r>
        <w:rPr>
          <w:spacing w:val="-7"/>
        </w:rPr>
        <w:t> </w:t>
      </w:r>
      <w:r>
        <w:rPr/>
        <w:t>circunstancias</w:t>
      </w:r>
      <w:r>
        <w:rPr>
          <w:spacing w:val="-7"/>
        </w:rPr>
        <w:t> </w:t>
      </w:r>
      <w:r>
        <w:rPr/>
        <w:t>que</w:t>
      </w:r>
      <w:r>
        <w:rPr>
          <w:spacing w:val="-7"/>
        </w:rPr>
        <w:t> </w:t>
      </w:r>
      <w:r>
        <w:rPr/>
        <w:t>dificultan</w:t>
      </w:r>
      <w:r>
        <w:rPr>
          <w:spacing w:val="-9"/>
        </w:rPr>
        <w:t> </w:t>
      </w:r>
      <w:r>
        <w:rPr/>
        <w:t>algún fin. Es decir un problema lo podemos determinar cómo ‘que es lo que anda mal’ ” (FUNDESYRAM,</w:t>
      </w:r>
      <w:r>
        <w:rPr>
          <w:spacing w:val="-4"/>
        </w:rPr>
        <w:t> </w:t>
      </w:r>
      <w:r>
        <w:rPr/>
        <w:t>2011:18).</w:t>
      </w:r>
    </w:p>
    <w:p>
      <w:pPr>
        <w:pStyle w:val="BodyText"/>
        <w:spacing w:before="1"/>
        <w:rPr>
          <w:sz w:val="21"/>
        </w:rPr>
      </w:pPr>
    </w:p>
    <w:p>
      <w:pPr>
        <w:pStyle w:val="BodyText"/>
        <w:spacing w:line="360" w:lineRule="auto"/>
        <w:ind w:left="102" w:right="117"/>
        <w:jc w:val="both"/>
      </w:pPr>
      <w:r>
        <w:rPr/>
        <w:t>El actor que toma la decisión quiere lograr algo, alcanzar una situación distinta a la del estado original. Sin embargo, existen algunos factores que impiden el logro de los objetivos y que se encuentran fuera del control del decisor.</w:t>
      </w:r>
    </w:p>
    <w:p>
      <w:pPr>
        <w:spacing w:after="0" w:line="360" w:lineRule="auto"/>
        <w:jc w:val="both"/>
        <w:sectPr>
          <w:footerReference w:type="default" r:id="rId25"/>
          <w:pgSz w:w="12240" w:h="15840"/>
          <w:pgMar w:footer="992" w:header="0" w:top="1360" w:bottom="1180" w:left="1600" w:right="1580"/>
        </w:sectPr>
      </w:pPr>
    </w:p>
    <w:p>
      <w:pPr>
        <w:pStyle w:val="BodyText"/>
        <w:spacing w:line="362" w:lineRule="auto" w:before="54"/>
        <w:ind w:left="102" w:right="117"/>
        <w:jc w:val="both"/>
      </w:pPr>
      <w:r>
        <w:rPr/>
        <w:t>Cualquier problema de decisión independientemente del tipo de organización formal, tiene las siguientes características:</w:t>
      </w:r>
    </w:p>
    <w:p>
      <w:pPr>
        <w:pStyle w:val="ListParagraph"/>
        <w:numPr>
          <w:ilvl w:val="0"/>
          <w:numId w:val="11"/>
        </w:numPr>
        <w:tabs>
          <w:tab w:pos="822" w:val="left" w:leader="none"/>
        </w:tabs>
        <w:spacing w:line="240" w:lineRule="auto" w:before="201" w:after="0"/>
        <w:ind w:left="822" w:right="0" w:hanging="360"/>
        <w:jc w:val="left"/>
        <w:rPr>
          <w:sz w:val="24"/>
        </w:rPr>
      </w:pPr>
      <w:r>
        <w:rPr>
          <w:sz w:val="24"/>
        </w:rPr>
        <w:t>Hay una persona responsable en tomar una</w:t>
      </w:r>
      <w:r>
        <w:rPr>
          <w:spacing w:val="-17"/>
          <w:sz w:val="24"/>
        </w:rPr>
        <w:t> </w:t>
      </w:r>
      <w:r>
        <w:rPr>
          <w:sz w:val="24"/>
        </w:rPr>
        <w:t>decisión;</w:t>
      </w:r>
    </w:p>
    <w:p>
      <w:pPr>
        <w:pStyle w:val="ListParagraph"/>
        <w:numPr>
          <w:ilvl w:val="0"/>
          <w:numId w:val="11"/>
        </w:numPr>
        <w:tabs>
          <w:tab w:pos="822" w:val="left" w:leader="none"/>
        </w:tabs>
        <w:spacing w:line="360" w:lineRule="auto" w:before="137" w:after="0"/>
        <w:ind w:left="822" w:right="119" w:hanging="360"/>
        <w:jc w:val="left"/>
        <w:rPr>
          <w:sz w:val="24"/>
        </w:rPr>
      </w:pPr>
      <w:r>
        <w:rPr>
          <w:sz w:val="24"/>
        </w:rPr>
        <w:t>Existe un problema, el cual se define por un cierto conjunto de estados de</w:t>
      </w:r>
      <w:r>
        <w:rPr>
          <w:spacing w:val="-29"/>
          <w:sz w:val="24"/>
        </w:rPr>
        <w:t> </w:t>
      </w:r>
      <w:r>
        <w:rPr>
          <w:sz w:val="24"/>
        </w:rPr>
        <w:t>la naturaleza;</w:t>
      </w:r>
    </w:p>
    <w:p>
      <w:pPr>
        <w:pStyle w:val="ListParagraph"/>
        <w:numPr>
          <w:ilvl w:val="0"/>
          <w:numId w:val="11"/>
        </w:numPr>
        <w:tabs>
          <w:tab w:pos="822" w:val="left" w:leader="none"/>
        </w:tabs>
        <w:spacing w:line="240" w:lineRule="auto" w:before="2" w:after="0"/>
        <w:ind w:left="822" w:right="0" w:hanging="360"/>
        <w:jc w:val="left"/>
        <w:rPr>
          <w:sz w:val="24"/>
        </w:rPr>
      </w:pPr>
      <w:r>
        <w:rPr>
          <w:sz w:val="24"/>
        </w:rPr>
        <w:t>Existe una variedad de cursos de acción</w:t>
      </w:r>
      <w:r>
        <w:rPr>
          <w:spacing w:val="-13"/>
          <w:sz w:val="24"/>
        </w:rPr>
        <w:t> </w:t>
      </w:r>
      <w:r>
        <w:rPr>
          <w:sz w:val="24"/>
        </w:rPr>
        <w:t>factibles;</w:t>
      </w:r>
    </w:p>
    <w:p>
      <w:pPr>
        <w:pStyle w:val="ListParagraph"/>
        <w:numPr>
          <w:ilvl w:val="0"/>
          <w:numId w:val="11"/>
        </w:numPr>
        <w:tabs>
          <w:tab w:pos="822" w:val="left" w:leader="none"/>
        </w:tabs>
        <w:spacing w:line="360" w:lineRule="auto" w:before="139" w:after="0"/>
        <w:ind w:left="822" w:right="118" w:hanging="360"/>
        <w:jc w:val="left"/>
        <w:rPr>
          <w:sz w:val="24"/>
        </w:rPr>
      </w:pPr>
      <w:r>
        <w:rPr>
          <w:sz w:val="24"/>
        </w:rPr>
        <w:t>Hay consecuencias que resultan de la combinación de diversos cursos de acción</w:t>
      </w:r>
      <w:r>
        <w:rPr>
          <w:spacing w:val="-4"/>
          <w:sz w:val="24"/>
        </w:rPr>
        <w:t> </w:t>
      </w:r>
      <w:r>
        <w:rPr>
          <w:sz w:val="24"/>
        </w:rPr>
        <w:t>disponibles;</w:t>
      </w:r>
    </w:p>
    <w:p>
      <w:pPr>
        <w:pStyle w:val="ListParagraph"/>
        <w:numPr>
          <w:ilvl w:val="0"/>
          <w:numId w:val="11"/>
        </w:numPr>
        <w:tabs>
          <w:tab w:pos="822" w:val="left" w:leader="none"/>
        </w:tabs>
        <w:spacing w:line="360" w:lineRule="auto" w:before="5" w:after="0"/>
        <w:ind w:left="822" w:right="116" w:hanging="360"/>
        <w:jc w:val="both"/>
        <w:rPr>
          <w:sz w:val="24"/>
        </w:rPr>
      </w:pPr>
      <w:r>
        <w:rPr>
          <w:sz w:val="24"/>
        </w:rPr>
        <w:t>Existe un cierto grado de incertidumbre relacionada con el acto de escoger la</w:t>
      </w:r>
      <w:r>
        <w:rPr>
          <w:spacing w:val="-9"/>
          <w:sz w:val="24"/>
        </w:rPr>
        <w:t> </w:t>
      </w:r>
      <w:r>
        <w:rPr>
          <w:sz w:val="24"/>
        </w:rPr>
        <w:t>alternativa</w:t>
      </w:r>
      <w:r>
        <w:rPr>
          <w:spacing w:val="-7"/>
          <w:sz w:val="24"/>
        </w:rPr>
        <w:t> </w:t>
      </w:r>
      <w:r>
        <w:rPr>
          <w:sz w:val="24"/>
        </w:rPr>
        <w:t>más</w:t>
      </w:r>
      <w:r>
        <w:rPr>
          <w:spacing w:val="-9"/>
          <w:sz w:val="24"/>
        </w:rPr>
        <w:t> </w:t>
      </w:r>
      <w:r>
        <w:rPr>
          <w:sz w:val="24"/>
        </w:rPr>
        <w:t>conveniente;</w:t>
      </w:r>
      <w:r>
        <w:rPr>
          <w:spacing w:val="-9"/>
          <w:sz w:val="24"/>
        </w:rPr>
        <w:t> </w:t>
      </w:r>
      <w:r>
        <w:rPr>
          <w:sz w:val="24"/>
        </w:rPr>
        <w:t>o</w:t>
      </w:r>
      <w:r>
        <w:rPr>
          <w:spacing w:val="-8"/>
          <w:sz w:val="24"/>
        </w:rPr>
        <w:t> </w:t>
      </w:r>
      <w:r>
        <w:rPr>
          <w:sz w:val="24"/>
        </w:rPr>
        <w:t>sea,</w:t>
      </w:r>
      <w:r>
        <w:rPr>
          <w:spacing w:val="-11"/>
          <w:sz w:val="24"/>
        </w:rPr>
        <w:t> </w:t>
      </w:r>
      <w:r>
        <w:rPr>
          <w:sz w:val="24"/>
        </w:rPr>
        <w:t>en</w:t>
      </w:r>
      <w:r>
        <w:rPr>
          <w:spacing w:val="-8"/>
          <w:sz w:val="24"/>
        </w:rPr>
        <w:t> </w:t>
      </w:r>
      <w:r>
        <w:rPr>
          <w:sz w:val="24"/>
        </w:rPr>
        <w:t>la</w:t>
      </w:r>
      <w:r>
        <w:rPr>
          <w:spacing w:val="-11"/>
          <w:sz w:val="24"/>
        </w:rPr>
        <w:t> </w:t>
      </w:r>
      <w:r>
        <w:rPr>
          <w:sz w:val="24"/>
        </w:rPr>
        <w:t>mayoría</w:t>
      </w:r>
      <w:r>
        <w:rPr>
          <w:spacing w:val="-8"/>
          <w:sz w:val="24"/>
        </w:rPr>
        <w:t> </w:t>
      </w:r>
      <w:r>
        <w:rPr>
          <w:sz w:val="24"/>
        </w:rPr>
        <w:t>de</w:t>
      </w:r>
      <w:r>
        <w:rPr>
          <w:spacing w:val="-8"/>
          <w:sz w:val="24"/>
        </w:rPr>
        <w:t> </w:t>
      </w:r>
      <w:r>
        <w:rPr>
          <w:sz w:val="24"/>
        </w:rPr>
        <w:t>los</w:t>
      </w:r>
      <w:r>
        <w:rPr>
          <w:spacing w:val="-9"/>
          <w:sz w:val="24"/>
        </w:rPr>
        <w:t> </w:t>
      </w:r>
      <w:r>
        <w:rPr>
          <w:sz w:val="24"/>
        </w:rPr>
        <w:t>casos,</w:t>
      </w:r>
      <w:r>
        <w:rPr>
          <w:spacing w:val="-9"/>
          <w:sz w:val="24"/>
        </w:rPr>
        <w:t> </w:t>
      </w:r>
      <w:r>
        <w:rPr>
          <w:sz w:val="24"/>
        </w:rPr>
        <w:t>la</w:t>
      </w:r>
      <w:r>
        <w:rPr>
          <w:spacing w:val="-6"/>
          <w:sz w:val="24"/>
        </w:rPr>
        <w:t> </w:t>
      </w:r>
      <w:r>
        <w:rPr>
          <w:sz w:val="24"/>
        </w:rPr>
        <w:t>persona que decide no tiene una noción precisa acerca de cuáles pueden ser los resultados asociados con su curso de acción</w:t>
      </w:r>
      <w:r>
        <w:rPr>
          <w:spacing w:val="-15"/>
          <w:sz w:val="24"/>
        </w:rPr>
        <w:t> </w:t>
      </w:r>
      <w:r>
        <w:rPr>
          <w:sz w:val="24"/>
        </w:rPr>
        <w:t>elegido.</w:t>
      </w:r>
    </w:p>
    <w:p>
      <w:pPr>
        <w:pStyle w:val="BodyText"/>
      </w:pPr>
    </w:p>
    <w:p>
      <w:pPr>
        <w:pStyle w:val="BodyText"/>
        <w:spacing w:before="7"/>
        <w:rPr>
          <w:sz w:val="29"/>
        </w:rPr>
      </w:pPr>
    </w:p>
    <w:p>
      <w:pPr>
        <w:pStyle w:val="BodyText"/>
        <w:spacing w:line="360" w:lineRule="auto"/>
        <w:ind w:left="102" w:right="116"/>
        <w:jc w:val="both"/>
      </w:pPr>
      <w:r>
        <w:rPr/>
        <w:t>En la práctica, existe una infinidad de problemas de decisiones que atraen la atención de las personas. Reducir esta cantidad de problemas desde dos perspectivas:</w:t>
      </w:r>
      <w:r>
        <w:rPr>
          <w:spacing w:val="-13"/>
        </w:rPr>
        <w:t> </w:t>
      </w:r>
      <w:r>
        <w:rPr/>
        <w:t>las</w:t>
      </w:r>
      <w:r>
        <w:rPr>
          <w:spacing w:val="-16"/>
        </w:rPr>
        <w:t> </w:t>
      </w:r>
      <w:r>
        <w:rPr/>
        <w:t>situaciones</w:t>
      </w:r>
      <w:r>
        <w:rPr>
          <w:spacing w:val="-16"/>
        </w:rPr>
        <w:t> </w:t>
      </w:r>
      <w:r>
        <w:rPr/>
        <w:t>programables</w:t>
      </w:r>
      <w:r>
        <w:rPr>
          <w:spacing w:val="-11"/>
        </w:rPr>
        <w:t> </w:t>
      </w:r>
      <w:r>
        <w:rPr/>
        <w:t>y</w:t>
      </w:r>
      <w:r>
        <w:rPr>
          <w:spacing w:val="-19"/>
        </w:rPr>
        <w:t> </w:t>
      </w:r>
      <w:r>
        <w:rPr/>
        <w:t>no</w:t>
      </w:r>
      <w:r>
        <w:rPr>
          <w:spacing w:val="-16"/>
        </w:rPr>
        <w:t> </w:t>
      </w:r>
      <w:r>
        <w:rPr/>
        <w:t>programables.</w:t>
      </w:r>
      <w:r>
        <w:rPr>
          <w:spacing w:val="-16"/>
        </w:rPr>
        <w:t> </w:t>
      </w:r>
      <w:r>
        <w:rPr/>
        <w:t>Las</w:t>
      </w:r>
      <w:r>
        <w:rPr>
          <w:spacing w:val="-19"/>
        </w:rPr>
        <w:t> </w:t>
      </w:r>
      <w:r>
        <w:rPr/>
        <w:t>situaciones</w:t>
      </w:r>
      <w:r>
        <w:rPr>
          <w:spacing w:val="-16"/>
        </w:rPr>
        <w:t> </w:t>
      </w:r>
      <w:r>
        <w:rPr/>
        <w:t>bien definidas, muy repetitivas y para las cuales existe una información adecuada; reciben el nombre de situaciones programables. Las situaciones no-programables, sólo ocurren muy pocas veces y para las cuales no existe una información suficientemente estructurada para</w:t>
      </w:r>
      <w:r>
        <w:rPr>
          <w:spacing w:val="-16"/>
        </w:rPr>
        <w:t> </w:t>
      </w:r>
      <w:r>
        <w:rPr/>
        <w:t>decidir.</w:t>
      </w:r>
    </w:p>
    <w:p>
      <w:pPr>
        <w:pStyle w:val="BodyText"/>
        <w:spacing w:line="360" w:lineRule="auto" w:before="204"/>
        <w:ind w:left="102" w:right="114"/>
        <w:jc w:val="both"/>
      </w:pPr>
      <w:r>
        <w:rPr>
          <w:b/>
        </w:rPr>
        <w:t>Situaciones</w:t>
      </w:r>
      <w:r>
        <w:rPr>
          <w:b/>
          <w:spacing w:val="-14"/>
        </w:rPr>
        <w:t> </w:t>
      </w:r>
      <w:r>
        <w:rPr>
          <w:b/>
        </w:rPr>
        <w:t>programables</w:t>
      </w:r>
      <w:r>
        <w:rPr>
          <w:b/>
          <w:spacing w:val="-16"/>
        </w:rPr>
        <w:t> </w:t>
      </w:r>
      <w:r>
        <w:rPr>
          <w:b/>
        </w:rPr>
        <w:t>o</w:t>
      </w:r>
      <w:r>
        <w:rPr>
          <w:b/>
          <w:spacing w:val="-15"/>
        </w:rPr>
        <w:t> </w:t>
      </w:r>
      <w:r>
        <w:rPr>
          <w:b/>
        </w:rPr>
        <w:t>estructuradas</w:t>
      </w:r>
      <w:r>
        <w:rPr/>
        <w:t>.</w:t>
      </w:r>
      <w:r>
        <w:rPr>
          <w:spacing w:val="-14"/>
        </w:rPr>
        <w:t> </w:t>
      </w:r>
      <w:r>
        <w:rPr/>
        <w:t>Existen</w:t>
      </w:r>
      <w:r>
        <w:rPr>
          <w:spacing w:val="-17"/>
        </w:rPr>
        <w:t> </w:t>
      </w:r>
      <w:r>
        <w:rPr/>
        <w:t>muchas</w:t>
      </w:r>
      <w:r>
        <w:rPr>
          <w:spacing w:val="-17"/>
        </w:rPr>
        <w:t> </w:t>
      </w:r>
      <w:r>
        <w:rPr/>
        <w:t>reglas</w:t>
      </w:r>
      <w:r>
        <w:rPr>
          <w:spacing w:val="-14"/>
        </w:rPr>
        <w:t> </w:t>
      </w:r>
      <w:r>
        <w:rPr/>
        <w:t>rutinarias</w:t>
      </w:r>
      <w:r>
        <w:rPr>
          <w:spacing w:val="-15"/>
        </w:rPr>
        <w:t> </w:t>
      </w:r>
      <w:r>
        <w:rPr/>
        <w:t>que normalmente</w:t>
      </w:r>
      <w:r>
        <w:rPr>
          <w:spacing w:val="-8"/>
        </w:rPr>
        <w:t> </w:t>
      </w:r>
      <w:r>
        <w:rPr/>
        <w:t>guían</w:t>
      </w:r>
      <w:r>
        <w:rPr>
          <w:spacing w:val="-6"/>
        </w:rPr>
        <w:t> </w:t>
      </w:r>
      <w:r>
        <w:rPr/>
        <w:t>la</w:t>
      </w:r>
      <w:r>
        <w:rPr>
          <w:spacing w:val="-11"/>
        </w:rPr>
        <w:t> </w:t>
      </w:r>
      <w:r>
        <w:rPr/>
        <w:t>administración</w:t>
      </w:r>
      <w:r>
        <w:rPr>
          <w:spacing w:val="-11"/>
        </w:rPr>
        <w:t> </w:t>
      </w:r>
      <w:r>
        <w:rPr/>
        <w:t>diaria</w:t>
      </w:r>
      <w:r>
        <w:rPr>
          <w:spacing w:val="-8"/>
        </w:rPr>
        <w:t> </w:t>
      </w:r>
      <w:r>
        <w:rPr/>
        <w:t>de</w:t>
      </w:r>
      <w:r>
        <w:rPr>
          <w:spacing w:val="-8"/>
        </w:rPr>
        <w:t> </w:t>
      </w:r>
      <w:r>
        <w:rPr/>
        <w:t>los</w:t>
      </w:r>
      <w:r>
        <w:rPr>
          <w:spacing w:val="-9"/>
        </w:rPr>
        <w:t> </w:t>
      </w:r>
      <w:r>
        <w:rPr/>
        <w:t>asuntos</w:t>
      </w:r>
      <w:r>
        <w:rPr>
          <w:spacing w:val="-12"/>
        </w:rPr>
        <w:t> </w:t>
      </w:r>
      <w:r>
        <w:rPr/>
        <w:t>de</w:t>
      </w:r>
      <w:r>
        <w:rPr>
          <w:spacing w:val="-8"/>
        </w:rPr>
        <w:t> </w:t>
      </w:r>
      <w:r>
        <w:rPr/>
        <w:t>las</w:t>
      </w:r>
      <w:r>
        <w:rPr>
          <w:spacing w:val="-11"/>
        </w:rPr>
        <w:t> </w:t>
      </w:r>
      <w:r>
        <w:rPr/>
        <w:t>organizaciones</w:t>
      </w:r>
      <w:r>
        <w:rPr>
          <w:spacing w:val="-9"/>
        </w:rPr>
        <w:t> </w:t>
      </w:r>
      <w:r>
        <w:rPr/>
        <w:t>ya sean</w:t>
      </w:r>
      <w:r>
        <w:rPr>
          <w:spacing w:val="-14"/>
        </w:rPr>
        <w:t> </w:t>
      </w:r>
      <w:r>
        <w:rPr/>
        <w:t>públicas</w:t>
      </w:r>
      <w:r>
        <w:rPr>
          <w:spacing w:val="-15"/>
        </w:rPr>
        <w:t> </w:t>
      </w:r>
      <w:r>
        <w:rPr/>
        <w:t>o</w:t>
      </w:r>
      <w:r>
        <w:rPr>
          <w:spacing w:val="-14"/>
        </w:rPr>
        <w:t> </w:t>
      </w:r>
      <w:r>
        <w:rPr/>
        <w:t>privadas.</w:t>
      </w:r>
      <w:r>
        <w:rPr>
          <w:spacing w:val="-9"/>
        </w:rPr>
        <w:t> </w:t>
      </w:r>
      <w:r>
        <w:rPr/>
        <w:t>“Por</w:t>
      </w:r>
      <w:r>
        <w:rPr>
          <w:spacing w:val="-16"/>
        </w:rPr>
        <w:t> </w:t>
      </w:r>
      <w:r>
        <w:rPr/>
        <w:t>lo</w:t>
      </w:r>
      <w:r>
        <w:rPr>
          <w:spacing w:val="-12"/>
        </w:rPr>
        <w:t> </w:t>
      </w:r>
      <w:r>
        <w:rPr/>
        <w:t>general,</w:t>
      </w:r>
      <w:r>
        <w:rPr>
          <w:spacing w:val="-12"/>
        </w:rPr>
        <w:t> </w:t>
      </w:r>
      <w:r>
        <w:rPr/>
        <w:t>los</w:t>
      </w:r>
      <w:r>
        <w:rPr>
          <w:spacing w:val="-15"/>
        </w:rPr>
        <w:t> </w:t>
      </w:r>
      <w:r>
        <w:rPr/>
        <w:t>administradores</w:t>
      </w:r>
      <w:r>
        <w:rPr>
          <w:spacing w:val="-13"/>
        </w:rPr>
        <w:t> </w:t>
      </w:r>
      <w:r>
        <w:rPr/>
        <w:t>de</w:t>
      </w:r>
      <w:r>
        <w:rPr>
          <w:spacing w:val="-12"/>
        </w:rPr>
        <w:t> </w:t>
      </w:r>
      <w:r>
        <w:rPr/>
        <w:t>las</w:t>
      </w:r>
      <w:r>
        <w:rPr>
          <w:spacing w:val="-17"/>
        </w:rPr>
        <w:t> </w:t>
      </w:r>
      <w:r>
        <w:rPr/>
        <w:t>organizaciones formales se encuentran con innumerables situaciones de decisiones que son programables. Por ejemplo, existen muchas reglas rutinarias que normalmente guían la administración diaria de los asuntos de las organizaciones comerciales” (Rheault,</w:t>
      </w:r>
      <w:r>
        <w:rPr>
          <w:spacing w:val="-8"/>
        </w:rPr>
        <w:t> </w:t>
      </w:r>
      <w:r>
        <w:rPr/>
        <w:t>1977:26).</w:t>
      </w:r>
    </w:p>
    <w:p>
      <w:pPr>
        <w:pStyle w:val="BodyText"/>
        <w:spacing w:before="204"/>
        <w:ind w:left="102"/>
        <w:jc w:val="both"/>
      </w:pPr>
      <w:r>
        <w:rPr/>
        <w:t>Los problemas estructurados presentan las siguientes características:</w:t>
      </w:r>
    </w:p>
    <w:p>
      <w:pPr>
        <w:pStyle w:val="BodyText"/>
        <w:spacing w:before="4"/>
        <w:rPr>
          <w:sz w:val="29"/>
        </w:rPr>
      </w:pPr>
    </w:p>
    <w:p>
      <w:pPr>
        <w:pStyle w:val="ListParagraph"/>
        <w:numPr>
          <w:ilvl w:val="0"/>
          <w:numId w:val="12"/>
        </w:numPr>
        <w:tabs>
          <w:tab w:pos="822" w:val="left" w:leader="none"/>
        </w:tabs>
        <w:spacing w:line="240" w:lineRule="auto" w:before="1" w:after="0"/>
        <w:ind w:left="822" w:right="0" w:hanging="360"/>
        <w:jc w:val="left"/>
        <w:rPr>
          <w:sz w:val="24"/>
        </w:rPr>
      </w:pPr>
      <w:r>
        <w:rPr>
          <w:sz w:val="24"/>
        </w:rPr>
        <w:t>Todas las opciones son</w:t>
      </w:r>
      <w:r>
        <w:rPr>
          <w:spacing w:val="-11"/>
          <w:sz w:val="24"/>
        </w:rPr>
        <w:t> </w:t>
      </w:r>
      <w:r>
        <w:rPr>
          <w:sz w:val="24"/>
        </w:rPr>
        <w:t>conocidas.</w:t>
      </w:r>
    </w:p>
    <w:p>
      <w:pPr>
        <w:spacing w:after="0" w:line="240" w:lineRule="auto"/>
        <w:jc w:val="left"/>
        <w:rPr>
          <w:sz w:val="24"/>
        </w:rPr>
        <w:sectPr>
          <w:footerReference w:type="default" r:id="rId26"/>
          <w:pgSz w:w="12240" w:h="15840"/>
          <w:pgMar w:footer="992" w:header="0" w:top="1360" w:bottom="1180" w:left="1600" w:right="1580"/>
          <w:pgNumType w:start="31"/>
        </w:sectPr>
      </w:pPr>
    </w:p>
    <w:p>
      <w:pPr>
        <w:pStyle w:val="ListParagraph"/>
        <w:numPr>
          <w:ilvl w:val="0"/>
          <w:numId w:val="12"/>
        </w:numPr>
        <w:tabs>
          <w:tab w:pos="822" w:val="left" w:leader="none"/>
        </w:tabs>
        <w:spacing w:line="240" w:lineRule="auto" w:before="54" w:after="0"/>
        <w:ind w:left="822" w:right="0" w:hanging="360"/>
        <w:jc w:val="left"/>
        <w:rPr>
          <w:sz w:val="24"/>
        </w:rPr>
      </w:pPr>
      <w:r>
        <w:rPr>
          <w:sz w:val="24"/>
        </w:rPr>
        <w:t>Todas las consecuencias de las acciones son</w:t>
      </w:r>
      <w:r>
        <w:rPr>
          <w:spacing w:val="-16"/>
          <w:sz w:val="24"/>
        </w:rPr>
        <w:t> </w:t>
      </w:r>
      <w:r>
        <w:rPr>
          <w:sz w:val="24"/>
        </w:rPr>
        <w:t>conocidas.</w:t>
      </w:r>
    </w:p>
    <w:p>
      <w:pPr>
        <w:pStyle w:val="ListParagraph"/>
        <w:numPr>
          <w:ilvl w:val="0"/>
          <w:numId w:val="12"/>
        </w:numPr>
        <w:tabs>
          <w:tab w:pos="822" w:val="left" w:leader="none"/>
        </w:tabs>
        <w:spacing w:line="360" w:lineRule="auto" w:before="139" w:after="0"/>
        <w:ind w:left="822" w:right="120" w:hanging="360"/>
        <w:jc w:val="left"/>
        <w:rPr>
          <w:sz w:val="24"/>
        </w:rPr>
      </w:pPr>
      <w:r>
        <w:rPr>
          <w:sz w:val="24"/>
        </w:rPr>
        <w:t>Las preferencias son claras y constantes. el decisor puede establecer una jerarquía de prioridades a cubrir y las preferencias no varían con el</w:t>
      </w:r>
      <w:r>
        <w:rPr>
          <w:spacing w:val="-28"/>
          <w:sz w:val="24"/>
        </w:rPr>
        <w:t> </w:t>
      </w:r>
      <w:r>
        <w:rPr>
          <w:sz w:val="24"/>
        </w:rPr>
        <w:t>tiempo.</w:t>
      </w:r>
    </w:p>
    <w:p>
      <w:pPr>
        <w:pStyle w:val="BodyText"/>
      </w:pPr>
    </w:p>
    <w:p>
      <w:pPr>
        <w:pStyle w:val="BodyText"/>
        <w:spacing w:before="10"/>
        <w:rPr>
          <w:sz w:val="29"/>
        </w:rPr>
      </w:pPr>
    </w:p>
    <w:p>
      <w:pPr>
        <w:spacing w:line="360" w:lineRule="auto" w:before="0"/>
        <w:ind w:left="102" w:right="119" w:firstLine="0"/>
        <w:jc w:val="both"/>
        <w:rPr>
          <w:sz w:val="24"/>
        </w:rPr>
      </w:pPr>
      <w:r>
        <w:rPr>
          <w:b/>
          <w:sz w:val="24"/>
        </w:rPr>
        <w:t>Situaciones no programables o no estructuradas</w:t>
      </w:r>
      <w:r>
        <w:rPr>
          <w:sz w:val="24"/>
        </w:rPr>
        <w:t>. Se toman decisiones muy importantes para las cuales el decisor es incapaz de aportar reglas que puedan identificarse o procedimientos programables decisión.</w:t>
      </w:r>
    </w:p>
    <w:p>
      <w:pPr>
        <w:spacing w:line="240" w:lineRule="auto" w:before="201"/>
        <w:ind w:left="954" w:right="114" w:firstLine="62"/>
        <w:jc w:val="both"/>
        <w:rPr>
          <w:sz w:val="22"/>
        </w:rPr>
      </w:pPr>
      <w:r>
        <w:rPr>
          <w:sz w:val="22"/>
        </w:rPr>
        <w:t>Es decir, en estas situaciones se observa que el decisor aplica pocas reglas cuando elige un curso de acción; la incapacidad de éste para solucionar un problema a priori; o que los criterios de decisión que implementó no fueran operables</w:t>
      </w:r>
      <w:r>
        <w:rPr>
          <w:spacing w:val="-14"/>
          <w:sz w:val="22"/>
        </w:rPr>
        <w:t> </w:t>
      </w:r>
      <w:r>
        <w:rPr>
          <w:sz w:val="22"/>
        </w:rPr>
        <w:t>antes</w:t>
      </w:r>
      <w:r>
        <w:rPr>
          <w:spacing w:val="-14"/>
          <w:sz w:val="22"/>
        </w:rPr>
        <w:t> </w:t>
      </w:r>
      <w:r>
        <w:rPr>
          <w:sz w:val="22"/>
        </w:rPr>
        <w:t>de</w:t>
      </w:r>
      <w:r>
        <w:rPr>
          <w:spacing w:val="-14"/>
          <w:sz w:val="22"/>
        </w:rPr>
        <w:t> </w:t>
      </w:r>
      <w:r>
        <w:rPr>
          <w:sz w:val="22"/>
        </w:rPr>
        <w:t>enfrentar</w:t>
      </w:r>
      <w:r>
        <w:rPr>
          <w:spacing w:val="-13"/>
          <w:sz w:val="22"/>
        </w:rPr>
        <w:t> </w:t>
      </w:r>
      <w:r>
        <w:rPr>
          <w:sz w:val="22"/>
        </w:rPr>
        <w:t>el</w:t>
      </w:r>
      <w:r>
        <w:rPr>
          <w:spacing w:val="-15"/>
          <w:sz w:val="22"/>
        </w:rPr>
        <w:t> </w:t>
      </w:r>
      <w:r>
        <w:rPr>
          <w:sz w:val="22"/>
        </w:rPr>
        <w:t>problema;</w:t>
      </w:r>
      <w:r>
        <w:rPr>
          <w:spacing w:val="-15"/>
          <w:sz w:val="22"/>
        </w:rPr>
        <w:t> </w:t>
      </w:r>
      <w:r>
        <w:rPr>
          <w:sz w:val="22"/>
        </w:rPr>
        <w:t>también</w:t>
      </w:r>
      <w:r>
        <w:rPr>
          <w:spacing w:val="-17"/>
          <w:sz w:val="22"/>
        </w:rPr>
        <w:t> </w:t>
      </w:r>
      <w:r>
        <w:rPr>
          <w:sz w:val="22"/>
        </w:rPr>
        <w:t>se</w:t>
      </w:r>
      <w:r>
        <w:rPr>
          <w:spacing w:val="-14"/>
          <w:sz w:val="22"/>
        </w:rPr>
        <w:t> </w:t>
      </w:r>
      <w:r>
        <w:rPr>
          <w:sz w:val="22"/>
        </w:rPr>
        <w:t>presenta</w:t>
      </w:r>
      <w:r>
        <w:rPr>
          <w:spacing w:val="-16"/>
          <w:sz w:val="22"/>
        </w:rPr>
        <w:t> </w:t>
      </w:r>
      <w:r>
        <w:rPr>
          <w:sz w:val="22"/>
        </w:rPr>
        <w:t>que</w:t>
      </w:r>
      <w:r>
        <w:rPr>
          <w:spacing w:val="-14"/>
          <w:sz w:val="22"/>
        </w:rPr>
        <w:t> </w:t>
      </w:r>
      <w:r>
        <w:rPr>
          <w:sz w:val="22"/>
        </w:rPr>
        <w:t>cuando</w:t>
      </w:r>
      <w:r>
        <w:rPr>
          <w:spacing w:val="-16"/>
          <w:sz w:val="22"/>
        </w:rPr>
        <w:t> </w:t>
      </w:r>
      <w:r>
        <w:rPr>
          <w:sz w:val="22"/>
        </w:rPr>
        <w:t>efectúa el análisis del problema, éste desconoce muchas de sus alternativas o tal vez no dispone de la información relacionada con las consecuencias de sus distintas alternativas (Rheault,</w:t>
      </w:r>
      <w:r>
        <w:rPr>
          <w:spacing w:val="-9"/>
          <w:sz w:val="22"/>
        </w:rPr>
        <w:t> </w:t>
      </w:r>
      <w:r>
        <w:rPr>
          <w:sz w:val="22"/>
        </w:rPr>
        <w:t>1977:29).</w:t>
      </w:r>
    </w:p>
    <w:p>
      <w:pPr>
        <w:pStyle w:val="BodyText"/>
        <w:rPr>
          <w:sz w:val="22"/>
        </w:rPr>
      </w:pPr>
    </w:p>
    <w:p>
      <w:pPr>
        <w:pStyle w:val="BodyText"/>
        <w:rPr>
          <w:sz w:val="22"/>
        </w:rPr>
      </w:pPr>
    </w:p>
    <w:p>
      <w:pPr>
        <w:pStyle w:val="BodyText"/>
        <w:spacing w:line="360" w:lineRule="auto" w:before="146"/>
        <w:ind w:left="102" w:right="115"/>
        <w:jc w:val="both"/>
      </w:pPr>
      <w:r>
        <w:rPr/>
        <w:t>Una situación no programable con base en Rheault (1977) presenta ciertas características como son: una extensa base de datos, altos requerimientos para el manejo de datos, existen juicios para determinar el problema fundamental, existen interrelaciones complejas entre las variables, el problema posee varias dimensiones, existe implicación de grupos funcionales distintos, hay un beneficio económico y existe un contexto dinámico del problema.</w:t>
      </w:r>
    </w:p>
    <w:p>
      <w:pPr>
        <w:pStyle w:val="BodyText"/>
        <w:spacing w:before="204"/>
        <w:ind w:left="102"/>
        <w:jc w:val="both"/>
      </w:pPr>
      <w:r>
        <w:rPr/>
        <w:t>Los problemas no estructurados, en resumen presenta:</w:t>
      </w:r>
    </w:p>
    <w:p>
      <w:pPr>
        <w:pStyle w:val="BodyText"/>
        <w:spacing w:before="2"/>
        <w:rPr>
          <w:sz w:val="29"/>
        </w:rPr>
      </w:pPr>
    </w:p>
    <w:p>
      <w:pPr>
        <w:pStyle w:val="ListParagraph"/>
        <w:numPr>
          <w:ilvl w:val="0"/>
          <w:numId w:val="13"/>
        </w:numPr>
        <w:tabs>
          <w:tab w:pos="822" w:val="left" w:leader="none"/>
        </w:tabs>
        <w:spacing w:line="240" w:lineRule="auto" w:before="0" w:after="0"/>
        <w:ind w:left="822" w:right="0" w:hanging="360"/>
        <w:jc w:val="left"/>
        <w:rPr>
          <w:sz w:val="24"/>
        </w:rPr>
      </w:pPr>
      <w:r>
        <w:rPr>
          <w:sz w:val="24"/>
        </w:rPr>
        <w:t>Una falta de definición</w:t>
      </w:r>
      <w:r>
        <w:rPr>
          <w:spacing w:val="-8"/>
          <w:sz w:val="24"/>
        </w:rPr>
        <w:t> </w:t>
      </w:r>
      <w:r>
        <w:rPr>
          <w:sz w:val="24"/>
        </w:rPr>
        <w:t>precisa</w:t>
      </w:r>
    </w:p>
    <w:p>
      <w:pPr>
        <w:pStyle w:val="ListParagraph"/>
        <w:numPr>
          <w:ilvl w:val="0"/>
          <w:numId w:val="13"/>
        </w:numPr>
        <w:tabs>
          <w:tab w:pos="822" w:val="left" w:leader="none"/>
        </w:tabs>
        <w:spacing w:line="240" w:lineRule="auto" w:before="139" w:after="0"/>
        <w:ind w:left="822" w:right="0" w:hanging="360"/>
        <w:jc w:val="left"/>
        <w:rPr>
          <w:sz w:val="24"/>
        </w:rPr>
      </w:pPr>
      <w:r>
        <w:rPr>
          <w:sz w:val="24"/>
        </w:rPr>
        <w:t>Datos incompletos y equívocos,</w:t>
      </w:r>
      <w:r>
        <w:rPr>
          <w:spacing w:val="-13"/>
          <w:sz w:val="24"/>
        </w:rPr>
        <w:t> </w:t>
      </w:r>
      <w:r>
        <w:rPr>
          <w:sz w:val="24"/>
        </w:rPr>
        <w:t>y</w:t>
      </w:r>
    </w:p>
    <w:p>
      <w:pPr>
        <w:pStyle w:val="ListParagraph"/>
        <w:numPr>
          <w:ilvl w:val="0"/>
          <w:numId w:val="13"/>
        </w:numPr>
        <w:tabs>
          <w:tab w:pos="822" w:val="left" w:leader="none"/>
        </w:tabs>
        <w:spacing w:line="240" w:lineRule="auto" w:before="137" w:after="0"/>
        <w:ind w:left="822" w:right="0" w:hanging="360"/>
        <w:jc w:val="left"/>
        <w:rPr>
          <w:sz w:val="24"/>
        </w:rPr>
      </w:pPr>
      <w:r>
        <w:rPr>
          <w:sz w:val="24"/>
        </w:rPr>
        <w:t>Se modifican con el tiempo por la influencia de personas o</w:t>
      </w:r>
      <w:r>
        <w:rPr>
          <w:spacing w:val="-26"/>
          <w:sz w:val="24"/>
        </w:rPr>
        <w:t> </w:t>
      </w:r>
      <w:r>
        <w:rPr>
          <w:sz w:val="24"/>
        </w:rPr>
        <w:t>grupos.</w:t>
      </w:r>
    </w:p>
    <w:p>
      <w:pPr>
        <w:pStyle w:val="BodyText"/>
      </w:pPr>
    </w:p>
    <w:p>
      <w:pPr>
        <w:pStyle w:val="BodyText"/>
      </w:pPr>
    </w:p>
    <w:p>
      <w:pPr>
        <w:pStyle w:val="BodyText"/>
        <w:spacing w:line="360" w:lineRule="auto"/>
        <w:ind w:left="102" w:right="119"/>
        <w:jc w:val="both"/>
      </w:pPr>
      <w:r>
        <w:rPr>
          <w:b/>
        </w:rPr>
        <w:t>Problemas semi-estructurados</w:t>
      </w:r>
      <w:r>
        <w:rPr/>
        <w:t>. “Son una situación intermedia. No suponemos que conocemos toda la información, ni ésta es totalmente precisa, ni las preferencias de los intervinientes en el proceso son constantes y coherentes, pero podemos  establecer  las  consecuencias  de  las  acciones  de  forma   </w:t>
      </w:r>
      <w:r>
        <w:rPr>
          <w:spacing w:val="50"/>
        </w:rPr>
        <w:t> </w:t>
      </w:r>
      <w:r>
        <w:rPr/>
        <w:t>completa,</w:t>
      </w:r>
    </w:p>
    <w:p>
      <w:pPr>
        <w:spacing w:after="0" w:line="360" w:lineRule="auto"/>
        <w:jc w:val="both"/>
        <w:sectPr>
          <w:pgSz w:w="12240" w:h="15840"/>
          <w:pgMar w:header="0" w:footer="992" w:top="1360" w:bottom="1180" w:left="1600" w:right="1580"/>
        </w:sectPr>
      </w:pPr>
    </w:p>
    <w:p>
      <w:pPr>
        <w:pStyle w:val="BodyText"/>
        <w:spacing w:line="362" w:lineRule="auto" w:before="54"/>
        <w:ind w:left="102" w:right="115"/>
        <w:jc w:val="both"/>
      </w:pPr>
      <w:r>
        <w:rPr/>
        <w:t>permitiendo utilizar un procedimiento para su resolución aproximada” (Diez et al., 1997:31).</w:t>
      </w:r>
    </w:p>
    <w:p>
      <w:pPr>
        <w:pStyle w:val="BodyText"/>
      </w:pPr>
    </w:p>
    <w:p>
      <w:pPr>
        <w:pStyle w:val="Heading1"/>
        <w:numPr>
          <w:ilvl w:val="2"/>
          <w:numId w:val="8"/>
        </w:numPr>
        <w:tabs>
          <w:tab w:pos="3691" w:val="left" w:leader="none"/>
        </w:tabs>
        <w:spacing w:line="240" w:lineRule="auto" w:before="202" w:after="0"/>
        <w:ind w:left="3690" w:right="0" w:hanging="703"/>
        <w:jc w:val="left"/>
      </w:pPr>
      <w:bookmarkStart w:name="_TOC_250044" w:id="8"/>
      <w:r>
        <w:rPr/>
        <w:t>Tipos de</w:t>
      </w:r>
      <w:r>
        <w:rPr>
          <w:spacing w:val="-10"/>
        </w:rPr>
        <w:t> </w:t>
      </w:r>
      <w:bookmarkEnd w:id="8"/>
      <w:r>
        <w:rPr/>
        <w:t>decisión</w:t>
      </w:r>
    </w:p>
    <w:p>
      <w:pPr>
        <w:pStyle w:val="BodyText"/>
        <w:rPr>
          <w:b/>
          <w:sz w:val="28"/>
        </w:rPr>
      </w:pPr>
    </w:p>
    <w:p>
      <w:pPr>
        <w:pStyle w:val="BodyText"/>
        <w:spacing w:line="360" w:lineRule="auto" w:before="176"/>
        <w:ind w:left="102" w:right="117"/>
        <w:jc w:val="both"/>
      </w:pPr>
      <w:r>
        <w:rPr/>
        <w:t>Al</w:t>
      </w:r>
      <w:r>
        <w:rPr>
          <w:spacing w:val="-14"/>
        </w:rPr>
        <w:t> </w:t>
      </w:r>
      <w:r>
        <w:rPr/>
        <w:t>igual</w:t>
      </w:r>
      <w:r>
        <w:rPr>
          <w:spacing w:val="-14"/>
        </w:rPr>
        <w:t> </w:t>
      </w:r>
      <w:r>
        <w:rPr/>
        <w:t>que</w:t>
      </w:r>
      <w:r>
        <w:rPr>
          <w:spacing w:val="-13"/>
        </w:rPr>
        <w:t> </w:t>
      </w:r>
      <w:r>
        <w:rPr/>
        <w:t>en</w:t>
      </w:r>
      <w:r>
        <w:rPr>
          <w:spacing w:val="-15"/>
        </w:rPr>
        <w:t> </w:t>
      </w:r>
      <w:r>
        <w:rPr/>
        <w:t>otros</w:t>
      </w:r>
      <w:r>
        <w:rPr>
          <w:spacing w:val="-16"/>
        </w:rPr>
        <w:t> </w:t>
      </w:r>
      <w:r>
        <w:rPr/>
        <w:t>temas</w:t>
      </w:r>
      <w:r>
        <w:rPr>
          <w:spacing w:val="-16"/>
        </w:rPr>
        <w:t> </w:t>
      </w:r>
      <w:r>
        <w:rPr/>
        <w:t>existe</w:t>
      </w:r>
      <w:r>
        <w:rPr>
          <w:spacing w:val="-13"/>
        </w:rPr>
        <w:t> </w:t>
      </w:r>
      <w:r>
        <w:rPr/>
        <w:t>una</w:t>
      </w:r>
      <w:r>
        <w:rPr>
          <w:spacing w:val="-15"/>
        </w:rPr>
        <w:t> </w:t>
      </w:r>
      <w:r>
        <w:rPr/>
        <w:t>variedad</w:t>
      </w:r>
      <w:r>
        <w:rPr>
          <w:spacing w:val="-13"/>
        </w:rPr>
        <w:t> </w:t>
      </w:r>
      <w:r>
        <w:rPr/>
        <w:t>de</w:t>
      </w:r>
      <w:r>
        <w:rPr>
          <w:spacing w:val="-15"/>
        </w:rPr>
        <w:t> </w:t>
      </w:r>
      <w:r>
        <w:rPr/>
        <w:t>tipos</w:t>
      </w:r>
      <w:r>
        <w:rPr>
          <w:spacing w:val="-16"/>
        </w:rPr>
        <w:t> </w:t>
      </w:r>
      <w:r>
        <w:rPr/>
        <w:t>de</w:t>
      </w:r>
      <w:r>
        <w:rPr>
          <w:spacing w:val="-15"/>
        </w:rPr>
        <w:t> </w:t>
      </w:r>
      <w:r>
        <w:rPr/>
        <w:t>decisión,</w:t>
      </w:r>
      <w:r>
        <w:rPr>
          <w:spacing w:val="-16"/>
        </w:rPr>
        <w:t> </w:t>
      </w:r>
      <w:r>
        <w:rPr/>
        <w:t>que</w:t>
      </w:r>
      <w:r>
        <w:rPr>
          <w:spacing w:val="-13"/>
        </w:rPr>
        <w:t> </w:t>
      </w:r>
      <w:r>
        <w:rPr/>
        <w:t>se</w:t>
      </w:r>
      <w:r>
        <w:rPr>
          <w:spacing w:val="-13"/>
        </w:rPr>
        <w:t> </w:t>
      </w:r>
      <w:r>
        <w:rPr/>
        <w:t>clasifica de acuerdo a consideración de cada teórico, sin embargo con la finalidad de tener un</w:t>
      </w:r>
      <w:r>
        <w:rPr>
          <w:spacing w:val="-14"/>
        </w:rPr>
        <w:t> </w:t>
      </w:r>
      <w:r>
        <w:rPr/>
        <w:t>conocimiento</w:t>
      </w:r>
      <w:r>
        <w:rPr>
          <w:spacing w:val="-16"/>
        </w:rPr>
        <w:t> </w:t>
      </w:r>
      <w:r>
        <w:rPr/>
        <w:t>detallado</w:t>
      </w:r>
      <w:r>
        <w:rPr>
          <w:spacing w:val="-16"/>
        </w:rPr>
        <w:t> </w:t>
      </w:r>
      <w:r>
        <w:rPr/>
        <w:t>y</w:t>
      </w:r>
      <w:r>
        <w:rPr>
          <w:spacing w:val="-17"/>
        </w:rPr>
        <w:t> </w:t>
      </w:r>
      <w:r>
        <w:rPr/>
        <w:t>no</w:t>
      </w:r>
      <w:r>
        <w:rPr>
          <w:spacing w:val="-16"/>
        </w:rPr>
        <w:t> </w:t>
      </w:r>
      <w:r>
        <w:rPr/>
        <w:t>tan</w:t>
      </w:r>
      <w:r>
        <w:rPr>
          <w:spacing w:val="-14"/>
        </w:rPr>
        <w:t> </w:t>
      </w:r>
      <w:r>
        <w:rPr/>
        <w:t>generalizado,</w:t>
      </w:r>
      <w:r>
        <w:rPr>
          <w:spacing w:val="-12"/>
        </w:rPr>
        <w:t> </w:t>
      </w:r>
      <w:r>
        <w:rPr/>
        <w:t>para</w:t>
      </w:r>
      <w:r>
        <w:rPr>
          <w:spacing w:val="-17"/>
        </w:rPr>
        <w:t> </w:t>
      </w:r>
      <w:r>
        <w:rPr/>
        <w:t>el</w:t>
      </w:r>
      <w:r>
        <w:rPr>
          <w:spacing w:val="-18"/>
        </w:rPr>
        <w:t> </w:t>
      </w:r>
      <w:r>
        <w:rPr/>
        <w:t>presente</w:t>
      </w:r>
      <w:r>
        <w:rPr>
          <w:spacing w:val="-14"/>
        </w:rPr>
        <w:t> </w:t>
      </w:r>
      <w:r>
        <w:rPr/>
        <w:t>estudio</w:t>
      </w:r>
      <w:r>
        <w:rPr>
          <w:spacing w:val="-17"/>
        </w:rPr>
        <w:t> </w:t>
      </w:r>
      <w:r>
        <w:rPr/>
        <w:t>se</w:t>
      </w:r>
      <w:r>
        <w:rPr>
          <w:spacing w:val="-16"/>
        </w:rPr>
        <w:t> </w:t>
      </w:r>
      <w:r>
        <w:rPr/>
        <w:t>tomara en</w:t>
      </w:r>
      <w:r>
        <w:rPr>
          <w:spacing w:val="-17"/>
        </w:rPr>
        <w:t> </w:t>
      </w:r>
      <w:r>
        <w:rPr/>
        <w:t>cuenta</w:t>
      </w:r>
      <w:r>
        <w:rPr>
          <w:spacing w:val="-15"/>
        </w:rPr>
        <w:t> </w:t>
      </w:r>
      <w:r>
        <w:rPr/>
        <w:t>la</w:t>
      </w:r>
      <w:r>
        <w:rPr>
          <w:spacing w:val="-17"/>
        </w:rPr>
        <w:t> </w:t>
      </w:r>
      <w:r>
        <w:rPr/>
        <w:t>clasificación</w:t>
      </w:r>
      <w:r>
        <w:rPr>
          <w:spacing w:val="-17"/>
        </w:rPr>
        <w:t> </w:t>
      </w:r>
      <w:r>
        <w:rPr/>
        <w:t>de</w:t>
      </w:r>
      <w:r>
        <w:rPr>
          <w:spacing w:val="-17"/>
        </w:rPr>
        <w:t> </w:t>
      </w:r>
      <w:r>
        <w:rPr/>
        <w:t>Mauro</w:t>
      </w:r>
      <w:r>
        <w:rPr>
          <w:spacing w:val="-17"/>
        </w:rPr>
        <w:t> </w:t>
      </w:r>
      <w:r>
        <w:rPr/>
        <w:t>Rodríguez</w:t>
      </w:r>
      <w:r>
        <w:rPr>
          <w:spacing w:val="-17"/>
        </w:rPr>
        <w:t> </w:t>
      </w:r>
      <w:r>
        <w:rPr/>
        <w:t>que</w:t>
      </w:r>
      <w:r>
        <w:rPr>
          <w:spacing w:val="-17"/>
        </w:rPr>
        <w:t> </w:t>
      </w:r>
      <w:r>
        <w:rPr/>
        <w:t>en</w:t>
      </w:r>
      <w:r>
        <w:rPr>
          <w:spacing w:val="-17"/>
        </w:rPr>
        <w:t> </w:t>
      </w:r>
      <w:r>
        <w:rPr/>
        <w:t>su</w:t>
      </w:r>
      <w:r>
        <w:rPr>
          <w:spacing w:val="-17"/>
        </w:rPr>
        <w:t> </w:t>
      </w:r>
      <w:r>
        <w:rPr/>
        <w:t>libro</w:t>
      </w:r>
      <w:r>
        <w:rPr>
          <w:spacing w:val="-17"/>
        </w:rPr>
        <w:t> </w:t>
      </w:r>
      <w:r>
        <w:rPr/>
        <w:t>“Manejo</w:t>
      </w:r>
      <w:r>
        <w:rPr>
          <w:spacing w:val="-17"/>
        </w:rPr>
        <w:t> </w:t>
      </w:r>
      <w:r>
        <w:rPr/>
        <w:t>de</w:t>
      </w:r>
      <w:r>
        <w:rPr>
          <w:spacing w:val="-17"/>
        </w:rPr>
        <w:t> </w:t>
      </w:r>
      <w:r>
        <w:rPr/>
        <w:t>problemas y toma de decisiones” tiene a bien</w:t>
      </w:r>
      <w:r>
        <w:rPr>
          <w:spacing w:val="-8"/>
        </w:rPr>
        <w:t> </w:t>
      </w:r>
      <w:r>
        <w:rPr/>
        <w:t>señalar.</w:t>
      </w:r>
    </w:p>
    <w:p>
      <w:pPr>
        <w:pStyle w:val="ListParagraph"/>
        <w:numPr>
          <w:ilvl w:val="0"/>
          <w:numId w:val="14"/>
        </w:numPr>
        <w:tabs>
          <w:tab w:pos="410" w:val="left" w:leader="none"/>
        </w:tabs>
        <w:spacing w:line="240" w:lineRule="auto" w:before="204" w:after="0"/>
        <w:ind w:left="409" w:right="0" w:hanging="307"/>
        <w:jc w:val="both"/>
        <w:rPr>
          <w:sz w:val="24"/>
        </w:rPr>
      </w:pPr>
      <w:r>
        <w:rPr>
          <w:sz w:val="24"/>
        </w:rPr>
        <w:t>Según el sujeto que</w:t>
      </w:r>
      <w:r>
        <w:rPr>
          <w:spacing w:val="-7"/>
          <w:sz w:val="24"/>
        </w:rPr>
        <w:t> </w:t>
      </w:r>
      <w:r>
        <w:rPr>
          <w:sz w:val="24"/>
        </w:rPr>
        <w:t>decide:</w:t>
      </w:r>
    </w:p>
    <w:p>
      <w:pPr>
        <w:pStyle w:val="BodyText"/>
        <w:spacing w:before="4"/>
        <w:rPr>
          <w:sz w:val="29"/>
        </w:rPr>
      </w:pPr>
    </w:p>
    <w:p>
      <w:pPr>
        <w:pStyle w:val="ListParagraph"/>
        <w:numPr>
          <w:ilvl w:val="0"/>
          <w:numId w:val="15"/>
        </w:numPr>
        <w:tabs>
          <w:tab w:pos="237" w:val="left" w:leader="none"/>
        </w:tabs>
        <w:spacing w:line="360" w:lineRule="auto" w:before="1" w:after="0"/>
        <w:ind w:left="102" w:right="118" w:firstLine="0"/>
        <w:jc w:val="both"/>
        <w:rPr>
          <w:sz w:val="24"/>
        </w:rPr>
      </w:pPr>
      <w:r>
        <w:rPr>
          <w:sz w:val="24"/>
        </w:rPr>
        <w:t>Decisiones</w:t>
      </w:r>
      <w:r>
        <w:rPr>
          <w:spacing w:val="-15"/>
          <w:sz w:val="24"/>
        </w:rPr>
        <w:t> </w:t>
      </w:r>
      <w:r>
        <w:rPr>
          <w:sz w:val="24"/>
        </w:rPr>
        <w:t>individuales</w:t>
      </w:r>
      <w:r>
        <w:rPr>
          <w:spacing w:val="-15"/>
          <w:sz w:val="24"/>
        </w:rPr>
        <w:t> </w:t>
      </w:r>
      <w:r>
        <w:rPr>
          <w:sz w:val="24"/>
        </w:rPr>
        <w:t>y</w:t>
      </w:r>
      <w:r>
        <w:rPr>
          <w:spacing w:val="-17"/>
          <w:sz w:val="24"/>
        </w:rPr>
        <w:t> </w:t>
      </w:r>
      <w:r>
        <w:rPr>
          <w:sz w:val="24"/>
        </w:rPr>
        <w:t>decisiones</w:t>
      </w:r>
      <w:r>
        <w:rPr>
          <w:spacing w:val="-15"/>
          <w:sz w:val="24"/>
        </w:rPr>
        <w:t> </w:t>
      </w:r>
      <w:r>
        <w:rPr>
          <w:sz w:val="24"/>
        </w:rPr>
        <w:t>grupales,</w:t>
      </w:r>
      <w:r>
        <w:rPr>
          <w:spacing w:val="-14"/>
          <w:sz w:val="24"/>
        </w:rPr>
        <w:t> </w:t>
      </w:r>
      <w:r>
        <w:rPr>
          <w:sz w:val="24"/>
        </w:rPr>
        <w:t>estas</w:t>
      </w:r>
      <w:r>
        <w:rPr>
          <w:spacing w:val="-10"/>
          <w:sz w:val="24"/>
        </w:rPr>
        <w:t> </w:t>
      </w:r>
      <w:r>
        <w:rPr>
          <w:sz w:val="24"/>
        </w:rPr>
        <w:t>últimas</w:t>
      </w:r>
      <w:r>
        <w:rPr>
          <w:spacing w:val="-14"/>
          <w:sz w:val="24"/>
        </w:rPr>
        <w:t> </w:t>
      </w:r>
      <w:r>
        <w:rPr>
          <w:sz w:val="24"/>
        </w:rPr>
        <w:t>tomadas</w:t>
      </w:r>
      <w:r>
        <w:rPr>
          <w:spacing w:val="-15"/>
          <w:sz w:val="24"/>
        </w:rPr>
        <w:t> </w:t>
      </w:r>
      <w:r>
        <w:rPr>
          <w:sz w:val="24"/>
        </w:rPr>
        <w:t>por</w:t>
      </w:r>
      <w:r>
        <w:rPr>
          <w:spacing w:val="-16"/>
          <w:sz w:val="24"/>
        </w:rPr>
        <w:t> </w:t>
      </w:r>
      <w:r>
        <w:rPr>
          <w:sz w:val="24"/>
        </w:rPr>
        <w:t>un</w:t>
      </w:r>
      <w:r>
        <w:rPr>
          <w:spacing w:val="-14"/>
          <w:sz w:val="24"/>
        </w:rPr>
        <w:t> </w:t>
      </w:r>
      <w:r>
        <w:rPr>
          <w:sz w:val="24"/>
        </w:rPr>
        <w:t>grupo a través de una discusión llegan a</w:t>
      </w:r>
      <w:r>
        <w:rPr>
          <w:spacing w:val="-12"/>
          <w:sz w:val="24"/>
        </w:rPr>
        <w:t> </w:t>
      </w:r>
      <w:r>
        <w:rPr>
          <w:sz w:val="24"/>
        </w:rPr>
        <w:t>ella.</w:t>
      </w:r>
    </w:p>
    <w:p>
      <w:pPr>
        <w:pStyle w:val="BodyText"/>
        <w:spacing w:line="360" w:lineRule="auto" w:before="202"/>
        <w:ind w:left="102" w:right="116"/>
        <w:jc w:val="both"/>
      </w:pPr>
      <w:r>
        <w:rPr/>
        <w:t>Una diferencia apreciable entre ambas es que en las individuales el proceso de la deliberación permanece oculto, en tanto que en las grupales se hace transparente, las</w:t>
      </w:r>
      <w:r>
        <w:rPr>
          <w:spacing w:val="-9"/>
        </w:rPr>
        <w:t> </w:t>
      </w:r>
      <w:r>
        <w:rPr/>
        <w:t>discusiones</w:t>
      </w:r>
      <w:r>
        <w:rPr>
          <w:spacing w:val="-12"/>
        </w:rPr>
        <w:t> </w:t>
      </w:r>
      <w:r>
        <w:rPr/>
        <w:t>en</w:t>
      </w:r>
      <w:r>
        <w:rPr>
          <w:spacing w:val="-11"/>
        </w:rPr>
        <w:t> </w:t>
      </w:r>
      <w:r>
        <w:rPr/>
        <w:t>esas</w:t>
      </w:r>
      <w:r>
        <w:rPr>
          <w:spacing w:val="-9"/>
        </w:rPr>
        <w:t> </w:t>
      </w:r>
      <w:r>
        <w:rPr/>
        <w:t>no</w:t>
      </w:r>
      <w:r>
        <w:rPr>
          <w:spacing w:val="-11"/>
        </w:rPr>
        <w:t> </w:t>
      </w:r>
      <w:r>
        <w:rPr/>
        <w:t>son</w:t>
      </w:r>
      <w:r>
        <w:rPr>
          <w:spacing w:val="-11"/>
        </w:rPr>
        <w:t> </w:t>
      </w:r>
      <w:r>
        <w:rPr/>
        <w:t>diálogos</w:t>
      </w:r>
      <w:r>
        <w:rPr>
          <w:spacing w:val="-12"/>
        </w:rPr>
        <w:t> </w:t>
      </w:r>
      <w:r>
        <w:rPr/>
        <w:t>silenciosos</w:t>
      </w:r>
      <w:r>
        <w:rPr>
          <w:spacing w:val="-12"/>
        </w:rPr>
        <w:t> </w:t>
      </w:r>
      <w:r>
        <w:rPr/>
        <w:t>de</w:t>
      </w:r>
      <w:r>
        <w:rPr>
          <w:spacing w:val="-11"/>
        </w:rPr>
        <w:t> </w:t>
      </w:r>
      <w:r>
        <w:rPr/>
        <w:t>un</w:t>
      </w:r>
      <w:r>
        <w:rPr>
          <w:spacing w:val="-11"/>
        </w:rPr>
        <w:t> </w:t>
      </w:r>
      <w:r>
        <w:rPr/>
        <w:t>individuo</w:t>
      </w:r>
      <w:r>
        <w:rPr>
          <w:spacing w:val="-11"/>
        </w:rPr>
        <w:t> </w:t>
      </w:r>
      <w:r>
        <w:rPr/>
        <w:t>consigo</w:t>
      </w:r>
      <w:r>
        <w:rPr>
          <w:spacing w:val="-11"/>
        </w:rPr>
        <w:t> </w:t>
      </w:r>
      <w:r>
        <w:rPr/>
        <w:t>mismo, sino intercambio social, por lo común en voz alta y</w:t>
      </w:r>
      <w:r>
        <w:rPr>
          <w:spacing w:val="-13"/>
        </w:rPr>
        <w:t> </w:t>
      </w:r>
      <w:r>
        <w:rPr/>
        <w:t>ruidosa.</w:t>
      </w:r>
    </w:p>
    <w:p>
      <w:pPr>
        <w:pStyle w:val="ListParagraph"/>
        <w:numPr>
          <w:ilvl w:val="0"/>
          <w:numId w:val="14"/>
        </w:numPr>
        <w:tabs>
          <w:tab w:pos="410" w:val="left" w:leader="none"/>
        </w:tabs>
        <w:spacing w:line="240" w:lineRule="auto" w:before="204" w:after="0"/>
        <w:ind w:left="409" w:right="0" w:hanging="307"/>
        <w:jc w:val="both"/>
        <w:rPr>
          <w:sz w:val="24"/>
        </w:rPr>
      </w:pPr>
      <w:r>
        <w:rPr>
          <w:sz w:val="24"/>
        </w:rPr>
        <w:t>Según el contenido de la decisión y el enfoque básico del que</w:t>
      </w:r>
      <w:r>
        <w:rPr>
          <w:spacing w:val="-23"/>
          <w:sz w:val="24"/>
        </w:rPr>
        <w:t> </w:t>
      </w:r>
      <w:r>
        <w:rPr>
          <w:sz w:val="24"/>
        </w:rPr>
        <w:t>decide.</w:t>
      </w:r>
    </w:p>
    <w:p>
      <w:pPr>
        <w:pStyle w:val="BodyText"/>
        <w:spacing w:before="2"/>
        <w:rPr>
          <w:sz w:val="29"/>
        </w:rPr>
      </w:pPr>
    </w:p>
    <w:p>
      <w:pPr>
        <w:pStyle w:val="ListParagraph"/>
        <w:numPr>
          <w:ilvl w:val="0"/>
          <w:numId w:val="15"/>
        </w:numPr>
        <w:tabs>
          <w:tab w:pos="237" w:val="left" w:leader="none"/>
        </w:tabs>
        <w:spacing w:line="360" w:lineRule="auto" w:before="0" w:after="0"/>
        <w:ind w:left="102" w:right="121" w:firstLine="0"/>
        <w:jc w:val="both"/>
        <w:rPr>
          <w:sz w:val="24"/>
        </w:rPr>
      </w:pPr>
      <w:r>
        <w:rPr>
          <w:sz w:val="24"/>
        </w:rPr>
        <w:t>Decisiones</w:t>
      </w:r>
      <w:r>
        <w:rPr>
          <w:spacing w:val="-17"/>
          <w:sz w:val="24"/>
        </w:rPr>
        <w:t> </w:t>
      </w:r>
      <w:r>
        <w:rPr>
          <w:sz w:val="24"/>
        </w:rPr>
        <w:t>programables</w:t>
      </w:r>
      <w:r>
        <w:rPr>
          <w:spacing w:val="-14"/>
          <w:sz w:val="24"/>
        </w:rPr>
        <w:t> </w:t>
      </w:r>
      <w:r>
        <w:rPr>
          <w:sz w:val="24"/>
        </w:rPr>
        <w:t>o</w:t>
      </w:r>
      <w:r>
        <w:rPr>
          <w:spacing w:val="-16"/>
          <w:sz w:val="24"/>
        </w:rPr>
        <w:t> </w:t>
      </w:r>
      <w:r>
        <w:rPr>
          <w:sz w:val="24"/>
        </w:rPr>
        <w:t>programadas:</w:t>
      </w:r>
      <w:r>
        <w:rPr>
          <w:spacing w:val="-14"/>
          <w:sz w:val="24"/>
        </w:rPr>
        <w:t> </w:t>
      </w:r>
      <w:r>
        <w:rPr>
          <w:sz w:val="24"/>
        </w:rPr>
        <w:t>son</w:t>
      </w:r>
      <w:r>
        <w:rPr>
          <w:spacing w:val="-14"/>
          <w:sz w:val="24"/>
        </w:rPr>
        <w:t> </w:t>
      </w:r>
      <w:r>
        <w:rPr>
          <w:sz w:val="24"/>
        </w:rPr>
        <w:t>las</w:t>
      </w:r>
      <w:r>
        <w:rPr>
          <w:spacing w:val="-17"/>
          <w:sz w:val="24"/>
        </w:rPr>
        <w:t> </w:t>
      </w:r>
      <w:r>
        <w:rPr>
          <w:sz w:val="24"/>
        </w:rPr>
        <w:t>que</w:t>
      </w:r>
      <w:r>
        <w:rPr>
          <w:spacing w:val="-16"/>
          <w:sz w:val="24"/>
        </w:rPr>
        <w:t> </w:t>
      </w:r>
      <w:r>
        <w:rPr>
          <w:sz w:val="24"/>
        </w:rPr>
        <w:t>resuelven</w:t>
      </w:r>
      <w:r>
        <w:rPr>
          <w:spacing w:val="-17"/>
          <w:sz w:val="24"/>
        </w:rPr>
        <w:t> </w:t>
      </w:r>
      <w:r>
        <w:rPr>
          <w:sz w:val="24"/>
        </w:rPr>
        <w:t>asuntos</w:t>
      </w:r>
      <w:r>
        <w:rPr>
          <w:spacing w:val="-17"/>
          <w:sz w:val="24"/>
        </w:rPr>
        <w:t> </w:t>
      </w:r>
      <w:r>
        <w:rPr>
          <w:sz w:val="24"/>
        </w:rPr>
        <w:t>repetidos y que pueden ser de</w:t>
      </w:r>
      <w:r>
        <w:rPr>
          <w:spacing w:val="-11"/>
          <w:sz w:val="24"/>
        </w:rPr>
        <w:t> </w:t>
      </w:r>
      <w:r>
        <w:rPr>
          <w:sz w:val="24"/>
        </w:rPr>
        <w:t>rutina.</w:t>
      </w:r>
    </w:p>
    <w:p>
      <w:pPr>
        <w:pStyle w:val="ListParagraph"/>
        <w:numPr>
          <w:ilvl w:val="0"/>
          <w:numId w:val="15"/>
        </w:numPr>
        <w:tabs>
          <w:tab w:pos="256" w:val="left" w:leader="none"/>
        </w:tabs>
        <w:spacing w:line="360" w:lineRule="auto" w:before="204" w:after="0"/>
        <w:ind w:left="102" w:right="125" w:firstLine="0"/>
        <w:jc w:val="both"/>
        <w:rPr>
          <w:sz w:val="24"/>
        </w:rPr>
      </w:pPr>
      <w:r>
        <w:rPr>
          <w:sz w:val="24"/>
        </w:rPr>
        <w:t>Decisiones no programables: las que afrontan situaciones que en lo esencial son nuevas e</w:t>
      </w:r>
      <w:r>
        <w:rPr>
          <w:spacing w:val="-7"/>
          <w:sz w:val="24"/>
        </w:rPr>
        <w:t> </w:t>
      </w:r>
      <w:r>
        <w:rPr>
          <w:sz w:val="24"/>
        </w:rPr>
        <w:t>inéditas.</w:t>
      </w:r>
    </w:p>
    <w:p>
      <w:pPr>
        <w:pStyle w:val="ListParagraph"/>
        <w:numPr>
          <w:ilvl w:val="0"/>
          <w:numId w:val="14"/>
        </w:numPr>
        <w:tabs>
          <w:tab w:pos="489" w:val="left" w:leader="none"/>
        </w:tabs>
        <w:spacing w:line="240" w:lineRule="auto" w:before="205" w:after="0"/>
        <w:ind w:left="488" w:right="0" w:hanging="386"/>
        <w:jc w:val="both"/>
        <w:rPr>
          <w:sz w:val="24"/>
        </w:rPr>
      </w:pPr>
      <w:r>
        <w:rPr>
          <w:sz w:val="24"/>
          <w:u w:val="single"/>
        </w:rPr>
        <w:t>Según las repercusiones que</w:t>
      </w:r>
      <w:r>
        <w:rPr>
          <w:spacing w:val="-13"/>
          <w:sz w:val="24"/>
          <w:u w:val="single"/>
        </w:rPr>
        <w:t> </w:t>
      </w:r>
      <w:r>
        <w:rPr>
          <w:sz w:val="24"/>
          <w:u w:val="single"/>
        </w:rPr>
        <w:t>originan</w:t>
      </w:r>
    </w:p>
    <w:p>
      <w:pPr>
        <w:pStyle w:val="BodyText"/>
        <w:spacing w:before="4"/>
        <w:rPr>
          <w:sz w:val="23"/>
        </w:rPr>
      </w:pPr>
    </w:p>
    <w:p>
      <w:pPr>
        <w:pStyle w:val="ListParagraph"/>
        <w:numPr>
          <w:ilvl w:val="0"/>
          <w:numId w:val="15"/>
        </w:numPr>
        <w:tabs>
          <w:tab w:pos="249" w:val="left" w:leader="none"/>
        </w:tabs>
        <w:spacing w:line="535" w:lineRule="auto" w:before="70" w:after="0"/>
        <w:ind w:left="102" w:right="3074" w:firstLine="0"/>
        <w:jc w:val="left"/>
        <w:rPr>
          <w:sz w:val="24"/>
        </w:rPr>
      </w:pPr>
      <w:r>
        <w:rPr>
          <w:sz w:val="24"/>
        </w:rPr>
        <w:t>Decisiones sobre uno mismo y decisiones sobre otros </w:t>
      </w:r>
      <w:r>
        <w:rPr>
          <w:sz w:val="24"/>
          <w:u w:val="single"/>
        </w:rPr>
        <w:t>D) Según el conocimiento de los datos y</w:t>
      </w:r>
      <w:r>
        <w:rPr>
          <w:spacing w:val="-19"/>
          <w:sz w:val="24"/>
          <w:u w:val="single"/>
        </w:rPr>
        <w:t> </w:t>
      </w:r>
      <w:r>
        <w:rPr>
          <w:sz w:val="24"/>
          <w:u w:val="single"/>
        </w:rPr>
        <w:t>circunstancias</w:t>
      </w:r>
    </w:p>
    <w:p>
      <w:pPr>
        <w:spacing w:after="0" w:line="535" w:lineRule="auto"/>
        <w:jc w:val="left"/>
        <w:rPr>
          <w:sz w:val="24"/>
        </w:rPr>
        <w:sectPr>
          <w:pgSz w:w="12240" w:h="15840"/>
          <w:pgMar w:header="0" w:footer="992" w:top="1360" w:bottom="1180" w:left="1600" w:right="1580"/>
        </w:sectPr>
      </w:pPr>
    </w:p>
    <w:p>
      <w:pPr>
        <w:pStyle w:val="BodyText"/>
        <w:spacing w:line="362" w:lineRule="auto" w:before="54"/>
        <w:ind w:left="102" w:right="99"/>
      </w:pPr>
      <w:r>
        <w:rPr/>
        <w:t>-Decisiones en situaciones de certidumbre. Cuando cada curso de acción lleva a un resultado ya conocido de antemano por el que decide.</w:t>
      </w:r>
    </w:p>
    <w:p>
      <w:pPr>
        <w:pStyle w:val="BodyText"/>
        <w:spacing w:line="360" w:lineRule="auto" w:before="201"/>
        <w:ind w:left="102" w:right="86"/>
      </w:pPr>
      <w:r>
        <w:rPr/>
        <w:t>-Decisiones en situación de incertidumbre. Cuando cada curso de acción, o uno de ellos, me llevaran por caminos desconocidos.</w:t>
      </w:r>
    </w:p>
    <w:p>
      <w:pPr>
        <w:pStyle w:val="ListParagraph"/>
        <w:numPr>
          <w:ilvl w:val="0"/>
          <w:numId w:val="16"/>
        </w:numPr>
        <w:tabs>
          <w:tab w:pos="410" w:val="left" w:leader="none"/>
        </w:tabs>
        <w:spacing w:line="240" w:lineRule="auto" w:before="204" w:after="0"/>
        <w:ind w:left="409" w:right="0" w:hanging="307"/>
        <w:jc w:val="left"/>
        <w:rPr>
          <w:sz w:val="24"/>
        </w:rPr>
      </w:pPr>
      <w:r>
        <w:rPr>
          <w:sz w:val="24"/>
          <w:u w:val="single"/>
        </w:rPr>
        <w:t>Según el tipo de autoridad que las</w:t>
      </w:r>
      <w:r>
        <w:rPr>
          <w:spacing w:val="-20"/>
          <w:sz w:val="24"/>
          <w:u w:val="single"/>
        </w:rPr>
        <w:t> </w:t>
      </w:r>
      <w:r>
        <w:rPr>
          <w:sz w:val="24"/>
          <w:u w:val="single"/>
        </w:rPr>
        <w:t>fundamenta.</w:t>
      </w:r>
    </w:p>
    <w:p>
      <w:pPr>
        <w:pStyle w:val="BodyText"/>
        <w:spacing w:before="4"/>
        <w:rPr>
          <w:sz w:val="23"/>
        </w:rPr>
      </w:pPr>
    </w:p>
    <w:p>
      <w:pPr>
        <w:pStyle w:val="BodyText"/>
        <w:spacing w:before="70"/>
        <w:ind w:left="102"/>
      </w:pPr>
      <w:r>
        <w:rPr/>
        <w:t>-Decisiones técnicas: cuando se apoyan en la competencia de un experto.</w:t>
      </w:r>
    </w:p>
    <w:p>
      <w:pPr>
        <w:pStyle w:val="BodyText"/>
        <w:spacing w:before="4"/>
        <w:rPr>
          <w:sz w:val="29"/>
        </w:rPr>
      </w:pPr>
    </w:p>
    <w:p>
      <w:pPr>
        <w:pStyle w:val="BodyText"/>
        <w:spacing w:line="360" w:lineRule="auto" w:before="1"/>
        <w:ind w:left="102"/>
      </w:pPr>
      <w:r>
        <w:rPr/>
        <w:t>-Decisiones ejecutivas: cuando nacen de un poder social, más bien que de la competencia de un experto</w:t>
      </w:r>
    </w:p>
    <w:p>
      <w:pPr>
        <w:pStyle w:val="ListParagraph"/>
        <w:numPr>
          <w:ilvl w:val="0"/>
          <w:numId w:val="16"/>
        </w:numPr>
        <w:tabs>
          <w:tab w:pos="395" w:val="left" w:leader="none"/>
        </w:tabs>
        <w:spacing w:line="240" w:lineRule="auto" w:before="204" w:after="0"/>
        <w:ind w:left="394" w:right="0" w:hanging="292"/>
        <w:jc w:val="left"/>
        <w:rPr>
          <w:sz w:val="24"/>
        </w:rPr>
      </w:pPr>
      <w:r>
        <w:rPr>
          <w:sz w:val="24"/>
          <w:u w:val="single"/>
        </w:rPr>
        <w:t>Según el nivel</w:t>
      </w:r>
      <w:r>
        <w:rPr>
          <w:spacing w:val="-11"/>
          <w:sz w:val="24"/>
          <w:u w:val="single"/>
        </w:rPr>
        <w:t> </w:t>
      </w:r>
      <w:r>
        <w:rPr>
          <w:sz w:val="24"/>
          <w:u w:val="single"/>
        </w:rPr>
        <w:t>jerárquico</w:t>
      </w:r>
    </w:p>
    <w:p>
      <w:pPr>
        <w:pStyle w:val="BodyText"/>
        <w:spacing w:before="4"/>
        <w:rPr>
          <w:sz w:val="23"/>
        </w:rPr>
      </w:pPr>
    </w:p>
    <w:p>
      <w:pPr>
        <w:pStyle w:val="BodyText"/>
        <w:spacing w:before="70"/>
        <w:ind w:left="102"/>
      </w:pPr>
      <w:r>
        <w:rPr/>
        <w:t>-Decisiones operativas. Las  que competen a los obreros y supervisores.</w:t>
      </w:r>
    </w:p>
    <w:p>
      <w:pPr>
        <w:pStyle w:val="BodyText"/>
        <w:spacing w:before="4"/>
        <w:rPr>
          <w:sz w:val="29"/>
        </w:rPr>
      </w:pPr>
    </w:p>
    <w:p>
      <w:pPr>
        <w:pStyle w:val="BodyText"/>
        <w:spacing w:line="360" w:lineRule="auto" w:before="1"/>
        <w:ind w:left="102"/>
      </w:pPr>
      <w:r>
        <w:rPr/>
        <w:t>-Decisiones tácticas. Se manejan en el nivel de jefes de departamento y directores de sección.</w:t>
      </w:r>
    </w:p>
    <w:p>
      <w:pPr>
        <w:pStyle w:val="BodyText"/>
        <w:spacing w:line="360" w:lineRule="auto" w:before="204"/>
        <w:ind w:left="102"/>
      </w:pPr>
      <w:r>
        <w:rPr/>
        <w:t>-Decisiones estratégicas. Competen a la dirección general, fijan los objetivos y políticas generales de las instituciones.</w:t>
      </w:r>
    </w:p>
    <w:p>
      <w:pPr>
        <w:pStyle w:val="ListParagraph"/>
        <w:numPr>
          <w:ilvl w:val="0"/>
          <w:numId w:val="16"/>
        </w:numPr>
        <w:tabs>
          <w:tab w:pos="436" w:val="left" w:leader="none"/>
        </w:tabs>
        <w:spacing w:line="240" w:lineRule="auto" w:before="204" w:after="0"/>
        <w:ind w:left="435" w:right="0" w:hanging="333"/>
        <w:jc w:val="left"/>
        <w:rPr>
          <w:sz w:val="24"/>
        </w:rPr>
      </w:pPr>
      <w:r>
        <w:rPr>
          <w:sz w:val="24"/>
          <w:u w:val="single"/>
        </w:rPr>
        <w:t>Según la participación de los</w:t>
      </w:r>
      <w:r>
        <w:rPr>
          <w:spacing w:val="-11"/>
          <w:sz w:val="24"/>
          <w:u w:val="single"/>
        </w:rPr>
        <w:t> </w:t>
      </w:r>
      <w:r>
        <w:rPr>
          <w:sz w:val="24"/>
          <w:u w:val="single"/>
        </w:rPr>
        <w:t>interesados</w:t>
      </w:r>
    </w:p>
    <w:p>
      <w:pPr>
        <w:pStyle w:val="BodyText"/>
        <w:spacing w:before="4"/>
        <w:rPr>
          <w:sz w:val="23"/>
        </w:rPr>
      </w:pPr>
    </w:p>
    <w:p>
      <w:pPr>
        <w:pStyle w:val="ListParagraph"/>
        <w:numPr>
          <w:ilvl w:val="0"/>
          <w:numId w:val="15"/>
        </w:numPr>
        <w:tabs>
          <w:tab w:pos="319" w:val="left" w:leader="none"/>
        </w:tabs>
        <w:spacing w:line="360" w:lineRule="auto" w:before="70" w:after="0"/>
        <w:ind w:left="102" w:right="104" w:firstLine="0"/>
        <w:jc w:val="both"/>
        <w:rPr>
          <w:sz w:val="24"/>
        </w:rPr>
      </w:pPr>
      <w:r>
        <w:rPr>
          <w:sz w:val="24"/>
        </w:rPr>
        <w:t>Decisiones autoritarias: las que están impuestas por un jefe más o menos dictatorial.</w:t>
      </w:r>
    </w:p>
    <w:p>
      <w:pPr>
        <w:pStyle w:val="BodyText"/>
        <w:spacing w:line="360" w:lineRule="auto" w:before="202"/>
        <w:ind w:left="102" w:right="106"/>
        <w:jc w:val="both"/>
      </w:pPr>
      <w:r>
        <w:rPr/>
        <w:t>-Decisiones por votación: cuando, al no poder llegar a un acuerdo los interesados, se toma el parecer y el deseo de la mayoría; la minoría supuestamente se resigna y acepta.</w:t>
      </w:r>
    </w:p>
    <w:p>
      <w:pPr>
        <w:pStyle w:val="BodyText"/>
        <w:spacing w:line="535" w:lineRule="auto" w:before="205"/>
        <w:ind w:left="102" w:right="1607"/>
      </w:pPr>
      <w:r>
        <w:rPr/>
        <w:t>-Decisiones por unanimidad: todos coinciden en un mismo parecer </w:t>
      </w:r>
      <w:r>
        <w:rPr>
          <w:u w:val="single"/>
        </w:rPr>
        <w:t>H) Según su eficacia</w:t>
      </w:r>
    </w:p>
    <w:p>
      <w:pPr>
        <w:pStyle w:val="BodyText"/>
        <w:spacing w:before="8"/>
        <w:ind w:left="102"/>
      </w:pPr>
      <w:r>
        <w:rPr/>
        <w:t>-Decisiones buenas: cuando se producen los resultados deseados y previstos.</w:t>
      </w:r>
    </w:p>
    <w:p>
      <w:pPr>
        <w:pStyle w:val="BodyText"/>
        <w:spacing w:before="4"/>
        <w:rPr>
          <w:sz w:val="29"/>
        </w:rPr>
      </w:pPr>
    </w:p>
    <w:p>
      <w:pPr>
        <w:pStyle w:val="BodyText"/>
        <w:spacing w:before="1"/>
        <w:ind w:left="102"/>
      </w:pPr>
      <w:r>
        <w:rPr/>
        <w:t>-Decisiones malas: cuando los resultados suelen ser imprevistos y no deseados.</w:t>
      </w:r>
    </w:p>
    <w:p>
      <w:pPr>
        <w:spacing w:after="0"/>
        <w:sectPr>
          <w:pgSz w:w="12240" w:h="15840"/>
          <w:pgMar w:header="0" w:footer="992" w:top="1360" w:bottom="1180" w:left="1600" w:right="1600"/>
        </w:sectPr>
      </w:pPr>
    </w:p>
    <w:p>
      <w:pPr>
        <w:pStyle w:val="BodyText"/>
        <w:spacing w:line="360" w:lineRule="auto" w:before="54"/>
        <w:ind w:left="102" w:right="116"/>
        <w:jc w:val="both"/>
      </w:pPr>
      <w:r>
        <w:rPr/>
        <w:t>La tipología puede ampliarse, pero dependerá ya de la circunstancia o la categorización de los estudios que cada autor realice sobre la temática. Para la tipología</w:t>
      </w:r>
      <w:r>
        <w:rPr>
          <w:spacing w:val="-7"/>
        </w:rPr>
        <w:t> </w:t>
      </w:r>
      <w:r>
        <w:rPr/>
        <w:t>siguiente</w:t>
      </w:r>
      <w:r>
        <w:rPr>
          <w:spacing w:val="-6"/>
        </w:rPr>
        <w:t> </w:t>
      </w:r>
      <w:r>
        <w:rPr/>
        <w:t>será</w:t>
      </w:r>
      <w:r>
        <w:rPr>
          <w:spacing w:val="-10"/>
        </w:rPr>
        <w:t> </w:t>
      </w:r>
      <w:r>
        <w:rPr/>
        <w:t>a</w:t>
      </w:r>
      <w:r>
        <w:rPr>
          <w:spacing w:val="-7"/>
        </w:rPr>
        <w:t> </w:t>
      </w:r>
      <w:r>
        <w:rPr/>
        <w:t>Curzio</w:t>
      </w:r>
      <w:r>
        <w:rPr>
          <w:spacing w:val="-8"/>
        </w:rPr>
        <w:t> </w:t>
      </w:r>
      <w:r>
        <w:rPr/>
        <w:t>(1998)</w:t>
      </w:r>
      <w:r>
        <w:rPr>
          <w:spacing w:val="-7"/>
        </w:rPr>
        <w:t> </w:t>
      </w:r>
      <w:r>
        <w:rPr/>
        <w:t>a</w:t>
      </w:r>
      <w:r>
        <w:rPr>
          <w:spacing w:val="-7"/>
        </w:rPr>
        <w:t> </w:t>
      </w:r>
      <w:r>
        <w:rPr/>
        <w:t>quién</w:t>
      </w:r>
      <w:r>
        <w:rPr>
          <w:spacing w:val="-7"/>
        </w:rPr>
        <w:t> </w:t>
      </w:r>
      <w:r>
        <w:rPr/>
        <w:t>se</w:t>
      </w:r>
      <w:r>
        <w:rPr>
          <w:spacing w:val="-7"/>
        </w:rPr>
        <w:t> </w:t>
      </w:r>
      <w:r>
        <w:rPr/>
        <w:t>retomará;</w:t>
      </w:r>
      <w:r>
        <w:rPr>
          <w:spacing w:val="-10"/>
        </w:rPr>
        <w:t> </w:t>
      </w:r>
      <w:r>
        <w:rPr/>
        <w:t>éste</w:t>
      </w:r>
      <w:r>
        <w:rPr>
          <w:spacing w:val="-7"/>
        </w:rPr>
        <w:t> </w:t>
      </w:r>
      <w:r>
        <w:rPr/>
        <w:t>señala</w:t>
      </w:r>
      <w:r>
        <w:rPr>
          <w:spacing w:val="-8"/>
        </w:rPr>
        <w:t> </w:t>
      </w:r>
      <w:r>
        <w:rPr/>
        <w:t>que</w:t>
      </w:r>
      <w:r>
        <w:rPr>
          <w:spacing w:val="-7"/>
        </w:rPr>
        <w:t> </w:t>
      </w:r>
      <w:r>
        <w:rPr/>
        <w:t>el</w:t>
      </w:r>
      <w:r>
        <w:rPr>
          <w:spacing w:val="-9"/>
        </w:rPr>
        <w:t> </w:t>
      </w:r>
      <w:r>
        <w:rPr/>
        <w:t>tipo de</w:t>
      </w:r>
      <w:r>
        <w:rPr>
          <w:spacing w:val="-7"/>
        </w:rPr>
        <w:t> </w:t>
      </w:r>
      <w:r>
        <w:rPr/>
        <w:t>decisión</w:t>
      </w:r>
      <w:r>
        <w:rPr>
          <w:spacing w:val="-7"/>
        </w:rPr>
        <w:t> </w:t>
      </w:r>
      <w:r>
        <w:rPr/>
        <w:t>que</w:t>
      </w:r>
      <w:r>
        <w:rPr>
          <w:spacing w:val="-7"/>
        </w:rPr>
        <w:t> </w:t>
      </w:r>
      <w:r>
        <w:rPr/>
        <w:t>se</w:t>
      </w:r>
      <w:r>
        <w:rPr>
          <w:spacing w:val="-7"/>
        </w:rPr>
        <w:t> </w:t>
      </w:r>
      <w:r>
        <w:rPr/>
        <w:t>adopte</w:t>
      </w:r>
      <w:r>
        <w:rPr>
          <w:spacing w:val="-7"/>
        </w:rPr>
        <w:t> </w:t>
      </w:r>
      <w:r>
        <w:rPr/>
        <w:t>dependerá</w:t>
      </w:r>
      <w:r>
        <w:rPr>
          <w:spacing w:val="-8"/>
        </w:rPr>
        <w:t> </w:t>
      </w:r>
      <w:r>
        <w:rPr/>
        <w:t>de</w:t>
      </w:r>
      <w:r>
        <w:rPr>
          <w:spacing w:val="-3"/>
        </w:rPr>
        <w:t> </w:t>
      </w:r>
      <w:r>
        <w:rPr/>
        <w:t>la</w:t>
      </w:r>
      <w:r>
        <w:rPr>
          <w:spacing w:val="-7"/>
        </w:rPr>
        <w:t> </w:t>
      </w:r>
      <w:r>
        <w:rPr/>
        <w:t>naturaleza</w:t>
      </w:r>
      <w:r>
        <w:rPr>
          <w:spacing w:val="-7"/>
        </w:rPr>
        <w:t> </w:t>
      </w:r>
      <w:r>
        <w:rPr/>
        <w:t>del</w:t>
      </w:r>
      <w:r>
        <w:rPr>
          <w:spacing w:val="-8"/>
        </w:rPr>
        <w:t> </w:t>
      </w:r>
      <w:r>
        <w:rPr/>
        <w:t>objetivo</w:t>
      </w:r>
      <w:r>
        <w:rPr>
          <w:spacing w:val="-7"/>
        </w:rPr>
        <w:t> </w:t>
      </w:r>
      <w:r>
        <w:rPr/>
        <w:t>que</w:t>
      </w:r>
      <w:r>
        <w:rPr>
          <w:spacing w:val="-7"/>
        </w:rPr>
        <w:t> </w:t>
      </w:r>
      <w:r>
        <w:rPr/>
        <w:t>se</w:t>
      </w:r>
      <w:r>
        <w:rPr>
          <w:spacing w:val="-7"/>
        </w:rPr>
        <w:t> </w:t>
      </w:r>
      <w:r>
        <w:rPr/>
        <w:t>persiga</w:t>
      </w:r>
      <w:r>
        <w:rPr>
          <w:spacing w:val="-7"/>
        </w:rPr>
        <w:t> </w:t>
      </w:r>
      <w:r>
        <w:rPr/>
        <w:t>y del contexto. Por lo tanto, él realiza la siguiente</w:t>
      </w:r>
      <w:r>
        <w:rPr>
          <w:spacing w:val="-18"/>
        </w:rPr>
        <w:t> </w:t>
      </w:r>
      <w:r>
        <w:rPr/>
        <w:t>distinción:</w:t>
      </w:r>
    </w:p>
    <w:p>
      <w:pPr>
        <w:pStyle w:val="ListParagraph"/>
        <w:numPr>
          <w:ilvl w:val="1"/>
          <w:numId w:val="16"/>
        </w:numPr>
        <w:tabs>
          <w:tab w:pos="822" w:val="left" w:leader="none"/>
        </w:tabs>
        <w:spacing w:line="360" w:lineRule="auto" w:before="204" w:after="0"/>
        <w:ind w:left="822" w:right="114" w:hanging="360"/>
        <w:jc w:val="both"/>
        <w:rPr>
          <w:sz w:val="24"/>
        </w:rPr>
      </w:pPr>
      <w:r>
        <w:rPr>
          <w:sz w:val="24"/>
          <w:u w:val="single"/>
        </w:rPr>
        <w:t>Decisiones</w:t>
      </w:r>
      <w:r>
        <w:rPr>
          <w:spacing w:val="-14"/>
          <w:sz w:val="24"/>
          <w:u w:val="single"/>
        </w:rPr>
        <w:t> </w:t>
      </w:r>
      <w:r>
        <w:rPr>
          <w:sz w:val="24"/>
          <w:u w:val="single"/>
        </w:rPr>
        <w:t>aleatorias</w:t>
      </w:r>
      <w:r>
        <w:rPr>
          <w:sz w:val="24"/>
        </w:rPr>
        <w:t>.</w:t>
      </w:r>
      <w:r>
        <w:rPr>
          <w:spacing w:val="-16"/>
          <w:sz w:val="24"/>
        </w:rPr>
        <w:t> </w:t>
      </w:r>
      <w:r>
        <w:rPr>
          <w:sz w:val="24"/>
        </w:rPr>
        <w:t>Son</w:t>
      </w:r>
      <w:r>
        <w:rPr>
          <w:spacing w:val="-13"/>
          <w:sz w:val="24"/>
        </w:rPr>
        <w:t> </w:t>
      </w:r>
      <w:r>
        <w:rPr>
          <w:sz w:val="24"/>
        </w:rPr>
        <w:t>una</w:t>
      </w:r>
      <w:r>
        <w:rPr>
          <w:spacing w:val="-13"/>
          <w:sz w:val="24"/>
        </w:rPr>
        <w:t> </w:t>
      </w:r>
      <w:r>
        <w:rPr>
          <w:sz w:val="24"/>
        </w:rPr>
        <w:t>demostración</w:t>
      </w:r>
      <w:r>
        <w:rPr>
          <w:spacing w:val="-16"/>
          <w:sz w:val="24"/>
        </w:rPr>
        <w:t> </w:t>
      </w:r>
      <w:r>
        <w:rPr>
          <w:sz w:val="24"/>
        </w:rPr>
        <w:t>de</w:t>
      </w:r>
      <w:r>
        <w:rPr>
          <w:spacing w:val="-13"/>
          <w:sz w:val="24"/>
        </w:rPr>
        <w:t> </w:t>
      </w:r>
      <w:r>
        <w:rPr>
          <w:sz w:val="24"/>
        </w:rPr>
        <w:t>los</w:t>
      </w:r>
      <w:r>
        <w:rPr>
          <w:spacing w:val="-10"/>
          <w:sz w:val="24"/>
        </w:rPr>
        <w:t> </w:t>
      </w:r>
      <w:r>
        <w:rPr>
          <w:sz w:val="24"/>
        </w:rPr>
        <w:t>límites</w:t>
      </w:r>
      <w:r>
        <w:rPr>
          <w:spacing w:val="-13"/>
          <w:sz w:val="24"/>
        </w:rPr>
        <w:t> </w:t>
      </w:r>
      <w:r>
        <w:rPr>
          <w:sz w:val="24"/>
        </w:rPr>
        <w:t>de</w:t>
      </w:r>
      <w:r>
        <w:rPr>
          <w:spacing w:val="-13"/>
          <w:sz w:val="24"/>
        </w:rPr>
        <w:t> </w:t>
      </w:r>
      <w:r>
        <w:rPr>
          <w:sz w:val="24"/>
        </w:rPr>
        <w:t>la</w:t>
      </w:r>
      <w:r>
        <w:rPr>
          <w:spacing w:val="-13"/>
          <w:sz w:val="24"/>
        </w:rPr>
        <w:t> </w:t>
      </w:r>
      <w:r>
        <w:rPr>
          <w:sz w:val="24"/>
        </w:rPr>
        <w:t>racionalidad al momento de elegir. Hay contextos donde los participantes deben de partir de la misma situación y no hay elementos para</w:t>
      </w:r>
      <w:r>
        <w:rPr>
          <w:spacing w:val="-17"/>
          <w:sz w:val="24"/>
        </w:rPr>
        <w:t> </w:t>
      </w:r>
      <w:r>
        <w:rPr>
          <w:sz w:val="24"/>
        </w:rPr>
        <w:t>preferir.</w:t>
      </w:r>
    </w:p>
    <w:p>
      <w:pPr>
        <w:pStyle w:val="ListParagraph"/>
        <w:numPr>
          <w:ilvl w:val="1"/>
          <w:numId w:val="16"/>
        </w:numPr>
        <w:tabs>
          <w:tab w:pos="822" w:val="left" w:leader="none"/>
        </w:tabs>
        <w:spacing w:line="360" w:lineRule="auto" w:before="5" w:after="0"/>
        <w:ind w:left="822" w:right="117" w:hanging="360"/>
        <w:jc w:val="both"/>
        <w:rPr>
          <w:sz w:val="24"/>
        </w:rPr>
      </w:pPr>
      <w:r>
        <w:rPr>
          <w:sz w:val="24"/>
          <w:u w:val="single"/>
        </w:rPr>
        <w:t>Decisiones paramétricas</w:t>
      </w:r>
      <w:r>
        <w:rPr>
          <w:sz w:val="24"/>
        </w:rPr>
        <w:t>. Operan cuando el comportamiento de los otros actores involucrados en el proceso pueden considerarse como un dato, son decisiones en las que los elementos del contexto son constantes. Usualmente</w:t>
      </w:r>
      <w:r>
        <w:rPr>
          <w:spacing w:val="-20"/>
          <w:sz w:val="24"/>
        </w:rPr>
        <w:t> </w:t>
      </w:r>
      <w:r>
        <w:rPr>
          <w:sz w:val="24"/>
        </w:rPr>
        <w:t>este</w:t>
      </w:r>
      <w:r>
        <w:rPr>
          <w:spacing w:val="-18"/>
          <w:sz w:val="24"/>
        </w:rPr>
        <w:t> </w:t>
      </w:r>
      <w:r>
        <w:rPr>
          <w:sz w:val="24"/>
        </w:rPr>
        <w:t>tipo</w:t>
      </w:r>
      <w:r>
        <w:rPr>
          <w:spacing w:val="-18"/>
          <w:sz w:val="24"/>
        </w:rPr>
        <w:t> </w:t>
      </w:r>
      <w:r>
        <w:rPr>
          <w:sz w:val="24"/>
        </w:rPr>
        <w:t>de</w:t>
      </w:r>
      <w:r>
        <w:rPr>
          <w:spacing w:val="-18"/>
          <w:sz w:val="24"/>
        </w:rPr>
        <w:t> </w:t>
      </w:r>
      <w:r>
        <w:rPr>
          <w:sz w:val="24"/>
        </w:rPr>
        <w:t>decisiones</w:t>
      </w:r>
      <w:r>
        <w:rPr>
          <w:spacing w:val="-19"/>
          <w:sz w:val="24"/>
        </w:rPr>
        <w:t> </w:t>
      </w:r>
      <w:r>
        <w:rPr>
          <w:sz w:val="24"/>
        </w:rPr>
        <w:t>se</w:t>
      </w:r>
      <w:r>
        <w:rPr>
          <w:spacing w:val="-18"/>
          <w:sz w:val="24"/>
        </w:rPr>
        <w:t> </w:t>
      </w:r>
      <w:r>
        <w:rPr>
          <w:sz w:val="24"/>
        </w:rPr>
        <w:t>ubican</w:t>
      </w:r>
      <w:r>
        <w:rPr>
          <w:spacing w:val="-20"/>
          <w:sz w:val="24"/>
        </w:rPr>
        <w:t> </w:t>
      </w:r>
      <w:r>
        <w:rPr>
          <w:sz w:val="24"/>
        </w:rPr>
        <w:t>en</w:t>
      </w:r>
      <w:r>
        <w:rPr>
          <w:spacing w:val="-18"/>
          <w:sz w:val="24"/>
        </w:rPr>
        <w:t> </w:t>
      </w:r>
      <w:r>
        <w:rPr>
          <w:sz w:val="24"/>
        </w:rPr>
        <w:t>el</w:t>
      </w:r>
      <w:r>
        <w:rPr>
          <w:spacing w:val="-19"/>
          <w:sz w:val="24"/>
        </w:rPr>
        <w:t> </w:t>
      </w:r>
      <w:r>
        <w:rPr>
          <w:sz w:val="24"/>
        </w:rPr>
        <w:t>nivel</w:t>
      </w:r>
      <w:r>
        <w:rPr>
          <w:spacing w:val="-19"/>
          <w:sz w:val="24"/>
        </w:rPr>
        <w:t> </w:t>
      </w:r>
      <w:r>
        <w:rPr>
          <w:sz w:val="24"/>
        </w:rPr>
        <w:t>gerencial</w:t>
      </w:r>
      <w:r>
        <w:rPr>
          <w:spacing w:val="-19"/>
          <w:sz w:val="24"/>
        </w:rPr>
        <w:t> </w:t>
      </w:r>
      <w:r>
        <w:rPr>
          <w:sz w:val="24"/>
        </w:rPr>
        <w:t>y</w:t>
      </w:r>
      <w:r>
        <w:rPr>
          <w:spacing w:val="-21"/>
          <w:sz w:val="24"/>
        </w:rPr>
        <w:t> </w:t>
      </w:r>
      <w:r>
        <w:rPr>
          <w:sz w:val="24"/>
        </w:rPr>
        <w:t>son</w:t>
      </w:r>
      <w:r>
        <w:rPr>
          <w:spacing w:val="-18"/>
          <w:sz w:val="24"/>
        </w:rPr>
        <w:t> </w:t>
      </w:r>
      <w:r>
        <w:rPr>
          <w:sz w:val="24"/>
        </w:rPr>
        <w:t>parte de un proceso altamente institucionalizado con procedimientos establecidos y con la presunción de que todos los actores se rigen por esas</w:t>
      </w:r>
      <w:r>
        <w:rPr>
          <w:spacing w:val="-25"/>
          <w:sz w:val="24"/>
        </w:rPr>
        <w:t> </w:t>
      </w:r>
      <w:r>
        <w:rPr>
          <w:sz w:val="24"/>
        </w:rPr>
        <w:t>normas.</w:t>
      </w:r>
    </w:p>
    <w:p>
      <w:pPr>
        <w:pStyle w:val="ListParagraph"/>
        <w:numPr>
          <w:ilvl w:val="1"/>
          <w:numId w:val="16"/>
        </w:numPr>
        <w:tabs>
          <w:tab w:pos="822" w:val="left" w:leader="none"/>
        </w:tabs>
        <w:spacing w:line="360" w:lineRule="auto" w:before="5" w:after="0"/>
        <w:ind w:left="822" w:right="115" w:hanging="360"/>
        <w:jc w:val="both"/>
        <w:rPr>
          <w:sz w:val="24"/>
        </w:rPr>
      </w:pPr>
      <w:r>
        <w:rPr>
          <w:sz w:val="24"/>
          <w:u w:val="single"/>
        </w:rPr>
        <w:t>Decisiones estratégicas</w:t>
      </w:r>
      <w:r>
        <w:rPr>
          <w:sz w:val="24"/>
        </w:rPr>
        <w:t>. Este tipo de decisiones, los elementos que condicionan</w:t>
      </w:r>
      <w:r>
        <w:rPr>
          <w:spacing w:val="-12"/>
          <w:sz w:val="24"/>
        </w:rPr>
        <w:t> </w:t>
      </w:r>
      <w:r>
        <w:rPr>
          <w:sz w:val="24"/>
        </w:rPr>
        <w:t>la</w:t>
      </w:r>
      <w:r>
        <w:rPr>
          <w:spacing w:val="-12"/>
          <w:sz w:val="24"/>
        </w:rPr>
        <w:t> </w:t>
      </w:r>
      <w:r>
        <w:rPr>
          <w:sz w:val="24"/>
        </w:rPr>
        <w:t>decisión</w:t>
      </w:r>
      <w:r>
        <w:rPr>
          <w:spacing w:val="-12"/>
          <w:sz w:val="24"/>
        </w:rPr>
        <w:t> </w:t>
      </w:r>
      <w:r>
        <w:rPr>
          <w:sz w:val="24"/>
        </w:rPr>
        <w:t>no</w:t>
      </w:r>
      <w:r>
        <w:rPr>
          <w:spacing w:val="-12"/>
          <w:sz w:val="24"/>
        </w:rPr>
        <w:t> </w:t>
      </w:r>
      <w:r>
        <w:rPr>
          <w:sz w:val="24"/>
        </w:rPr>
        <w:t>son</w:t>
      </w:r>
      <w:r>
        <w:rPr>
          <w:spacing w:val="-12"/>
          <w:sz w:val="24"/>
        </w:rPr>
        <w:t> </w:t>
      </w:r>
      <w:r>
        <w:rPr>
          <w:sz w:val="24"/>
        </w:rPr>
        <w:t>estables.</w:t>
      </w:r>
      <w:r>
        <w:rPr>
          <w:spacing w:val="-12"/>
          <w:sz w:val="24"/>
        </w:rPr>
        <w:t> </w:t>
      </w:r>
      <w:r>
        <w:rPr>
          <w:sz w:val="24"/>
        </w:rPr>
        <w:t>El</w:t>
      </w:r>
      <w:r>
        <w:rPr>
          <w:spacing w:val="-13"/>
          <w:sz w:val="24"/>
        </w:rPr>
        <w:t> </w:t>
      </w:r>
      <w:r>
        <w:rPr>
          <w:sz w:val="24"/>
        </w:rPr>
        <w:t>agente</w:t>
      </w:r>
      <w:r>
        <w:rPr>
          <w:spacing w:val="-11"/>
          <w:sz w:val="24"/>
        </w:rPr>
        <w:t> </w:t>
      </w:r>
      <w:r>
        <w:rPr>
          <w:sz w:val="24"/>
        </w:rPr>
        <w:t>que</w:t>
      </w:r>
      <w:r>
        <w:rPr>
          <w:spacing w:val="-12"/>
          <w:sz w:val="24"/>
        </w:rPr>
        <w:t> </w:t>
      </w:r>
      <w:r>
        <w:rPr>
          <w:sz w:val="24"/>
        </w:rPr>
        <w:t>decide</w:t>
      </w:r>
      <w:r>
        <w:rPr>
          <w:spacing w:val="-12"/>
          <w:sz w:val="24"/>
        </w:rPr>
        <w:t> </w:t>
      </w:r>
      <w:r>
        <w:rPr>
          <w:sz w:val="24"/>
        </w:rPr>
        <w:t>no</w:t>
      </w:r>
      <w:r>
        <w:rPr>
          <w:spacing w:val="-12"/>
          <w:sz w:val="24"/>
        </w:rPr>
        <w:t> </w:t>
      </w:r>
      <w:r>
        <w:rPr>
          <w:sz w:val="24"/>
        </w:rPr>
        <w:t>se</w:t>
      </w:r>
      <w:r>
        <w:rPr>
          <w:spacing w:val="-12"/>
          <w:sz w:val="24"/>
        </w:rPr>
        <w:t> </w:t>
      </w:r>
      <w:r>
        <w:rPr>
          <w:sz w:val="24"/>
        </w:rPr>
        <w:t>enfrenta a</w:t>
      </w:r>
      <w:r>
        <w:rPr>
          <w:spacing w:val="-19"/>
          <w:sz w:val="24"/>
        </w:rPr>
        <w:t> </w:t>
      </w:r>
      <w:r>
        <w:rPr>
          <w:sz w:val="24"/>
        </w:rPr>
        <w:t>parámetros</w:t>
      </w:r>
      <w:r>
        <w:rPr>
          <w:spacing w:val="-22"/>
          <w:sz w:val="24"/>
        </w:rPr>
        <w:t> </w:t>
      </w:r>
      <w:r>
        <w:rPr>
          <w:sz w:val="24"/>
        </w:rPr>
        <w:t>fijos</w:t>
      </w:r>
      <w:r>
        <w:rPr>
          <w:spacing w:val="-22"/>
          <w:sz w:val="24"/>
        </w:rPr>
        <w:t> </w:t>
      </w:r>
      <w:r>
        <w:rPr>
          <w:sz w:val="24"/>
        </w:rPr>
        <w:t>fácilmente</w:t>
      </w:r>
      <w:r>
        <w:rPr>
          <w:spacing w:val="-19"/>
          <w:sz w:val="24"/>
        </w:rPr>
        <w:t> </w:t>
      </w:r>
      <w:r>
        <w:rPr>
          <w:sz w:val="24"/>
        </w:rPr>
        <w:t>controlables,</w:t>
      </w:r>
      <w:r>
        <w:rPr>
          <w:spacing w:val="-19"/>
          <w:sz w:val="24"/>
        </w:rPr>
        <w:t> </w:t>
      </w:r>
      <w:r>
        <w:rPr>
          <w:sz w:val="24"/>
        </w:rPr>
        <w:t>sino</w:t>
      </w:r>
      <w:r>
        <w:rPr>
          <w:spacing w:val="-19"/>
          <w:sz w:val="24"/>
        </w:rPr>
        <w:t> </w:t>
      </w:r>
      <w:r>
        <w:rPr>
          <w:sz w:val="24"/>
        </w:rPr>
        <w:t>a</w:t>
      </w:r>
      <w:r>
        <w:rPr>
          <w:spacing w:val="-19"/>
          <w:sz w:val="24"/>
        </w:rPr>
        <w:t> </w:t>
      </w:r>
      <w:r>
        <w:rPr>
          <w:sz w:val="24"/>
        </w:rPr>
        <w:t>otros</w:t>
      </w:r>
      <w:r>
        <w:rPr>
          <w:spacing w:val="-20"/>
          <w:sz w:val="24"/>
        </w:rPr>
        <w:t> </w:t>
      </w:r>
      <w:r>
        <w:rPr>
          <w:sz w:val="24"/>
        </w:rPr>
        <w:t>agentes</w:t>
      </w:r>
      <w:r>
        <w:rPr>
          <w:spacing w:val="-20"/>
          <w:sz w:val="24"/>
        </w:rPr>
        <w:t> </w:t>
      </w:r>
      <w:r>
        <w:rPr>
          <w:sz w:val="24"/>
        </w:rPr>
        <w:t>tan</w:t>
      </w:r>
      <w:r>
        <w:rPr>
          <w:spacing w:val="-19"/>
          <w:sz w:val="24"/>
        </w:rPr>
        <w:t> </w:t>
      </w:r>
      <w:r>
        <w:rPr>
          <w:sz w:val="24"/>
        </w:rPr>
        <w:t>racionales como él, con objetivos, pretensiones y, sobre todo, capacidades tácticas y estratégicas controladas, ni necesariamente conocidas por él. La decisión depende de lo que harán los demás sabiendo que los otros están exactamente</w:t>
      </w:r>
      <w:r>
        <w:rPr>
          <w:spacing w:val="-15"/>
          <w:sz w:val="24"/>
        </w:rPr>
        <w:t> </w:t>
      </w:r>
      <w:r>
        <w:rPr>
          <w:sz w:val="24"/>
        </w:rPr>
        <w:t>en</w:t>
      </w:r>
      <w:r>
        <w:rPr>
          <w:spacing w:val="-13"/>
          <w:sz w:val="24"/>
        </w:rPr>
        <w:t> </w:t>
      </w:r>
      <w:r>
        <w:rPr>
          <w:sz w:val="24"/>
        </w:rPr>
        <w:t>la</w:t>
      </w:r>
      <w:r>
        <w:rPr>
          <w:spacing w:val="-18"/>
          <w:sz w:val="24"/>
        </w:rPr>
        <w:t> </w:t>
      </w:r>
      <w:r>
        <w:rPr>
          <w:sz w:val="24"/>
        </w:rPr>
        <w:t>misma</w:t>
      </w:r>
      <w:r>
        <w:rPr>
          <w:spacing w:val="-15"/>
          <w:sz w:val="24"/>
        </w:rPr>
        <w:t> </w:t>
      </w:r>
      <w:r>
        <w:rPr>
          <w:sz w:val="24"/>
        </w:rPr>
        <w:t>posición.</w:t>
      </w:r>
      <w:r>
        <w:rPr>
          <w:spacing w:val="-13"/>
          <w:sz w:val="24"/>
        </w:rPr>
        <w:t> </w:t>
      </w:r>
      <w:r>
        <w:rPr>
          <w:sz w:val="24"/>
        </w:rPr>
        <w:t>Es</w:t>
      </w:r>
      <w:r>
        <w:rPr>
          <w:spacing w:val="-16"/>
          <w:sz w:val="24"/>
        </w:rPr>
        <w:t> </w:t>
      </w:r>
      <w:r>
        <w:rPr>
          <w:sz w:val="24"/>
        </w:rPr>
        <w:t>decir,</w:t>
      </w:r>
      <w:r>
        <w:rPr>
          <w:spacing w:val="-16"/>
          <w:sz w:val="24"/>
        </w:rPr>
        <w:t> </w:t>
      </w:r>
      <w:r>
        <w:rPr>
          <w:sz w:val="24"/>
        </w:rPr>
        <w:t>que</w:t>
      </w:r>
      <w:r>
        <w:rPr>
          <w:spacing w:val="-13"/>
          <w:sz w:val="24"/>
        </w:rPr>
        <w:t> </w:t>
      </w:r>
      <w:r>
        <w:rPr>
          <w:sz w:val="24"/>
        </w:rPr>
        <w:t>quieran</w:t>
      </w:r>
      <w:r>
        <w:rPr>
          <w:spacing w:val="-15"/>
          <w:sz w:val="24"/>
        </w:rPr>
        <w:t> </w:t>
      </w:r>
      <w:r>
        <w:rPr>
          <w:sz w:val="24"/>
        </w:rPr>
        <w:t>anticipar</w:t>
      </w:r>
      <w:r>
        <w:rPr>
          <w:spacing w:val="-15"/>
          <w:sz w:val="24"/>
        </w:rPr>
        <w:t> </w:t>
      </w:r>
      <w:r>
        <w:rPr>
          <w:sz w:val="24"/>
        </w:rPr>
        <w:t>la</w:t>
      </w:r>
      <w:r>
        <w:rPr>
          <w:spacing w:val="-13"/>
          <w:sz w:val="24"/>
        </w:rPr>
        <w:t> </w:t>
      </w:r>
      <w:r>
        <w:rPr>
          <w:sz w:val="24"/>
        </w:rPr>
        <w:t>decisión del otro</w:t>
      </w:r>
      <w:r>
        <w:rPr>
          <w:spacing w:val="-4"/>
          <w:sz w:val="24"/>
        </w:rPr>
        <w:t> </w:t>
      </w:r>
      <w:r>
        <w:rPr>
          <w:sz w:val="24"/>
        </w:rPr>
        <w:t>actor.</w:t>
      </w:r>
    </w:p>
    <w:p>
      <w:pPr>
        <w:pStyle w:val="BodyText"/>
      </w:pPr>
    </w:p>
    <w:p>
      <w:pPr>
        <w:pStyle w:val="BodyText"/>
        <w:spacing w:line="360" w:lineRule="auto" w:before="142"/>
        <w:ind w:left="102" w:right="117"/>
        <w:jc w:val="both"/>
      </w:pPr>
      <w:r>
        <w:rPr/>
        <w:t>Este mismo autor hace referencia a otro tipo de decisión que es la que principalmente interesa para cuestiones de la investigación, “la decisión pública”, pero</w:t>
      </w:r>
      <w:r>
        <w:rPr>
          <w:spacing w:val="-7"/>
        </w:rPr>
        <w:t> </w:t>
      </w:r>
      <w:r>
        <w:rPr/>
        <w:t>antes</w:t>
      </w:r>
      <w:r>
        <w:rPr>
          <w:spacing w:val="-9"/>
        </w:rPr>
        <w:t> </w:t>
      </w:r>
      <w:r>
        <w:rPr/>
        <w:t>de</w:t>
      </w:r>
      <w:r>
        <w:rPr>
          <w:spacing w:val="-8"/>
        </w:rPr>
        <w:t> </w:t>
      </w:r>
      <w:r>
        <w:rPr/>
        <w:t>hablar</w:t>
      </w:r>
      <w:r>
        <w:rPr>
          <w:spacing w:val="-7"/>
        </w:rPr>
        <w:t> </w:t>
      </w:r>
      <w:r>
        <w:rPr/>
        <w:t>sobre</w:t>
      </w:r>
      <w:r>
        <w:rPr>
          <w:spacing w:val="-7"/>
        </w:rPr>
        <w:t> </w:t>
      </w:r>
      <w:r>
        <w:rPr/>
        <w:t>esta</w:t>
      </w:r>
      <w:r>
        <w:rPr>
          <w:spacing w:val="-6"/>
        </w:rPr>
        <w:t> </w:t>
      </w:r>
      <w:r>
        <w:rPr/>
        <w:t>tipología,</w:t>
      </w:r>
      <w:r>
        <w:rPr>
          <w:spacing w:val="-6"/>
        </w:rPr>
        <w:t> </w:t>
      </w:r>
      <w:r>
        <w:rPr/>
        <w:t>el</w:t>
      </w:r>
      <w:r>
        <w:rPr>
          <w:spacing w:val="-10"/>
        </w:rPr>
        <w:t> </w:t>
      </w:r>
      <w:r>
        <w:rPr/>
        <w:t>autor</w:t>
      </w:r>
      <w:r>
        <w:rPr>
          <w:spacing w:val="-10"/>
        </w:rPr>
        <w:t> </w:t>
      </w:r>
      <w:r>
        <w:rPr/>
        <w:t>alude</w:t>
      </w:r>
      <w:r>
        <w:rPr>
          <w:spacing w:val="-6"/>
        </w:rPr>
        <w:t> </w:t>
      </w:r>
      <w:r>
        <w:rPr/>
        <w:t>primeramente</w:t>
      </w:r>
      <w:r>
        <w:rPr>
          <w:spacing w:val="-8"/>
        </w:rPr>
        <w:t> </w:t>
      </w:r>
      <w:r>
        <w:rPr/>
        <w:t>a</w:t>
      </w:r>
      <w:r>
        <w:rPr>
          <w:spacing w:val="-6"/>
        </w:rPr>
        <w:t> </w:t>
      </w:r>
      <w:r>
        <w:rPr/>
        <w:t>la</w:t>
      </w:r>
      <w:r>
        <w:rPr>
          <w:spacing w:val="-6"/>
        </w:rPr>
        <w:t> </w:t>
      </w:r>
      <w:r>
        <w:rPr/>
        <w:t>decisión privada,</w:t>
      </w:r>
      <w:r>
        <w:rPr>
          <w:spacing w:val="-10"/>
        </w:rPr>
        <w:t> </w:t>
      </w:r>
      <w:r>
        <w:rPr/>
        <w:t>para</w:t>
      </w:r>
      <w:r>
        <w:rPr>
          <w:spacing w:val="-11"/>
        </w:rPr>
        <w:t> </w:t>
      </w:r>
      <w:r>
        <w:rPr/>
        <w:t>distinguir</w:t>
      </w:r>
      <w:r>
        <w:rPr>
          <w:spacing w:val="-15"/>
        </w:rPr>
        <w:t> </w:t>
      </w:r>
      <w:r>
        <w:rPr/>
        <w:t>la</w:t>
      </w:r>
      <w:r>
        <w:rPr>
          <w:spacing w:val="-11"/>
        </w:rPr>
        <w:t> </w:t>
      </w:r>
      <w:r>
        <w:rPr/>
        <w:t>diferencia</w:t>
      </w:r>
      <w:r>
        <w:rPr>
          <w:spacing w:val="-13"/>
        </w:rPr>
        <w:t> </w:t>
      </w:r>
      <w:r>
        <w:rPr/>
        <w:t>entre</w:t>
      </w:r>
      <w:r>
        <w:rPr>
          <w:spacing w:val="-11"/>
        </w:rPr>
        <w:t> </w:t>
      </w:r>
      <w:r>
        <w:rPr/>
        <w:t>la</w:t>
      </w:r>
      <w:r>
        <w:rPr>
          <w:spacing w:val="-11"/>
        </w:rPr>
        <w:t> </w:t>
      </w:r>
      <w:r>
        <w:rPr/>
        <w:t>decisión</w:t>
      </w:r>
      <w:r>
        <w:rPr>
          <w:spacing w:val="-11"/>
        </w:rPr>
        <w:t> </w:t>
      </w:r>
      <w:r>
        <w:rPr/>
        <w:t>pública.</w:t>
      </w:r>
      <w:r>
        <w:rPr>
          <w:spacing w:val="-11"/>
        </w:rPr>
        <w:t> </w:t>
      </w:r>
      <w:r>
        <w:rPr/>
        <w:t>Él</w:t>
      </w:r>
      <w:r>
        <w:rPr>
          <w:spacing w:val="-12"/>
        </w:rPr>
        <w:t> </w:t>
      </w:r>
      <w:r>
        <w:rPr/>
        <w:t>cita</w:t>
      </w:r>
      <w:r>
        <w:rPr>
          <w:spacing w:val="-13"/>
        </w:rPr>
        <w:t> </w:t>
      </w:r>
      <w:r>
        <w:rPr/>
        <w:t>que,</w:t>
      </w:r>
      <w:r>
        <w:rPr>
          <w:spacing w:val="-11"/>
        </w:rPr>
        <w:t> </w:t>
      </w:r>
      <w:r>
        <w:rPr/>
        <w:t>la</w:t>
      </w:r>
      <w:r>
        <w:rPr>
          <w:spacing w:val="-11"/>
        </w:rPr>
        <w:t> </w:t>
      </w:r>
      <w:r>
        <w:rPr/>
        <w:t>decisión privada es aquella que toma una empresa, compañía y no tiene repercusiones importantes fuera de la organización. En cambio la decisión pública es la que toma el poder público de acuerdo con su proyecto de gobierno, con sus propios procedimientos   y   reglamentos,   y   como   acto   soberano,   bajo   su </w:t>
      </w:r>
      <w:r>
        <w:rPr>
          <w:spacing w:val="24"/>
        </w:rPr>
        <w:t> </w:t>
      </w:r>
      <w:r>
        <w:rPr/>
        <w:t>exclusiva</w:t>
      </w:r>
    </w:p>
    <w:p>
      <w:pPr>
        <w:spacing w:after="0" w:line="360" w:lineRule="auto"/>
        <w:jc w:val="both"/>
        <w:sectPr>
          <w:pgSz w:w="12240" w:h="15840"/>
          <w:pgMar w:header="0" w:footer="992" w:top="1360" w:bottom="1180" w:left="1600" w:right="1580"/>
        </w:sectPr>
      </w:pPr>
    </w:p>
    <w:p>
      <w:pPr>
        <w:pStyle w:val="BodyText"/>
        <w:spacing w:line="360" w:lineRule="auto" w:before="54"/>
        <w:ind w:left="102" w:right="120"/>
        <w:jc w:val="both"/>
        <w:rPr>
          <w:sz w:val="22"/>
        </w:rPr>
      </w:pPr>
      <w:r>
        <w:rPr/>
        <w:t>responsabilidad.</w:t>
      </w:r>
      <w:r>
        <w:rPr>
          <w:spacing w:val="-16"/>
        </w:rPr>
        <w:t> </w:t>
      </w:r>
      <w:r>
        <w:rPr/>
        <w:t>Su</w:t>
      </w:r>
      <w:r>
        <w:rPr>
          <w:spacing w:val="-18"/>
        </w:rPr>
        <w:t> </w:t>
      </w:r>
      <w:r>
        <w:rPr/>
        <w:t>destinatario</w:t>
      </w:r>
      <w:r>
        <w:rPr>
          <w:spacing w:val="-18"/>
        </w:rPr>
        <w:t> </w:t>
      </w:r>
      <w:r>
        <w:rPr/>
        <w:t>es</w:t>
      </w:r>
      <w:r>
        <w:rPr>
          <w:spacing w:val="-16"/>
        </w:rPr>
        <w:t> </w:t>
      </w:r>
      <w:r>
        <w:rPr/>
        <w:t>la</w:t>
      </w:r>
      <w:r>
        <w:rPr>
          <w:spacing w:val="-16"/>
        </w:rPr>
        <w:t> </w:t>
      </w:r>
      <w:r>
        <w:rPr/>
        <w:t>sociedad</w:t>
      </w:r>
      <w:r>
        <w:rPr>
          <w:spacing w:val="-16"/>
        </w:rPr>
        <w:t> </w:t>
      </w:r>
      <w:r>
        <w:rPr/>
        <w:t>o</w:t>
      </w:r>
      <w:r>
        <w:rPr>
          <w:spacing w:val="-16"/>
        </w:rPr>
        <w:t> </w:t>
      </w:r>
      <w:r>
        <w:rPr/>
        <w:t>la</w:t>
      </w:r>
      <w:r>
        <w:rPr>
          <w:spacing w:val="-16"/>
        </w:rPr>
        <w:t> </w:t>
      </w:r>
      <w:r>
        <w:rPr/>
        <w:t>nación,</w:t>
      </w:r>
      <w:r>
        <w:rPr>
          <w:spacing w:val="-16"/>
        </w:rPr>
        <w:t> </w:t>
      </w:r>
      <w:r>
        <w:rPr/>
        <w:t>y</w:t>
      </w:r>
      <w:r>
        <w:rPr>
          <w:spacing w:val="-19"/>
        </w:rPr>
        <w:t> </w:t>
      </w:r>
      <w:r>
        <w:rPr/>
        <w:t>no</w:t>
      </w:r>
      <w:r>
        <w:rPr>
          <w:spacing w:val="-18"/>
        </w:rPr>
        <w:t> </w:t>
      </w:r>
      <w:r>
        <w:rPr/>
        <w:t>existe</w:t>
      </w:r>
      <w:r>
        <w:rPr>
          <w:spacing w:val="-16"/>
        </w:rPr>
        <w:t> </w:t>
      </w:r>
      <w:r>
        <w:rPr/>
        <w:t>como</w:t>
      </w:r>
      <w:r>
        <w:rPr>
          <w:spacing w:val="-16"/>
        </w:rPr>
        <w:t> </w:t>
      </w:r>
      <w:r>
        <w:rPr/>
        <w:t>sucede en el modelo de decisión privada un criterio único que condicione la orientación última de las</w:t>
      </w:r>
      <w:r>
        <w:rPr>
          <w:spacing w:val="-7"/>
        </w:rPr>
        <w:t> </w:t>
      </w:r>
      <w:r>
        <w:rPr/>
        <w:t>decisiones</w:t>
      </w:r>
      <w:r>
        <w:rPr>
          <w:sz w:val="22"/>
        </w:rPr>
        <w:t>.</w:t>
      </w:r>
    </w:p>
    <w:p>
      <w:pPr>
        <w:pStyle w:val="BodyText"/>
        <w:spacing w:line="360" w:lineRule="auto" w:before="204"/>
        <w:ind w:left="102" w:right="116"/>
        <w:jc w:val="both"/>
      </w:pPr>
      <w:r>
        <w:rPr/>
        <w:t>Las decisiones públicas se toman para alcanzar los objetivos que la sociedad ha propuesto en determinado contexto. La sociedad, confiere al gobierno poder para que administre lo público y cumpla los distintos objetivos que se plantean.</w:t>
      </w:r>
    </w:p>
    <w:p>
      <w:pPr>
        <w:pStyle w:val="BodyText"/>
        <w:spacing w:line="360" w:lineRule="auto" w:before="204"/>
        <w:ind w:left="102" w:right="115"/>
        <w:jc w:val="both"/>
      </w:pPr>
      <w:r>
        <w:rPr/>
        <w:t>Este mismo autor a su vez divide las decisiones públicas en elecciones gubernamentales y decisiones colectivas, en una democracia contemporánea las decisiones tienen que ver con dos cuestiones: ¿Quién debe gobernar? y ¿Cuáles son las metas de una sociedad?. Las elecciones gubernamentales persiguen objetivos políticos y están asignadas a los diferentes ámbitos de gobierno, además influyen</w:t>
      </w:r>
      <w:r>
        <w:rPr>
          <w:spacing w:val="-14"/>
        </w:rPr>
        <w:t> </w:t>
      </w:r>
      <w:r>
        <w:rPr/>
        <w:t>diversos</w:t>
      </w:r>
      <w:r>
        <w:rPr>
          <w:spacing w:val="-15"/>
        </w:rPr>
        <w:t> </w:t>
      </w:r>
      <w:r>
        <w:rPr/>
        <w:t>intereses</w:t>
      </w:r>
      <w:r>
        <w:rPr>
          <w:spacing w:val="-15"/>
        </w:rPr>
        <w:t> </w:t>
      </w:r>
      <w:r>
        <w:rPr/>
        <w:t>como</w:t>
      </w:r>
      <w:r>
        <w:rPr>
          <w:spacing w:val="-16"/>
        </w:rPr>
        <w:t> </w:t>
      </w:r>
      <w:r>
        <w:rPr/>
        <w:t>los</w:t>
      </w:r>
      <w:r>
        <w:rPr>
          <w:spacing w:val="-17"/>
        </w:rPr>
        <w:t> </w:t>
      </w:r>
      <w:r>
        <w:rPr/>
        <w:t>grupos</w:t>
      </w:r>
      <w:r>
        <w:rPr>
          <w:spacing w:val="-17"/>
        </w:rPr>
        <w:t> </w:t>
      </w:r>
      <w:r>
        <w:rPr/>
        <w:t>de</w:t>
      </w:r>
      <w:r>
        <w:rPr>
          <w:spacing w:val="-14"/>
        </w:rPr>
        <w:t> </w:t>
      </w:r>
      <w:r>
        <w:rPr/>
        <w:t>presión.</w:t>
      </w:r>
      <w:r>
        <w:rPr>
          <w:spacing w:val="-17"/>
        </w:rPr>
        <w:t> </w:t>
      </w:r>
      <w:r>
        <w:rPr/>
        <w:t>Por</w:t>
      </w:r>
      <w:r>
        <w:rPr>
          <w:spacing w:val="-18"/>
        </w:rPr>
        <w:t> </w:t>
      </w:r>
      <w:r>
        <w:rPr/>
        <w:t>otro</w:t>
      </w:r>
      <w:r>
        <w:rPr>
          <w:spacing w:val="-17"/>
        </w:rPr>
        <w:t> </w:t>
      </w:r>
      <w:r>
        <w:rPr/>
        <w:t>lado,</w:t>
      </w:r>
      <w:r>
        <w:rPr>
          <w:spacing w:val="-14"/>
        </w:rPr>
        <w:t> </w:t>
      </w:r>
      <w:r>
        <w:rPr/>
        <w:t>las</w:t>
      </w:r>
      <w:r>
        <w:rPr>
          <w:spacing w:val="-17"/>
        </w:rPr>
        <w:t> </w:t>
      </w:r>
      <w:r>
        <w:rPr/>
        <w:t>decisiones colectivas se refieren a los elementos básicos que constituyen a la comunidad y sobre los que en un principio no puedo decidir el</w:t>
      </w:r>
      <w:r>
        <w:rPr>
          <w:spacing w:val="-19"/>
        </w:rPr>
        <w:t> </w:t>
      </w:r>
      <w:r>
        <w:rPr/>
        <w:t>gobierno.</w:t>
      </w:r>
    </w:p>
    <w:p>
      <w:pPr>
        <w:pStyle w:val="BodyText"/>
      </w:pPr>
    </w:p>
    <w:p>
      <w:pPr>
        <w:pStyle w:val="Heading1"/>
        <w:numPr>
          <w:ilvl w:val="1"/>
          <w:numId w:val="8"/>
        </w:numPr>
        <w:tabs>
          <w:tab w:pos="1262" w:val="left" w:leader="none"/>
        </w:tabs>
        <w:spacing w:line="240" w:lineRule="auto" w:before="205" w:after="0"/>
        <w:ind w:left="1261" w:right="0" w:hanging="468"/>
        <w:jc w:val="left"/>
      </w:pPr>
      <w:bookmarkStart w:name="_TOC_250043" w:id="9"/>
      <w:r>
        <w:rPr/>
        <w:t>Modelos para la Toma de Decisión (Modelo</w:t>
      </w:r>
      <w:r>
        <w:rPr>
          <w:spacing w:val="-22"/>
        </w:rPr>
        <w:t> </w:t>
      </w:r>
      <w:bookmarkEnd w:id="9"/>
      <w:r>
        <w:rPr/>
        <w:t>racional)</w:t>
      </w:r>
    </w:p>
    <w:p>
      <w:pPr>
        <w:pStyle w:val="BodyText"/>
        <w:rPr>
          <w:b/>
          <w:sz w:val="28"/>
        </w:rPr>
      </w:pPr>
    </w:p>
    <w:p>
      <w:pPr>
        <w:pStyle w:val="BodyText"/>
        <w:rPr>
          <w:b/>
          <w:sz w:val="28"/>
        </w:rPr>
      </w:pPr>
    </w:p>
    <w:p>
      <w:pPr>
        <w:pStyle w:val="BodyText"/>
        <w:rPr>
          <w:b/>
          <w:sz w:val="28"/>
        </w:rPr>
      </w:pPr>
    </w:p>
    <w:p>
      <w:pPr>
        <w:pStyle w:val="BodyText"/>
        <w:spacing w:line="360" w:lineRule="auto" w:before="197"/>
        <w:ind w:left="102" w:right="116"/>
        <w:jc w:val="both"/>
      </w:pPr>
      <w:r>
        <w:rPr/>
        <w:t>Las organizaciones ya sean privadas o públicas, están orientadas hacia metas, estás deben estar diseñadas para mejorar la capacidad de planeación, resolución de problemas, y tomar decisiones que conduzcan hacia fines comunes. Como es sabido un modelo no es otra cosa que una representación gráfica de la posible realidad,</w:t>
      </w:r>
      <w:r>
        <w:rPr>
          <w:spacing w:val="-18"/>
        </w:rPr>
        <w:t> </w:t>
      </w:r>
      <w:r>
        <w:rPr/>
        <w:t>existen</w:t>
      </w:r>
      <w:r>
        <w:rPr>
          <w:spacing w:val="-18"/>
        </w:rPr>
        <w:t> </w:t>
      </w:r>
      <w:r>
        <w:rPr/>
        <w:t>una</w:t>
      </w:r>
      <w:r>
        <w:rPr>
          <w:spacing w:val="-18"/>
        </w:rPr>
        <w:t> </w:t>
      </w:r>
      <w:r>
        <w:rPr/>
        <w:t>gran</w:t>
      </w:r>
      <w:r>
        <w:rPr>
          <w:spacing w:val="-15"/>
        </w:rPr>
        <w:t> </w:t>
      </w:r>
      <w:r>
        <w:rPr/>
        <w:t>gama</w:t>
      </w:r>
      <w:r>
        <w:rPr>
          <w:spacing w:val="-18"/>
        </w:rPr>
        <w:t> </w:t>
      </w:r>
      <w:r>
        <w:rPr/>
        <w:t>de</w:t>
      </w:r>
      <w:r>
        <w:rPr>
          <w:spacing w:val="-18"/>
        </w:rPr>
        <w:t> </w:t>
      </w:r>
      <w:r>
        <w:rPr/>
        <w:t>modelos</w:t>
      </w:r>
      <w:r>
        <w:rPr>
          <w:spacing w:val="-16"/>
        </w:rPr>
        <w:t> </w:t>
      </w:r>
      <w:r>
        <w:rPr/>
        <w:t>de</w:t>
      </w:r>
      <w:r>
        <w:rPr>
          <w:spacing w:val="-16"/>
        </w:rPr>
        <w:t> </w:t>
      </w:r>
      <w:r>
        <w:rPr/>
        <w:t>decisión</w:t>
      </w:r>
      <w:r>
        <w:rPr>
          <w:spacing w:val="-18"/>
        </w:rPr>
        <w:t> </w:t>
      </w:r>
      <w:r>
        <w:rPr/>
        <w:t>pero</w:t>
      </w:r>
      <w:r>
        <w:rPr>
          <w:spacing w:val="-15"/>
        </w:rPr>
        <w:t> </w:t>
      </w:r>
      <w:r>
        <w:rPr/>
        <w:t>para</w:t>
      </w:r>
      <w:r>
        <w:rPr>
          <w:spacing w:val="-21"/>
        </w:rPr>
        <w:t> </w:t>
      </w:r>
      <w:r>
        <w:rPr/>
        <w:t>fines</w:t>
      </w:r>
      <w:r>
        <w:rPr>
          <w:spacing w:val="-16"/>
        </w:rPr>
        <w:t> </w:t>
      </w:r>
      <w:r>
        <w:rPr/>
        <w:t>del</w:t>
      </w:r>
      <w:r>
        <w:rPr>
          <w:spacing w:val="32"/>
        </w:rPr>
        <w:t> </w:t>
      </w:r>
      <w:r>
        <w:rPr/>
        <w:t>estudio, el modelo racional es tema de coincidencia. Antes de tratar específicamente el modelo racional, es necesario citar dos estructuras, uno de ellos es el modelo cerrado y el otro el</w:t>
      </w:r>
      <w:r>
        <w:rPr>
          <w:spacing w:val="-10"/>
        </w:rPr>
        <w:t> </w:t>
      </w:r>
      <w:r>
        <w:rPr/>
        <w:t>abierto.</w:t>
      </w:r>
    </w:p>
    <w:p>
      <w:pPr>
        <w:spacing w:after="0" w:line="360" w:lineRule="auto"/>
        <w:jc w:val="both"/>
        <w:sectPr>
          <w:pgSz w:w="12240" w:h="15840"/>
          <w:pgMar w:header="0" w:footer="992" w:top="1360" w:bottom="1180" w:left="1600" w:right="1580"/>
        </w:sectPr>
      </w:pPr>
    </w:p>
    <w:p>
      <w:pPr>
        <w:pStyle w:val="Heading2"/>
        <w:spacing w:before="54"/>
      </w:pPr>
      <w:r>
        <w:rPr/>
        <w:t>Modelo cerrado de decisión.</w:t>
      </w:r>
    </w:p>
    <w:p>
      <w:pPr>
        <w:pStyle w:val="BodyText"/>
        <w:spacing w:before="5"/>
        <w:rPr>
          <w:b/>
          <w:sz w:val="29"/>
        </w:rPr>
      </w:pPr>
    </w:p>
    <w:p>
      <w:pPr>
        <w:pStyle w:val="BodyText"/>
        <w:spacing w:line="360" w:lineRule="auto"/>
        <w:ind w:left="102" w:right="118"/>
        <w:jc w:val="both"/>
      </w:pPr>
      <w:r>
        <w:rPr/>
        <w:t>El encargado de tomar decisiones se enfrenta a un conjunto de alternativas conocidas y selecciona uno o varios cursos de acción, por medio de un proceso de selección racional. Este modelo es el más comúnmente usado para la conducta de elección.</w:t>
      </w:r>
    </w:p>
    <w:p>
      <w:pPr>
        <w:spacing w:before="204"/>
        <w:ind w:left="954" w:right="117" w:firstLine="0"/>
        <w:jc w:val="both"/>
        <w:rPr>
          <w:sz w:val="22"/>
        </w:rPr>
      </w:pPr>
      <w:r>
        <w:rPr>
          <w:sz w:val="22"/>
        </w:rPr>
        <w:t>En el núcleo de este marco se encuentra un concepto de racionalidad, enraizado en la conducta de elección de individuos. Decimos que un individuo es racional si tiene en cuenta las consecuencias de los actos que puede emprender, si está consciente de cierto orden de preferencia y lo tiene en cuenta, y si, en vista de esos conocimientos, escoge el curso de acción que, en su opinión, conduce a las consecuencias mejores o preferibles (Greenwood, 1978:83).</w:t>
      </w:r>
    </w:p>
    <w:p>
      <w:pPr>
        <w:pStyle w:val="BodyText"/>
        <w:spacing w:before="3"/>
        <w:rPr>
          <w:sz w:val="17"/>
        </w:rPr>
      </w:pPr>
    </w:p>
    <w:p>
      <w:pPr>
        <w:pStyle w:val="BodyText"/>
        <w:spacing w:line="360" w:lineRule="auto"/>
        <w:ind w:left="102" w:right="118"/>
        <w:jc w:val="both"/>
      </w:pPr>
      <w:r>
        <w:rPr/>
        <w:t>Desde esta perspectiva, en el modelo cerrado, el hombre racional en un estado ideal, tendría un conjunto de alternativas pertinentes con resultados satisfactorios; se basaría en una regla o una relación establecida que produjera una disposición ordenada de estas alternativas, en este tipo de modelo cerrado el decisor es metódico y lógico.</w:t>
      </w:r>
    </w:p>
    <w:p>
      <w:pPr>
        <w:pStyle w:val="Heading2"/>
        <w:spacing w:before="204"/>
      </w:pPr>
      <w:r>
        <w:rPr/>
        <w:t>Modelo abierto de decisión</w:t>
      </w:r>
    </w:p>
    <w:p>
      <w:pPr>
        <w:pStyle w:val="BodyText"/>
        <w:spacing w:before="4"/>
        <w:rPr>
          <w:b/>
          <w:sz w:val="29"/>
        </w:rPr>
      </w:pPr>
    </w:p>
    <w:p>
      <w:pPr>
        <w:spacing w:before="1"/>
        <w:ind w:left="954" w:right="116" w:firstLine="0"/>
        <w:jc w:val="both"/>
        <w:rPr>
          <w:sz w:val="22"/>
        </w:rPr>
      </w:pPr>
      <w:r>
        <w:rPr>
          <w:sz w:val="22"/>
        </w:rPr>
        <w:t>En este tipo de marco la elección atraviesa muchas dimensiones conductuales desde aspectos racionales como irracionales. El modelo “abierto” de decisión acentúa la capacidad de un individuo para controlar su conducta. En su mayor parte, la conducta humana es aprendida y no se ve controlada por fuerzas biológicas</w:t>
      </w:r>
      <w:r>
        <w:rPr>
          <w:spacing w:val="-13"/>
          <w:sz w:val="22"/>
        </w:rPr>
        <w:t> </w:t>
      </w:r>
      <w:r>
        <w:rPr>
          <w:sz w:val="22"/>
        </w:rPr>
        <w:t>moldeadas</w:t>
      </w:r>
      <w:r>
        <w:rPr>
          <w:spacing w:val="-13"/>
          <w:sz w:val="22"/>
        </w:rPr>
        <w:t> </w:t>
      </w:r>
      <w:r>
        <w:rPr>
          <w:sz w:val="22"/>
        </w:rPr>
        <w:t>por</w:t>
      </w:r>
      <w:r>
        <w:rPr>
          <w:spacing w:val="-13"/>
          <w:sz w:val="22"/>
        </w:rPr>
        <w:t> </w:t>
      </w:r>
      <w:r>
        <w:rPr>
          <w:sz w:val="22"/>
        </w:rPr>
        <w:t>dimensiones</w:t>
      </w:r>
      <w:r>
        <w:rPr>
          <w:spacing w:val="-12"/>
          <w:sz w:val="22"/>
        </w:rPr>
        <w:t> </w:t>
      </w:r>
      <w:r>
        <w:rPr>
          <w:sz w:val="22"/>
        </w:rPr>
        <w:t>“innatas”.</w:t>
      </w:r>
      <w:r>
        <w:rPr>
          <w:spacing w:val="-15"/>
          <w:sz w:val="22"/>
        </w:rPr>
        <w:t> </w:t>
      </w:r>
      <w:r>
        <w:rPr>
          <w:sz w:val="22"/>
        </w:rPr>
        <w:t>Esto</w:t>
      </w:r>
      <w:r>
        <w:rPr>
          <w:spacing w:val="-16"/>
          <w:sz w:val="22"/>
        </w:rPr>
        <w:t> </w:t>
      </w:r>
      <w:r>
        <w:rPr>
          <w:sz w:val="22"/>
        </w:rPr>
        <w:t>quiere</w:t>
      </w:r>
      <w:r>
        <w:rPr>
          <w:spacing w:val="-13"/>
          <w:sz w:val="22"/>
        </w:rPr>
        <w:t> </w:t>
      </w:r>
      <w:r>
        <w:rPr>
          <w:sz w:val="22"/>
        </w:rPr>
        <w:t>decir</w:t>
      </w:r>
      <w:r>
        <w:rPr>
          <w:spacing w:val="-15"/>
          <w:sz w:val="22"/>
        </w:rPr>
        <w:t> </w:t>
      </w:r>
      <w:r>
        <w:rPr>
          <w:sz w:val="22"/>
        </w:rPr>
        <w:t>que</w:t>
      </w:r>
      <w:r>
        <w:rPr>
          <w:spacing w:val="-14"/>
          <w:sz w:val="22"/>
        </w:rPr>
        <w:t> </w:t>
      </w:r>
      <w:r>
        <w:rPr>
          <w:sz w:val="22"/>
        </w:rPr>
        <w:t>la</w:t>
      </w:r>
      <w:r>
        <w:rPr>
          <w:spacing w:val="-13"/>
          <w:sz w:val="22"/>
        </w:rPr>
        <w:t> </w:t>
      </w:r>
      <w:r>
        <w:rPr>
          <w:sz w:val="22"/>
        </w:rPr>
        <w:t>conducta es el resultado de las limitaciones de la cognición humana y la complejidad del ambiente total de los seres humanos. (Greenwood,</w:t>
      </w:r>
      <w:r>
        <w:rPr>
          <w:spacing w:val="-11"/>
          <w:sz w:val="22"/>
        </w:rPr>
        <w:t> </w:t>
      </w:r>
      <w:r>
        <w:rPr>
          <w:sz w:val="22"/>
        </w:rPr>
        <w:t>1978:94)</w:t>
      </w:r>
    </w:p>
    <w:p>
      <w:pPr>
        <w:pStyle w:val="BodyText"/>
        <w:rPr>
          <w:sz w:val="22"/>
        </w:rPr>
      </w:pPr>
    </w:p>
    <w:p>
      <w:pPr>
        <w:pStyle w:val="BodyText"/>
        <w:rPr>
          <w:sz w:val="22"/>
        </w:rPr>
      </w:pPr>
    </w:p>
    <w:p>
      <w:pPr>
        <w:pStyle w:val="Heading2"/>
        <w:spacing w:before="148"/>
      </w:pPr>
      <w:r>
        <w:rPr/>
        <w:t>Modelo racional</w:t>
      </w:r>
    </w:p>
    <w:p>
      <w:pPr>
        <w:pStyle w:val="BodyText"/>
        <w:spacing w:before="5"/>
        <w:rPr>
          <w:b/>
          <w:sz w:val="29"/>
        </w:rPr>
      </w:pPr>
    </w:p>
    <w:p>
      <w:pPr>
        <w:pStyle w:val="BodyText"/>
        <w:spacing w:line="360" w:lineRule="auto"/>
        <w:ind w:left="102" w:right="116"/>
        <w:jc w:val="both"/>
      </w:pPr>
      <w:r>
        <w:rPr/>
        <w:t>El concepto de racionalidad implica dos partes: la de un ordenamiento débil de las preferencias,</w:t>
      </w:r>
      <w:r>
        <w:rPr>
          <w:spacing w:val="-8"/>
        </w:rPr>
        <w:t> </w:t>
      </w:r>
      <w:r>
        <w:rPr/>
        <w:t>y</w:t>
      </w:r>
      <w:r>
        <w:rPr>
          <w:spacing w:val="-12"/>
        </w:rPr>
        <w:t> </w:t>
      </w:r>
      <w:r>
        <w:rPr/>
        <w:t>la</w:t>
      </w:r>
      <w:r>
        <w:rPr>
          <w:spacing w:val="-11"/>
        </w:rPr>
        <w:t> </w:t>
      </w:r>
      <w:r>
        <w:rPr/>
        <w:t>de</w:t>
      </w:r>
      <w:r>
        <w:rPr>
          <w:spacing w:val="-11"/>
        </w:rPr>
        <w:t> </w:t>
      </w:r>
      <w:r>
        <w:rPr/>
        <w:t>la</w:t>
      </w:r>
      <w:r>
        <w:rPr>
          <w:spacing w:val="-11"/>
        </w:rPr>
        <w:t> </w:t>
      </w:r>
      <w:r>
        <w:rPr/>
        <w:t>elección</w:t>
      </w:r>
      <w:r>
        <w:rPr>
          <w:spacing w:val="-11"/>
        </w:rPr>
        <w:t> </w:t>
      </w:r>
      <w:r>
        <w:rPr/>
        <w:t>para</w:t>
      </w:r>
      <w:r>
        <w:rPr>
          <w:spacing w:val="-11"/>
        </w:rPr>
        <w:t> </w:t>
      </w:r>
      <w:r>
        <w:rPr/>
        <w:t>obtener</w:t>
      </w:r>
      <w:r>
        <w:rPr>
          <w:spacing w:val="-10"/>
        </w:rPr>
        <w:t> </w:t>
      </w:r>
      <w:r>
        <w:rPr/>
        <w:t>la</w:t>
      </w:r>
      <w:r>
        <w:rPr>
          <w:spacing w:val="-11"/>
        </w:rPr>
        <w:t> </w:t>
      </w:r>
      <w:r>
        <w:rPr/>
        <w:t>maximización</w:t>
      </w:r>
      <w:r>
        <w:rPr>
          <w:spacing w:val="-8"/>
        </w:rPr>
        <w:t> </w:t>
      </w:r>
      <w:r>
        <w:rPr/>
        <w:t>de</w:t>
      </w:r>
      <w:r>
        <w:rPr>
          <w:spacing w:val="-11"/>
        </w:rPr>
        <w:t> </w:t>
      </w:r>
      <w:r>
        <w:rPr/>
        <w:t>algo.</w:t>
      </w:r>
      <w:r>
        <w:rPr>
          <w:spacing w:val="-3"/>
        </w:rPr>
        <w:t> </w:t>
      </w:r>
      <w:r>
        <w:rPr/>
        <w:t>Una</w:t>
      </w:r>
      <w:r>
        <w:rPr>
          <w:spacing w:val="-8"/>
        </w:rPr>
        <w:t> </w:t>
      </w:r>
      <w:r>
        <w:rPr/>
        <w:t>decisión sirve para enfrentar el mejor camino con el que poder lograr una serie de</w:t>
      </w:r>
      <w:r>
        <w:rPr>
          <w:spacing w:val="-43"/>
        </w:rPr>
        <w:t> </w:t>
      </w:r>
      <w:r>
        <w:rPr/>
        <w:t>objetivos. La racionalidad implica que, ante unas metas definidas y unos recursos limitados, se</w:t>
      </w:r>
      <w:r>
        <w:rPr>
          <w:spacing w:val="-13"/>
        </w:rPr>
        <w:t> </w:t>
      </w:r>
      <w:r>
        <w:rPr/>
        <w:t>debe</w:t>
      </w:r>
      <w:r>
        <w:rPr>
          <w:spacing w:val="-15"/>
        </w:rPr>
        <w:t> </w:t>
      </w:r>
      <w:r>
        <w:rPr/>
        <w:t>escoger</w:t>
      </w:r>
      <w:r>
        <w:rPr>
          <w:spacing w:val="-14"/>
        </w:rPr>
        <w:t> </w:t>
      </w:r>
      <w:r>
        <w:rPr/>
        <w:t>aquella</w:t>
      </w:r>
      <w:r>
        <w:rPr>
          <w:spacing w:val="-13"/>
        </w:rPr>
        <w:t> </w:t>
      </w:r>
      <w:r>
        <w:rPr/>
        <w:t>vía</w:t>
      </w:r>
      <w:r>
        <w:rPr>
          <w:spacing w:val="-13"/>
        </w:rPr>
        <w:t> </w:t>
      </w:r>
      <w:r>
        <w:rPr/>
        <w:t>que</w:t>
      </w:r>
      <w:r>
        <w:rPr>
          <w:spacing w:val="-13"/>
        </w:rPr>
        <w:t> </w:t>
      </w:r>
      <w:r>
        <w:rPr/>
        <w:t>presente</w:t>
      </w:r>
      <w:r>
        <w:rPr>
          <w:spacing w:val="-15"/>
        </w:rPr>
        <w:t> </w:t>
      </w:r>
      <w:r>
        <w:rPr/>
        <w:t>mayores</w:t>
      </w:r>
      <w:r>
        <w:rPr>
          <w:spacing w:val="-13"/>
        </w:rPr>
        <w:t> </w:t>
      </w:r>
      <w:r>
        <w:rPr/>
        <w:t>posibilidades</w:t>
      </w:r>
      <w:r>
        <w:rPr>
          <w:spacing w:val="-16"/>
        </w:rPr>
        <w:t> </w:t>
      </w:r>
      <w:r>
        <w:rPr/>
        <w:t>para</w:t>
      </w:r>
      <w:r>
        <w:rPr>
          <w:spacing w:val="-13"/>
        </w:rPr>
        <w:t> </w:t>
      </w:r>
      <w:r>
        <w:rPr/>
        <w:t>el</w:t>
      </w:r>
      <w:r>
        <w:rPr>
          <w:spacing w:val="-16"/>
        </w:rPr>
        <w:t> </w:t>
      </w:r>
      <w:r>
        <w:rPr/>
        <w:t>sujeto</w:t>
      </w:r>
      <w:r>
        <w:rPr>
          <w:spacing w:val="-15"/>
        </w:rPr>
        <w:t> </w:t>
      </w:r>
      <w:r>
        <w:rPr/>
        <w:t>para llegar al destino deseado. “El término racional es utilizado, en el ámbito económico y</w:t>
      </w:r>
      <w:r>
        <w:rPr>
          <w:spacing w:val="-14"/>
        </w:rPr>
        <w:t> </w:t>
      </w:r>
      <w:r>
        <w:rPr/>
        <w:t>social,</w:t>
      </w:r>
      <w:r>
        <w:rPr>
          <w:spacing w:val="-12"/>
        </w:rPr>
        <w:t> </w:t>
      </w:r>
      <w:r>
        <w:rPr/>
        <w:t>para</w:t>
      </w:r>
      <w:r>
        <w:rPr>
          <w:spacing w:val="-12"/>
        </w:rPr>
        <w:t> </w:t>
      </w:r>
      <w:r>
        <w:rPr/>
        <w:t>designar</w:t>
      </w:r>
      <w:r>
        <w:rPr>
          <w:spacing w:val="43"/>
        </w:rPr>
        <w:t> </w:t>
      </w:r>
      <w:r>
        <w:rPr/>
        <w:t>de</w:t>
      </w:r>
      <w:r>
        <w:rPr>
          <w:spacing w:val="-13"/>
        </w:rPr>
        <w:t> </w:t>
      </w:r>
      <w:r>
        <w:rPr/>
        <w:t>manera</w:t>
      </w:r>
      <w:r>
        <w:rPr>
          <w:spacing w:val="-12"/>
        </w:rPr>
        <w:t> </w:t>
      </w:r>
      <w:r>
        <w:rPr/>
        <w:t>sencilla</w:t>
      </w:r>
      <w:r>
        <w:rPr>
          <w:spacing w:val="-12"/>
        </w:rPr>
        <w:t> </w:t>
      </w:r>
      <w:r>
        <w:rPr/>
        <w:t>y</w:t>
      </w:r>
      <w:r>
        <w:rPr>
          <w:spacing w:val="-14"/>
        </w:rPr>
        <w:t> </w:t>
      </w:r>
      <w:r>
        <w:rPr/>
        <w:t>económica</w:t>
      </w:r>
      <w:r>
        <w:rPr>
          <w:spacing w:val="-13"/>
        </w:rPr>
        <w:t> </w:t>
      </w:r>
      <w:r>
        <w:rPr/>
        <w:t>determinados</w:t>
      </w:r>
      <w:r>
        <w:rPr>
          <w:spacing w:val="-13"/>
        </w:rPr>
        <w:t> </w:t>
      </w:r>
      <w:r>
        <w:rPr/>
        <w:t>objetivos</w:t>
      </w:r>
      <w:r>
        <w:rPr>
          <w:spacing w:val="-13"/>
        </w:rPr>
        <w:t> </w:t>
      </w:r>
      <w:r>
        <w:rPr/>
        <w:t>con</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el mínimo esfuerzo. Esta conceptualización es totalmente coherente con la del vocablo decisión. Se ve que hay una armonía, una síntesis, entre las definiciones de decisión y racionalidad” (Diez, et al, 1997:26).</w:t>
      </w:r>
    </w:p>
    <w:p>
      <w:pPr>
        <w:pStyle w:val="BodyText"/>
        <w:spacing w:line="360" w:lineRule="auto" w:before="204"/>
        <w:ind w:left="102" w:right="117"/>
        <w:jc w:val="both"/>
      </w:pPr>
      <w:r>
        <w:rPr/>
        <w:t>El esfuerzo de todos los investigadores de la Teoría de la Decisión se fijó en desarrollar instrumentos totalmente racionales para la toma de decisiones, lo que, unido</w:t>
      </w:r>
      <w:r>
        <w:rPr>
          <w:spacing w:val="-5"/>
        </w:rPr>
        <w:t> </w:t>
      </w:r>
      <w:r>
        <w:rPr/>
        <w:t>a</w:t>
      </w:r>
      <w:r>
        <w:rPr>
          <w:spacing w:val="-4"/>
        </w:rPr>
        <w:t> </w:t>
      </w:r>
      <w:r>
        <w:rPr/>
        <w:t>las</w:t>
      </w:r>
      <w:r>
        <w:rPr>
          <w:spacing w:val="-6"/>
        </w:rPr>
        <w:t> </w:t>
      </w:r>
      <w:r>
        <w:rPr/>
        <w:t>varias</w:t>
      </w:r>
      <w:r>
        <w:rPr>
          <w:spacing w:val="-4"/>
        </w:rPr>
        <w:t> </w:t>
      </w:r>
      <w:r>
        <w:rPr/>
        <w:t>décadas</w:t>
      </w:r>
      <w:r>
        <w:rPr>
          <w:spacing w:val="-4"/>
        </w:rPr>
        <w:t> </w:t>
      </w:r>
      <w:r>
        <w:rPr/>
        <w:t>en</w:t>
      </w:r>
      <w:r>
        <w:rPr>
          <w:spacing w:val="-4"/>
        </w:rPr>
        <w:t> </w:t>
      </w:r>
      <w:r>
        <w:rPr/>
        <w:t>que</w:t>
      </w:r>
      <w:r>
        <w:rPr>
          <w:spacing w:val="-4"/>
        </w:rPr>
        <w:t> </w:t>
      </w:r>
      <w:r>
        <w:rPr/>
        <w:t>se</w:t>
      </w:r>
      <w:r>
        <w:rPr>
          <w:spacing w:val="-4"/>
        </w:rPr>
        <w:t> </w:t>
      </w:r>
      <w:r>
        <w:rPr/>
        <w:t>ha</w:t>
      </w:r>
      <w:r>
        <w:rPr>
          <w:spacing w:val="-6"/>
        </w:rPr>
        <w:t> </w:t>
      </w:r>
      <w:r>
        <w:rPr/>
        <w:t>mantenido</w:t>
      </w:r>
      <w:r>
        <w:rPr>
          <w:spacing w:val="-6"/>
        </w:rPr>
        <w:t> </w:t>
      </w:r>
      <w:r>
        <w:rPr/>
        <w:t>ese</w:t>
      </w:r>
      <w:r>
        <w:rPr>
          <w:spacing w:val="-6"/>
        </w:rPr>
        <w:t> </w:t>
      </w:r>
      <w:r>
        <w:rPr/>
        <w:t>punto</w:t>
      </w:r>
      <w:r>
        <w:rPr>
          <w:spacing w:val="-5"/>
        </w:rPr>
        <w:t> </w:t>
      </w:r>
      <w:r>
        <w:rPr/>
        <w:t>de</w:t>
      </w:r>
      <w:r>
        <w:rPr>
          <w:spacing w:val="-6"/>
        </w:rPr>
        <w:t> </w:t>
      </w:r>
      <w:r>
        <w:rPr/>
        <w:t>vista,</w:t>
      </w:r>
      <w:r>
        <w:rPr>
          <w:spacing w:val="-4"/>
        </w:rPr>
        <w:t> </w:t>
      </w:r>
      <w:r>
        <w:rPr/>
        <w:t>desembocó en que se pueda disponer de una voluminosa caja de herramientas y técnicas de gran fiabilidad y</w:t>
      </w:r>
      <w:r>
        <w:rPr>
          <w:spacing w:val="-6"/>
        </w:rPr>
        <w:t> </w:t>
      </w:r>
      <w:r>
        <w:rPr/>
        <w:t>variedad.</w:t>
      </w:r>
    </w:p>
    <w:p>
      <w:pPr>
        <w:pStyle w:val="BodyText"/>
        <w:spacing w:line="360" w:lineRule="auto" w:before="205"/>
        <w:ind w:left="102" w:right="116"/>
        <w:jc w:val="both"/>
      </w:pPr>
      <w:r>
        <w:rPr/>
        <w:t>La</w:t>
      </w:r>
      <w:r>
        <w:rPr>
          <w:spacing w:val="-8"/>
        </w:rPr>
        <w:t> </w:t>
      </w:r>
      <w:r>
        <w:rPr/>
        <w:t>derivación</w:t>
      </w:r>
      <w:r>
        <w:rPr>
          <w:spacing w:val="-6"/>
        </w:rPr>
        <w:t> </w:t>
      </w:r>
      <w:r>
        <w:rPr/>
        <w:t>a</w:t>
      </w:r>
      <w:r>
        <w:rPr>
          <w:spacing w:val="-8"/>
        </w:rPr>
        <w:t> </w:t>
      </w:r>
      <w:r>
        <w:rPr/>
        <w:t>que</w:t>
      </w:r>
      <w:r>
        <w:rPr>
          <w:spacing w:val="-6"/>
        </w:rPr>
        <w:t> </w:t>
      </w:r>
      <w:r>
        <w:rPr/>
        <w:t>lleva</w:t>
      </w:r>
      <w:r>
        <w:rPr>
          <w:spacing w:val="-6"/>
        </w:rPr>
        <w:t> </w:t>
      </w:r>
      <w:r>
        <w:rPr/>
        <w:t>la</w:t>
      </w:r>
      <w:r>
        <w:rPr>
          <w:spacing w:val="-6"/>
        </w:rPr>
        <w:t> </w:t>
      </w:r>
      <w:r>
        <w:rPr/>
        <w:t>Teoría</w:t>
      </w:r>
      <w:r>
        <w:rPr>
          <w:spacing w:val="-6"/>
        </w:rPr>
        <w:t> </w:t>
      </w:r>
      <w:r>
        <w:rPr/>
        <w:t>de</w:t>
      </w:r>
      <w:r>
        <w:rPr>
          <w:spacing w:val="-6"/>
        </w:rPr>
        <w:t> </w:t>
      </w:r>
      <w:r>
        <w:rPr/>
        <w:t>la</w:t>
      </w:r>
      <w:r>
        <w:rPr>
          <w:spacing w:val="-9"/>
        </w:rPr>
        <w:t> </w:t>
      </w:r>
      <w:r>
        <w:rPr/>
        <w:t>Decisión</w:t>
      </w:r>
      <w:r>
        <w:rPr>
          <w:spacing w:val="-6"/>
        </w:rPr>
        <w:t> </w:t>
      </w:r>
      <w:r>
        <w:rPr/>
        <w:t>clásica,</w:t>
      </w:r>
      <w:r>
        <w:rPr>
          <w:spacing w:val="-9"/>
        </w:rPr>
        <w:t> </w:t>
      </w:r>
      <w:r>
        <w:rPr/>
        <w:t>basada</w:t>
      </w:r>
      <w:r>
        <w:rPr>
          <w:spacing w:val="-8"/>
        </w:rPr>
        <w:t> </w:t>
      </w:r>
      <w:r>
        <w:rPr/>
        <w:t>en</w:t>
      </w:r>
      <w:r>
        <w:rPr>
          <w:spacing w:val="-6"/>
        </w:rPr>
        <w:t> </w:t>
      </w:r>
      <w:r>
        <w:rPr/>
        <w:t>la</w:t>
      </w:r>
      <w:r>
        <w:rPr>
          <w:spacing w:val="-6"/>
        </w:rPr>
        <w:t> </w:t>
      </w:r>
      <w:r>
        <w:rPr/>
        <w:t>racionalidad absoluta, era: sí hay una acción que es la mejor, ésta es la que hay que adoptar. Cualquier desviación de ésta conducta conduciría al decisor a procedimientos que resultarían absurdos o</w:t>
      </w:r>
      <w:r>
        <w:rPr>
          <w:spacing w:val="-14"/>
        </w:rPr>
        <w:t> </w:t>
      </w:r>
      <w:r>
        <w:rPr/>
        <w:t>incoherentes.</w:t>
      </w:r>
    </w:p>
    <w:p>
      <w:pPr>
        <w:pStyle w:val="BodyText"/>
        <w:spacing w:line="360" w:lineRule="auto" w:before="204"/>
        <w:ind w:left="102" w:right="117"/>
        <w:jc w:val="both"/>
      </w:pPr>
      <w:r>
        <w:rPr/>
        <w:t>Sin embargo, los investigadores olvidaron algo, que el modelo racional no contempla</w:t>
      </w:r>
      <w:r>
        <w:rPr>
          <w:spacing w:val="-7"/>
        </w:rPr>
        <w:t> </w:t>
      </w:r>
      <w:r>
        <w:rPr/>
        <w:t>del</w:t>
      </w:r>
      <w:r>
        <w:rPr>
          <w:spacing w:val="-10"/>
        </w:rPr>
        <w:t> </w:t>
      </w:r>
      <w:r>
        <w:rPr/>
        <w:t>todo</w:t>
      </w:r>
      <w:r>
        <w:rPr>
          <w:spacing w:val="-7"/>
        </w:rPr>
        <w:t> </w:t>
      </w:r>
      <w:r>
        <w:rPr/>
        <w:t>la</w:t>
      </w:r>
      <w:r>
        <w:rPr>
          <w:spacing w:val="-9"/>
        </w:rPr>
        <w:t> </w:t>
      </w:r>
      <w:r>
        <w:rPr/>
        <w:t>realidad,</w:t>
      </w:r>
      <w:r>
        <w:rPr>
          <w:spacing w:val="-9"/>
        </w:rPr>
        <w:t> </w:t>
      </w:r>
      <w:r>
        <w:rPr/>
        <w:t>cabe</w:t>
      </w:r>
      <w:r>
        <w:rPr>
          <w:spacing w:val="-7"/>
        </w:rPr>
        <w:t> </w:t>
      </w:r>
      <w:r>
        <w:rPr/>
        <w:t>recordar</w:t>
      </w:r>
      <w:r>
        <w:rPr>
          <w:spacing w:val="-12"/>
        </w:rPr>
        <w:t> </w:t>
      </w:r>
      <w:r>
        <w:rPr/>
        <w:t>que</w:t>
      </w:r>
      <w:r>
        <w:rPr>
          <w:spacing w:val="-8"/>
        </w:rPr>
        <w:t> </w:t>
      </w:r>
      <w:r>
        <w:rPr/>
        <w:t>un</w:t>
      </w:r>
      <w:r>
        <w:rPr>
          <w:spacing w:val="-8"/>
        </w:rPr>
        <w:t> </w:t>
      </w:r>
      <w:r>
        <w:rPr/>
        <w:t>modelo</w:t>
      </w:r>
      <w:r>
        <w:rPr>
          <w:spacing w:val="-11"/>
        </w:rPr>
        <w:t> </w:t>
      </w:r>
      <w:r>
        <w:rPr/>
        <w:t>es</w:t>
      </w:r>
      <w:r>
        <w:rPr>
          <w:spacing w:val="-9"/>
        </w:rPr>
        <w:t> </w:t>
      </w:r>
      <w:r>
        <w:rPr/>
        <w:t>una</w:t>
      </w:r>
      <w:r>
        <w:rPr>
          <w:spacing w:val="-8"/>
        </w:rPr>
        <w:t> </w:t>
      </w:r>
      <w:r>
        <w:rPr/>
        <w:t>representación simplificada y representativa de la realidad. Por lo tanto, el modelo incumple esta condición, porque la realidad que intenta representar, es inventada, intenta indicar en forma ideal como deberían ser hechas las decisiones, sin tomar en cuenta la realidad.</w:t>
      </w:r>
    </w:p>
    <w:p>
      <w:pPr>
        <w:pStyle w:val="BodyText"/>
        <w:spacing w:line="360" w:lineRule="auto" w:before="202"/>
        <w:ind w:left="102" w:right="122"/>
        <w:jc w:val="both"/>
      </w:pPr>
      <w:r>
        <w:rPr/>
        <w:t>Ahora bien, cabe resaltar que tanto los filósofos morales como los políticos intentaron mostrar que los agentes racionales construyen sociedades más justas, sin</w:t>
      </w:r>
      <w:r>
        <w:rPr>
          <w:spacing w:val="-4"/>
        </w:rPr>
        <w:t> </w:t>
      </w:r>
      <w:r>
        <w:rPr/>
        <w:t>embargo</w:t>
      </w:r>
      <w:r>
        <w:rPr>
          <w:spacing w:val="-4"/>
        </w:rPr>
        <w:t> </w:t>
      </w:r>
      <w:r>
        <w:rPr/>
        <w:t>podría</w:t>
      </w:r>
      <w:r>
        <w:rPr>
          <w:spacing w:val="-4"/>
        </w:rPr>
        <w:t> </w:t>
      </w:r>
      <w:r>
        <w:rPr/>
        <w:t>objetarse</w:t>
      </w:r>
      <w:r>
        <w:rPr>
          <w:spacing w:val="-4"/>
        </w:rPr>
        <w:t> </w:t>
      </w:r>
      <w:r>
        <w:rPr/>
        <w:t>que</w:t>
      </w:r>
      <w:r>
        <w:rPr>
          <w:spacing w:val="-4"/>
        </w:rPr>
        <w:t> </w:t>
      </w:r>
      <w:r>
        <w:rPr/>
        <w:t>sólo</w:t>
      </w:r>
      <w:r>
        <w:rPr>
          <w:spacing w:val="-4"/>
        </w:rPr>
        <w:t> </w:t>
      </w:r>
      <w:r>
        <w:rPr/>
        <w:t>a</w:t>
      </w:r>
      <w:r>
        <w:rPr>
          <w:spacing w:val="-6"/>
        </w:rPr>
        <w:t> </w:t>
      </w:r>
      <w:r>
        <w:rPr/>
        <w:t>través</w:t>
      </w:r>
      <w:r>
        <w:rPr>
          <w:spacing w:val="-4"/>
        </w:rPr>
        <w:t> </w:t>
      </w:r>
      <w:r>
        <w:rPr/>
        <w:t>de</w:t>
      </w:r>
      <w:r>
        <w:rPr>
          <w:spacing w:val="-4"/>
        </w:rPr>
        <w:t> </w:t>
      </w:r>
      <w:r>
        <w:rPr/>
        <w:t>la</w:t>
      </w:r>
      <w:r>
        <w:rPr>
          <w:spacing w:val="-4"/>
        </w:rPr>
        <w:t> </w:t>
      </w:r>
      <w:r>
        <w:rPr/>
        <w:t>teoría</w:t>
      </w:r>
      <w:r>
        <w:rPr>
          <w:spacing w:val="-4"/>
        </w:rPr>
        <w:t> </w:t>
      </w:r>
      <w:r>
        <w:rPr/>
        <w:t>de</w:t>
      </w:r>
      <w:r>
        <w:rPr>
          <w:spacing w:val="-4"/>
        </w:rPr>
        <w:t> </w:t>
      </w:r>
      <w:r>
        <w:rPr/>
        <w:t>la</w:t>
      </w:r>
      <w:r>
        <w:rPr>
          <w:spacing w:val="-4"/>
        </w:rPr>
        <w:t> </w:t>
      </w:r>
      <w:r>
        <w:rPr/>
        <w:t>decisión</w:t>
      </w:r>
      <w:r>
        <w:rPr>
          <w:spacing w:val="-4"/>
        </w:rPr>
        <w:t> </w:t>
      </w:r>
      <w:r>
        <w:rPr/>
        <w:t>se</w:t>
      </w:r>
      <w:r>
        <w:rPr>
          <w:spacing w:val="-4"/>
        </w:rPr>
        <w:t> </w:t>
      </w:r>
      <w:r>
        <w:rPr/>
        <w:t>define la toma de decisiones racional y las elecciones que se toman en base a la teoría deben ser consideradas racionales, luego entonces la teoría de la decisión debiera cubrir todo el campo de las decisiones racionales y que si se llegara a tomar una decisión sin la ayuda de la teoría, esta sería una decisión</w:t>
      </w:r>
      <w:r>
        <w:rPr>
          <w:spacing w:val="-20"/>
        </w:rPr>
        <w:t> </w:t>
      </w:r>
      <w:r>
        <w:rPr/>
        <w:t>irracional.</w:t>
      </w:r>
    </w:p>
    <w:p>
      <w:pPr>
        <w:pStyle w:val="BodyText"/>
        <w:spacing w:line="360" w:lineRule="auto" w:before="204"/>
        <w:ind w:left="102" w:right="115"/>
        <w:jc w:val="both"/>
      </w:pPr>
      <w:r>
        <w:rPr/>
        <w:t>Sin</w:t>
      </w:r>
      <w:r>
        <w:rPr>
          <w:spacing w:val="-14"/>
        </w:rPr>
        <w:t> </w:t>
      </w:r>
      <w:r>
        <w:rPr/>
        <w:t>embargo</w:t>
      </w:r>
      <w:r>
        <w:rPr>
          <w:spacing w:val="-14"/>
        </w:rPr>
        <w:t> </w:t>
      </w:r>
      <w:r>
        <w:rPr/>
        <w:t>no</w:t>
      </w:r>
      <w:r>
        <w:rPr>
          <w:spacing w:val="-14"/>
        </w:rPr>
        <w:t> </w:t>
      </w:r>
      <w:r>
        <w:rPr/>
        <w:t>siempre</w:t>
      </w:r>
      <w:r>
        <w:rPr>
          <w:spacing w:val="-14"/>
        </w:rPr>
        <w:t> </w:t>
      </w:r>
      <w:r>
        <w:rPr/>
        <w:t>es</w:t>
      </w:r>
      <w:r>
        <w:rPr>
          <w:spacing w:val="-17"/>
        </w:rPr>
        <w:t> </w:t>
      </w:r>
      <w:r>
        <w:rPr/>
        <w:t>racional</w:t>
      </w:r>
      <w:r>
        <w:rPr>
          <w:spacing w:val="-18"/>
        </w:rPr>
        <w:t> </w:t>
      </w:r>
      <w:r>
        <w:rPr/>
        <w:t>utilizar</w:t>
      </w:r>
      <w:r>
        <w:rPr>
          <w:spacing w:val="-16"/>
        </w:rPr>
        <w:t> </w:t>
      </w:r>
      <w:r>
        <w:rPr/>
        <w:t>la</w:t>
      </w:r>
      <w:r>
        <w:rPr>
          <w:spacing w:val="-14"/>
        </w:rPr>
        <w:t> </w:t>
      </w:r>
      <w:r>
        <w:rPr/>
        <w:t>teoría</w:t>
      </w:r>
      <w:r>
        <w:rPr>
          <w:spacing w:val="-14"/>
        </w:rPr>
        <w:t> </w:t>
      </w:r>
      <w:r>
        <w:rPr/>
        <w:t>de</w:t>
      </w:r>
      <w:r>
        <w:rPr>
          <w:spacing w:val="-16"/>
        </w:rPr>
        <w:t> </w:t>
      </w:r>
      <w:r>
        <w:rPr/>
        <w:t>la</w:t>
      </w:r>
      <w:r>
        <w:rPr>
          <w:spacing w:val="-17"/>
        </w:rPr>
        <w:t> </w:t>
      </w:r>
      <w:r>
        <w:rPr/>
        <w:t>decisión,</w:t>
      </w:r>
      <w:r>
        <w:rPr>
          <w:spacing w:val="-11"/>
        </w:rPr>
        <w:t> </w:t>
      </w:r>
      <w:r>
        <w:rPr/>
        <w:t>se</w:t>
      </w:r>
      <w:r>
        <w:rPr>
          <w:spacing w:val="-16"/>
        </w:rPr>
        <w:t> </w:t>
      </w:r>
      <w:r>
        <w:rPr/>
        <w:t>vive</w:t>
      </w:r>
      <w:r>
        <w:rPr>
          <w:spacing w:val="-13"/>
        </w:rPr>
        <w:t> </w:t>
      </w:r>
      <w:r>
        <w:rPr/>
        <w:t>conforme a muchas reglas de conducta que dicen cuándo tomar una decisión inmediata y cuando es necesario un análisis de la decisión de algún tipo. Algunas de estas reglas son más racionales que otras, porque permiten vivir mejor. Pero no hay</w:t>
      </w:r>
      <w:r>
        <w:rPr>
          <w:spacing w:val="20"/>
        </w:rPr>
        <w:t> </w:t>
      </w:r>
      <w:r>
        <w:rPr/>
        <w:t>que</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dejar de lado que la teoría de la decisión tiene mucha utilidad para algunas tareas que</w:t>
      </w:r>
      <w:r>
        <w:rPr>
          <w:spacing w:val="-16"/>
        </w:rPr>
        <w:t> </w:t>
      </w:r>
      <w:r>
        <w:rPr/>
        <w:t>necesitan</w:t>
      </w:r>
      <w:r>
        <w:rPr>
          <w:spacing w:val="-16"/>
        </w:rPr>
        <w:t> </w:t>
      </w:r>
      <w:r>
        <w:rPr/>
        <w:t>un</w:t>
      </w:r>
      <w:r>
        <w:rPr>
          <w:spacing w:val="-16"/>
        </w:rPr>
        <w:t> </w:t>
      </w:r>
      <w:r>
        <w:rPr/>
        <w:t>análisis</w:t>
      </w:r>
      <w:r>
        <w:rPr>
          <w:spacing w:val="-17"/>
        </w:rPr>
        <w:t> </w:t>
      </w:r>
      <w:r>
        <w:rPr/>
        <w:t>profundo,</w:t>
      </w:r>
      <w:r>
        <w:rPr>
          <w:spacing w:val="-16"/>
        </w:rPr>
        <w:t> </w:t>
      </w:r>
      <w:r>
        <w:rPr/>
        <w:t>que</w:t>
      </w:r>
      <w:r>
        <w:rPr>
          <w:spacing w:val="-18"/>
        </w:rPr>
        <w:t> </w:t>
      </w:r>
      <w:r>
        <w:rPr/>
        <w:t>para</w:t>
      </w:r>
      <w:r>
        <w:rPr>
          <w:spacing w:val="-19"/>
        </w:rPr>
        <w:t> </w:t>
      </w:r>
      <w:r>
        <w:rPr/>
        <w:t>el</w:t>
      </w:r>
      <w:r>
        <w:rPr>
          <w:spacing w:val="-17"/>
        </w:rPr>
        <w:t> </w:t>
      </w:r>
      <w:r>
        <w:rPr/>
        <w:t>caso</w:t>
      </w:r>
      <w:r>
        <w:rPr>
          <w:spacing w:val="-16"/>
        </w:rPr>
        <w:t> </w:t>
      </w:r>
      <w:r>
        <w:rPr/>
        <w:t>de</w:t>
      </w:r>
      <w:r>
        <w:rPr>
          <w:spacing w:val="-16"/>
        </w:rPr>
        <w:t> </w:t>
      </w:r>
      <w:r>
        <w:rPr/>
        <w:t>la</w:t>
      </w:r>
      <w:r>
        <w:rPr>
          <w:spacing w:val="-13"/>
        </w:rPr>
        <w:t> </w:t>
      </w:r>
      <w:r>
        <w:rPr/>
        <w:t>investigación,</w:t>
      </w:r>
      <w:r>
        <w:rPr>
          <w:spacing w:val="-16"/>
        </w:rPr>
        <w:t> </w:t>
      </w:r>
      <w:r>
        <w:rPr/>
        <w:t>es</w:t>
      </w:r>
      <w:r>
        <w:rPr>
          <w:spacing w:val="-19"/>
        </w:rPr>
        <w:t> </w:t>
      </w:r>
      <w:r>
        <w:rPr/>
        <w:t>de</w:t>
      </w:r>
      <w:r>
        <w:rPr>
          <w:spacing w:val="-16"/>
        </w:rPr>
        <w:t> </w:t>
      </w:r>
      <w:r>
        <w:rPr/>
        <w:t>suma importancia; las decisiones públicas de los decisores que dirigen un país, una entidad federativa o un municipio,  debieran ser resultado de ese análisis</w:t>
      </w:r>
      <w:r>
        <w:rPr>
          <w:spacing w:val="-38"/>
        </w:rPr>
        <w:t> </w:t>
      </w:r>
      <w:r>
        <w:rPr/>
        <w:t>profundo.</w:t>
      </w:r>
    </w:p>
    <w:p>
      <w:pPr>
        <w:pStyle w:val="BodyText"/>
        <w:spacing w:line="360" w:lineRule="auto" w:before="204"/>
        <w:ind w:left="102" w:right="116"/>
        <w:jc w:val="both"/>
      </w:pPr>
      <w:r>
        <w:rPr/>
        <w:t>Por lo tanto habría que distinguir entre las decisiones correctas y las decisiones racionales. Las decisiones de los agentes son correctas cuando dan lugar a resultados que consideran al menos tan satisfactorias como cualesquiera que los otros resultados a los que podrían haber conducido su acción. Si se tuviera la capacidad de predecir el futuro, la Teoría de la Decisión individual solo necesitaría un principio, a saber, “tomar la decisión correcta”.</w:t>
      </w:r>
    </w:p>
    <w:p>
      <w:pPr>
        <w:pStyle w:val="BodyText"/>
        <w:spacing w:line="360" w:lineRule="auto" w:before="204"/>
        <w:ind w:left="102" w:right="114"/>
        <w:jc w:val="both"/>
      </w:pPr>
      <w:r>
        <w:rPr/>
        <w:t>La mayoría de las decisiones deben basarse en lo que creemos que podría ocurrir o en lo que creemos que probablemente ocurrirá, de modo que no se puede estar seguro</w:t>
      </w:r>
      <w:r>
        <w:rPr>
          <w:spacing w:val="-8"/>
        </w:rPr>
        <w:t> </w:t>
      </w:r>
      <w:r>
        <w:rPr/>
        <w:t>sí</w:t>
      </w:r>
      <w:r>
        <w:rPr>
          <w:spacing w:val="-9"/>
        </w:rPr>
        <w:t> </w:t>
      </w:r>
      <w:r>
        <w:rPr/>
        <w:t>las</w:t>
      </w:r>
      <w:r>
        <w:rPr>
          <w:spacing w:val="-7"/>
        </w:rPr>
        <w:t> </w:t>
      </w:r>
      <w:r>
        <w:rPr/>
        <w:t>decisiones</w:t>
      </w:r>
      <w:r>
        <w:rPr>
          <w:spacing w:val="-8"/>
        </w:rPr>
        <w:t> </w:t>
      </w:r>
      <w:r>
        <w:rPr/>
        <w:t>vayan</w:t>
      </w:r>
      <w:r>
        <w:rPr>
          <w:spacing w:val="-7"/>
        </w:rPr>
        <w:t> </w:t>
      </w:r>
      <w:r>
        <w:rPr/>
        <w:t>a</w:t>
      </w:r>
      <w:r>
        <w:rPr>
          <w:spacing w:val="-7"/>
        </w:rPr>
        <w:t> </w:t>
      </w:r>
      <w:r>
        <w:rPr/>
        <w:t>traducirse</w:t>
      </w:r>
      <w:r>
        <w:rPr>
          <w:spacing w:val="-9"/>
        </w:rPr>
        <w:t> </w:t>
      </w:r>
      <w:r>
        <w:rPr/>
        <w:t>en</w:t>
      </w:r>
      <w:r>
        <w:rPr>
          <w:spacing w:val="-7"/>
        </w:rPr>
        <w:t> </w:t>
      </w:r>
      <w:r>
        <w:rPr/>
        <w:t>los</w:t>
      </w:r>
      <w:r>
        <w:rPr>
          <w:spacing w:val="-10"/>
        </w:rPr>
        <w:t> </w:t>
      </w:r>
      <w:r>
        <w:rPr/>
        <w:t>mejores</w:t>
      </w:r>
      <w:r>
        <w:rPr>
          <w:spacing w:val="-10"/>
        </w:rPr>
        <w:t> </w:t>
      </w:r>
      <w:r>
        <w:rPr/>
        <w:t>resultados</w:t>
      </w:r>
      <w:r>
        <w:rPr>
          <w:spacing w:val="-8"/>
        </w:rPr>
        <w:t> </w:t>
      </w:r>
      <w:r>
        <w:rPr/>
        <w:t>posibles.</w:t>
      </w:r>
      <w:r>
        <w:rPr>
          <w:spacing w:val="-3"/>
        </w:rPr>
        <w:t> </w:t>
      </w:r>
      <w:r>
        <w:rPr/>
        <w:t>Aún así, las elecciones deberían estar basadas tanto en la información que se tiene al alcance,</w:t>
      </w:r>
      <w:r>
        <w:rPr>
          <w:spacing w:val="-10"/>
        </w:rPr>
        <w:t> </w:t>
      </w:r>
      <w:r>
        <w:rPr/>
        <w:t>como</w:t>
      </w:r>
      <w:r>
        <w:rPr>
          <w:spacing w:val="-12"/>
        </w:rPr>
        <w:t> </w:t>
      </w:r>
      <w:r>
        <w:rPr/>
        <w:t>en</w:t>
      </w:r>
      <w:r>
        <w:rPr>
          <w:spacing w:val="-12"/>
        </w:rPr>
        <w:t> </w:t>
      </w:r>
      <w:r>
        <w:rPr/>
        <w:t>una</w:t>
      </w:r>
      <w:r>
        <w:rPr>
          <w:spacing w:val="-14"/>
        </w:rPr>
        <w:t> </w:t>
      </w:r>
      <w:r>
        <w:rPr/>
        <w:t>estimación</w:t>
      </w:r>
      <w:r>
        <w:rPr>
          <w:spacing w:val="-12"/>
        </w:rPr>
        <w:t> </w:t>
      </w:r>
      <w:r>
        <w:rPr/>
        <w:t>precisa</w:t>
      </w:r>
      <w:r>
        <w:rPr>
          <w:spacing w:val="-12"/>
        </w:rPr>
        <w:t> </w:t>
      </w:r>
      <w:r>
        <w:rPr/>
        <w:t>de</w:t>
      </w:r>
      <w:r>
        <w:rPr>
          <w:spacing w:val="-9"/>
        </w:rPr>
        <w:t> </w:t>
      </w:r>
      <w:r>
        <w:rPr/>
        <w:t>los</w:t>
      </w:r>
      <w:r>
        <w:rPr>
          <w:spacing w:val="-10"/>
        </w:rPr>
        <w:t> </w:t>
      </w:r>
      <w:r>
        <w:rPr/>
        <w:t>riesgos</w:t>
      </w:r>
      <w:r>
        <w:rPr>
          <w:spacing w:val="-13"/>
        </w:rPr>
        <w:t> </w:t>
      </w:r>
      <w:r>
        <w:rPr/>
        <w:t>asociados,</w:t>
      </w:r>
      <w:r>
        <w:rPr>
          <w:spacing w:val="-14"/>
        </w:rPr>
        <w:t> </w:t>
      </w:r>
      <w:r>
        <w:rPr/>
        <w:t>puesto</w:t>
      </w:r>
      <w:r>
        <w:rPr>
          <w:spacing w:val="-9"/>
        </w:rPr>
        <w:t> </w:t>
      </w:r>
      <w:r>
        <w:rPr/>
        <w:t>que</w:t>
      </w:r>
      <w:r>
        <w:rPr>
          <w:spacing w:val="-5"/>
        </w:rPr>
        <w:t> </w:t>
      </w:r>
      <w:r>
        <w:rPr/>
        <w:t>ésta es claramente la única aproximación racional a la toma de decisiones. Cuando reparamos</w:t>
      </w:r>
      <w:r>
        <w:rPr>
          <w:spacing w:val="-16"/>
        </w:rPr>
        <w:t> </w:t>
      </w:r>
      <w:r>
        <w:rPr/>
        <w:t>en</w:t>
      </w:r>
      <w:r>
        <w:rPr>
          <w:spacing w:val="-14"/>
        </w:rPr>
        <w:t> </w:t>
      </w:r>
      <w:r>
        <w:rPr/>
        <w:t>que</w:t>
      </w:r>
      <w:r>
        <w:rPr>
          <w:spacing w:val="-15"/>
        </w:rPr>
        <w:t> </w:t>
      </w:r>
      <w:r>
        <w:rPr/>
        <w:t>existen</w:t>
      </w:r>
      <w:r>
        <w:rPr>
          <w:spacing w:val="-14"/>
        </w:rPr>
        <w:t> </w:t>
      </w:r>
      <w:r>
        <w:rPr/>
        <w:t>circunstancias</w:t>
      </w:r>
      <w:r>
        <w:rPr>
          <w:spacing w:val="-14"/>
        </w:rPr>
        <w:t> </w:t>
      </w:r>
      <w:r>
        <w:rPr/>
        <w:t>desfavorables</w:t>
      </w:r>
      <w:r>
        <w:rPr>
          <w:spacing w:val="-14"/>
        </w:rPr>
        <w:t> </w:t>
      </w:r>
      <w:r>
        <w:rPr/>
        <w:t>que</w:t>
      </w:r>
      <w:r>
        <w:rPr>
          <w:spacing w:val="-14"/>
        </w:rPr>
        <w:t> </w:t>
      </w:r>
      <w:r>
        <w:rPr/>
        <w:t>condicionan</w:t>
      </w:r>
      <w:r>
        <w:rPr>
          <w:spacing w:val="-14"/>
        </w:rPr>
        <w:t> </w:t>
      </w:r>
      <w:r>
        <w:rPr/>
        <w:t>la</w:t>
      </w:r>
      <w:r>
        <w:rPr>
          <w:spacing w:val="-14"/>
        </w:rPr>
        <w:t> </w:t>
      </w:r>
      <w:r>
        <w:rPr/>
        <w:t>mayoría de las decisiones, se observa que una decisión racional puede ser enteramente valiosa incluso si no llega a ser la decisión correcta o que en ocasiones se podría analizar cada una de la opciones para tomar la decisión adecuada, aún así se está en riesgo de que no ocurran los resultados deseados; los encargados de tomar decisiones en ocasiones operan bajo restricciones y buscan un curso aceptable. “Jon Elster, uno de los autores que ha tratado con mayor profundidad el problema de la decisión asume de la siguiente manera la teoría de la elección racional: Cuando enfrenta varios cursos de acción la gente, suele hacer lo que cree que es probable que tenga mejor resultado general” (citado en Curzio,</w:t>
      </w:r>
      <w:r>
        <w:rPr>
          <w:spacing w:val="-17"/>
        </w:rPr>
        <w:t> </w:t>
      </w:r>
      <w:r>
        <w:rPr/>
        <w:t>1998:37).</w:t>
      </w:r>
    </w:p>
    <w:p>
      <w:pPr>
        <w:pStyle w:val="BodyText"/>
        <w:spacing w:line="360" w:lineRule="auto" w:before="204"/>
        <w:ind w:left="102" w:right="117"/>
        <w:jc w:val="both"/>
      </w:pPr>
      <w:r>
        <w:rPr/>
        <w:t>Dicho</w:t>
      </w:r>
      <w:r>
        <w:rPr>
          <w:spacing w:val="-13"/>
        </w:rPr>
        <w:t> </w:t>
      </w:r>
      <w:r>
        <w:rPr/>
        <w:t>de</w:t>
      </w:r>
      <w:r>
        <w:rPr>
          <w:spacing w:val="-13"/>
        </w:rPr>
        <w:t> </w:t>
      </w:r>
      <w:r>
        <w:rPr/>
        <w:t>otra</w:t>
      </w:r>
      <w:r>
        <w:rPr>
          <w:spacing w:val="-16"/>
        </w:rPr>
        <w:t> </w:t>
      </w:r>
      <w:r>
        <w:rPr/>
        <w:t>manera,</w:t>
      </w:r>
      <w:r>
        <w:rPr>
          <w:spacing w:val="-16"/>
        </w:rPr>
        <w:t> </w:t>
      </w:r>
      <w:r>
        <w:rPr/>
        <w:t>el</w:t>
      </w:r>
      <w:r>
        <w:rPr>
          <w:spacing w:val="-14"/>
        </w:rPr>
        <w:t> </w:t>
      </w:r>
      <w:r>
        <w:rPr/>
        <w:t>actor</w:t>
      </w:r>
      <w:r>
        <w:rPr>
          <w:spacing w:val="-15"/>
        </w:rPr>
        <w:t> </w:t>
      </w:r>
      <w:r>
        <w:rPr/>
        <w:t>que</w:t>
      </w:r>
      <w:r>
        <w:rPr>
          <w:spacing w:val="-13"/>
        </w:rPr>
        <w:t> </w:t>
      </w:r>
      <w:r>
        <w:rPr/>
        <w:t>se</w:t>
      </w:r>
      <w:r>
        <w:rPr>
          <w:spacing w:val="-13"/>
        </w:rPr>
        <w:t> </w:t>
      </w:r>
      <w:r>
        <w:rPr/>
        <w:t>enfrenta</w:t>
      </w:r>
      <w:r>
        <w:rPr>
          <w:spacing w:val="-13"/>
        </w:rPr>
        <w:t> </w:t>
      </w:r>
      <w:r>
        <w:rPr/>
        <w:t>a</w:t>
      </w:r>
      <w:r>
        <w:rPr>
          <w:spacing w:val="-13"/>
        </w:rPr>
        <w:t> </w:t>
      </w:r>
      <w:r>
        <w:rPr/>
        <w:t>la</w:t>
      </w:r>
      <w:r>
        <w:rPr>
          <w:spacing w:val="-13"/>
        </w:rPr>
        <w:t> </w:t>
      </w:r>
      <w:r>
        <w:rPr/>
        <w:t>necesidad</w:t>
      </w:r>
      <w:r>
        <w:rPr>
          <w:spacing w:val="-13"/>
        </w:rPr>
        <w:t> </w:t>
      </w:r>
      <w:r>
        <w:rPr/>
        <w:t>de</w:t>
      </w:r>
      <w:r>
        <w:rPr>
          <w:spacing w:val="-13"/>
        </w:rPr>
        <w:t> </w:t>
      </w:r>
      <w:r>
        <w:rPr/>
        <w:t>tomar</w:t>
      </w:r>
      <w:r>
        <w:rPr>
          <w:spacing w:val="-15"/>
        </w:rPr>
        <w:t> </w:t>
      </w:r>
      <w:r>
        <w:rPr/>
        <w:t>una</w:t>
      </w:r>
      <w:r>
        <w:rPr>
          <w:spacing w:val="-13"/>
        </w:rPr>
        <w:t> </w:t>
      </w:r>
      <w:r>
        <w:rPr/>
        <w:t>decisión optará siempre por aquella que le ofrezca de acuerdo con su parámetro racional el mejor resultado. De acuerdo, a esto la Teoría de la Decisión es un instrumento guiado</w:t>
      </w:r>
      <w:r>
        <w:rPr>
          <w:spacing w:val="29"/>
        </w:rPr>
        <w:t> </w:t>
      </w:r>
      <w:r>
        <w:rPr/>
        <w:t>por</w:t>
      </w:r>
      <w:r>
        <w:rPr>
          <w:spacing w:val="27"/>
        </w:rPr>
        <w:t> </w:t>
      </w:r>
      <w:r>
        <w:rPr/>
        <w:t>el</w:t>
      </w:r>
      <w:r>
        <w:rPr>
          <w:spacing w:val="30"/>
        </w:rPr>
        <w:t> </w:t>
      </w:r>
      <w:r>
        <w:rPr/>
        <w:t>resultado</w:t>
      </w:r>
      <w:r>
        <w:rPr>
          <w:spacing w:val="31"/>
        </w:rPr>
        <w:t> </w:t>
      </w:r>
      <w:r>
        <w:rPr/>
        <w:t>esperado</w:t>
      </w:r>
      <w:r>
        <w:rPr>
          <w:spacing w:val="29"/>
        </w:rPr>
        <w:t> </w:t>
      </w:r>
      <w:r>
        <w:rPr/>
        <w:t>de</w:t>
      </w:r>
      <w:r>
        <w:rPr>
          <w:spacing w:val="29"/>
        </w:rPr>
        <w:t> </w:t>
      </w:r>
      <w:r>
        <w:rPr/>
        <w:t>la</w:t>
      </w:r>
      <w:r>
        <w:rPr>
          <w:spacing w:val="28"/>
        </w:rPr>
        <w:t> </w:t>
      </w:r>
      <w:r>
        <w:rPr/>
        <w:t>acción.</w:t>
      </w:r>
      <w:r>
        <w:rPr>
          <w:spacing w:val="36"/>
        </w:rPr>
        <w:t> </w:t>
      </w:r>
      <w:r>
        <w:rPr/>
        <w:t>“El</w:t>
      </w:r>
      <w:r>
        <w:rPr>
          <w:spacing w:val="28"/>
        </w:rPr>
        <w:t> </w:t>
      </w:r>
      <w:r>
        <w:rPr/>
        <w:t>modelo</w:t>
      </w:r>
      <w:r>
        <w:rPr>
          <w:spacing w:val="31"/>
        </w:rPr>
        <w:t> </w:t>
      </w:r>
      <w:r>
        <w:rPr/>
        <w:t>racional</w:t>
      </w:r>
      <w:r>
        <w:rPr>
          <w:spacing w:val="30"/>
        </w:rPr>
        <w:t> </w:t>
      </w:r>
      <w:r>
        <w:rPr/>
        <w:t>en</w:t>
      </w:r>
      <w:r>
        <w:rPr>
          <w:spacing w:val="29"/>
        </w:rPr>
        <w:t> </w:t>
      </w:r>
      <w:r>
        <w:rPr/>
        <w:t>resumen,</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supone un contexto en donde no existe conflicto de visiones ni de intereses. Esta es</w:t>
      </w:r>
      <w:r>
        <w:rPr>
          <w:spacing w:val="-8"/>
        </w:rPr>
        <w:t> </w:t>
      </w:r>
      <w:r>
        <w:rPr/>
        <w:t>una</w:t>
      </w:r>
      <w:r>
        <w:rPr>
          <w:spacing w:val="-7"/>
        </w:rPr>
        <w:t> </w:t>
      </w:r>
      <w:r>
        <w:rPr/>
        <w:t>situación</w:t>
      </w:r>
      <w:r>
        <w:rPr>
          <w:spacing w:val="-9"/>
        </w:rPr>
        <w:t> </w:t>
      </w:r>
      <w:r>
        <w:rPr/>
        <w:t>utópica,</w:t>
      </w:r>
      <w:r>
        <w:rPr>
          <w:spacing w:val="-7"/>
        </w:rPr>
        <w:t> </w:t>
      </w:r>
      <w:r>
        <w:rPr/>
        <w:t>en</w:t>
      </w:r>
      <w:r>
        <w:rPr>
          <w:spacing w:val="-7"/>
        </w:rPr>
        <w:t> </w:t>
      </w:r>
      <w:r>
        <w:rPr/>
        <w:t>la</w:t>
      </w:r>
      <w:r>
        <w:rPr>
          <w:spacing w:val="-7"/>
        </w:rPr>
        <w:t> </w:t>
      </w:r>
      <w:r>
        <w:rPr/>
        <w:t>que</w:t>
      </w:r>
      <w:r>
        <w:rPr>
          <w:spacing w:val="-7"/>
        </w:rPr>
        <w:t> </w:t>
      </w:r>
      <w:r>
        <w:rPr/>
        <w:t>el</w:t>
      </w:r>
      <w:r>
        <w:rPr>
          <w:spacing w:val="-8"/>
        </w:rPr>
        <w:t> </w:t>
      </w:r>
      <w:r>
        <w:rPr/>
        <w:t>sujeto</w:t>
      </w:r>
      <w:r>
        <w:rPr>
          <w:spacing w:val="-9"/>
        </w:rPr>
        <w:t> </w:t>
      </w:r>
      <w:r>
        <w:rPr/>
        <w:t>posee</w:t>
      </w:r>
      <w:r>
        <w:rPr>
          <w:spacing w:val="-9"/>
        </w:rPr>
        <w:t> </w:t>
      </w:r>
      <w:r>
        <w:rPr/>
        <w:t>o</w:t>
      </w:r>
      <w:r>
        <w:rPr>
          <w:spacing w:val="-7"/>
        </w:rPr>
        <w:t> </w:t>
      </w:r>
      <w:r>
        <w:rPr/>
        <w:t>dispone</w:t>
      </w:r>
      <w:r>
        <w:rPr>
          <w:spacing w:val="-7"/>
        </w:rPr>
        <w:t> </w:t>
      </w:r>
      <w:r>
        <w:rPr/>
        <w:t>de</w:t>
      </w:r>
      <w:r>
        <w:rPr>
          <w:spacing w:val="-7"/>
        </w:rPr>
        <w:t> </w:t>
      </w:r>
      <w:r>
        <w:rPr/>
        <w:t>toda</w:t>
      </w:r>
      <w:r>
        <w:rPr>
          <w:spacing w:val="-7"/>
        </w:rPr>
        <w:t> </w:t>
      </w:r>
      <w:r>
        <w:rPr/>
        <w:t>la</w:t>
      </w:r>
      <w:r>
        <w:rPr>
          <w:spacing w:val="-7"/>
        </w:rPr>
        <w:t> </w:t>
      </w:r>
      <w:r>
        <w:rPr/>
        <w:t>información y tiene la capacidad para analizarla y evaluarla, y además tiene su alcance todos los recursos disponibles e incluso el tiempo necesario para poner en marcha su decisión” (Curzio,</w:t>
      </w:r>
      <w:r>
        <w:rPr>
          <w:spacing w:val="-4"/>
        </w:rPr>
        <w:t> </w:t>
      </w:r>
      <w:r>
        <w:rPr/>
        <w:t>1998:38).</w:t>
      </w:r>
    </w:p>
    <w:p>
      <w:pPr>
        <w:pStyle w:val="BodyText"/>
      </w:pPr>
    </w:p>
    <w:p>
      <w:pPr>
        <w:pStyle w:val="BodyText"/>
      </w:pPr>
    </w:p>
    <w:p>
      <w:pPr>
        <w:pStyle w:val="BodyText"/>
      </w:pPr>
    </w:p>
    <w:p>
      <w:pPr>
        <w:pStyle w:val="BodyText"/>
        <w:spacing w:before="3"/>
        <w:rPr>
          <w:sz w:val="23"/>
        </w:rPr>
      </w:pPr>
    </w:p>
    <w:p>
      <w:pPr>
        <w:pStyle w:val="Heading1"/>
        <w:numPr>
          <w:ilvl w:val="1"/>
          <w:numId w:val="8"/>
        </w:numPr>
        <w:tabs>
          <w:tab w:pos="962" w:val="left" w:leader="none"/>
        </w:tabs>
        <w:spacing w:line="242" w:lineRule="auto" w:before="0" w:after="0"/>
        <w:ind w:left="4021" w:right="511" w:hanging="3531"/>
        <w:jc w:val="left"/>
      </w:pPr>
      <w:bookmarkStart w:name="_TOC_250042" w:id="10"/>
      <w:r>
        <w:rPr/>
        <w:t>La toma de decisiones en la Organización</w:t>
      </w:r>
      <w:r>
        <w:rPr>
          <w:spacing w:val="-31"/>
        </w:rPr>
        <w:t> </w:t>
      </w:r>
      <w:bookmarkEnd w:id="10"/>
      <w:r>
        <w:rPr/>
        <w:t>Administrativa Pública</w:t>
      </w:r>
    </w:p>
    <w:p>
      <w:pPr>
        <w:pStyle w:val="BodyText"/>
        <w:rPr>
          <w:b/>
          <w:sz w:val="28"/>
        </w:rPr>
      </w:pPr>
    </w:p>
    <w:p>
      <w:pPr>
        <w:pStyle w:val="BodyText"/>
        <w:rPr>
          <w:b/>
          <w:sz w:val="28"/>
        </w:rPr>
      </w:pPr>
    </w:p>
    <w:p>
      <w:pPr>
        <w:pStyle w:val="BodyText"/>
        <w:spacing w:before="2"/>
        <w:rPr>
          <w:b/>
          <w:sz w:val="30"/>
        </w:rPr>
      </w:pPr>
    </w:p>
    <w:p>
      <w:pPr>
        <w:pStyle w:val="BodyText"/>
        <w:spacing w:line="360" w:lineRule="auto"/>
        <w:ind w:left="102" w:right="116"/>
        <w:jc w:val="both"/>
      </w:pPr>
      <w:r>
        <w:rPr/>
        <w:t>Para</w:t>
      </w:r>
      <w:r>
        <w:rPr>
          <w:spacing w:val="-11"/>
        </w:rPr>
        <w:t> </w:t>
      </w:r>
      <w:r>
        <w:rPr/>
        <w:t>hablar</w:t>
      </w:r>
      <w:r>
        <w:rPr>
          <w:spacing w:val="-14"/>
        </w:rPr>
        <w:t> </w:t>
      </w:r>
      <w:r>
        <w:rPr/>
        <w:t>de</w:t>
      </w:r>
      <w:r>
        <w:rPr>
          <w:spacing w:val="-11"/>
        </w:rPr>
        <w:t> </w:t>
      </w:r>
      <w:r>
        <w:rPr/>
        <w:t>la</w:t>
      </w:r>
      <w:r>
        <w:rPr>
          <w:spacing w:val="-11"/>
        </w:rPr>
        <w:t> </w:t>
      </w:r>
      <w:r>
        <w:rPr/>
        <w:t>toma</w:t>
      </w:r>
      <w:r>
        <w:rPr>
          <w:spacing w:val="-13"/>
        </w:rPr>
        <w:t> </w:t>
      </w:r>
      <w:r>
        <w:rPr/>
        <w:t>de</w:t>
      </w:r>
      <w:r>
        <w:rPr>
          <w:spacing w:val="-11"/>
        </w:rPr>
        <w:t> </w:t>
      </w:r>
      <w:r>
        <w:rPr/>
        <w:t>la</w:t>
      </w:r>
      <w:r>
        <w:rPr>
          <w:spacing w:val="-13"/>
        </w:rPr>
        <w:t> </w:t>
      </w:r>
      <w:r>
        <w:rPr/>
        <w:t>decisión</w:t>
      </w:r>
      <w:r>
        <w:rPr>
          <w:spacing w:val="-11"/>
        </w:rPr>
        <w:t> </w:t>
      </w:r>
      <w:r>
        <w:rPr/>
        <w:t>en</w:t>
      </w:r>
      <w:r>
        <w:rPr>
          <w:spacing w:val="-11"/>
        </w:rPr>
        <w:t> </w:t>
      </w:r>
      <w:r>
        <w:rPr/>
        <w:t>la</w:t>
      </w:r>
      <w:r>
        <w:rPr>
          <w:spacing w:val="-13"/>
        </w:rPr>
        <w:t> </w:t>
      </w:r>
      <w:r>
        <w:rPr/>
        <w:t>actividad</w:t>
      </w:r>
      <w:r>
        <w:rPr>
          <w:spacing w:val="-11"/>
        </w:rPr>
        <w:t> </w:t>
      </w:r>
      <w:r>
        <w:rPr/>
        <w:t>gubernamental,</w:t>
      </w:r>
      <w:r>
        <w:rPr>
          <w:spacing w:val="-16"/>
        </w:rPr>
        <w:t> </w:t>
      </w:r>
      <w:r>
        <w:rPr/>
        <w:t>es</w:t>
      </w:r>
      <w:r>
        <w:rPr>
          <w:spacing w:val="-12"/>
        </w:rPr>
        <w:t> </w:t>
      </w:r>
      <w:r>
        <w:rPr/>
        <w:t>prescindible tratar primero las decisiones en la administración privada, y cómo su aplicación ha tenido grandes beneficios en ésta y como estos beneficios han sido trasladados en la administración</w:t>
      </w:r>
      <w:r>
        <w:rPr>
          <w:spacing w:val="-9"/>
        </w:rPr>
        <w:t> </w:t>
      </w:r>
      <w:r>
        <w:rPr/>
        <w:t>pública.</w:t>
      </w:r>
    </w:p>
    <w:p>
      <w:pPr>
        <w:pStyle w:val="BodyText"/>
        <w:spacing w:line="360" w:lineRule="auto" w:before="204"/>
        <w:ind w:left="102" w:right="117"/>
        <w:jc w:val="both"/>
      </w:pPr>
      <w:r>
        <w:rPr/>
        <w:t>El objetivo fundamental de la Teoría de la Decisión es ilustrar, describir y analizar las situaciones de decisiones en las cuales existen problemas mayores y trata de sugerir</w:t>
      </w:r>
      <w:r>
        <w:rPr>
          <w:spacing w:val="-12"/>
        </w:rPr>
        <w:t> </w:t>
      </w:r>
      <w:r>
        <w:rPr/>
        <w:t>decisiones</w:t>
      </w:r>
      <w:r>
        <w:rPr>
          <w:spacing w:val="-14"/>
        </w:rPr>
        <w:t> </w:t>
      </w:r>
      <w:r>
        <w:rPr/>
        <w:t>apropiadas</w:t>
      </w:r>
      <w:r>
        <w:rPr>
          <w:spacing w:val="-14"/>
        </w:rPr>
        <w:t> </w:t>
      </w:r>
      <w:r>
        <w:rPr/>
        <w:t>para</w:t>
      </w:r>
      <w:r>
        <w:rPr>
          <w:spacing w:val="-14"/>
        </w:rPr>
        <w:t> </w:t>
      </w:r>
      <w:r>
        <w:rPr/>
        <w:t>solucionarlos.</w:t>
      </w:r>
      <w:r>
        <w:rPr>
          <w:spacing w:val="-11"/>
        </w:rPr>
        <w:t> </w:t>
      </w:r>
      <w:r>
        <w:rPr/>
        <w:t>De</w:t>
      </w:r>
      <w:r>
        <w:rPr>
          <w:spacing w:val="-13"/>
        </w:rPr>
        <w:t> </w:t>
      </w:r>
      <w:r>
        <w:rPr/>
        <w:t>ahí</w:t>
      </w:r>
      <w:r>
        <w:rPr>
          <w:spacing w:val="-13"/>
        </w:rPr>
        <w:t> </w:t>
      </w:r>
      <w:r>
        <w:rPr/>
        <w:t>la</w:t>
      </w:r>
      <w:r>
        <w:rPr>
          <w:spacing w:val="-11"/>
        </w:rPr>
        <w:t> </w:t>
      </w:r>
      <w:r>
        <w:rPr/>
        <w:t>importancia</w:t>
      </w:r>
      <w:r>
        <w:rPr>
          <w:spacing w:val="-11"/>
        </w:rPr>
        <w:t> </w:t>
      </w:r>
      <w:r>
        <w:rPr/>
        <w:t>de</w:t>
      </w:r>
      <w:r>
        <w:rPr>
          <w:spacing w:val="-13"/>
        </w:rPr>
        <w:t> </w:t>
      </w:r>
      <w:r>
        <w:rPr/>
        <w:t>la</w:t>
      </w:r>
      <w:r>
        <w:rPr>
          <w:spacing w:val="-16"/>
        </w:rPr>
        <w:t> </w:t>
      </w:r>
      <w:r>
        <w:rPr/>
        <w:t>Teoría de</w:t>
      </w:r>
      <w:r>
        <w:rPr>
          <w:spacing w:val="-4"/>
        </w:rPr>
        <w:t> </w:t>
      </w:r>
      <w:r>
        <w:rPr/>
        <w:t>la</w:t>
      </w:r>
      <w:r>
        <w:rPr>
          <w:spacing w:val="-4"/>
        </w:rPr>
        <w:t> </w:t>
      </w:r>
      <w:r>
        <w:rPr/>
        <w:t>Decisión</w:t>
      </w:r>
      <w:r>
        <w:rPr>
          <w:spacing w:val="-4"/>
        </w:rPr>
        <w:t> </w:t>
      </w:r>
      <w:r>
        <w:rPr/>
        <w:t>que</w:t>
      </w:r>
      <w:r>
        <w:rPr>
          <w:spacing w:val="-4"/>
        </w:rPr>
        <w:t> </w:t>
      </w:r>
      <w:r>
        <w:rPr/>
        <w:t>a</w:t>
      </w:r>
      <w:r>
        <w:rPr>
          <w:spacing w:val="-4"/>
        </w:rPr>
        <w:t> </w:t>
      </w:r>
      <w:r>
        <w:rPr/>
        <w:t>través</w:t>
      </w:r>
      <w:r>
        <w:rPr>
          <w:spacing w:val="-4"/>
        </w:rPr>
        <w:t> </w:t>
      </w:r>
      <w:r>
        <w:rPr/>
        <w:t>de</w:t>
      </w:r>
      <w:r>
        <w:rPr>
          <w:spacing w:val="-4"/>
        </w:rPr>
        <w:t> </w:t>
      </w:r>
      <w:r>
        <w:rPr/>
        <w:t>diversos</w:t>
      </w:r>
      <w:r>
        <w:rPr>
          <w:spacing w:val="-4"/>
        </w:rPr>
        <w:t> </w:t>
      </w:r>
      <w:r>
        <w:rPr/>
        <w:t>métodos</w:t>
      </w:r>
      <w:r>
        <w:rPr>
          <w:spacing w:val="-4"/>
        </w:rPr>
        <w:t> </w:t>
      </w:r>
      <w:r>
        <w:rPr/>
        <w:t>y</w:t>
      </w:r>
      <w:r>
        <w:rPr>
          <w:spacing w:val="-7"/>
        </w:rPr>
        <w:t> </w:t>
      </w:r>
      <w:r>
        <w:rPr/>
        <w:t>técnicas,</w:t>
      </w:r>
      <w:r>
        <w:rPr>
          <w:spacing w:val="-4"/>
        </w:rPr>
        <w:t> </w:t>
      </w:r>
      <w:r>
        <w:rPr/>
        <w:t>coadyuva en</w:t>
      </w:r>
      <w:r>
        <w:rPr>
          <w:spacing w:val="-4"/>
        </w:rPr>
        <w:t> </w:t>
      </w:r>
      <w:r>
        <w:rPr/>
        <w:t>la</w:t>
      </w:r>
      <w:r>
        <w:rPr>
          <w:spacing w:val="-4"/>
        </w:rPr>
        <w:t> </w:t>
      </w:r>
      <w:r>
        <w:rPr/>
        <w:t>mejora de la toma de decisión por medio de un proceso que auxilie esta</w:t>
      </w:r>
      <w:r>
        <w:rPr>
          <w:spacing w:val="-22"/>
        </w:rPr>
        <w:t> </w:t>
      </w:r>
      <w:r>
        <w:rPr/>
        <w:t>tarea.</w:t>
      </w:r>
    </w:p>
    <w:p>
      <w:pPr>
        <w:spacing w:line="240" w:lineRule="auto" w:before="204"/>
        <w:ind w:left="954" w:right="114" w:firstLine="0"/>
        <w:jc w:val="both"/>
        <w:rPr>
          <w:sz w:val="24"/>
        </w:rPr>
      </w:pPr>
      <w:r>
        <w:rPr>
          <w:sz w:val="22"/>
        </w:rPr>
        <w:t>Antes de mediados de la década de 1950, la toma de decisiones no se analizaba con amplitud en la bibliografía administrativa y rara vez se realzaba en la teoría tradicional de la administración. La mayoría de los debates tenía relación con el derecho de la administración a tomar decisiones dentro de las empresas y con el proceso de delegación y descentralización en la toma de decisiones. En los años ulteriores a la década de 1950, la administración estaba mucho más orientada hacia las relaciones humanas y las teorías del liderato que hacía la teoría de decisión (Greenwood, 1978:20</w:t>
      </w:r>
      <w:r>
        <w:rPr>
          <w:sz w:val="24"/>
        </w:rPr>
        <w:t>).</w:t>
      </w:r>
    </w:p>
    <w:p>
      <w:pPr>
        <w:pStyle w:val="BodyText"/>
      </w:pPr>
    </w:p>
    <w:p>
      <w:pPr>
        <w:pStyle w:val="BodyText"/>
        <w:spacing w:before="7"/>
        <w:rPr>
          <w:sz w:val="34"/>
        </w:rPr>
      </w:pPr>
    </w:p>
    <w:p>
      <w:pPr>
        <w:pStyle w:val="BodyText"/>
        <w:spacing w:line="360" w:lineRule="auto"/>
        <w:ind w:left="102" w:right="116" w:firstLine="67"/>
        <w:jc w:val="both"/>
      </w:pPr>
      <w:r>
        <w:rPr/>
        <w:t>La toma de decisiones, tanto de agentes individuales como de los grupos, son importante</w:t>
      </w:r>
      <w:r>
        <w:rPr>
          <w:spacing w:val="-9"/>
        </w:rPr>
        <w:t> </w:t>
      </w:r>
      <w:r>
        <w:rPr/>
        <w:t>para</w:t>
      </w:r>
      <w:r>
        <w:rPr>
          <w:spacing w:val="-12"/>
        </w:rPr>
        <w:t> </w:t>
      </w:r>
      <w:r>
        <w:rPr/>
        <w:t>el</w:t>
      </w:r>
      <w:r>
        <w:rPr>
          <w:spacing w:val="-11"/>
        </w:rPr>
        <w:t> </w:t>
      </w:r>
      <w:r>
        <w:rPr/>
        <w:t>papel</w:t>
      </w:r>
      <w:r>
        <w:rPr>
          <w:spacing w:val="-11"/>
        </w:rPr>
        <w:t> </w:t>
      </w:r>
      <w:r>
        <w:rPr/>
        <w:t>que</w:t>
      </w:r>
      <w:r>
        <w:rPr>
          <w:spacing w:val="-12"/>
        </w:rPr>
        <w:t> </w:t>
      </w:r>
      <w:r>
        <w:rPr/>
        <w:t>desempeñan</w:t>
      </w:r>
      <w:r>
        <w:rPr>
          <w:spacing w:val="-12"/>
        </w:rPr>
        <w:t> </w:t>
      </w:r>
      <w:r>
        <w:rPr/>
        <w:t>en</w:t>
      </w:r>
      <w:r>
        <w:rPr>
          <w:spacing w:val="-11"/>
        </w:rPr>
        <w:t> </w:t>
      </w:r>
      <w:r>
        <w:rPr/>
        <w:t>el</w:t>
      </w:r>
      <w:r>
        <w:rPr>
          <w:spacing w:val="-13"/>
        </w:rPr>
        <w:t> </w:t>
      </w:r>
      <w:r>
        <w:rPr/>
        <w:t>entorno</w:t>
      </w:r>
      <w:r>
        <w:rPr>
          <w:spacing w:val="-12"/>
        </w:rPr>
        <w:t> </w:t>
      </w:r>
      <w:r>
        <w:rPr/>
        <w:t>organizativo</w:t>
      </w:r>
      <w:r>
        <w:rPr>
          <w:spacing w:val="-9"/>
        </w:rPr>
        <w:t> </w:t>
      </w:r>
      <w:r>
        <w:rPr/>
        <w:t>e</w:t>
      </w:r>
      <w:r>
        <w:rPr>
          <w:spacing w:val="-10"/>
        </w:rPr>
        <w:t> </w:t>
      </w:r>
      <w:r>
        <w:rPr/>
        <w:t>institucional, porque</w:t>
      </w:r>
      <w:r>
        <w:rPr>
          <w:spacing w:val="40"/>
        </w:rPr>
        <w:t> </w:t>
      </w:r>
      <w:r>
        <w:rPr/>
        <w:t>de</w:t>
      </w:r>
      <w:r>
        <w:rPr>
          <w:spacing w:val="40"/>
        </w:rPr>
        <w:t> </w:t>
      </w:r>
      <w:r>
        <w:rPr/>
        <w:t>ello</w:t>
      </w:r>
      <w:r>
        <w:rPr>
          <w:spacing w:val="40"/>
        </w:rPr>
        <w:t> </w:t>
      </w:r>
      <w:r>
        <w:rPr/>
        <w:t>depende</w:t>
      </w:r>
      <w:r>
        <w:rPr>
          <w:spacing w:val="40"/>
        </w:rPr>
        <w:t> </w:t>
      </w:r>
      <w:r>
        <w:rPr/>
        <w:t>el</w:t>
      </w:r>
      <w:r>
        <w:rPr>
          <w:spacing w:val="41"/>
        </w:rPr>
        <w:t> </w:t>
      </w:r>
      <w:r>
        <w:rPr/>
        <w:t>éxito</w:t>
      </w:r>
      <w:r>
        <w:rPr>
          <w:spacing w:val="40"/>
        </w:rPr>
        <w:t> </w:t>
      </w:r>
      <w:r>
        <w:rPr/>
        <w:t>del</w:t>
      </w:r>
      <w:r>
        <w:rPr>
          <w:spacing w:val="38"/>
        </w:rPr>
        <w:t> </w:t>
      </w:r>
      <w:r>
        <w:rPr/>
        <w:t>curso</w:t>
      </w:r>
      <w:r>
        <w:rPr>
          <w:spacing w:val="37"/>
        </w:rPr>
        <w:t> </w:t>
      </w:r>
      <w:r>
        <w:rPr/>
        <w:t>de</w:t>
      </w:r>
      <w:r>
        <w:rPr>
          <w:spacing w:val="40"/>
        </w:rPr>
        <w:t> </w:t>
      </w:r>
      <w:r>
        <w:rPr/>
        <w:t>acción</w:t>
      </w:r>
      <w:r>
        <w:rPr>
          <w:spacing w:val="40"/>
        </w:rPr>
        <w:t> </w:t>
      </w:r>
      <w:r>
        <w:rPr/>
        <w:t>para</w:t>
      </w:r>
      <w:r>
        <w:rPr>
          <w:spacing w:val="42"/>
        </w:rPr>
        <w:t> </w:t>
      </w:r>
      <w:r>
        <w:rPr/>
        <w:t>la</w:t>
      </w:r>
      <w:r>
        <w:rPr>
          <w:spacing w:val="39"/>
        </w:rPr>
        <w:t> </w:t>
      </w:r>
      <w:r>
        <w:rPr/>
        <w:t>resolución</w:t>
      </w:r>
      <w:r>
        <w:rPr>
          <w:spacing w:val="40"/>
        </w:rPr>
        <w:t> </w:t>
      </w:r>
      <w:r>
        <w:rPr/>
        <w:t>de</w:t>
      </w:r>
      <w:r>
        <w:rPr>
          <w:spacing w:val="40"/>
        </w:rPr>
        <w:t> </w:t>
      </w:r>
      <w:r>
        <w:rPr/>
        <w:t>una</w:t>
      </w:r>
    </w:p>
    <w:p>
      <w:pPr>
        <w:spacing w:after="0" w:line="360" w:lineRule="auto"/>
        <w:jc w:val="both"/>
        <w:sectPr>
          <w:footerReference w:type="default" r:id="rId27"/>
          <w:pgSz w:w="12240" w:h="15840"/>
          <w:pgMar w:footer="992" w:header="0" w:top="1360" w:bottom="1180" w:left="1600" w:right="1580"/>
        </w:sectPr>
      </w:pPr>
    </w:p>
    <w:p>
      <w:pPr>
        <w:pStyle w:val="BodyText"/>
        <w:spacing w:before="54"/>
        <w:ind w:left="102"/>
        <w:jc w:val="both"/>
      </w:pPr>
      <w:r>
        <w:rPr/>
        <w:t>problemática que se presente.</w:t>
      </w:r>
    </w:p>
    <w:p>
      <w:pPr>
        <w:pStyle w:val="BodyText"/>
        <w:spacing w:before="11"/>
        <w:rPr>
          <w:sz w:val="32"/>
        </w:rPr>
      </w:pPr>
    </w:p>
    <w:p>
      <w:pPr>
        <w:spacing w:before="0"/>
        <w:ind w:left="954" w:right="117" w:firstLine="0"/>
        <w:jc w:val="both"/>
        <w:rPr>
          <w:sz w:val="22"/>
        </w:rPr>
      </w:pPr>
      <w:r>
        <w:rPr>
          <w:sz w:val="22"/>
        </w:rPr>
        <w:t>La racionalidad de los agentes se enmarca en el contexto de las organizaciones, que tiene su articulación administrativa, con sus correspondientes objetivos, procesos y resultados. Esto requiere contemplar cuando menos dos grandes vectores: por un lado, el entorno organizativo, que tiene normalmente una presencia institucional y que constituye el marco que condiciona los procesos de toma de decisiones; y, por otro lado, están los elementos mismos que propician o dificultan las decisiones de los agentes, esto es, los componentes que inciden al tener que decidir los agentes en las organizaciones (Bonome, 2009:191).</w:t>
      </w:r>
    </w:p>
    <w:p>
      <w:pPr>
        <w:pStyle w:val="BodyText"/>
        <w:rPr>
          <w:sz w:val="22"/>
        </w:rPr>
      </w:pPr>
    </w:p>
    <w:p>
      <w:pPr>
        <w:pStyle w:val="BodyText"/>
        <w:rPr>
          <w:sz w:val="22"/>
        </w:rPr>
      </w:pPr>
    </w:p>
    <w:p>
      <w:pPr>
        <w:pStyle w:val="BodyText"/>
        <w:spacing w:before="10"/>
        <w:rPr>
          <w:sz w:val="19"/>
        </w:rPr>
      </w:pPr>
    </w:p>
    <w:p>
      <w:pPr>
        <w:pStyle w:val="BodyText"/>
        <w:spacing w:line="360" w:lineRule="auto"/>
        <w:ind w:left="102" w:right="115"/>
        <w:jc w:val="both"/>
      </w:pPr>
      <w:r>
        <w:rPr/>
        <w:t>La sociedad se apoya de una manera increíble en una extensa red de organizaciones formales públicas y privadas, que crece día a día, para fabricar los productos y proporcionar los servicios que la sociedad requiere. Dentro de esas organizaciones se halla a individuos que tienen el poder de tomar decisiones importantes a su libre albedrío; y estas afectan las vidas de los demás ciudadanos. Cada decisión comprende </w:t>
      </w:r>
      <w:r>
        <w:rPr>
          <w:u w:val="single"/>
        </w:rPr>
        <w:t>seleccionar </w:t>
      </w:r>
      <w:r>
        <w:rPr/>
        <w:t>entre alternativas o acciones viables así como un </w:t>
      </w:r>
      <w:r>
        <w:rPr>
          <w:u w:val="single"/>
        </w:rPr>
        <w:t>comportamiento </w:t>
      </w:r>
      <w:r>
        <w:rPr/>
        <w:t>relacionado con ésta.</w:t>
      </w:r>
    </w:p>
    <w:p>
      <w:pPr>
        <w:pStyle w:val="BodyText"/>
        <w:spacing w:before="4"/>
        <w:rPr>
          <w:sz w:val="11"/>
        </w:rPr>
      </w:pPr>
    </w:p>
    <w:p>
      <w:pPr>
        <w:spacing w:before="73"/>
        <w:ind w:left="954" w:right="115" w:firstLine="0"/>
        <w:jc w:val="both"/>
        <w:rPr>
          <w:sz w:val="22"/>
        </w:rPr>
      </w:pPr>
      <w:r>
        <w:rPr>
          <w:sz w:val="22"/>
        </w:rPr>
        <w:t>La relación entre la toma de decisiones y la organización administrativa la efectuó Herbert Simon, él hizo una aportación de suma importancia en relación a este tema,</w:t>
      </w:r>
      <w:r>
        <w:rPr>
          <w:spacing w:val="-8"/>
          <w:sz w:val="22"/>
        </w:rPr>
        <w:t> </w:t>
      </w:r>
      <w:r>
        <w:rPr>
          <w:sz w:val="22"/>
        </w:rPr>
        <w:t>para</w:t>
      </w:r>
      <w:r>
        <w:rPr>
          <w:spacing w:val="-9"/>
          <w:sz w:val="22"/>
        </w:rPr>
        <w:t> </w:t>
      </w:r>
      <w:r>
        <w:rPr>
          <w:sz w:val="22"/>
        </w:rPr>
        <w:t>lo</w:t>
      </w:r>
      <w:r>
        <w:rPr>
          <w:spacing w:val="-14"/>
          <w:sz w:val="22"/>
        </w:rPr>
        <w:t> </w:t>
      </w:r>
      <w:r>
        <w:rPr>
          <w:sz w:val="22"/>
        </w:rPr>
        <w:t>que</w:t>
      </w:r>
      <w:r>
        <w:rPr>
          <w:spacing w:val="-9"/>
          <w:sz w:val="22"/>
        </w:rPr>
        <w:t> </w:t>
      </w:r>
      <w:r>
        <w:rPr>
          <w:sz w:val="22"/>
        </w:rPr>
        <w:t>utilizó</w:t>
      </w:r>
      <w:r>
        <w:rPr>
          <w:spacing w:val="-9"/>
          <w:sz w:val="22"/>
        </w:rPr>
        <w:t> </w:t>
      </w:r>
      <w:r>
        <w:rPr>
          <w:sz w:val="22"/>
        </w:rPr>
        <w:t>una</w:t>
      </w:r>
      <w:r>
        <w:rPr>
          <w:spacing w:val="-9"/>
          <w:sz w:val="22"/>
        </w:rPr>
        <w:t> </w:t>
      </w:r>
      <w:r>
        <w:rPr>
          <w:sz w:val="22"/>
        </w:rPr>
        <w:t>Epistemología</w:t>
      </w:r>
      <w:r>
        <w:rPr>
          <w:spacing w:val="-9"/>
          <w:sz w:val="22"/>
        </w:rPr>
        <w:t> </w:t>
      </w:r>
      <w:r>
        <w:rPr>
          <w:sz w:val="22"/>
        </w:rPr>
        <w:t>de</w:t>
      </w:r>
      <w:r>
        <w:rPr>
          <w:spacing w:val="-9"/>
          <w:sz w:val="22"/>
        </w:rPr>
        <w:t> </w:t>
      </w:r>
      <w:r>
        <w:rPr>
          <w:sz w:val="22"/>
        </w:rPr>
        <w:t>clave</w:t>
      </w:r>
      <w:r>
        <w:rPr>
          <w:spacing w:val="-9"/>
          <w:sz w:val="22"/>
        </w:rPr>
        <w:t> </w:t>
      </w:r>
      <w:r>
        <w:rPr>
          <w:sz w:val="22"/>
        </w:rPr>
        <w:t>empirista.</w:t>
      </w:r>
      <w:r>
        <w:rPr>
          <w:spacing w:val="-10"/>
          <w:sz w:val="22"/>
        </w:rPr>
        <w:t> </w:t>
      </w:r>
      <w:r>
        <w:rPr>
          <w:sz w:val="22"/>
        </w:rPr>
        <w:t>Fue</w:t>
      </w:r>
      <w:r>
        <w:rPr>
          <w:spacing w:val="-11"/>
          <w:sz w:val="22"/>
        </w:rPr>
        <w:t> </w:t>
      </w:r>
      <w:r>
        <w:rPr>
          <w:sz w:val="22"/>
        </w:rPr>
        <w:t>el</w:t>
      </w:r>
      <w:r>
        <w:rPr>
          <w:spacing w:val="-10"/>
          <w:sz w:val="22"/>
        </w:rPr>
        <w:t> </w:t>
      </w:r>
      <w:r>
        <w:rPr>
          <w:sz w:val="22"/>
        </w:rPr>
        <w:t>primero</w:t>
      </w:r>
      <w:r>
        <w:rPr>
          <w:spacing w:val="-11"/>
          <w:sz w:val="22"/>
        </w:rPr>
        <w:t> </w:t>
      </w:r>
      <w:r>
        <w:rPr>
          <w:sz w:val="22"/>
        </w:rPr>
        <w:t>que, para proporcionar una visión de los procesos de toma de decisiones dentro de las organizaciones más acorde con la realidad, combinó los enfoques de distintas disciplinas científicas. Esta confluencia, donde sobresale el nexo entre Economía y Psicología, la llevó a cabo a partir de observaciones empíricas que no habían sido explicadas adecuadamente. Y aunque Simón tiene múltiples publicaciones al respecto, destaca su libro </w:t>
      </w:r>
      <w:r>
        <w:rPr>
          <w:i/>
          <w:sz w:val="22"/>
        </w:rPr>
        <w:t>Empirically Based Microeconomics</w:t>
      </w:r>
      <w:r>
        <w:rPr>
          <w:sz w:val="22"/>
        </w:rPr>
        <w:t>, editado en 1999. Trata</w:t>
      </w:r>
      <w:r>
        <w:rPr>
          <w:spacing w:val="-14"/>
          <w:sz w:val="22"/>
        </w:rPr>
        <w:t> </w:t>
      </w:r>
      <w:r>
        <w:rPr>
          <w:sz w:val="22"/>
        </w:rPr>
        <w:t>especialmente</w:t>
      </w:r>
      <w:r>
        <w:rPr>
          <w:spacing w:val="-13"/>
          <w:sz w:val="22"/>
        </w:rPr>
        <w:t> </w:t>
      </w:r>
      <w:r>
        <w:rPr>
          <w:sz w:val="22"/>
        </w:rPr>
        <w:t>de</w:t>
      </w:r>
      <w:r>
        <w:rPr>
          <w:spacing w:val="-11"/>
          <w:sz w:val="22"/>
        </w:rPr>
        <w:t> </w:t>
      </w:r>
      <w:r>
        <w:rPr>
          <w:sz w:val="22"/>
        </w:rPr>
        <w:t>la</w:t>
      </w:r>
      <w:r>
        <w:rPr>
          <w:spacing w:val="-11"/>
          <w:sz w:val="22"/>
        </w:rPr>
        <w:t> </w:t>
      </w:r>
      <w:r>
        <w:rPr>
          <w:sz w:val="22"/>
        </w:rPr>
        <w:t>unión</w:t>
      </w:r>
      <w:r>
        <w:rPr>
          <w:spacing w:val="-11"/>
          <w:sz w:val="22"/>
        </w:rPr>
        <w:t> </w:t>
      </w:r>
      <w:r>
        <w:rPr>
          <w:sz w:val="22"/>
        </w:rPr>
        <w:t>de</w:t>
      </w:r>
      <w:r>
        <w:rPr>
          <w:spacing w:val="-14"/>
          <w:sz w:val="22"/>
        </w:rPr>
        <w:t> </w:t>
      </w:r>
      <w:r>
        <w:rPr>
          <w:sz w:val="22"/>
        </w:rPr>
        <w:t>la</w:t>
      </w:r>
      <w:r>
        <w:rPr>
          <w:spacing w:val="-14"/>
          <w:sz w:val="22"/>
        </w:rPr>
        <w:t> </w:t>
      </w:r>
      <w:r>
        <w:rPr>
          <w:sz w:val="22"/>
        </w:rPr>
        <w:t>Economía</w:t>
      </w:r>
      <w:r>
        <w:rPr>
          <w:spacing w:val="-11"/>
          <w:sz w:val="22"/>
        </w:rPr>
        <w:t> </w:t>
      </w:r>
      <w:r>
        <w:rPr>
          <w:sz w:val="22"/>
        </w:rPr>
        <w:t>y</w:t>
      </w:r>
      <w:r>
        <w:rPr>
          <w:spacing w:val="-13"/>
          <w:sz w:val="22"/>
        </w:rPr>
        <w:t> </w:t>
      </w:r>
      <w:r>
        <w:rPr>
          <w:sz w:val="22"/>
        </w:rPr>
        <w:t>la</w:t>
      </w:r>
      <w:r>
        <w:rPr>
          <w:spacing w:val="-13"/>
          <w:sz w:val="22"/>
        </w:rPr>
        <w:t> </w:t>
      </w:r>
      <w:r>
        <w:rPr>
          <w:sz w:val="22"/>
        </w:rPr>
        <w:t>Teoría</w:t>
      </w:r>
      <w:r>
        <w:rPr>
          <w:spacing w:val="-11"/>
          <w:sz w:val="22"/>
        </w:rPr>
        <w:t> </w:t>
      </w:r>
      <w:r>
        <w:rPr>
          <w:sz w:val="22"/>
        </w:rPr>
        <w:t>de</w:t>
      </w:r>
      <w:r>
        <w:rPr>
          <w:spacing w:val="-11"/>
          <w:sz w:val="22"/>
        </w:rPr>
        <w:t> </w:t>
      </w:r>
      <w:r>
        <w:rPr>
          <w:sz w:val="22"/>
        </w:rPr>
        <w:t>las</w:t>
      </w:r>
      <w:r>
        <w:rPr>
          <w:spacing w:val="-13"/>
          <w:sz w:val="22"/>
        </w:rPr>
        <w:t> </w:t>
      </w:r>
      <w:r>
        <w:rPr>
          <w:sz w:val="22"/>
        </w:rPr>
        <w:t>Organizaciones, que convergen en la Teoría de la Empresa (Bonome, 2009:</w:t>
      </w:r>
      <w:r>
        <w:rPr>
          <w:spacing w:val="-13"/>
          <w:sz w:val="22"/>
        </w:rPr>
        <w:t> </w:t>
      </w:r>
      <w:r>
        <w:rPr>
          <w:sz w:val="22"/>
        </w:rPr>
        <w:t>195).</w:t>
      </w:r>
    </w:p>
    <w:p>
      <w:pPr>
        <w:pStyle w:val="BodyText"/>
        <w:rPr>
          <w:sz w:val="21"/>
        </w:rPr>
      </w:pPr>
    </w:p>
    <w:p>
      <w:pPr>
        <w:pStyle w:val="BodyText"/>
        <w:spacing w:line="360" w:lineRule="auto"/>
        <w:ind w:left="102" w:right="114"/>
        <w:jc w:val="both"/>
      </w:pPr>
      <w:r>
        <w:rPr/>
        <w:t>La administración se define ordinariamente como el arte de conseguir que se haga algo. Se da importancia especial a los procesos y a los métodos encaminados a asegurar una acción expeditiva. Se establecen principios para asegurar la acción combinada entre grupos de hombres. Es evidente que la tarea física real de llevar a cabo los objetivos de una organización recae sobre las personas que se encuentran en el nivel más bajo de la jerarquía administrativa. “La construcción de una organización administrativa es algo más que una simple distribución de funciones y una asignación de autoridad” (Simon: 1988:3).</w:t>
      </w:r>
    </w:p>
    <w:p>
      <w:pPr>
        <w:spacing w:after="0" w:line="360" w:lineRule="auto"/>
        <w:jc w:val="both"/>
        <w:sectPr>
          <w:footerReference w:type="default" r:id="rId28"/>
          <w:pgSz w:w="12240" w:h="15840"/>
          <w:pgMar w:footer="992" w:header="0" w:top="1360" w:bottom="1180" w:left="1600" w:right="1580"/>
          <w:pgNumType w:start="41"/>
        </w:sectPr>
      </w:pPr>
    </w:p>
    <w:p>
      <w:pPr>
        <w:pStyle w:val="BodyText"/>
        <w:spacing w:line="360" w:lineRule="auto" w:before="54"/>
        <w:ind w:left="102" w:right="117"/>
        <w:jc w:val="both"/>
      </w:pPr>
      <w:r>
        <w:rPr/>
        <w:t>La mejor manera de lograr una visión intensa de la estructura y del funcionamiento de una organización es analizar la manera en que las decisiones y el comportamiento de esos empleados de la organización pública o privada se ven influidos dentro de y por la organización misma. “Todo comportamiento implica</w:t>
      </w:r>
      <w:r>
        <w:rPr>
          <w:spacing w:val="-27"/>
        </w:rPr>
        <w:t> </w:t>
      </w:r>
      <w:r>
        <w:rPr/>
        <w:t>una selección,</w:t>
      </w:r>
      <w:r>
        <w:rPr>
          <w:spacing w:val="-19"/>
        </w:rPr>
        <w:t> </w:t>
      </w:r>
      <w:r>
        <w:rPr/>
        <w:t>consciente</w:t>
      </w:r>
      <w:r>
        <w:rPr>
          <w:spacing w:val="-19"/>
        </w:rPr>
        <w:t> </w:t>
      </w:r>
      <w:r>
        <w:rPr/>
        <w:t>o</w:t>
      </w:r>
      <w:r>
        <w:rPr>
          <w:spacing w:val="-19"/>
        </w:rPr>
        <w:t> </w:t>
      </w:r>
      <w:r>
        <w:rPr/>
        <w:t>inconsciente,</w:t>
      </w:r>
      <w:r>
        <w:rPr>
          <w:spacing w:val="-19"/>
        </w:rPr>
        <w:t> </w:t>
      </w:r>
      <w:r>
        <w:rPr/>
        <w:t>de</w:t>
      </w:r>
      <w:r>
        <w:rPr>
          <w:spacing w:val="-19"/>
        </w:rPr>
        <w:t> </w:t>
      </w:r>
      <w:r>
        <w:rPr/>
        <w:t>determinadas</w:t>
      </w:r>
      <w:r>
        <w:rPr>
          <w:spacing w:val="-19"/>
        </w:rPr>
        <w:t> </w:t>
      </w:r>
      <w:r>
        <w:rPr/>
        <w:t>acciones,</w:t>
      </w:r>
      <w:r>
        <w:rPr>
          <w:spacing w:val="-19"/>
        </w:rPr>
        <w:t> </w:t>
      </w:r>
      <w:r>
        <w:rPr/>
        <w:t>entre</w:t>
      </w:r>
      <w:r>
        <w:rPr>
          <w:spacing w:val="-17"/>
        </w:rPr>
        <w:t> </w:t>
      </w:r>
      <w:r>
        <w:rPr/>
        <w:t>todas</w:t>
      </w:r>
      <w:r>
        <w:rPr>
          <w:spacing w:val="-19"/>
        </w:rPr>
        <w:t> </w:t>
      </w:r>
      <w:r>
        <w:rPr/>
        <w:t>las</w:t>
      </w:r>
      <w:r>
        <w:rPr>
          <w:spacing w:val="-19"/>
        </w:rPr>
        <w:t> </w:t>
      </w:r>
      <w:r>
        <w:rPr/>
        <w:t>que son físicamente posibles, para el que actúa y para aquellas personas sobre las cuales éste ejerce influencia o autoridad” (Simon,</w:t>
      </w:r>
      <w:r>
        <w:rPr>
          <w:spacing w:val="-17"/>
        </w:rPr>
        <w:t> </w:t>
      </w:r>
      <w:r>
        <w:rPr/>
        <w:t>1988:5).</w:t>
      </w:r>
    </w:p>
    <w:p>
      <w:pPr>
        <w:spacing w:before="204"/>
        <w:ind w:left="954" w:right="115" w:firstLine="0"/>
        <w:jc w:val="both"/>
        <w:rPr>
          <w:sz w:val="22"/>
        </w:rPr>
      </w:pPr>
      <w:r>
        <w:rPr>
          <w:sz w:val="22"/>
        </w:rPr>
        <w:t>Una gran parte del comportamiento, y especialmente del comportamiento de los individuos dentro de las organizaciones administrativas, es intencionado; es</w:t>
      </w:r>
      <w:r>
        <w:rPr>
          <w:spacing w:val="-33"/>
          <w:sz w:val="22"/>
        </w:rPr>
        <w:t> </w:t>
      </w:r>
      <w:r>
        <w:rPr>
          <w:sz w:val="22"/>
        </w:rPr>
        <w:t>decir, está orientado hacia metas y objetivos. Esta intencionalidad o finalidad trae como consecuencia una integración en el modelo de comportamiento, faltando la cual</w:t>
      </w:r>
      <w:r>
        <w:rPr>
          <w:spacing w:val="-42"/>
          <w:sz w:val="22"/>
        </w:rPr>
        <w:t> </w:t>
      </w:r>
      <w:r>
        <w:rPr>
          <w:sz w:val="22"/>
        </w:rPr>
        <w:t>la administración carecería de sentido; porque si la administración consiste en “conseguir que se hagan las cosas” por grupos de personas, la finalidad proporciona un primer criterio para determinar cuáles son las cosas que hay que hacer (Simon,</w:t>
      </w:r>
      <w:r>
        <w:rPr>
          <w:spacing w:val="-6"/>
          <w:sz w:val="22"/>
        </w:rPr>
        <w:t> </w:t>
      </w:r>
      <w:r>
        <w:rPr>
          <w:sz w:val="22"/>
        </w:rPr>
        <w:t>1988:6).</w:t>
      </w:r>
    </w:p>
    <w:p>
      <w:pPr>
        <w:pStyle w:val="BodyText"/>
        <w:rPr>
          <w:sz w:val="22"/>
        </w:rPr>
      </w:pPr>
    </w:p>
    <w:p>
      <w:pPr>
        <w:pStyle w:val="BodyText"/>
        <w:rPr>
          <w:sz w:val="22"/>
        </w:rPr>
      </w:pPr>
    </w:p>
    <w:p>
      <w:pPr>
        <w:pStyle w:val="BodyText"/>
        <w:spacing w:line="360" w:lineRule="auto" w:before="146"/>
        <w:ind w:left="102" w:right="122"/>
        <w:jc w:val="both"/>
      </w:pPr>
      <w:r>
        <w:rPr/>
        <w:t>Cabría resaltar, el concepto de comportamiento; elemento importante que no hay que dejar de lado, debido que al final de cuentas una decisión depende de la conducta del decisor. Cada decisión comprende la selección de una meta y un comportamiento</w:t>
      </w:r>
      <w:r>
        <w:rPr>
          <w:spacing w:val="-13"/>
        </w:rPr>
        <w:t> </w:t>
      </w:r>
      <w:r>
        <w:rPr/>
        <w:t>relacionado</w:t>
      </w:r>
      <w:r>
        <w:rPr>
          <w:spacing w:val="-13"/>
        </w:rPr>
        <w:t> </w:t>
      </w:r>
      <w:r>
        <w:rPr/>
        <w:t>con</w:t>
      </w:r>
      <w:r>
        <w:rPr>
          <w:spacing w:val="-13"/>
        </w:rPr>
        <w:t> </w:t>
      </w:r>
      <w:r>
        <w:rPr/>
        <w:t>la</w:t>
      </w:r>
      <w:r>
        <w:rPr>
          <w:spacing w:val="-16"/>
        </w:rPr>
        <w:t> </w:t>
      </w:r>
      <w:r>
        <w:rPr/>
        <w:t>misma;</w:t>
      </w:r>
      <w:r>
        <w:rPr>
          <w:spacing w:val="-13"/>
        </w:rPr>
        <w:t> </w:t>
      </w:r>
      <w:r>
        <w:rPr/>
        <w:t>esta</w:t>
      </w:r>
      <w:r>
        <w:rPr>
          <w:spacing w:val="-13"/>
        </w:rPr>
        <w:t> </w:t>
      </w:r>
      <w:r>
        <w:rPr/>
        <w:t>meta</w:t>
      </w:r>
      <w:r>
        <w:rPr>
          <w:spacing w:val="-13"/>
        </w:rPr>
        <w:t> </w:t>
      </w:r>
      <w:r>
        <w:rPr/>
        <w:t>puede,</w:t>
      </w:r>
      <w:r>
        <w:rPr>
          <w:spacing w:val="-13"/>
        </w:rPr>
        <w:t> </w:t>
      </w:r>
      <w:r>
        <w:rPr/>
        <w:t>a</w:t>
      </w:r>
      <w:r>
        <w:rPr>
          <w:spacing w:val="-13"/>
        </w:rPr>
        <w:t> </w:t>
      </w:r>
      <w:r>
        <w:rPr/>
        <w:t>su</w:t>
      </w:r>
      <w:r>
        <w:rPr>
          <w:spacing w:val="-13"/>
        </w:rPr>
        <w:t> </w:t>
      </w:r>
      <w:r>
        <w:rPr/>
        <w:t>vez,</w:t>
      </w:r>
      <w:r>
        <w:rPr>
          <w:spacing w:val="-11"/>
        </w:rPr>
        <w:t> </w:t>
      </w:r>
      <w:r>
        <w:rPr/>
        <w:t>ser</w:t>
      </w:r>
      <w:r>
        <w:rPr>
          <w:spacing w:val="-12"/>
        </w:rPr>
        <w:t> </w:t>
      </w:r>
      <w:r>
        <w:rPr/>
        <w:t>un</w:t>
      </w:r>
      <w:r>
        <w:rPr>
          <w:spacing w:val="-13"/>
        </w:rPr>
        <w:t> </w:t>
      </w:r>
      <w:r>
        <w:rPr/>
        <w:t>medio para una finalidad algo más lejana, y así hasta que se llega a un objetivo relativamente último. “Cuando las decisiones lleven a la selección de finalidades últimas, las llamaremos juicios de valor; cuando impliquen el logro de tales finalidades, las llamaremos juicios de hecho” (Simon,</w:t>
      </w:r>
      <w:r>
        <w:rPr>
          <w:spacing w:val="-18"/>
        </w:rPr>
        <w:t> </w:t>
      </w:r>
      <w:r>
        <w:rPr/>
        <w:t>1988:6).</w:t>
      </w:r>
    </w:p>
    <w:p>
      <w:pPr>
        <w:pStyle w:val="BodyText"/>
        <w:spacing w:line="360" w:lineRule="auto" w:before="204"/>
        <w:ind w:left="102" w:right="116"/>
        <w:jc w:val="both"/>
      </w:pPr>
      <w:r>
        <w:rPr/>
        <w:t>Tanto los juicios de valor como los de hecho son parte del sistema de valores que coadyuva</w:t>
      </w:r>
      <w:r>
        <w:rPr>
          <w:spacing w:val="-6"/>
        </w:rPr>
        <w:t> </w:t>
      </w:r>
      <w:r>
        <w:rPr/>
        <w:t>a</w:t>
      </w:r>
      <w:r>
        <w:rPr>
          <w:spacing w:val="-6"/>
        </w:rPr>
        <w:t> </w:t>
      </w:r>
      <w:r>
        <w:rPr/>
        <w:t>establecer</w:t>
      </w:r>
      <w:r>
        <w:rPr>
          <w:spacing w:val="-10"/>
        </w:rPr>
        <w:t> </w:t>
      </w:r>
      <w:r>
        <w:rPr/>
        <w:t>los</w:t>
      </w:r>
      <w:r>
        <w:rPr>
          <w:spacing w:val="-6"/>
        </w:rPr>
        <w:t> </w:t>
      </w:r>
      <w:r>
        <w:rPr/>
        <w:t>medios</w:t>
      </w:r>
      <w:r>
        <w:rPr>
          <w:spacing w:val="-6"/>
        </w:rPr>
        <w:t> </w:t>
      </w:r>
      <w:r>
        <w:rPr/>
        <w:t>y</w:t>
      </w:r>
      <w:r>
        <w:rPr>
          <w:spacing w:val="-9"/>
        </w:rPr>
        <w:t> </w:t>
      </w:r>
      <w:r>
        <w:rPr/>
        <w:t>fines</w:t>
      </w:r>
      <w:r>
        <w:rPr>
          <w:spacing w:val="-7"/>
        </w:rPr>
        <w:t> </w:t>
      </w:r>
      <w:r>
        <w:rPr/>
        <w:t>para</w:t>
      </w:r>
      <w:r>
        <w:rPr>
          <w:spacing w:val="-6"/>
        </w:rPr>
        <w:t> </w:t>
      </w:r>
      <w:r>
        <w:rPr/>
        <w:t>la</w:t>
      </w:r>
      <w:r>
        <w:rPr>
          <w:spacing w:val="-6"/>
        </w:rPr>
        <w:t> </w:t>
      </w:r>
      <w:r>
        <w:rPr/>
        <w:t>organización.</w:t>
      </w:r>
      <w:r>
        <w:rPr>
          <w:spacing w:val="-6"/>
        </w:rPr>
        <w:t> </w:t>
      </w:r>
      <w:r>
        <w:rPr/>
        <w:t>Conforme</w:t>
      </w:r>
      <w:r>
        <w:rPr>
          <w:spacing w:val="-6"/>
        </w:rPr>
        <w:t> </w:t>
      </w:r>
      <w:r>
        <w:rPr/>
        <w:t>a</w:t>
      </w:r>
      <w:r>
        <w:rPr>
          <w:spacing w:val="-6"/>
        </w:rPr>
        <w:t> </w:t>
      </w:r>
      <w:r>
        <w:rPr/>
        <w:t>Rheault (1977) la orientación básica para la colocación de medios-fines es el sistema de valores,</w:t>
      </w:r>
      <w:r>
        <w:rPr>
          <w:spacing w:val="-12"/>
        </w:rPr>
        <w:t> </w:t>
      </w:r>
      <w:r>
        <w:rPr/>
        <w:t>debido</w:t>
      </w:r>
      <w:r>
        <w:rPr>
          <w:spacing w:val="-14"/>
        </w:rPr>
        <w:t> </w:t>
      </w:r>
      <w:r>
        <w:rPr/>
        <w:t>a</w:t>
      </w:r>
      <w:r>
        <w:rPr>
          <w:spacing w:val="-12"/>
        </w:rPr>
        <w:t> </w:t>
      </w:r>
      <w:r>
        <w:rPr/>
        <w:t>que</w:t>
      </w:r>
      <w:r>
        <w:rPr>
          <w:spacing w:val="-12"/>
        </w:rPr>
        <w:t> </w:t>
      </w:r>
      <w:r>
        <w:rPr/>
        <w:t>están</w:t>
      </w:r>
      <w:r>
        <w:rPr>
          <w:spacing w:val="-14"/>
        </w:rPr>
        <w:t> </w:t>
      </w:r>
      <w:r>
        <w:rPr/>
        <w:t>hondamente</w:t>
      </w:r>
      <w:r>
        <w:rPr>
          <w:spacing w:val="-14"/>
        </w:rPr>
        <w:t> </w:t>
      </w:r>
      <w:r>
        <w:rPr/>
        <w:t>arraigados</w:t>
      </w:r>
      <w:r>
        <w:rPr>
          <w:spacing w:val="-13"/>
        </w:rPr>
        <w:t> </w:t>
      </w:r>
      <w:r>
        <w:rPr/>
        <w:t>a</w:t>
      </w:r>
      <w:r>
        <w:rPr>
          <w:spacing w:val="-14"/>
        </w:rPr>
        <w:t> </w:t>
      </w:r>
      <w:r>
        <w:rPr/>
        <w:t>la</w:t>
      </w:r>
      <w:r>
        <w:rPr>
          <w:spacing w:val="-12"/>
        </w:rPr>
        <w:t> </w:t>
      </w:r>
      <w:r>
        <w:rPr/>
        <w:t>cultura</w:t>
      </w:r>
      <w:r>
        <w:rPr>
          <w:spacing w:val="-12"/>
        </w:rPr>
        <w:t> </w:t>
      </w:r>
      <w:r>
        <w:rPr/>
        <w:t>y</w:t>
      </w:r>
      <w:r>
        <w:rPr>
          <w:spacing w:val="-15"/>
        </w:rPr>
        <w:t> </w:t>
      </w:r>
      <w:r>
        <w:rPr/>
        <w:t>a</w:t>
      </w:r>
      <w:r>
        <w:rPr>
          <w:spacing w:val="-12"/>
        </w:rPr>
        <w:t> </w:t>
      </w:r>
      <w:r>
        <w:rPr/>
        <w:t>las</w:t>
      </w:r>
      <w:r>
        <w:rPr>
          <w:spacing w:val="-13"/>
        </w:rPr>
        <w:t> </w:t>
      </w:r>
      <w:r>
        <w:rPr/>
        <w:t>experiencias de las personas que toman decisiones. El sistema de valores afecta a todas las actividades</w:t>
      </w:r>
      <w:r>
        <w:rPr>
          <w:spacing w:val="-15"/>
        </w:rPr>
        <w:t> </w:t>
      </w:r>
      <w:r>
        <w:rPr/>
        <w:t>del</w:t>
      </w:r>
      <w:r>
        <w:rPr>
          <w:spacing w:val="-15"/>
        </w:rPr>
        <w:t> </w:t>
      </w:r>
      <w:r>
        <w:rPr/>
        <w:t>decisor,</w:t>
      </w:r>
      <w:r>
        <w:rPr>
          <w:spacing w:val="-12"/>
        </w:rPr>
        <w:t> </w:t>
      </w:r>
      <w:r>
        <w:rPr/>
        <w:t>desde</w:t>
      </w:r>
      <w:r>
        <w:rPr>
          <w:spacing w:val="-14"/>
        </w:rPr>
        <w:t> </w:t>
      </w:r>
      <w:r>
        <w:rPr/>
        <w:t>la</w:t>
      </w:r>
      <w:r>
        <w:rPr>
          <w:spacing w:val="-14"/>
        </w:rPr>
        <w:t> </w:t>
      </w:r>
      <w:r>
        <w:rPr/>
        <w:t>determinación</w:t>
      </w:r>
      <w:r>
        <w:rPr>
          <w:spacing w:val="-12"/>
        </w:rPr>
        <w:t> </w:t>
      </w:r>
      <w:r>
        <w:rPr/>
        <w:t>de</w:t>
      </w:r>
      <w:r>
        <w:rPr>
          <w:spacing w:val="-12"/>
        </w:rPr>
        <w:t> </w:t>
      </w:r>
      <w:r>
        <w:rPr/>
        <w:t>las</w:t>
      </w:r>
      <w:r>
        <w:rPr>
          <w:spacing w:val="-14"/>
        </w:rPr>
        <w:t> </w:t>
      </w:r>
      <w:r>
        <w:rPr/>
        <w:t>estrategias</w:t>
      </w:r>
      <w:r>
        <w:rPr>
          <w:spacing w:val="-14"/>
        </w:rPr>
        <w:t> </w:t>
      </w:r>
      <w:r>
        <w:rPr/>
        <w:t>de</w:t>
      </w:r>
      <w:r>
        <w:rPr>
          <w:spacing w:val="-14"/>
        </w:rPr>
        <w:t> </w:t>
      </w:r>
      <w:r>
        <w:rPr/>
        <w:t>mayor</w:t>
      </w:r>
      <w:r>
        <w:rPr>
          <w:spacing w:val="-13"/>
        </w:rPr>
        <w:t> </w:t>
      </w:r>
      <w:r>
        <w:rPr/>
        <w:t>alcance hasta el trato diario con las personas que integran la organización. Una de las importantes</w:t>
      </w:r>
      <w:r>
        <w:rPr>
          <w:spacing w:val="-10"/>
        </w:rPr>
        <w:t> </w:t>
      </w:r>
      <w:r>
        <w:rPr/>
        <w:t>actitudes</w:t>
      </w:r>
      <w:r>
        <w:rPr>
          <w:spacing w:val="-13"/>
        </w:rPr>
        <w:t> </w:t>
      </w:r>
      <w:r>
        <w:rPr/>
        <w:t>observadas</w:t>
      </w:r>
      <w:r>
        <w:rPr>
          <w:spacing w:val="-13"/>
        </w:rPr>
        <w:t> </w:t>
      </w:r>
      <w:r>
        <w:rPr/>
        <w:t>en</w:t>
      </w:r>
      <w:r>
        <w:rPr>
          <w:spacing w:val="-12"/>
        </w:rPr>
        <w:t> </w:t>
      </w:r>
      <w:r>
        <w:rPr/>
        <w:t>las</w:t>
      </w:r>
      <w:r>
        <w:rPr>
          <w:spacing w:val="-12"/>
        </w:rPr>
        <w:t> </w:t>
      </w:r>
      <w:r>
        <w:rPr/>
        <w:t>decisiones</w:t>
      </w:r>
      <w:r>
        <w:rPr>
          <w:spacing w:val="-13"/>
        </w:rPr>
        <w:t> </w:t>
      </w:r>
      <w:r>
        <w:rPr/>
        <w:t>que</w:t>
      </w:r>
      <w:r>
        <w:rPr>
          <w:spacing w:val="-12"/>
        </w:rPr>
        <w:t> </w:t>
      </w:r>
      <w:r>
        <w:rPr/>
        <w:t>toman</w:t>
      </w:r>
      <w:r>
        <w:rPr>
          <w:spacing w:val="-12"/>
        </w:rPr>
        <w:t> </w:t>
      </w:r>
      <w:r>
        <w:rPr/>
        <w:t>los</w:t>
      </w:r>
      <w:r>
        <w:rPr>
          <w:spacing w:val="-12"/>
        </w:rPr>
        <w:t> </w:t>
      </w:r>
      <w:r>
        <w:rPr/>
        <w:t>administradores,</w:t>
      </w:r>
    </w:p>
    <w:p>
      <w:pPr>
        <w:spacing w:after="0" w:line="360" w:lineRule="auto"/>
        <w:jc w:val="both"/>
        <w:sectPr>
          <w:pgSz w:w="12240" w:h="15840"/>
          <w:pgMar w:header="0" w:footer="992" w:top="1360" w:bottom="1180" w:left="1600" w:right="1580"/>
        </w:sectPr>
      </w:pPr>
    </w:p>
    <w:p>
      <w:pPr>
        <w:pStyle w:val="BodyText"/>
        <w:spacing w:line="362" w:lineRule="auto" w:before="54"/>
        <w:ind w:left="102" w:right="122"/>
        <w:jc w:val="both"/>
      </w:pPr>
      <w:r>
        <w:rPr/>
        <w:t>las</w:t>
      </w:r>
      <w:r>
        <w:rPr>
          <w:spacing w:val="-9"/>
        </w:rPr>
        <w:t> </w:t>
      </w:r>
      <w:r>
        <w:rPr/>
        <w:t>cuales</w:t>
      </w:r>
      <w:r>
        <w:rPr>
          <w:spacing w:val="-9"/>
        </w:rPr>
        <w:t> </w:t>
      </w:r>
      <w:r>
        <w:rPr/>
        <w:t>dependen</w:t>
      </w:r>
      <w:r>
        <w:rPr>
          <w:spacing w:val="-11"/>
        </w:rPr>
        <w:t> </w:t>
      </w:r>
      <w:r>
        <w:rPr/>
        <w:t>de</w:t>
      </w:r>
      <w:r>
        <w:rPr>
          <w:spacing w:val="-8"/>
        </w:rPr>
        <w:t> </w:t>
      </w:r>
      <w:r>
        <w:rPr/>
        <w:t>sus</w:t>
      </w:r>
      <w:r>
        <w:rPr>
          <w:spacing w:val="-9"/>
        </w:rPr>
        <w:t> </w:t>
      </w:r>
      <w:r>
        <w:rPr/>
        <w:t>sistemas</w:t>
      </w:r>
      <w:r>
        <w:rPr>
          <w:spacing w:val="-12"/>
        </w:rPr>
        <w:t> </w:t>
      </w:r>
      <w:r>
        <w:rPr/>
        <w:t>de</w:t>
      </w:r>
      <w:r>
        <w:rPr>
          <w:spacing w:val="-8"/>
        </w:rPr>
        <w:t> </w:t>
      </w:r>
      <w:r>
        <w:rPr/>
        <w:t>valores</w:t>
      </w:r>
      <w:r>
        <w:rPr>
          <w:spacing w:val="-9"/>
        </w:rPr>
        <w:t> </w:t>
      </w:r>
      <w:r>
        <w:rPr/>
        <w:t>personales,</w:t>
      </w:r>
      <w:r>
        <w:rPr>
          <w:spacing w:val="-8"/>
        </w:rPr>
        <w:t> </w:t>
      </w:r>
      <w:r>
        <w:rPr/>
        <w:t>es</w:t>
      </w:r>
      <w:r>
        <w:rPr>
          <w:spacing w:val="-9"/>
        </w:rPr>
        <w:t> </w:t>
      </w:r>
      <w:r>
        <w:rPr/>
        <w:t>la</w:t>
      </w:r>
      <w:r>
        <w:rPr>
          <w:spacing w:val="-8"/>
        </w:rPr>
        <w:t> </w:t>
      </w:r>
      <w:r>
        <w:rPr/>
        <w:t>actitud</w:t>
      </w:r>
      <w:r>
        <w:rPr>
          <w:spacing w:val="-8"/>
        </w:rPr>
        <w:t> </w:t>
      </w:r>
      <w:r>
        <w:rPr/>
        <w:t>que</w:t>
      </w:r>
      <w:r>
        <w:rPr>
          <w:spacing w:val="-11"/>
        </w:rPr>
        <w:t> </w:t>
      </w:r>
      <w:r>
        <w:rPr/>
        <w:t>estos tienen hacia el</w:t>
      </w:r>
      <w:r>
        <w:rPr>
          <w:spacing w:val="-8"/>
        </w:rPr>
        <w:t> </w:t>
      </w:r>
      <w:r>
        <w:rPr/>
        <w:t>riesgo.</w:t>
      </w:r>
    </w:p>
    <w:p>
      <w:pPr>
        <w:pStyle w:val="BodyText"/>
        <w:spacing w:line="360" w:lineRule="auto" w:before="201"/>
        <w:ind w:left="102" w:right="118"/>
        <w:jc w:val="both"/>
      </w:pPr>
      <w:r>
        <w:rPr/>
        <w:t>Relacionando las decisiones con la administración, la actividad administrativa es una tarea de grupo. Las situaciones sencillas son conocidas donde un hombre proyecta y ejecuta su propio trabajo; “(…) pero tan pronto como una tarea crece hasta el punto de que exige el esfuerzo de varias personas para realizarla, ya es necesario desarrollar procesos de aplicación del esfuerzo organizado a la</w:t>
      </w:r>
      <w:r>
        <w:rPr>
          <w:spacing w:val="-40"/>
        </w:rPr>
        <w:t> </w:t>
      </w:r>
      <w:r>
        <w:rPr/>
        <w:t>actividad de grupo. Las técnicas que facilitan esta aplicación son los procesos administrativos” (Simon,</w:t>
      </w:r>
      <w:r>
        <w:rPr>
          <w:spacing w:val="-10"/>
        </w:rPr>
        <w:t> </w:t>
      </w:r>
      <w:r>
        <w:rPr/>
        <w:t>1988:9).</w:t>
      </w:r>
    </w:p>
    <w:p>
      <w:pPr>
        <w:pStyle w:val="BodyText"/>
        <w:spacing w:line="360" w:lineRule="auto" w:before="202"/>
        <w:ind w:left="102" w:right="121"/>
        <w:jc w:val="both"/>
      </w:pPr>
      <w:r>
        <w:rPr/>
        <w:t>Un proceso administrativo consiste en segregar determinados elementos en las decisiones de los miembros de la organización para seleccionar y establecer procedimientos regulares de organización para seleccionar y determinar estos elementos y para comunicárselos a los miembros a quienes afectan. Así, pues, la organización quita al individuo una parte de su autonomía decisoria y lo sustituye por un proceso organizativo de toma de decisiones. Las decisiones que la organización elabora  ordinariamente para el individuo son:</w:t>
      </w:r>
    </w:p>
    <w:p>
      <w:pPr>
        <w:pStyle w:val="ListParagraph"/>
        <w:numPr>
          <w:ilvl w:val="0"/>
          <w:numId w:val="17"/>
        </w:numPr>
        <w:tabs>
          <w:tab w:pos="822" w:val="left" w:leader="none"/>
        </w:tabs>
        <w:spacing w:line="240" w:lineRule="auto" w:before="204" w:after="0"/>
        <w:ind w:left="822" w:right="0" w:hanging="360"/>
        <w:jc w:val="left"/>
        <w:rPr>
          <w:sz w:val="22"/>
        </w:rPr>
      </w:pPr>
      <w:r>
        <w:rPr>
          <w:sz w:val="22"/>
        </w:rPr>
        <w:t>Especifican su función, es decir, el alcance general y la naturaleza de sus</w:t>
      </w:r>
      <w:r>
        <w:rPr>
          <w:spacing w:val="-17"/>
          <w:sz w:val="22"/>
        </w:rPr>
        <w:t> </w:t>
      </w:r>
      <w:r>
        <w:rPr>
          <w:sz w:val="22"/>
        </w:rPr>
        <w:t>deberes;</w:t>
      </w:r>
    </w:p>
    <w:p>
      <w:pPr>
        <w:pStyle w:val="ListParagraph"/>
        <w:numPr>
          <w:ilvl w:val="0"/>
          <w:numId w:val="17"/>
        </w:numPr>
        <w:tabs>
          <w:tab w:pos="822" w:val="left" w:leader="none"/>
        </w:tabs>
        <w:spacing w:line="240" w:lineRule="auto" w:before="1" w:after="0"/>
        <w:ind w:left="822" w:right="114" w:hanging="360"/>
        <w:jc w:val="both"/>
        <w:rPr>
          <w:sz w:val="22"/>
        </w:rPr>
      </w:pPr>
      <w:r>
        <w:rPr>
          <w:sz w:val="22"/>
        </w:rPr>
        <w:t>Asignan autoridad, es decir, resuelven quien tendrá poder en la organización para tomar nuevas decisiones que afectan al individuo</w:t>
      </w:r>
      <w:r>
        <w:rPr>
          <w:spacing w:val="-16"/>
          <w:sz w:val="22"/>
        </w:rPr>
        <w:t> </w:t>
      </w:r>
      <w:r>
        <w:rPr>
          <w:sz w:val="22"/>
        </w:rPr>
        <w:t>y</w:t>
      </w:r>
    </w:p>
    <w:p>
      <w:pPr>
        <w:pStyle w:val="ListParagraph"/>
        <w:numPr>
          <w:ilvl w:val="0"/>
          <w:numId w:val="17"/>
        </w:numPr>
        <w:tabs>
          <w:tab w:pos="885" w:val="left" w:leader="none"/>
        </w:tabs>
        <w:spacing w:line="240" w:lineRule="auto" w:before="0" w:after="0"/>
        <w:ind w:left="822" w:right="116" w:hanging="360"/>
        <w:jc w:val="both"/>
        <w:rPr>
          <w:sz w:val="22"/>
        </w:rPr>
      </w:pPr>
      <w:r>
        <w:rPr>
          <w:sz w:val="22"/>
        </w:rPr>
        <w:t>Establecen tantos límites a su facultad de elegir, como sean necesarios para coordinar las actividades de los distintos individuos de la organización (Simon, 1988:10).</w:t>
      </w:r>
    </w:p>
    <w:p>
      <w:pPr>
        <w:pStyle w:val="BodyText"/>
        <w:rPr>
          <w:sz w:val="22"/>
        </w:rPr>
      </w:pPr>
    </w:p>
    <w:p>
      <w:pPr>
        <w:pStyle w:val="BodyText"/>
        <w:spacing w:line="360" w:lineRule="auto" w:before="1"/>
        <w:ind w:left="102" w:right="117"/>
        <w:jc w:val="both"/>
      </w:pPr>
      <w:r>
        <w:rPr/>
        <w:t>Para tener control efectivo sobre los procesos administrativos y, en general, los organizacionales, el paso inicial es comprender que la toma de decisiones está limitada.</w:t>
      </w:r>
      <w:r>
        <w:rPr>
          <w:spacing w:val="-13"/>
        </w:rPr>
        <w:t> </w:t>
      </w:r>
      <w:r>
        <w:rPr/>
        <w:t>Lo</w:t>
      </w:r>
      <w:r>
        <w:rPr>
          <w:spacing w:val="-15"/>
        </w:rPr>
        <w:t> </w:t>
      </w:r>
      <w:r>
        <w:rPr/>
        <w:t>está</w:t>
      </w:r>
      <w:r>
        <w:rPr>
          <w:spacing w:val="-15"/>
        </w:rPr>
        <w:t> </w:t>
      </w:r>
      <w:r>
        <w:rPr/>
        <w:t>por</w:t>
      </w:r>
      <w:r>
        <w:rPr>
          <w:spacing w:val="-15"/>
        </w:rPr>
        <w:t> </w:t>
      </w:r>
      <w:r>
        <w:rPr/>
        <w:t>condicionantes</w:t>
      </w:r>
      <w:r>
        <w:rPr>
          <w:spacing w:val="-14"/>
        </w:rPr>
        <w:t> </w:t>
      </w:r>
      <w:r>
        <w:rPr/>
        <w:t>internos</w:t>
      </w:r>
      <w:r>
        <w:rPr>
          <w:spacing w:val="-14"/>
        </w:rPr>
        <w:t> </w:t>
      </w:r>
      <w:r>
        <w:rPr/>
        <w:t>y</w:t>
      </w:r>
      <w:r>
        <w:rPr>
          <w:spacing w:val="-16"/>
        </w:rPr>
        <w:t> </w:t>
      </w:r>
      <w:r>
        <w:rPr/>
        <w:t>externos:</w:t>
      </w:r>
      <w:r>
        <w:rPr>
          <w:spacing w:val="-13"/>
        </w:rPr>
        <w:t> </w:t>
      </w:r>
      <w:r>
        <w:rPr/>
        <w:t>“(…)</w:t>
      </w:r>
      <w:r>
        <w:rPr>
          <w:spacing w:val="-15"/>
        </w:rPr>
        <w:t> </w:t>
      </w:r>
      <w:r>
        <w:rPr/>
        <w:t>por</w:t>
      </w:r>
      <w:r>
        <w:rPr>
          <w:spacing w:val="-15"/>
        </w:rPr>
        <w:t> </w:t>
      </w:r>
      <w:r>
        <w:rPr/>
        <w:t>las</w:t>
      </w:r>
      <w:r>
        <w:rPr>
          <w:spacing w:val="-13"/>
        </w:rPr>
        <w:t> </w:t>
      </w:r>
      <w:r>
        <w:rPr/>
        <w:t>incertidumbres y las ambigüedades de la vida, por las limitadas capacidades cognitivas y</w:t>
      </w:r>
      <w:r>
        <w:rPr>
          <w:spacing w:val="-39"/>
        </w:rPr>
        <w:t> </w:t>
      </w:r>
      <w:r>
        <w:rPr/>
        <w:t>afectivas de</w:t>
      </w:r>
      <w:r>
        <w:rPr>
          <w:spacing w:val="-8"/>
        </w:rPr>
        <w:t> </w:t>
      </w:r>
      <w:r>
        <w:rPr/>
        <w:t>los</w:t>
      </w:r>
      <w:r>
        <w:rPr>
          <w:spacing w:val="-11"/>
        </w:rPr>
        <w:t> </w:t>
      </w:r>
      <w:r>
        <w:rPr/>
        <w:t>actores</w:t>
      </w:r>
      <w:r>
        <w:rPr>
          <w:spacing w:val="-11"/>
        </w:rPr>
        <w:t> </w:t>
      </w:r>
      <w:r>
        <w:rPr/>
        <w:t>humanos,</w:t>
      </w:r>
      <w:r>
        <w:rPr>
          <w:spacing w:val="-9"/>
        </w:rPr>
        <w:t> </w:t>
      </w:r>
      <w:r>
        <w:rPr/>
        <w:t>por</w:t>
      </w:r>
      <w:r>
        <w:rPr>
          <w:spacing w:val="-12"/>
        </w:rPr>
        <w:t> </w:t>
      </w:r>
      <w:r>
        <w:rPr/>
        <w:t>la</w:t>
      </w:r>
      <w:r>
        <w:rPr>
          <w:spacing w:val="-9"/>
        </w:rPr>
        <w:t> </w:t>
      </w:r>
      <w:r>
        <w:rPr/>
        <w:t>complejidad</w:t>
      </w:r>
      <w:r>
        <w:rPr>
          <w:spacing w:val="-11"/>
        </w:rPr>
        <w:t> </w:t>
      </w:r>
      <w:r>
        <w:rPr/>
        <w:t>de</w:t>
      </w:r>
      <w:r>
        <w:rPr>
          <w:spacing w:val="-8"/>
        </w:rPr>
        <w:t> </w:t>
      </w:r>
      <w:r>
        <w:rPr/>
        <w:t>equilibrar</w:t>
      </w:r>
      <w:r>
        <w:rPr>
          <w:spacing w:val="-10"/>
        </w:rPr>
        <w:t> </w:t>
      </w:r>
      <w:r>
        <w:rPr/>
        <w:t>los</w:t>
      </w:r>
      <w:r>
        <w:rPr>
          <w:spacing w:val="-9"/>
        </w:rPr>
        <w:t> </w:t>
      </w:r>
      <w:r>
        <w:rPr/>
        <w:t>resultados</w:t>
      </w:r>
      <w:r>
        <w:rPr>
          <w:spacing w:val="-12"/>
        </w:rPr>
        <w:t> </w:t>
      </w:r>
      <w:r>
        <w:rPr/>
        <w:t>en</w:t>
      </w:r>
      <w:r>
        <w:rPr>
          <w:spacing w:val="-11"/>
        </w:rPr>
        <w:t> </w:t>
      </w:r>
      <w:r>
        <w:rPr/>
        <w:t>el</w:t>
      </w:r>
      <w:r>
        <w:rPr>
          <w:spacing w:val="-10"/>
        </w:rPr>
        <w:t> </w:t>
      </w:r>
      <w:r>
        <w:rPr/>
        <w:t>tiempo y en el espacio, y por la amenaza de la competición”  (Bonome, 2009:</w:t>
      </w:r>
      <w:r>
        <w:rPr>
          <w:spacing w:val="-21"/>
        </w:rPr>
        <w:t> </w:t>
      </w:r>
      <w:r>
        <w:rPr/>
        <w:t>201).</w:t>
      </w:r>
    </w:p>
    <w:p>
      <w:pPr>
        <w:pStyle w:val="BodyText"/>
        <w:spacing w:before="3"/>
        <w:rPr>
          <w:sz w:val="21"/>
        </w:rPr>
      </w:pPr>
    </w:p>
    <w:p>
      <w:pPr>
        <w:pStyle w:val="BodyText"/>
        <w:spacing w:line="360" w:lineRule="auto"/>
        <w:ind w:left="102" w:right="120"/>
        <w:jc w:val="both"/>
      </w:pPr>
      <w:r>
        <w:rPr/>
        <w:t>En</w:t>
      </w:r>
      <w:r>
        <w:rPr>
          <w:spacing w:val="-13"/>
        </w:rPr>
        <w:t> </w:t>
      </w:r>
      <w:r>
        <w:rPr/>
        <w:t>este</w:t>
      </w:r>
      <w:r>
        <w:rPr>
          <w:spacing w:val="-12"/>
        </w:rPr>
        <w:t> </w:t>
      </w:r>
      <w:r>
        <w:rPr/>
        <w:t>sentido,</w:t>
      </w:r>
      <w:r>
        <w:rPr>
          <w:spacing w:val="-14"/>
        </w:rPr>
        <w:t> </w:t>
      </w:r>
      <w:r>
        <w:rPr/>
        <w:t>la</w:t>
      </w:r>
      <w:r>
        <w:rPr>
          <w:spacing w:val="-13"/>
        </w:rPr>
        <w:t> </w:t>
      </w:r>
      <w:r>
        <w:rPr/>
        <w:t>organización</w:t>
      </w:r>
      <w:r>
        <w:rPr>
          <w:spacing w:val="-12"/>
        </w:rPr>
        <w:t> </w:t>
      </w:r>
      <w:r>
        <w:rPr/>
        <w:t>administrativa</w:t>
      </w:r>
      <w:r>
        <w:rPr>
          <w:spacing w:val="-13"/>
        </w:rPr>
        <w:t> </w:t>
      </w:r>
      <w:r>
        <w:rPr/>
        <w:t>se</w:t>
      </w:r>
      <w:r>
        <w:rPr>
          <w:spacing w:val="-15"/>
        </w:rPr>
        <w:t> </w:t>
      </w:r>
      <w:r>
        <w:rPr/>
        <w:t>caracteriza</w:t>
      </w:r>
      <w:r>
        <w:rPr>
          <w:spacing w:val="-13"/>
        </w:rPr>
        <w:t> </w:t>
      </w:r>
      <w:r>
        <w:rPr/>
        <w:t>por</w:t>
      </w:r>
      <w:r>
        <w:rPr>
          <w:spacing w:val="-14"/>
        </w:rPr>
        <w:t> </w:t>
      </w:r>
      <w:r>
        <w:rPr/>
        <w:t>la</w:t>
      </w:r>
      <w:r>
        <w:rPr>
          <w:spacing w:val="-15"/>
        </w:rPr>
        <w:t> </w:t>
      </w:r>
      <w:r>
        <w:rPr/>
        <w:t>especialización; y también por la asignación de determinadas tareas a determinadas partes de la organización.</w:t>
      </w:r>
    </w:p>
    <w:p>
      <w:pPr>
        <w:spacing w:after="0" w:line="360" w:lineRule="auto"/>
        <w:jc w:val="both"/>
        <w:sectPr>
          <w:pgSz w:w="12240" w:h="15840"/>
          <w:pgMar w:header="0" w:footer="992" w:top="1360" w:bottom="1180" w:left="1600" w:right="1580"/>
        </w:sectPr>
      </w:pPr>
    </w:p>
    <w:p>
      <w:pPr>
        <w:pStyle w:val="BodyText"/>
        <w:spacing w:line="360" w:lineRule="auto" w:before="54"/>
        <w:ind w:left="102" w:right="118"/>
        <w:jc w:val="both"/>
      </w:pPr>
      <w:r>
        <w:rPr/>
        <w:t>Esta especialización puede tomar la forma de división de trabajo, la cual puede darse</w:t>
      </w:r>
      <w:r>
        <w:rPr>
          <w:spacing w:val="-7"/>
        </w:rPr>
        <w:t> </w:t>
      </w:r>
      <w:r>
        <w:rPr/>
        <w:t>de</w:t>
      </w:r>
      <w:r>
        <w:rPr>
          <w:spacing w:val="-6"/>
        </w:rPr>
        <w:t> </w:t>
      </w:r>
      <w:r>
        <w:rPr/>
        <w:t>manera</w:t>
      </w:r>
      <w:r>
        <w:rPr>
          <w:spacing w:val="-7"/>
        </w:rPr>
        <w:t> </w:t>
      </w:r>
      <w:r>
        <w:rPr/>
        <w:t>vertical</w:t>
      </w:r>
      <w:r>
        <w:rPr>
          <w:spacing w:val="-5"/>
        </w:rPr>
        <w:t> </w:t>
      </w:r>
      <w:r>
        <w:rPr/>
        <w:t>u</w:t>
      </w:r>
      <w:r>
        <w:rPr>
          <w:spacing w:val="-6"/>
        </w:rPr>
        <w:t> </w:t>
      </w:r>
      <w:r>
        <w:rPr/>
        <w:t>horizontal.</w:t>
      </w:r>
      <w:r>
        <w:rPr>
          <w:spacing w:val="-7"/>
        </w:rPr>
        <w:t> </w:t>
      </w:r>
      <w:r>
        <w:rPr/>
        <w:t>Puede</w:t>
      </w:r>
      <w:r>
        <w:rPr>
          <w:spacing w:val="-8"/>
        </w:rPr>
        <w:t> </w:t>
      </w:r>
      <w:r>
        <w:rPr/>
        <w:t>establecerse</w:t>
      </w:r>
      <w:r>
        <w:rPr>
          <w:spacing w:val="-7"/>
        </w:rPr>
        <w:t> </w:t>
      </w:r>
      <w:r>
        <w:rPr/>
        <w:t>una</w:t>
      </w:r>
      <w:r>
        <w:rPr>
          <w:spacing w:val="-4"/>
        </w:rPr>
        <w:t> </w:t>
      </w:r>
      <w:r>
        <w:rPr/>
        <w:t>pirámide</w:t>
      </w:r>
      <w:r>
        <w:rPr>
          <w:spacing w:val="-5"/>
        </w:rPr>
        <w:t> </w:t>
      </w:r>
      <w:r>
        <w:rPr/>
        <w:t>o</w:t>
      </w:r>
      <w:r>
        <w:rPr>
          <w:spacing w:val="-6"/>
        </w:rPr>
        <w:t> </w:t>
      </w:r>
      <w:r>
        <w:rPr/>
        <w:t>jerarquía de autoridad con mayor o menor formulismo pueden particularizarse las funciones decisorias entre los miembros de esta</w:t>
      </w:r>
      <w:r>
        <w:rPr>
          <w:spacing w:val="-17"/>
        </w:rPr>
        <w:t> </w:t>
      </w:r>
      <w:r>
        <w:rPr/>
        <w:t>jerarquía.</w:t>
      </w:r>
    </w:p>
    <w:p>
      <w:pPr>
        <w:pStyle w:val="BodyText"/>
        <w:spacing w:line="360" w:lineRule="auto" w:before="204"/>
        <w:ind w:left="102" w:right="126"/>
        <w:jc w:val="both"/>
      </w:pPr>
      <w:r>
        <w:rPr/>
        <w:t>En la especialización vertical, se trata de una división de las funciones decisorias entre el personal operativo y el personal supervisor.</w:t>
      </w:r>
    </w:p>
    <w:p>
      <w:pPr>
        <w:pStyle w:val="BodyText"/>
        <w:spacing w:line="360" w:lineRule="auto" w:before="204"/>
        <w:ind w:left="102" w:right="119"/>
        <w:jc w:val="both"/>
      </w:pPr>
      <w:r>
        <w:rPr/>
        <w:t>En la especialización horizontal se permite que el grupo operativo desarrolle</w:t>
      </w:r>
      <w:r>
        <w:rPr>
          <w:spacing w:val="-34"/>
        </w:rPr>
        <w:t> </w:t>
      </w:r>
      <w:r>
        <w:rPr/>
        <w:t>mayor habilidad y destreza en la ejecución de sus</w:t>
      </w:r>
      <w:r>
        <w:rPr>
          <w:spacing w:val="-13"/>
        </w:rPr>
        <w:t> </w:t>
      </w:r>
      <w:r>
        <w:rPr/>
        <w:t>tareas.</w:t>
      </w:r>
    </w:p>
    <w:p>
      <w:pPr>
        <w:pStyle w:val="BodyText"/>
        <w:spacing w:line="360" w:lineRule="auto" w:before="205"/>
        <w:ind w:left="102" w:right="117"/>
        <w:jc w:val="both"/>
      </w:pPr>
      <w:r>
        <w:rPr/>
        <w:t>Dentro de la organización administrativa, la especialización vertical es la que se implementa en la administración, las razones son: en primer lugar porque una especialización vertical es necesaria para realizar una coordinación entre los empleados operativos; en segundo lugar da mayor destreza en la toma de decisiones, además permite que el personal operativo sea responsable de sus decisiones.</w:t>
      </w:r>
    </w:p>
    <w:p>
      <w:pPr>
        <w:pStyle w:val="BodyText"/>
        <w:spacing w:line="360" w:lineRule="auto" w:before="204"/>
        <w:ind w:left="102" w:right="115"/>
        <w:jc w:val="both"/>
      </w:pPr>
      <w:r>
        <w:rPr/>
        <w:t>El</w:t>
      </w:r>
      <w:r>
        <w:rPr>
          <w:spacing w:val="-12"/>
        </w:rPr>
        <w:t> </w:t>
      </w:r>
      <w:r>
        <w:rPr/>
        <w:t>comportamiento</w:t>
      </w:r>
      <w:r>
        <w:rPr>
          <w:spacing w:val="-13"/>
        </w:rPr>
        <w:t> </w:t>
      </w:r>
      <w:r>
        <w:rPr/>
        <w:t>de</w:t>
      </w:r>
      <w:r>
        <w:rPr>
          <w:spacing w:val="-13"/>
        </w:rPr>
        <w:t> </w:t>
      </w:r>
      <w:r>
        <w:rPr/>
        <w:t>grupo</w:t>
      </w:r>
      <w:r>
        <w:rPr>
          <w:spacing w:val="-11"/>
        </w:rPr>
        <w:t> </w:t>
      </w:r>
      <w:r>
        <w:rPr/>
        <w:t>exige</w:t>
      </w:r>
      <w:r>
        <w:rPr>
          <w:spacing w:val="-11"/>
        </w:rPr>
        <w:t> </w:t>
      </w:r>
      <w:r>
        <w:rPr/>
        <w:t>no</w:t>
      </w:r>
      <w:r>
        <w:rPr>
          <w:spacing w:val="-11"/>
        </w:rPr>
        <w:t> </w:t>
      </w:r>
      <w:r>
        <w:rPr/>
        <w:t>sólo</w:t>
      </w:r>
      <w:r>
        <w:rPr>
          <w:spacing w:val="-11"/>
        </w:rPr>
        <w:t> </w:t>
      </w:r>
      <w:r>
        <w:rPr/>
        <w:t>la</w:t>
      </w:r>
      <w:r>
        <w:rPr>
          <w:spacing w:val="-13"/>
        </w:rPr>
        <w:t> </w:t>
      </w:r>
      <w:r>
        <w:rPr/>
        <w:t>adopción</w:t>
      </w:r>
      <w:r>
        <w:rPr>
          <w:spacing w:val="-13"/>
        </w:rPr>
        <w:t> </w:t>
      </w:r>
      <w:r>
        <w:rPr/>
        <w:t>de</w:t>
      </w:r>
      <w:r>
        <w:rPr>
          <w:spacing w:val="-13"/>
        </w:rPr>
        <w:t> </w:t>
      </w:r>
      <w:r>
        <w:rPr/>
        <w:t>decisiones</w:t>
      </w:r>
      <w:r>
        <w:rPr>
          <w:spacing w:val="-12"/>
        </w:rPr>
        <w:t> </w:t>
      </w:r>
      <w:r>
        <w:rPr/>
        <w:t>correctas,</w:t>
      </w:r>
      <w:r>
        <w:rPr>
          <w:spacing w:val="-11"/>
        </w:rPr>
        <w:t> </w:t>
      </w:r>
      <w:r>
        <w:rPr/>
        <w:t>sino también que todos los miembros del grupo adopten las mismas decisiones. Es por ello, importante coordinar las actividades de los miembros de la organización. Esta coordinación puede ser esencial o de procedimiento. En la coordinación de procedimiento establece las líneas de autoridad y delinea la esfera de actividad de cada miembro de la organización, mientras que la coordinación esencial especifica el contenido de su</w:t>
      </w:r>
      <w:r>
        <w:rPr>
          <w:spacing w:val="-9"/>
        </w:rPr>
        <w:t> </w:t>
      </w:r>
      <w:r>
        <w:rPr/>
        <w:t>trabajo.</w:t>
      </w:r>
    </w:p>
    <w:p>
      <w:pPr>
        <w:pStyle w:val="BodyText"/>
        <w:spacing w:line="360" w:lineRule="auto" w:before="204"/>
        <w:ind w:left="102" w:right="115"/>
        <w:jc w:val="both"/>
      </w:pPr>
      <w:r>
        <w:rPr/>
        <w:t>En una organización y en específico en la Administración, subdividir el trabajo es importante para dar mejores resultados, de esta manera todos los procesos que requieran</w:t>
      </w:r>
      <w:r>
        <w:rPr>
          <w:spacing w:val="-4"/>
        </w:rPr>
        <w:t> </w:t>
      </w:r>
      <w:r>
        <w:rPr/>
        <w:t>de</w:t>
      </w:r>
      <w:r>
        <w:rPr>
          <w:spacing w:val="-6"/>
        </w:rPr>
        <w:t> </w:t>
      </w:r>
      <w:r>
        <w:rPr/>
        <w:t>una</w:t>
      </w:r>
      <w:r>
        <w:rPr>
          <w:spacing w:val="-6"/>
        </w:rPr>
        <w:t> </w:t>
      </w:r>
      <w:r>
        <w:rPr/>
        <w:t>habilidad</w:t>
      </w:r>
      <w:r>
        <w:rPr>
          <w:spacing w:val="-6"/>
        </w:rPr>
        <w:t> </w:t>
      </w:r>
      <w:r>
        <w:rPr/>
        <w:t>determinada</w:t>
      </w:r>
      <w:r>
        <w:rPr>
          <w:spacing w:val="-6"/>
        </w:rPr>
        <w:t> </w:t>
      </w:r>
      <w:r>
        <w:rPr/>
        <w:t>puedan</w:t>
      </w:r>
      <w:r>
        <w:rPr>
          <w:spacing w:val="-4"/>
        </w:rPr>
        <w:t> </w:t>
      </w:r>
      <w:r>
        <w:rPr/>
        <w:t>ser</w:t>
      </w:r>
      <w:r>
        <w:rPr>
          <w:spacing w:val="-5"/>
        </w:rPr>
        <w:t> </w:t>
      </w:r>
      <w:r>
        <w:rPr/>
        <w:t>realizados</w:t>
      </w:r>
      <w:r>
        <w:rPr>
          <w:spacing w:val="-4"/>
        </w:rPr>
        <w:t> </w:t>
      </w:r>
      <w:r>
        <w:rPr/>
        <w:t>por</w:t>
      </w:r>
      <w:r>
        <w:rPr>
          <w:spacing w:val="-5"/>
        </w:rPr>
        <w:t> </w:t>
      </w:r>
      <w:r>
        <w:rPr/>
        <w:t>personas</w:t>
      </w:r>
      <w:r>
        <w:rPr>
          <w:spacing w:val="-4"/>
        </w:rPr>
        <w:t> </w:t>
      </w:r>
      <w:r>
        <w:rPr/>
        <w:t>que</w:t>
      </w:r>
      <w:r>
        <w:rPr>
          <w:spacing w:val="-4"/>
        </w:rPr>
        <w:t> </w:t>
      </w:r>
      <w:r>
        <w:rPr/>
        <w:t>la posean. De igual manera, para conseguir una eficiente toma de decisiones, debe distribuirse</w:t>
      </w:r>
      <w:r>
        <w:rPr>
          <w:spacing w:val="-17"/>
        </w:rPr>
        <w:t> </w:t>
      </w:r>
      <w:r>
        <w:rPr/>
        <w:t>la</w:t>
      </w:r>
      <w:r>
        <w:rPr>
          <w:spacing w:val="-17"/>
        </w:rPr>
        <w:t> </w:t>
      </w:r>
      <w:r>
        <w:rPr/>
        <w:t>responsabilidad</w:t>
      </w:r>
      <w:r>
        <w:rPr>
          <w:spacing w:val="-17"/>
        </w:rPr>
        <w:t> </w:t>
      </w:r>
      <w:r>
        <w:rPr/>
        <w:t>de</w:t>
      </w:r>
      <w:r>
        <w:rPr>
          <w:spacing w:val="-14"/>
        </w:rPr>
        <w:t> </w:t>
      </w:r>
      <w:r>
        <w:rPr/>
        <w:t>las</w:t>
      </w:r>
      <w:r>
        <w:rPr>
          <w:spacing w:val="-17"/>
        </w:rPr>
        <w:t> </w:t>
      </w:r>
      <w:r>
        <w:rPr/>
        <w:t>mismas</w:t>
      </w:r>
      <w:r>
        <w:rPr>
          <w:spacing w:val="-18"/>
        </w:rPr>
        <w:t> </w:t>
      </w:r>
      <w:r>
        <w:rPr/>
        <w:t>de</w:t>
      </w:r>
      <w:r>
        <w:rPr>
          <w:spacing w:val="-17"/>
        </w:rPr>
        <w:t> </w:t>
      </w:r>
      <w:r>
        <w:rPr/>
        <w:t>tal</w:t>
      </w:r>
      <w:r>
        <w:rPr>
          <w:spacing w:val="-18"/>
        </w:rPr>
        <w:t> </w:t>
      </w:r>
      <w:r>
        <w:rPr/>
        <w:t>manera,</w:t>
      </w:r>
      <w:r>
        <w:rPr>
          <w:spacing w:val="-17"/>
        </w:rPr>
        <w:t> </w:t>
      </w:r>
      <w:r>
        <w:rPr/>
        <w:t>que</w:t>
      </w:r>
      <w:r>
        <w:rPr>
          <w:spacing w:val="-17"/>
        </w:rPr>
        <w:t> </w:t>
      </w:r>
      <w:r>
        <w:rPr/>
        <w:t>todas</w:t>
      </w:r>
      <w:r>
        <w:rPr>
          <w:spacing w:val="-17"/>
        </w:rPr>
        <w:t> </w:t>
      </w:r>
      <w:r>
        <w:rPr/>
        <w:t>las</w:t>
      </w:r>
      <w:r>
        <w:rPr>
          <w:spacing w:val="-17"/>
        </w:rPr>
        <w:t> </w:t>
      </w:r>
      <w:r>
        <w:rPr/>
        <w:t>que</w:t>
      </w:r>
      <w:r>
        <w:rPr>
          <w:spacing w:val="-17"/>
        </w:rPr>
        <w:t> </w:t>
      </w:r>
      <w:r>
        <w:rPr/>
        <w:t>exijan una</w:t>
      </w:r>
      <w:r>
        <w:rPr>
          <w:spacing w:val="-12"/>
        </w:rPr>
        <w:t> </w:t>
      </w:r>
      <w:r>
        <w:rPr/>
        <w:t>habilidad</w:t>
      </w:r>
      <w:r>
        <w:rPr>
          <w:spacing w:val="-10"/>
        </w:rPr>
        <w:t> </w:t>
      </w:r>
      <w:r>
        <w:rPr/>
        <w:t>especial</w:t>
      </w:r>
      <w:r>
        <w:rPr>
          <w:spacing w:val="-15"/>
        </w:rPr>
        <w:t> </w:t>
      </w:r>
      <w:r>
        <w:rPr/>
        <w:t>puedan</w:t>
      </w:r>
      <w:r>
        <w:rPr>
          <w:spacing w:val="-12"/>
        </w:rPr>
        <w:t> </w:t>
      </w:r>
      <w:r>
        <w:rPr/>
        <w:t>ser</w:t>
      </w:r>
      <w:r>
        <w:rPr>
          <w:spacing w:val="-13"/>
        </w:rPr>
        <w:t> </w:t>
      </w:r>
      <w:r>
        <w:rPr/>
        <w:t>tomadas</w:t>
      </w:r>
      <w:r>
        <w:rPr>
          <w:spacing w:val="-13"/>
        </w:rPr>
        <w:t> </w:t>
      </w:r>
      <w:r>
        <w:rPr/>
        <w:t>por</w:t>
      </w:r>
      <w:r>
        <w:rPr>
          <w:spacing w:val="-11"/>
        </w:rPr>
        <w:t> </w:t>
      </w:r>
      <w:r>
        <w:rPr/>
        <w:t>personas</w:t>
      </w:r>
      <w:r>
        <w:rPr>
          <w:spacing w:val="-13"/>
        </w:rPr>
        <w:t> </w:t>
      </w:r>
      <w:r>
        <w:rPr/>
        <w:t>que</w:t>
      </w:r>
      <w:r>
        <w:rPr>
          <w:spacing w:val="-12"/>
        </w:rPr>
        <w:t> </w:t>
      </w:r>
      <w:r>
        <w:rPr/>
        <w:t>posean</w:t>
      </w:r>
      <w:r>
        <w:rPr>
          <w:spacing w:val="-9"/>
        </w:rPr>
        <w:t> </w:t>
      </w:r>
      <w:r>
        <w:rPr/>
        <w:t>esa</w:t>
      </w:r>
      <w:r>
        <w:rPr>
          <w:spacing w:val="-4"/>
        </w:rPr>
        <w:t> </w:t>
      </w:r>
      <w:r>
        <w:rPr/>
        <w:t>destreza.</w:t>
      </w:r>
    </w:p>
    <w:p>
      <w:pPr>
        <w:spacing w:after="0" w:line="360" w:lineRule="auto"/>
        <w:jc w:val="both"/>
        <w:sectPr>
          <w:pgSz w:w="12240" w:h="15840"/>
          <w:pgMar w:header="0" w:footer="992" w:top="1360" w:bottom="1180" w:left="1600" w:right="1580"/>
        </w:sectPr>
      </w:pPr>
    </w:p>
    <w:p>
      <w:pPr>
        <w:pStyle w:val="BodyText"/>
        <w:spacing w:line="360" w:lineRule="auto" w:before="54"/>
        <w:ind w:left="102" w:right="121"/>
        <w:jc w:val="both"/>
      </w:pPr>
      <w:r>
        <w:rPr/>
        <w:t>Subdividir decisiones es aún más complicado que subdividir tareas, porque, no siendo habitualmente posible combinar la visión de un trabajador con la de otro, a fin de lograr una mayor precisión en una operación concreta.</w:t>
      </w:r>
    </w:p>
    <w:p>
      <w:pPr>
        <w:pStyle w:val="BodyText"/>
        <w:spacing w:line="360" w:lineRule="auto" w:before="204"/>
        <w:ind w:left="102" w:right="117"/>
        <w:jc w:val="both"/>
      </w:pPr>
      <w:r>
        <w:rPr/>
        <w:t>Luego</w:t>
      </w:r>
      <w:r>
        <w:rPr>
          <w:spacing w:val="-19"/>
        </w:rPr>
        <w:t> </w:t>
      </w:r>
      <w:r>
        <w:rPr/>
        <w:t>entonces,</w:t>
      </w:r>
      <w:r>
        <w:rPr>
          <w:spacing w:val="-22"/>
        </w:rPr>
        <w:t> </w:t>
      </w:r>
      <w:r>
        <w:rPr/>
        <w:t>una</w:t>
      </w:r>
      <w:r>
        <w:rPr>
          <w:spacing w:val="-21"/>
        </w:rPr>
        <w:t> </w:t>
      </w:r>
      <w:r>
        <w:rPr/>
        <w:t>de</w:t>
      </w:r>
      <w:r>
        <w:rPr>
          <w:spacing w:val="-19"/>
        </w:rPr>
        <w:t> </w:t>
      </w:r>
      <w:r>
        <w:rPr/>
        <w:t>las</w:t>
      </w:r>
      <w:r>
        <w:rPr>
          <w:spacing w:val="-22"/>
        </w:rPr>
        <w:t> </w:t>
      </w:r>
      <w:r>
        <w:rPr/>
        <w:t>funciones</w:t>
      </w:r>
      <w:r>
        <w:rPr>
          <w:spacing w:val="-22"/>
        </w:rPr>
        <w:t> </w:t>
      </w:r>
      <w:r>
        <w:rPr/>
        <w:t>primarias</w:t>
      </w:r>
      <w:r>
        <w:rPr>
          <w:spacing w:val="-20"/>
        </w:rPr>
        <w:t> </w:t>
      </w:r>
      <w:r>
        <w:rPr/>
        <w:t>de</w:t>
      </w:r>
      <w:r>
        <w:rPr>
          <w:spacing w:val="-19"/>
        </w:rPr>
        <w:t> </w:t>
      </w:r>
      <w:r>
        <w:rPr/>
        <w:t>la</w:t>
      </w:r>
      <w:r>
        <w:rPr>
          <w:spacing w:val="-22"/>
        </w:rPr>
        <w:t> </w:t>
      </w:r>
      <w:r>
        <w:rPr/>
        <w:t>organización</w:t>
      </w:r>
      <w:r>
        <w:rPr>
          <w:spacing w:val="-19"/>
        </w:rPr>
        <w:t> </w:t>
      </w:r>
      <w:r>
        <w:rPr/>
        <w:t>consiste</w:t>
      </w:r>
      <w:r>
        <w:rPr>
          <w:spacing w:val="-19"/>
        </w:rPr>
        <w:t> </w:t>
      </w:r>
      <w:r>
        <w:rPr/>
        <w:t>en</w:t>
      </w:r>
      <w:r>
        <w:rPr>
          <w:spacing w:val="-19"/>
        </w:rPr>
        <w:t> </w:t>
      </w:r>
      <w:r>
        <w:rPr/>
        <w:t>exigir la conformidad del individuo a las normas establecidas por el grupo o por aquellos de sus miembros que ostentan la autoridad. Las facultades discrecionales del personal subordinado quedan limitadas por políticas determinadas casi en la cúspide de la jerarquía</w:t>
      </w:r>
      <w:r>
        <w:rPr>
          <w:spacing w:val="-11"/>
        </w:rPr>
        <w:t> </w:t>
      </w:r>
      <w:r>
        <w:rPr/>
        <w:t>administrativa.</w:t>
      </w:r>
    </w:p>
    <w:p>
      <w:pPr>
        <w:spacing w:before="204"/>
        <w:ind w:left="954" w:right="115" w:firstLine="0"/>
        <w:jc w:val="both"/>
        <w:rPr>
          <w:sz w:val="22"/>
        </w:rPr>
      </w:pPr>
      <w:r>
        <w:rPr>
          <w:sz w:val="22"/>
        </w:rPr>
        <w:t>Las decisiones que se toman en los niveles más elevados de la jerarquía administrativa</w:t>
      </w:r>
      <w:r>
        <w:rPr>
          <w:spacing w:val="-6"/>
          <w:sz w:val="22"/>
        </w:rPr>
        <w:t> </w:t>
      </w:r>
      <w:r>
        <w:rPr>
          <w:sz w:val="22"/>
        </w:rPr>
        <w:t>no</w:t>
      </w:r>
      <w:r>
        <w:rPr>
          <w:spacing w:val="-7"/>
          <w:sz w:val="22"/>
        </w:rPr>
        <w:t> </w:t>
      </w:r>
      <w:r>
        <w:rPr>
          <w:sz w:val="22"/>
        </w:rPr>
        <w:t>surtirán</w:t>
      </w:r>
      <w:r>
        <w:rPr>
          <w:spacing w:val="-9"/>
          <w:sz w:val="22"/>
        </w:rPr>
        <w:t> </w:t>
      </w:r>
      <w:r>
        <w:rPr>
          <w:sz w:val="22"/>
        </w:rPr>
        <w:t>efecto</w:t>
      </w:r>
      <w:r>
        <w:rPr>
          <w:spacing w:val="-6"/>
          <w:sz w:val="22"/>
        </w:rPr>
        <w:t> </w:t>
      </w:r>
      <w:r>
        <w:rPr>
          <w:sz w:val="22"/>
        </w:rPr>
        <w:t>en</w:t>
      </w:r>
      <w:r>
        <w:rPr>
          <w:spacing w:val="-7"/>
          <w:sz w:val="22"/>
        </w:rPr>
        <w:t> </w:t>
      </w:r>
      <w:r>
        <w:rPr>
          <w:sz w:val="22"/>
        </w:rPr>
        <w:t>las</w:t>
      </w:r>
      <w:r>
        <w:rPr>
          <w:spacing w:val="-6"/>
          <w:sz w:val="22"/>
        </w:rPr>
        <w:t> </w:t>
      </w:r>
      <w:r>
        <w:rPr>
          <w:sz w:val="22"/>
        </w:rPr>
        <w:t>actividades</w:t>
      </w:r>
      <w:r>
        <w:rPr>
          <w:spacing w:val="-6"/>
          <w:sz w:val="22"/>
        </w:rPr>
        <w:t> </w:t>
      </w:r>
      <w:r>
        <w:rPr>
          <w:sz w:val="22"/>
        </w:rPr>
        <w:t>de</w:t>
      </w:r>
      <w:r>
        <w:rPr>
          <w:spacing w:val="-7"/>
          <w:sz w:val="22"/>
        </w:rPr>
        <w:t> </w:t>
      </w:r>
      <w:r>
        <w:rPr>
          <w:sz w:val="22"/>
        </w:rPr>
        <w:t>los</w:t>
      </w:r>
      <w:r>
        <w:rPr>
          <w:spacing w:val="-6"/>
          <w:sz w:val="22"/>
        </w:rPr>
        <w:t> </w:t>
      </w:r>
      <w:r>
        <w:rPr>
          <w:sz w:val="22"/>
        </w:rPr>
        <w:t>empleados</w:t>
      </w:r>
      <w:r>
        <w:rPr>
          <w:spacing w:val="-8"/>
          <w:sz w:val="22"/>
        </w:rPr>
        <w:t> </w:t>
      </w:r>
      <w:r>
        <w:rPr>
          <w:sz w:val="22"/>
        </w:rPr>
        <w:t>operativos,</w:t>
      </w:r>
      <w:r>
        <w:rPr>
          <w:spacing w:val="-5"/>
          <w:sz w:val="22"/>
        </w:rPr>
        <w:t> </w:t>
      </w:r>
      <w:r>
        <w:rPr>
          <w:sz w:val="22"/>
        </w:rPr>
        <w:t>a menos que se vea como se influye en el comportamiento de los empleados o del que toma la decisión dentro de la organización. En el estudio del proceso de</w:t>
      </w:r>
      <w:r>
        <w:rPr>
          <w:spacing w:val="-37"/>
          <w:sz w:val="22"/>
        </w:rPr>
        <w:t> </w:t>
      </w:r>
      <w:r>
        <w:rPr>
          <w:sz w:val="22"/>
        </w:rPr>
        <w:t>toma de decisiones, se debe tratar el tema de la influencia, ya que esta determinara el comportamiento del individuo en la escala de la especialización vertical, en la que se subdivide los trabajos y así mismo las decisiones (Simon,</w:t>
      </w:r>
      <w:r>
        <w:rPr>
          <w:spacing w:val="-18"/>
          <w:sz w:val="22"/>
        </w:rPr>
        <w:t> </w:t>
      </w:r>
      <w:r>
        <w:rPr>
          <w:sz w:val="22"/>
        </w:rPr>
        <w:t>1988:12).</w:t>
      </w:r>
    </w:p>
    <w:p>
      <w:pPr>
        <w:pStyle w:val="BodyText"/>
        <w:rPr>
          <w:sz w:val="22"/>
        </w:rPr>
      </w:pPr>
    </w:p>
    <w:p>
      <w:pPr>
        <w:pStyle w:val="BodyText"/>
        <w:rPr>
          <w:sz w:val="22"/>
        </w:rPr>
      </w:pPr>
    </w:p>
    <w:p>
      <w:pPr>
        <w:pStyle w:val="BodyText"/>
        <w:spacing w:line="360" w:lineRule="auto" w:before="148"/>
        <w:ind w:left="102" w:right="117"/>
        <w:jc w:val="both"/>
      </w:pPr>
      <w:r>
        <w:rPr/>
        <w:t>Esta</w:t>
      </w:r>
      <w:r>
        <w:rPr>
          <w:spacing w:val="-16"/>
        </w:rPr>
        <w:t> </w:t>
      </w:r>
      <w:r>
        <w:rPr/>
        <w:t>influencia</w:t>
      </w:r>
      <w:r>
        <w:rPr>
          <w:spacing w:val="-17"/>
        </w:rPr>
        <w:t> </w:t>
      </w:r>
      <w:r>
        <w:rPr/>
        <w:t>se</w:t>
      </w:r>
      <w:r>
        <w:rPr>
          <w:spacing w:val="-17"/>
        </w:rPr>
        <w:t> </w:t>
      </w:r>
      <w:r>
        <w:rPr/>
        <w:t>divide</w:t>
      </w:r>
      <w:r>
        <w:rPr>
          <w:spacing w:val="-16"/>
        </w:rPr>
        <w:t> </w:t>
      </w:r>
      <w:r>
        <w:rPr/>
        <w:t>en</w:t>
      </w:r>
      <w:r>
        <w:rPr>
          <w:spacing w:val="-17"/>
        </w:rPr>
        <w:t> </w:t>
      </w:r>
      <w:r>
        <w:rPr/>
        <w:t>dos</w:t>
      </w:r>
      <w:r>
        <w:rPr>
          <w:spacing w:val="-17"/>
        </w:rPr>
        <w:t> </w:t>
      </w:r>
      <w:r>
        <w:rPr/>
        <w:t>categorías:</w:t>
      </w:r>
      <w:r>
        <w:rPr>
          <w:spacing w:val="-17"/>
        </w:rPr>
        <w:t> </w:t>
      </w:r>
      <w:r>
        <w:rPr/>
        <w:t>la</w:t>
      </w:r>
      <w:r>
        <w:rPr>
          <w:spacing w:val="-17"/>
        </w:rPr>
        <w:t> </w:t>
      </w:r>
      <w:r>
        <w:rPr/>
        <w:t>primera</w:t>
      </w:r>
      <w:r>
        <w:rPr>
          <w:spacing w:val="-17"/>
        </w:rPr>
        <w:t> </w:t>
      </w:r>
      <w:r>
        <w:rPr/>
        <w:t>tiene</w:t>
      </w:r>
      <w:r>
        <w:rPr>
          <w:spacing w:val="-17"/>
        </w:rPr>
        <w:t> </w:t>
      </w:r>
      <w:r>
        <w:rPr/>
        <w:t>que</w:t>
      </w:r>
      <w:r>
        <w:rPr>
          <w:spacing w:val="-17"/>
        </w:rPr>
        <w:t> </w:t>
      </w:r>
      <w:r>
        <w:rPr/>
        <w:t>ver</w:t>
      </w:r>
      <w:r>
        <w:rPr>
          <w:spacing w:val="-18"/>
        </w:rPr>
        <w:t> </w:t>
      </w:r>
      <w:r>
        <w:rPr/>
        <w:t>con</w:t>
      </w:r>
      <w:r>
        <w:rPr>
          <w:spacing w:val="-9"/>
        </w:rPr>
        <w:t> </w:t>
      </w:r>
      <w:r>
        <w:rPr/>
        <w:t>la</w:t>
      </w:r>
      <w:r>
        <w:rPr>
          <w:spacing w:val="-19"/>
        </w:rPr>
        <w:t> </w:t>
      </w:r>
      <w:r>
        <w:rPr/>
        <w:t>formación en el individuo, sus actitudes, hábitos y un estado que lo lleve a un decisión ventajosa para la organización; ésta ópera inculcándole al individuo normas organizativas y una preocupación por la eficacia, en resumen se trata de entrenar al individuo. La segunda se realiza por medio de la imposición, ésta depende primariamente de la autoridad y de la</w:t>
      </w:r>
      <w:r>
        <w:rPr>
          <w:spacing w:val="-20"/>
        </w:rPr>
        <w:t> </w:t>
      </w:r>
      <w:r>
        <w:rPr/>
        <w:t>información.</w:t>
      </w:r>
    </w:p>
    <w:p>
      <w:pPr>
        <w:pStyle w:val="BodyText"/>
        <w:spacing w:line="360" w:lineRule="auto" w:before="204"/>
        <w:ind w:left="102" w:right="117"/>
        <w:jc w:val="both"/>
      </w:pPr>
      <w:r>
        <w:rPr/>
        <w:t>Tanto en la organización administrativa privada como pública, se tienen objetivos propios</w:t>
      </w:r>
      <w:r>
        <w:rPr>
          <w:spacing w:val="-5"/>
        </w:rPr>
        <w:t> </w:t>
      </w:r>
      <w:r>
        <w:rPr/>
        <w:t>de</w:t>
      </w:r>
      <w:r>
        <w:rPr>
          <w:spacing w:val="-5"/>
        </w:rPr>
        <w:t> </w:t>
      </w:r>
      <w:r>
        <w:rPr/>
        <w:t>la</w:t>
      </w:r>
      <w:r>
        <w:rPr>
          <w:spacing w:val="-5"/>
        </w:rPr>
        <w:t> </w:t>
      </w:r>
      <w:r>
        <w:rPr/>
        <w:t>organización.</w:t>
      </w:r>
      <w:r>
        <w:rPr>
          <w:spacing w:val="-2"/>
        </w:rPr>
        <w:t> </w:t>
      </w:r>
      <w:r>
        <w:rPr/>
        <w:t>Los</w:t>
      </w:r>
      <w:r>
        <w:rPr>
          <w:spacing w:val="-5"/>
        </w:rPr>
        <w:t> </w:t>
      </w:r>
      <w:r>
        <w:rPr/>
        <w:t>objetivos</w:t>
      </w:r>
      <w:r>
        <w:rPr>
          <w:spacing w:val="-4"/>
        </w:rPr>
        <w:t> </w:t>
      </w:r>
      <w:r>
        <w:rPr/>
        <w:t>proporcionan</w:t>
      </w:r>
      <w:r>
        <w:rPr>
          <w:spacing w:val="-3"/>
        </w:rPr>
        <w:t> </w:t>
      </w:r>
      <w:r>
        <w:rPr/>
        <w:t>una</w:t>
      </w:r>
      <w:r>
        <w:rPr>
          <w:spacing w:val="-5"/>
        </w:rPr>
        <w:t> </w:t>
      </w:r>
      <w:r>
        <w:rPr/>
        <w:t>orientación</w:t>
      </w:r>
      <w:r>
        <w:rPr>
          <w:spacing w:val="-4"/>
        </w:rPr>
        <w:t> </w:t>
      </w:r>
      <w:r>
        <w:rPr/>
        <w:t>para</w:t>
      </w:r>
      <w:r>
        <w:rPr>
          <w:spacing w:val="-5"/>
        </w:rPr>
        <w:t> </w:t>
      </w:r>
      <w:r>
        <w:rPr/>
        <w:t>regir</w:t>
      </w:r>
      <w:r>
        <w:rPr>
          <w:spacing w:val="-7"/>
        </w:rPr>
        <w:t> </w:t>
      </w:r>
      <w:r>
        <w:rPr/>
        <w:t>el comportamiento de las personas que toman decisiones. Tanto los individuos como las organizaciones persiguen una variedad de</w:t>
      </w:r>
      <w:r>
        <w:rPr>
          <w:spacing w:val="-23"/>
        </w:rPr>
        <w:t> </w:t>
      </w:r>
      <w:r>
        <w:rPr/>
        <w:t>objetivos.</w:t>
      </w:r>
    </w:p>
    <w:p>
      <w:pPr>
        <w:spacing w:before="202"/>
        <w:ind w:left="954" w:right="115" w:firstLine="0"/>
        <w:jc w:val="both"/>
        <w:rPr>
          <w:sz w:val="22"/>
        </w:rPr>
      </w:pPr>
      <w:r>
        <w:rPr>
          <w:sz w:val="22"/>
        </w:rPr>
        <w:t>Cuando</w:t>
      </w:r>
      <w:r>
        <w:rPr>
          <w:spacing w:val="-12"/>
          <w:sz w:val="22"/>
        </w:rPr>
        <w:t> </w:t>
      </w:r>
      <w:r>
        <w:rPr>
          <w:sz w:val="22"/>
        </w:rPr>
        <w:t>individuos</w:t>
      </w:r>
      <w:r>
        <w:rPr>
          <w:spacing w:val="-12"/>
          <w:sz w:val="22"/>
        </w:rPr>
        <w:t> </w:t>
      </w:r>
      <w:r>
        <w:rPr>
          <w:sz w:val="22"/>
        </w:rPr>
        <w:t>u</w:t>
      </w:r>
      <w:r>
        <w:rPr>
          <w:spacing w:val="-12"/>
          <w:sz w:val="22"/>
        </w:rPr>
        <w:t> </w:t>
      </w:r>
      <w:r>
        <w:rPr>
          <w:sz w:val="22"/>
        </w:rPr>
        <w:t>organizaciones</w:t>
      </w:r>
      <w:r>
        <w:rPr>
          <w:spacing w:val="-12"/>
          <w:sz w:val="22"/>
        </w:rPr>
        <w:t> </w:t>
      </w:r>
      <w:r>
        <w:rPr>
          <w:sz w:val="22"/>
        </w:rPr>
        <w:t>persiguen</w:t>
      </w:r>
      <w:r>
        <w:rPr>
          <w:spacing w:val="-12"/>
          <w:sz w:val="22"/>
        </w:rPr>
        <w:t> </w:t>
      </w:r>
      <w:r>
        <w:rPr>
          <w:sz w:val="22"/>
        </w:rPr>
        <w:t>objetivos</w:t>
      </w:r>
      <w:r>
        <w:rPr>
          <w:spacing w:val="-12"/>
          <w:sz w:val="22"/>
        </w:rPr>
        <w:t> </w:t>
      </w:r>
      <w:r>
        <w:rPr>
          <w:sz w:val="22"/>
        </w:rPr>
        <w:t>múltiples,</w:t>
      </w:r>
      <w:r>
        <w:rPr>
          <w:spacing w:val="-14"/>
          <w:sz w:val="22"/>
        </w:rPr>
        <w:t> </w:t>
      </w:r>
      <w:r>
        <w:rPr>
          <w:sz w:val="22"/>
        </w:rPr>
        <w:t>es</w:t>
      </w:r>
      <w:r>
        <w:rPr>
          <w:spacing w:val="-14"/>
          <w:sz w:val="22"/>
        </w:rPr>
        <w:t> </w:t>
      </w:r>
      <w:r>
        <w:rPr>
          <w:sz w:val="22"/>
        </w:rPr>
        <w:t>esencial</w:t>
      </w:r>
      <w:r>
        <w:rPr>
          <w:spacing w:val="-10"/>
          <w:sz w:val="22"/>
        </w:rPr>
        <w:t> </w:t>
      </w:r>
      <w:r>
        <w:rPr>
          <w:sz w:val="22"/>
        </w:rPr>
        <w:t>que relacionen esos objetivos de manera que puedan obtener una cadena adecuada de medios-fines. En este entendido, existen dos tipos de objetivos, unos son los fundamentales</w:t>
      </w:r>
      <w:r>
        <w:rPr>
          <w:spacing w:val="-13"/>
          <w:sz w:val="22"/>
        </w:rPr>
        <w:t> </w:t>
      </w:r>
      <w:r>
        <w:rPr>
          <w:sz w:val="22"/>
        </w:rPr>
        <w:t>y</w:t>
      </w:r>
      <w:r>
        <w:rPr>
          <w:spacing w:val="-16"/>
          <w:sz w:val="22"/>
        </w:rPr>
        <w:t> </w:t>
      </w:r>
      <w:r>
        <w:rPr>
          <w:sz w:val="22"/>
        </w:rPr>
        <w:t>los</w:t>
      </w:r>
      <w:r>
        <w:rPr>
          <w:spacing w:val="-13"/>
          <w:sz w:val="22"/>
        </w:rPr>
        <w:t> </w:t>
      </w:r>
      <w:r>
        <w:rPr>
          <w:sz w:val="22"/>
        </w:rPr>
        <w:t>otros</w:t>
      </w:r>
      <w:r>
        <w:rPr>
          <w:spacing w:val="-13"/>
          <w:sz w:val="22"/>
        </w:rPr>
        <w:t> </w:t>
      </w:r>
      <w:r>
        <w:rPr>
          <w:sz w:val="22"/>
        </w:rPr>
        <w:t>son</w:t>
      </w:r>
      <w:r>
        <w:rPr>
          <w:spacing w:val="-14"/>
          <w:sz w:val="22"/>
        </w:rPr>
        <w:t> </w:t>
      </w:r>
      <w:r>
        <w:rPr>
          <w:sz w:val="22"/>
        </w:rPr>
        <w:t>instrumentales.</w:t>
      </w:r>
      <w:r>
        <w:rPr>
          <w:spacing w:val="-13"/>
          <w:sz w:val="22"/>
        </w:rPr>
        <w:t> </w:t>
      </w:r>
      <w:r>
        <w:rPr>
          <w:sz w:val="22"/>
        </w:rPr>
        <w:t>Los</w:t>
      </w:r>
      <w:r>
        <w:rPr>
          <w:spacing w:val="-13"/>
          <w:sz w:val="22"/>
        </w:rPr>
        <w:t> </w:t>
      </w:r>
      <w:r>
        <w:rPr>
          <w:sz w:val="22"/>
        </w:rPr>
        <w:t>primeros</w:t>
      </w:r>
      <w:r>
        <w:rPr>
          <w:spacing w:val="-13"/>
          <w:sz w:val="22"/>
        </w:rPr>
        <w:t> </w:t>
      </w:r>
      <w:r>
        <w:rPr>
          <w:sz w:val="22"/>
        </w:rPr>
        <w:t>se</w:t>
      </w:r>
      <w:r>
        <w:rPr>
          <w:spacing w:val="-13"/>
          <w:sz w:val="22"/>
        </w:rPr>
        <w:t> </w:t>
      </w:r>
      <w:r>
        <w:rPr>
          <w:sz w:val="22"/>
        </w:rPr>
        <w:t>determinan</w:t>
      </w:r>
      <w:r>
        <w:rPr>
          <w:spacing w:val="-13"/>
          <w:sz w:val="22"/>
        </w:rPr>
        <w:t> </w:t>
      </w:r>
      <w:r>
        <w:rPr>
          <w:sz w:val="22"/>
        </w:rPr>
        <w:t>en</w:t>
      </w:r>
      <w:r>
        <w:rPr>
          <w:spacing w:val="-14"/>
          <w:sz w:val="22"/>
        </w:rPr>
        <w:t> </w:t>
      </w:r>
      <w:r>
        <w:rPr>
          <w:sz w:val="22"/>
        </w:rPr>
        <w:t>base a una evaluación de oportunidades, recursos y capacidades para su explotación, en los segundos son aquellos medios para alcanzar las metas fundamentales (Rheault,</w:t>
      </w:r>
      <w:r>
        <w:rPr>
          <w:spacing w:val="-6"/>
          <w:sz w:val="22"/>
        </w:rPr>
        <w:t> </w:t>
      </w:r>
      <w:r>
        <w:rPr>
          <w:sz w:val="22"/>
        </w:rPr>
        <w:t>1977:37).</w:t>
      </w:r>
    </w:p>
    <w:p>
      <w:pPr>
        <w:spacing w:after="0"/>
        <w:jc w:val="both"/>
        <w:rPr>
          <w:sz w:val="22"/>
        </w:rPr>
        <w:sectPr>
          <w:pgSz w:w="12240" w:h="15840"/>
          <w:pgMar w:header="0" w:footer="992" w:top="1360" w:bottom="1180" w:left="1600" w:right="1580"/>
        </w:sectPr>
      </w:pPr>
    </w:p>
    <w:p>
      <w:pPr>
        <w:pStyle w:val="BodyText"/>
        <w:spacing w:line="360" w:lineRule="auto" w:before="54"/>
        <w:ind w:left="102" w:right="116"/>
        <w:jc w:val="both"/>
      </w:pPr>
      <w:r>
        <w:rPr/>
        <w:t>La toma de decisiones constituye un ámbito de estudio que afecta de lleno a distintas disciplinas como campos de estudio de corte social, tales como la Administración, de hecho su relación se aprecia cotidianamente en los procesos administrativos que llevan a cabo las organizaciones, ya sean públicas o privadas. Investigar la relación de la toma de decisión con la Administración Pública resulta particularmente importante, toda vez, que los agentes han de elegir medios y fines de acuerdo con sus conocimientos, procedimientos de actuación y su sistema de valores. Cuando se analiza el proceso de decidir en cuanto al quehacer público, se aprecia que es un fenómeno complejo. Decidir supone ciertamente seleccionar, de modo que la toma de decisiones es un proceso humano ya sea que se realice de forma individual o colectivamente.</w:t>
      </w:r>
    </w:p>
    <w:p>
      <w:pPr>
        <w:pStyle w:val="BodyText"/>
        <w:spacing w:line="360" w:lineRule="auto" w:before="204"/>
        <w:ind w:left="102" w:right="116"/>
        <w:jc w:val="both"/>
      </w:pPr>
      <w:r>
        <w:rPr/>
        <w:t>Para finalizar este tema con referencia a lo manifestado por Ramos (1999) que la Administración</w:t>
      </w:r>
      <w:r>
        <w:rPr>
          <w:spacing w:val="-9"/>
        </w:rPr>
        <w:t> </w:t>
      </w:r>
      <w:r>
        <w:rPr/>
        <w:t>Pública,</w:t>
      </w:r>
      <w:r>
        <w:rPr>
          <w:spacing w:val="-7"/>
        </w:rPr>
        <w:t> </w:t>
      </w:r>
      <w:r>
        <w:rPr/>
        <w:t>ya</w:t>
      </w:r>
      <w:r>
        <w:rPr>
          <w:spacing w:val="-7"/>
        </w:rPr>
        <w:t> </w:t>
      </w:r>
      <w:r>
        <w:rPr/>
        <w:t>no</w:t>
      </w:r>
      <w:r>
        <w:rPr>
          <w:spacing w:val="-7"/>
        </w:rPr>
        <w:t> </w:t>
      </w:r>
      <w:r>
        <w:rPr/>
        <w:t>sólo</w:t>
      </w:r>
      <w:r>
        <w:rPr>
          <w:spacing w:val="-10"/>
        </w:rPr>
        <w:t> </w:t>
      </w:r>
      <w:r>
        <w:rPr/>
        <w:t>es</w:t>
      </w:r>
      <w:r>
        <w:rPr>
          <w:spacing w:val="-8"/>
        </w:rPr>
        <w:t> </w:t>
      </w:r>
      <w:r>
        <w:rPr/>
        <w:t>un</w:t>
      </w:r>
      <w:r>
        <w:rPr>
          <w:spacing w:val="-7"/>
        </w:rPr>
        <w:t> </w:t>
      </w:r>
      <w:r>
        <w:rPr/>
        <w:t>estructura</w:t>
      </w:r>
      <w:r>
        <w:rPr>
          <w:spacing w:val="-8"/>
        </w:rPr>
        <w:t> </w:t>
      </w:r>
      <w:r>
        <w:rPr/>
        <w:t>encargada</w:t>
      </w:r>
      <w:r>
        <w:rPr>
          <w:spacing w:val="-9"/>
        </w:rPr>
        <w:t> </w:t>
      </w:r>
      <w:r>
        <w:rPr/>
        <w:t>de</w:t>
      </w:r>
      <w:r>
        <w:rPr>
          <w:spacing w:val="-9"/>
        </w:rPr>
        <w:t> </w:t>
      </w:r>
      <w:r>
        <w:rPr/>
        <w:t>poner</w:t>
      </w:r>
      <w:r>
        <w:rPr>
          <w:spacing w:val="-8"/>
        </w:rPr>
        <w:t> </w:t>
      </w:r>
      <w:r>
        <w:rPr/>
        <w:t>en</w:t>
      </w:r>
      <w:r>
        <w:rPr>
          <w:spacing w:val="-7"/>
        </w:rPr>
        <w:t> </w:t>
      </w:r>
      <w:r>
        <w:rPr/>
        <w:t>práctica las leyes y normas emanadas de los órganos legitimados para ello, sino que trata de entender a los actores (políticos, burócratas y actores privados) que intervienen en la formulación y actuación de la política concreta planteada; la Administración Pública</w:t>
      </w:r>
      <w:r>
        <w:rPr>
          <w:spacing w:val="-7"/>
        </w:rPr>
        <w:t> </w:t>
      </w:r>
      <w:r>
        <w:rPr/>
        <w:t>ejecuta</w:t>
      </w:r>
      <w:r>
        <w:rPr>
          <w:spacing w:val="-4"/>
        </w:rPr>
        <w:t> </w:t>
      </w:r>
      <w:r>
        <w:rPr/>
        <w:t>y</w:t>
      </w:r>
      <w:r>
        <w:rPr>
          <w:spacing w:val="-8"/>
        </w:rPr>
        <w:t> </w:t>
      </w:r>
      <w:r>
        <w:rPr/>
        <w:t>administra</w:t>
      </w:r>
      <w:r>
        <w:rPr>
          <w:spacing w:val="-5"/>
        </w:rPr>
        <w:t> </w:t>
      </w:r>
      <w:r>
        <w:rPr/>
        <w:t>recursos,</w:t>
      </w:r>
      <w:r>
        <w:rPr>
          <w:spacing w:val="-5"/>
        </w:rPr>
        <w:t> </w:t>
      </w:r>
      <w:r>
        <w:rPr/>
        <w:t>debe</w:t>
      </w:r>
      <w:r>
        <w:rPr>
          <w:spacing w:val="-7"/>
        </w:rPr>
        <w:t> </w:t>
      </w:r>
      <w:r>
        <w:rPr/>
        <w:t>atender</w:t>
      </w:r>
      <w:r>
        <w:rPr>
          <w:spacing w:val="-6"/>
        </w:rPr>
        <w:t> </w:t>
      </w:r>
      <w:r>
        <w:rPr/>
        <w:t>una</w:t>
      </w:r>
      <w:r>
        <w:rPr>
          <w:spacing w:val="-5"/>
        </w:rPr>
        <w:t> </w:t>
      </w:r>
      <w:r>
        <w:rPr/>
        <w:t>serie</w:t>
      </w:r>
      <w:r>
        <w:rPr>
          <w:spacing w:val="-5"/>
        </w:rPr>
        <w:t> </w:t>
      </w:r>
      <w:r>
        <w:rPr/>
        <w:t>de</w:t>
      </w:r>
      <w:r>
        <w:rPr>
          <w:spacing w:val="-5"/>
        </w:rPr>
        <w:t> </w:t>
      </w:r>
      <w:r>
        <w:rPr/>
        <w:t>intereses</w:t>
      </w:r>
      <w:r>
        <w:rPr>
          <w:spacing w:val="-5"/>
        </w:rPr>
        <w:t> </w:t>
      </w:r>
      <w:r>
        <w:rPr/>
        <w:t>que</w:t>
      </w:r>
      <w:r>
        <w:rPr>
          <w:spacing w:val="-7"/>
        </w:rPr>
        <w:t> </w:t>
      </w:r>
      <w:r>
        <w:rPr/>
        <w:t>son importantes para el funcionamiento de la organización. La Administración Pública se concibe primeramente como una relación que vincula al Estado con la sociedad y en segunda como la relación entre la política y la Administración, es por ello, que en aras de estas relaciones, siempre la toma de una decisión es vital, ésta decide la dirección en que deba de ejecutarse determinado recurso o política, y por supuesto que en este proceso de decisión, la sociedad juega un papel importante, debido a que las decisiones que se toman dentro de la administración pública, tendrán como resultado el bienestar de la población, alcanzado así los objetivos nacionales trazados en el</w:t>
      </w:r>
      <w:r>
        <w:rPr>
          <w:spacing w:val="-12"/>
        </w:rPr>
        <w:t> </w:t>
      </w:r>
      <w:r>
        <w:rPr/>
        <w:t>gobierno.</w:t>
      </w:r>
    </w:p>
    <w:p>
      <w:pPr>
        <w:pStyle w:val="BodyText"/>
      </w:pPr>
    </w:p>
    <w:p>
      <w:pPr>
        <w:pStyle w:val="Heading1"/>
        <w:numPr>
          <w:ilvl w:val="1"/>
          <w:numId w:val="8"/>
        </w:numPr>
        <w:tabs>
          <w:tab w:pos="1542" w:val="left" w:leader="none"/>
        </w:tabs>
        <w:spacing w:line="242" w:lineRule="auto" w:before="205" w:after="0"/>
        <w:ind w:left="428" w:right="446" w:firstLine="643"/>
        <w:jc w:val="left"/>
      </w:pPr>
      <w:bookmarkStart w:name="_TOC_250041" w:id="11"/>
      <w:r>
        <w:rPr/>
        <w:t>Toma de Decisiones con base en las Relaciones Intergubernamentales (Gobierno Federal, Estatal y</w:t>
      </w:r>
      <w:r>
        <w:rPr>
          <w:spacing w:val="-28"/>
        </w:rPr>
        <w:t> </w:t>
      </w:r>
      <w:bookmarkEnd w:id="11"/>
      <w:r>
        <w:rPr/>
        <w:t>Municipal)</w:t>
      </w:r>
    </w:p>
    <w:p>
      <w:pPr>
        <w:spacing w:after="0" w:line="242" w:lineRule="auto"/>
        <w:jc w:val="left"/>
        <w:sectPr>
          <w:pgSz w:w="12240" w:h="15840"/>
          <w:pgMar w:header="0" w:footer="992" w:top="1360" w:bottom="1180" w:left="1600" w:right="1580"/>
        </w:sectPr>
      </w:pPr>
    </w:p>
    <w:p>
      <w:pPr>
        <w:pStyle w:val="BodyText"/>
        <w:spacing w:line="360" w:lineRule="auto" w:before="54"/>
        <w:ind w:left="102" w:right="115"/>
        <w:jc w:val="both"/>
      </w:pPr>
      <w:r>
        <w:rPr/>
        <w:t>Se parte de la premisa de que el federalismo, la descentralización y las Relaciones Intergubernamentales (RIGs) cuentan con elementos políticos que explican las relaciones entre el gobierno federal y subnacionales (estado y municipio). El federalismo representa una forma de gobierno que tiene una estrecha relación política y administrativa, así como intergubernamental, para alcanzar</w:t>
      </w:r>
      <w:r>
        <w:rPr>
          <w:spacing w:val="-33"/>
        </w:rPr>
        <w:t> </w:t>
      </w:r>
      <w:r>
        <w:rPr/>
        <w:t>determinados fines</w:t>
      </w:r>
      <w:r>
        <w:rPr>
          <w:spacing w:val="-9"/>
        </w:rPr>
        <w:t> </w:t>
      </w:r>
      <w:r>
        <w:rPr/>
        <w:t>sociales,</w:t>
      </w:r>
      <w:r>
        <w:rPr>
          <w:spacing w:val="-11"/>
        </w:rPr>
        <w:t> </w:t>
      </w:r>
      <w:r>
        <w:rPr/>
        <w:t>políticos</w:t>
      </w:r>
      <w:r>
        <w:rPr>
          <w:spacing w:val="-9"/>
        </w:rPr>
        <w:t> </w:t>
      </w:r>
      <w:r>
        <w:rPr/>
        <w:t>y</w:t>
      </w:r>
      <w:r>
        <w:rPr>
          <w:spacing w:val="-12"/>
        </w:rPr>
        <w:t> </w:t>
      </w:r>
      <w:r>
        <w:rPr/>
        <w:t>económicos,</w:t>
      </w:r>
      <w:r>
        <w:rPr>
          <w:spacing w:val="-11"/>
        </w:rPr>
        <w:t> </w:t>
      </w:r>
      <w:r>
        <w:rPr/>
        <w:t>por</w:t>
      </w:r>
      <w:r>
        <w:rPr>
          <w:spacing w:val="-10"/>
        </w:rPr>
        <w:t> </w:t>
      </w:r>
      <w:r>
        <w:rPr/>
        <w:t>lo</w:t>
      </w:r>
      <w:r>
        <w:rPr>
          <w:spacing w:val="-7"/>
        </w:rPr>
        <w:t> </w:t>
      </w:r>
      <w:r>
        <w:rPr/>
        <w:t>tanto</w:t>
      </w:r>
      <w:r>
        <w:rPr>
          <w:spacing w:val="-10"/>
        </w:rPr>
        <w:t> </w:t>
      </w:r>
      <w:r>
        <w:rPr/>
        <w:t>las</w:t>
      </w:r>
      <w:r>
        <w:rPr>
          <w:spacing w:val="-9"/>
        </w:rPr>
        <w:t> </w:t>
      </w:r>
      <w:r>
        <w:rPr/>
        <w:t>relaciones</w:t>
      </w:r>
      <w:r>
        <w:rPr>
          <w:spacing w:val="-9"/>
        </w:rPr>
        <w:t> </w:t>
      </w:r>
      <w:r>
        <w:rPr/>
        <w:t>se</w:t>
      </w:r>
      <w:r>
        <w:rPr>
          <w:spacing w:val="-11"/>
        </w:rPr>
        <w:t> </w:t>
      </w:r>
      <w:r>
        <w:rPr/>
        <w:t>establecen</w:t>
      </w:r>
      <w:r>
        <w:rPr>
          <w:spacing w:val="-11"/>
        </w:rPr>
        <w:t> </w:t>
      </w:r>
      <w:r>
        <w:rPr/>
        <w:t>bajo un marco legal que puede ser permeable, en el caso de México se llaman a estas relaciones “coordinación</w:t>
      </w:r>
      <w:r>
        <w:rPr>
          <w:spacing w:val="-15"/>
        </w:rPr>
        <w:t> </w:t>
      </w:r>
      <w:r>
        <w:rPr/>
        <w:t>intergubernamental”.</w:t>
      </w:r>
    </w:p>
    <w:p>
      <w:pPr>
        <w:spacing w:before="204"/>
        <w:ind w:left="954" w:right="116" w:firstLine="0"/>
        <w:jc w:val="both"/>
        <w:rPr>
          <w:sz w:val="22"/>
        </w:rPr>
      </w:pPr>
      <w:r>
        <w:rPr>
          <w:sz w:val="22"/>
        </w:rPr>
        <w:t>La descentralización es un proceso político-administrativo que delega responsabilidades en la toma de decisiones a los poderes políticos en los niveles central, regional o local. La descentralización entendida como un proceso político permite</w:t>
      </w:r>
      <w:r>
        <w:rPr>
          <w:spacing w:val="-16"/>
          <w:sz w:val="22"/>
        </w:rPr>
        <w:t> </w:t>
      </w:r>
      <w:r>
        <w:rPr>
          <w:sz w:val="22"/>
        </w:rPr>
        <w:t>una</w:t>
      </w:r>
      <w:r>
        <w:rPr>
          <w:spacing w:val="-16"/>
          <w:sz w:val="22"/>
        </w:rPr>
        <w:t> </w:t>
      </w:r>
      <w:r>
        <w:rPr>
          <w:sz w:val="22"/>
        </w:rPr>
        <w:t>mejor</w:t>
      </w:r>
      <w:r>
        <w:rPr>
          <w:spacing w:val="-15"/>
          <w:sz w:val="22"/>
        </w:rPr>
        <w:t> </w:t>
      </w:r>
      <w:r>
        <w:rPr>
          <w:sz w:val="22"/>
        </w:rPr>
        <w:t>racionalización</w:t>
      </w:r>
      <w:r>
        <w:rPr>
          <w:spacing w:val="-14"/>
          <w:sz w:val="22"/>
        </w:rPr>
        <w:t> </w:t>
      </w:r>
      <w:r>
        <w:rPr>
          <w:sz w:val="22"/>
        </w:rPr>
        <w:t>de</w:t>
      </w:r>
      <w:r>
        <w:rPr>
          <w:spacing w:val="-14"/>
          <w:sz w:val="22"/>
        </w:rPr>
        <w:t> </w:t>
      </w:r>
      <w:r>
        <w:rPr>
          <w:sz w:val="22"/>
        </w:rPr>
        <w:t>las</w:t>
      </w:r>
      <w:r>
        <w:rPr>
          <w:spacing w:val="-13"/>
          <w:sz w:val="22"/>
        </w:rPr>
        <w:t> </w:t>
      </w:r>
      <w:r>
        <w:rPr>
          <w:sz w:val="22"/>
        </w:rPr>
        <w:t>decisiones</w:t>
      </w:r>
      <w:r>
        <w:rPr>
          <w:spacing w:val="-13"/>
          <w:sz w:val="22"/>
        </w:rPr>
        <w:t> </w:t>
      </w:r>
      <w:r>
        <w:rPr>
          <w:sz w:val="22"/>
        </w:rPr>
        <w:t>en</w:t>
      </w:r>
      <w:r>
        <w:rPr>
          <w:spacing w:val="-16"/>
          <w:sz w:val="22"/>
        </w:rPr>
        <w:t> </w:t>
      </w:r>
      <w:r>
        <w:rPr>
          <w:sz w:val="22"/>
        </w:rPr>
        <w:t>materia</w:t>
      </w:r>
      <w:r>
        <w:rPr>
          <w:spacing w:val="-14"/>
          <w:sz w:val="22"/>
        </w:rPr>
        <w:t> </w:t>
      </w:r>
      <w:r>
        <w:rPr>
          <w:sz w:val="22"/>
        </w:rPr>
        <w:t>económica</w:t>
      </w:r>
      <w:r>
        <w:rPr>
          <w:spacing w:val="-16"/>
          <w:sz w:val="22"/>
        </w:rPr>
        <w:t> </w:t>
      </w:r>
      <w:r>
        <w:rPr>
          <w:sz w:val="22"/>
        </w:rPr>
        <w:t>y</w:t>
      </w:r>
      <w:r>
        <w:rPr>
          <w:spacing w:val="-16"/>
          <w:sz w:val="22"/>
        </w:rPr>
        <w:t> </w:t>
      </w:r>
      <w:r>
        <w:rPr>
          <w:sz w:val="22"/>
        </w:rPr>
        <w:t>social. Es decir, la descentralización pretende incentivar el desarrollo regional, con base en los recursos económicos y con los mecanismos de fomento existentes en los ámbitos nacional e internacional (Ramos,</w:t>
      </w:r>
      <w:r>
        <w:rPr>
          <w:spacing w:val="-13"/>
          <w:sz w:val="22"/>
        </w:rPr>
        <w:t> </w:t>
      </w:r>
      <w:r>
        <w:rPr>
          <w:sz w:val="22"/>
        </w:rPr>
        <w:t>1999:12).</w:t>
      </w:r>
    </w:p>
    <w:p>
      <w:pPr>
        <w:pStyle w:val="BodyText"/>
        <w:rPr>
          <w:sz w:val="22"/>
        </w:rPr>
      </w:pPr>
    </w:p>
    <w:p>
      <w:pPr>
        <w:pStyle w:val="BodyText"/>
        <w:rPr>
          <w:sz w:val="22"/>
        </w:rPr>
      </w:pPr>
    </w:p>
    <w:p>
      <w:pPr>
        <w:pStyle w:val="BodyText"/>
        <w:spacing w:line="360" w:lineRule="auto" w:before="148"/>
        <w:ind w:left="102" w:right="115"/>
        <w:jc w:val="both"/>
      </w:pPr>
      <w:r>
        <w:rPr/>
        <w:t>Las relaciones federales y el proceso de transferencia de responsabilidades se desarrolla a través de las RIGs, que son los ámbitos de interrelación entre los actores de los distintos órdenes gubernamentales en la definición y desarrollo de políticas públicas. Las políticas intergubernamentales se efectúan por medio de mecanismos y estrategias de negociación, cooperación y coordinación entre los actores subnacionales y los actores centrales. Las RIGs permiten teóricamente, un mejor desarrollo de las políticas en las cuales tienen injerencia los ámbitos de gobierno, siendo que cuentan con mecanismos donde existen los elementos que permiten la discusión y concreción de política públicas. “Un rasgo esencial de las RIGs es la negociación política que generalmente ha predominado por encima de las consideraciones administrativas, básicamente porque en todo proceso de decisiones existe un componente político que condiciona el desarrollo de las decisiones” (Ramos, 1999:13).</w:t>
      </w:r>
    </w:p>
    <w:p>
      <w:pPr>
        <w:pStyle w:val="BodyText"/>
        <w:spacing w:line="360" w:lineRule="auto" w:before="204"/>
        <w:ind w:left="102" w:right="116"/>
        <w:jc w:val="both"/>
      </w:pPr>
      <w:r>
        <w:rPr/>
        <w:t>Las Eelaciones Intergubernamentales (RIGs), son los vínculos de coordinación, cooperación, apoyo mutuo e intercambio de acciones que se dan entre dos o más instancias  de  gobierno.  “El  término  ‘relaciones  intergubernamentales’  (RIG) se</w:t>
      </w:r>
    </w:p>
    <w:p>
      <w:pPr>
        <w:spacing w:after="0" w:line="360" w:lineRule="auto"/>
        <w:jc w:val="both"/>
        <w:sectPr>
          <w:pgSz w:w="12240" w:h="15840"/>
          <w:pgMar w:header="0" w:footer="992" w:top="1360" w:bottom="1180" w:left="1600" w:right="1580"/>
        </w:sectPr>
      </w:pPr>
    </w:p>
    <w:p>
      <w:pPr>
        <w:pStyle w:val="BodyText"/>
        <w:spacing w:line="360" w:lineRule="auto" w:before="54"/>
        <w:ind w:left="102" w:right="113"/>
        <w:jc w:val="both"/>
      </w:pPr>
      <w:r>
        <w:rPr/>
        <w:t>originó en los Estados Unidos durante el decenio de 1930. Entre los participantes de las RIGs incluye a varios funcionarios públicos y a los ciudadanos. La variedad de funcionarios abarca desde presidentes y gobernadores, hasta alcaldes y administradores de ciudades” (Wright, 1997:55).</w:t>
      </w:r>
    </w:p>
    <w:p>
      <w:pPr>
        <w:pStyle w:val="BodyText"/>
        <w:spacing w:line="360" w:lineRule="auto" w:before="204"/>
        <w:ind w:left="102" w:right="115"/>
        <w:jc w:val="both"/>
      </w:pPr>
      <w:r>
        <w:rPr/>
        <w:t>Ahora bien, para hablar de las relaciones intergubernamentales, Wright (1997) plantea las siguientes preguntas:</w:t>
      </w:r>
    </w:p>
    <w:p>
      <w:pPr>
        <w:pStyle w:val="BodyText"/>
        <w:spacing w:line="360" w:lineRule="auto" w:before="204"/>
        <w:ind w:left="102" w:right="122"/>
        <w:jc w:val="both"/>
      </w:pPr>
      <w:r>
        <w:rPr/>
        <w:t>¿Quién?</w:t>
      </w:r>
      <w:r>
        <w:rPr>
          <w:spacing w:val="-11"/>
        </w:rPr>
        <w:t> </w:t>
      </w:r>
      <w:r>
        <w:rPr/>
        <w:t>Las</w:t>
      </w:r>
      <w:r>
        <w:rPr>
          <w:spacing w:val="-9"/>
        </w:rPr>
        <w:t> </w:t>
      </w:r>
      <w:r>
        <w:rPr/>
        <w:t>RIGs</w:t>
      </w:r>
      <w:r>
        <w:rPr>
          <w:spacing w:val="-9"/>
        </w:rPr>
        <w:t> </w:t>
      </w:r>
      <w:r>
        <w:rPr/>
        <w:t>incluyen</w:t>
      </w:r>
      <w:r>
        <w:rPr>
          <w:spacing w:val="-8"/>
        </w:rPr>
        <w:t> </w:t>
      </w:r>
      <w:r>
        <w:rPr/>
        <w:t>a</w:t>
      </w:r>
      <w:r>
        <w:rPr>
          <w:spacing w:val="-8"/>
        </w:rPr>
        <w:t> </w:t>
      </w:r>
      <w:r>
        <w:rPr/>
        <w:t>la</w:t>
      </w:r>
      <w:r>
        <w:rPr>
          <w:spacing w:val="-9"/>
        </w:rPr>
        <w:t> </w:t>
      </w:r>
      <w:r>
        <w:rPr/>
        <w:t>vez</w:t>
      </w:r>
      <w:r>
        <w:rPr>
          <w:spacing w:val="-12"/>
        </w:rPr>
        <w:t> </w:t>
      </w:r>
      <w:r>
        <w:rPr/>
        <w:t>ciudadanos</w:t>
      </w:r>
      <w:r>
        <w:rPr>
          <w:spacing w:val="-9"/>
        </w:rPr>
        <w:t> </w:t>
      </w:r>
      <w:r>
        <w:rPr/>
        <w:t>y</w:t>
      </w:r>
      <w:r>
        <w:rPr>
          <w:spacing w:val="-12"/>
        </w:rPr>
        <w:t> </w:t>
      </w:r>
      <w:r>
        <w:rPr/>
        <w:t>a</w:t>
      </w:r>
      <w:r>
        <w:rPr>
          <w:spacing w:val="-8"/>
        </w:rPr>
        <w:t> </w:t>
      </w:r>
      <w:r>
        <w:rPr/>
        <w:t>funcionarios</w:t>
      </w:r>
      <w:r>
        <w:rPr>
          <w:spacing w:val="-9"/>
        </w:rPr>
        <w:t> </w:t>
      </w:r>
      <w:r>
        <w:rPr/>
        <w:t>públicos,</w:t>
      </w:r>
      <w:r>
        <w:rPr>
          <w:spacing w:val="-9"/>
        </w:rPr>
        <w:t> </w:t>
      </w:r>
      <w:r>
        <w:rPr/>
        <w:t>así</w:t>
      </w:r>
      <w:r>
        <w:rPr>
          <w:spacing w:val="-11"/>
        </w:rPr>
        <w:t> </w:t>
      </w:r>
      <w:r>
        <w:rPr/>
        <w:t>como a entidades gubernamentales de todos tamaños, tipos y</w:t>
      </w:r>
      <w:r>
        <w:rPr>
          <w:spacing w:val="-24"/>
        </w:rPr>
        <w:t> </w:t>
      </w:r>
      <w:r>
        <w:rPr/>
        <w:t>ubicaciones.</w:t>
      </w:r>
    </w:p>
    <w:p>
      <w:pPr>
        <w:pStyle w:val="BodyText"/>
        <w:spacing w:line="360" w:lineRule="auto" w:before="205"/>
        <w:ind w:left="102" w:right="125"/>
        <w:jc w:val="both"/>
      </w:pPr>
      <w:r>
        <w:rPr/>
        <w:t>¿Dónde? Las RIGs se encuentran por doquier en nuestros sistemas político y administrativo.</w:t>
      </w:r>
    </w:p>
    <w:p>
      <w:pPr>
        <w:pStyle w:val="BodyText"/>
        <w:spacing w:line="360" w:lineRule="auto" w:before="204"/>
        <w:ind w:left="102" w:right="116"/>
        <w:jc w:val="both"/>
      </w:pPr>
      <w:r>
        <w:rPr/>
        <w:t>¿Cuándo? Las RIGs son actuales y enfocan cuestiones criticas de las políticas públicas; pero las RIG también tienen hondas raíces en el pasado y tendrán consecuencias importantes sobre cómo se enfrentan los problemas futuros de la actividad del gobierno.</w:t>
      </w:r>
    </w:p>
    <w:p>
      <w:pPr>
        <w:pStyle w:val="BodyText"/>
        <w:spacing w:line="360" w:lineRule="auto" w:before="204"/>
        <w:ind w:left="102" w:right="116" w:firstLine="67"/>
        <w:jc w:val="both"/>
      </w:pPr>
      <w:r>
        <w:rPr/>
        <w:t>¿Qué? Es decir: ¿Cómo se pueden definir sistemáticamente las RIG? Willian Anderson</w:t>
      </w:r>
      <w:r>
        <w:rPr>
          <w:spacing w:val="-9"/>
        </w:rPr>
        <w:t> </w:t>
      </w:r>
      <w:r>
        <w:rPr/>
        <w:t>las</w:t>
      </w:r>
      <w:r>
        <w:rPr>
          <w:spacing w:val="-10"/>
        </w:rPr>
        <w:t> </w:t>
      </w:r>
      <w:r>
        <w:rPr/>
        <w:t>definió</w:t>
      </w:r>
      <w:r>
        <w:rPr>
          <w:spacing w:val="-9"/>
        </w:rPr>
        <w:t> </w:t>
      </w:r>
      <w:r>
        <w:rPr/>
        <w:t>como</w:t>
      </w:r>
      <w:r>
        <w:rPr>
          <w:spacing w:val="-9"/>
        </w:rPr>
        <w:t> </w:t>
      </w:r>
      <w:r>
        <w:rPr/>
        <w:t>un</w:t>
      </w:r>
      <w:r>
        <w:rPr>
          <w:spacing w:val="-9"/>
        </w:rPr>
        <w:t> </w:t>
      </w:r>
      <w:r>
        <w:rPr/>
        <w:t>importante</w:t>
      </w:r>
      <w:r>
        <w:rPr>
          <w:spacing w:val="-9"/>
        </w:rPr>
        <w:t> </w:t>
      </w:r>
      <w:r>
        <w:rPr/>
        <w:t>cuerpo</w:t>
      </w:r>
      <w:r>
        <w:rPr>
          <w:spacing w:val="-9"/>
        </w:rPr>
        <w:t> </w:t>
      </w:r>
      <w:r>
        <w:rPr/>
        <w:t>de</w:t>
      </w:r>
      <w:r>
        <w:rPr>
          <w:spacing w:val="-12"/>
        </w:rPr>
        <w:t> </w:t>
      </w:r>
      <w:r>
        <w:rPr/>
        <w:t>actividades</w:t>
      </w:r>
      <w:r>
        <w:rPr>
          <w:spacing w:val="-10"/>
        </w:rPr>
        <w:t> </w:t>
      </w:r>
      <w:r>
        <w:rPr/>
        <w:t>o</w:t>
      </w:r>
      <w:r>
        <w:rPr>
          <w:spacing w:val="-5"/>
        </w:rPr>
        <w:t> </w:t>
      </w:r>
      <w:r>
        <w:rPr/>
        <w:t>interacciones</w:t>
      </w:r>
      <w:r>
        <w:rPr>
          <w:spacing w:val="-10"/>
        </w:rPr>
        <w:t> </w:t>
      </w:r>
      <w:r>
        <w:rPr/>
        <w:t>que ocurren entre las unidades gubernamentales de todos tipos y niveles dentro del sistema</w:t>
      </w:r>
      <w:r>
        <w:rPr>
          <w:spacing w:val="-4"/>
        </w:rPr>
        <w:t> </w:t>
      </w:r>
      <w:r>
        <w:rPr/>
        <w:t>federal.</w:t>
      </w:r>
    </w:p>
    <w:p>
      <w:pPr>
        <w:pStyle w:val="BodyText"/>
        <w:spacing w:line="360" w:lineRule="auto" w:before="204"/>
        <w:ind w:left="102" w:right="115"/>
        <w:jc w:val="both"/>
      </w:pPr>
      <w:r>
        <w:rPr/>
        <w:t>Como término, las relaciones intergubernamentales se originaron en la década de los treinta con la llegada del New Deal y el esfuerzo general del gobierno nacional por combatir el caos económico y social que había causado la Gran Depresión. De este modo, las RIGs tenían que ver con las políticas; con escoger ciertas acciones y evaluar sus efectos prácticos. Luego entonces “las RIGs se define como los vínculos de coordinación, cooperación, apoyo mutuo intercambio de acciones que se</w:t>
      </w:r>
      <w:r>
        <w:rPr>
          <w:spacing w:val="-6"/>
        </w:rPr>
        <w:t> </w:t>
      </w:r>
      <w:r>
        <w:rPr/>
        <w:t>dan</w:t>
      </w:r>
      <w:r>
        <w:rPr>
          <w:spacing w:val="-8"/>
        </w:rPr>
        <w:t> </w:t>
      </w:r>
      <w:r>
        <w:rPr/>
        <w:t>entre</w:t>
      </w:r>
      <w:r>
        <w:rPr>
          <w:spacing w:val="-9"/>
        </w:rPr>
        <w:t> </w:t>
      </w:r>
      <w:r>
        <w:rPr/>
        <w:t>dos</w:t>
      </w:r>
      <w:r>
        <w:rPr>
          <w:spacing w:val="-9"/>
        </w:rPr>
        <w:t> </w:t>
      </w:r>
      <w:r>
        <w:rPr/>
        <w:t>o</w:t>
      </w:r>
      <w:r>
        <w:rPr>
          <w:spacing w:val="-9"/>
        </w:rPr>
        <w:t> </w:t>
      </w:r>
      <w:r>
        <w:rPr/>
        <w:t>más</w:t>
      </w:r>
      <w:r>
        <w:rPr>
          <w:spacing w:val="-6"/>
        </w:rPr>
        <w:t> </w:t>
      </w:r>
      <w:r>
        <w:rPr/>
        <w:t>instancias</w:t>
      </w:r>
      <w:r>
        <w:rPr>
          <w:spacing w:val="-9"/>
        </w:rPr>
        <w:t> </w:t>
      </w:r>
      <w:r>
        <w:rPr/>
        <w:t>de</w:t>
      </w:r>
      <w:r>
        <w:rPr>
          <w:spacing w:val="-8"/>
        </w:rPr>
        <w:t> </w:t>
      </w:r>
      <w:r>
        <w:rPr/>
        <w:t>gobierno,</w:t>
      </w:r>
      <w:r>
        <w:rPr>
          <w:spacing w:val="-9"/>
        </w:rPr>
        <w:t> </w:t>
      </w:r>
      <w:r>
        <w:rPr/>
        <w:t>a</w:t>
      </w:r>
      <w:r>
        <w:rPr>
          <w:spacing w:val="-6"/>
        </w:rPr>
        <w:t> </w:t>
      </w:r>
      <w:r>
        <w:rPr/>
        <w:t>su</w:t>
      </w:r>
      <w:r>
        <w:rPr>
          <w:spacing w:val="-6"/>
        </w:rPr>
        <w:t> </w:t>
      </w:r>
      <w:r>
        <w:rPr/>
        <w:t>vez</w:t>
      </w:r>
      <w:r>
        <w:rPr>
          <w:spacing w:val="-9"/>
        </w:rPr>
        <w:t> </w:t>
      </w:r>
      <w:r>
        <w:rPr/>
        <w:t>también</w:t>
      </w:r>
      <w:r>
        <w:rPr>
          <w:spacing w:val="-8"/>
        </w:rPr>
        <w:t> </w:t>
      </w:r>
      <w:r>
        <w:rPr/>
        <w:t>se</w:t>
      </w:r>
      <w:r>
        <w:rPr>
          <w:spacing w:val="-8"/>
        </w:rPr>
        <w:t> </w:t>
      </w:r>
      <w:r>
        <w:rPr/>
        <w:t>conciben</w:t>
      </w:r>
      <w:r>
        <w:rPr>
          <w:spacing w:val="-6"/>
        </w:rPr>
        <w:t> </w:t>
      </w:r>
      <w:r>
        <w:rPr/>
        <w:t>como mecanismos legales de colaboración acordada, pactada o convenida, por eso el camino imperativo de las RIG es la negociación” (Hernández:</w:t>
      </w:r>
      <w:r>
        <w:rPr>
          <w:spacing w:val="-19"/>
        </w:rPr>
        <w:t> </w:t>
      </w:r>
      <w:r>
        <w:rPr/>
        <w:t>2006:3).</w:t>
      </w:r>
    </w:p>
    <w:p>
      <w:pPr>
        <w:pStyle w:val="Heading2"/>
        <w:spacing w:before="204"/>
        <w:ind w:left="2385"/>
        <w:jc w:val="left"/>
      </w:pPr>
      <w:r>
        <w:rPr/>
        <w:t>Cuadro 3. Características de las RIGs</w:t>
      </w:r>
    </w:p>
    <w:p>
      <w:pPr>
        <w:spacing w:after="0"/>
        <w:jc w:val="left"/>
        <w:sectPr>
          <w:pgSz w:w="12240" w:h="15840"/>
          <w:pgMar w:header="0" w:footer="992" w:top="1360" w:bottom="1180" w:left="1600" w:right="15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68"/>
        <w:gridCol w:w="1725"/>
        <w:gridCol w:w="1571"/>
        <w:gridCol w:w="1769"/>
        <w:gridCol w:w="2249"/>
      </w:tblGrid>
      <w:tr>
        <w:trPr>
          <w:trHeight w:val="1468" w:hRule="exact"/>
        </w:trPr>
        <w:tc>
          <w:tcPr>
            <w:tcW w:w="1868" w:type="dxa"/>
            <w:shd w:val="clear" w:color="auto" w:fill="000000"/>
          </w:tcPr>
          <w:p>
            <w:pPr>
              <w:pStyle w:val="TableParagraph"/>
              <w:spacing w:before="5"/>
              <w:ind w:left="127" w:right="117"/>
              <w:jc w:val="center"/>
              <w:rPr>
                <w:b/>
                <w:sz w:val="18"/>
              </w:rPr>
            </w:pPr>
            <w:r>
              <w:rPr>
                <w:b/>
                <w:color w:val="FFFFFF"/>
                <w:sz w:val="18"/>
              </w:rPr>
              <w:t>Número y variedad de las unidades gubernamentales (Elemento legal)</w:t>
            </w:r>
          </w:p>
        </w:tc>
        <w:tc>
          <w:tcPr>
            <w:tcW w:w="1725" w:type="dxa"/>
            <w:shd w:val="clear" w:color="auto" w:fill="000000"/>
          </w:tcPr>
          <w:p>
            <w:pPr>
              <w:pStyle w:val="TableParagraph"/>
              <w:spacing w:before="5"/>
              <w:ind w:left="326" w:right="285" w:firstLine="5"/>
              <w:jc w:val="center"/>
              <w:rPr>
                <w:b/>
                <w:sz w:val="18"/>
              </w:rPr>
            </w:pPr>
            <w:r>
              <w:rPr>
                <w:b/>
                <w:color w:val="FFFFFF"/>
                <w:sz w:val="18"/>
              </w:rPr>
              <w:t>Número y variedad de funcionarios públicos que intervienen (Elemento humano)</w:t>
            </w:r>
          </w:p>
        </w:tc>
        <w:tc>
          <w:tcPr>
            <w:tcW w:w="1571" w:type="dxa"/>
            <w:shd w:val="clear" w:color="auto" w:fill="000000"/>
          </w:tcPr>
          <w:p>
            <w:pPr>
              <w:pStyle w:val="TableParagraph"/>
              <w:spacing w:before="5"/>
              <w:ind w:left="190" w:right="137" w:firstLine="9"/>
              <w:jc w:val="center"/>
              <w:rPr>
                <w:b/>
                <w:sz w:val="18"/>
              </w:rPr>
            </w:pPr>
            <w:r>
              <w:rPr>
                <w:b/>
                <w:color w:val="FFFFFF"/>
                <w:sz w:val="18"/>
              </w:rPr>
              <w:t>Intensidad y regularidad de los contactos entre los funcionarios (interacciones constantes)</w:t>
            </w:r>
          </w:p>
        </w:tc>
        <w:tc>
          <w:tcPr>
            <w:tcW w:w="1769" w:type="dxa"/>
            <w:shd w:val="clear" w:color="auto" w:fill="000000"/>
          </w:tcPr>
          <w:p>
            <w:pPr>
              <w:pStyle w:val="TableParagraph"/>
              <w:spacing w:before="5"/>
              <w:ind w:left="139" w:right="108" w:firstLine="3"/>
              <w:jc w:val="center"/>
              <w:rPr>
                <w:b/>
                <w:sz w:val="18"/>
              </w:rPr>
            </w:pPr>
            <w:r>
              <w:rPr>
                <w:b/>
                <w:color w:val="FFFFFF"/>
                <w:sz w:val="18"/>
              </w:rPr>
              <w:t>Importancia de las acciones y las actitudes de los funcionarios (Participación en la toma de decisiones)</w:t>
            </w:r>
          </w:p>
        </w:tc>
        <w:tc>
          <w:tcPr>
            <w:tcW w:w="2249" w:type="dxa"/>
            <w:shd w:val="clear" w:color="auto" w:fill="000000"/>
          </w:tcPr>
          <w:p>
            <w:pPr>
              <w:pStyle w:val="TableParagraph"/>
              <w:spacing w:before="5"/>
              <w:ind w:left="184" w:right="181"/>
              <w:jc w:val="center"/>
              <w:rPr>
                <w:b/>
                <w:sz w:val="18"/>
              </w:rPr>
            </w:pPr>
            <w:r>
              <w:rPr>
                <w:b/>
                <w:color w:val="FFFFFF"/>
                <w:sz w:val="18"/>
              </w:rPr>
              <w:t>Preocupación por cuestiones de política financiera (intecciones y acciones/inaccioes)</w:t>
            </w:r>
          </w:p>
        </w:tc>
      </w:tr>
      <w:tr>
        <w:trPr>
          <w:trHeight w:val="3334" w:hRule="exact"/>
        </w:trPr>
        <w:tc>
          <w:tcPr>
            <w:tcW w:w="1868" w:type="dxa"/>
            <w:tcBorders>
              <w:top w:val="single" w:sz="8" w:space="0" w:color="000000"/>
              <w:left w:val="single" w:sz="8" w:space="0" w:color="000000"/>
              <w:bottom w:val="single" w:sz="8" w:space="0" w:color="000000"/>
            </w:tcBorders>
          </w:tcPr>
          <w:p>
            <w:pPr>
              <w:pStyle w:val="TableParagraph"/>
              <w:spacing w:before="1"/>
              <w:ind w:left="98" w:right="207"/>
              <w:rPr>
                <w:sz w:val="18"/>
              </w:rPr>
            </w:pPr>
            <w:r>
              <w:rPr>
                <w:sz w:val="18"/>
              </w:rPr>
              <w:t>Nacionales Estatales Condados Municipios  Distritos escolares Distritos especiales localidades</w:t>
            </w:r>
          </w:p>
        </w:tc>
        <w:tc>
          <w:tcPr>
            <w:tcW w:w="1725" w:type="dxa"/>
            <w:tcBorders>
              <w:top w:val="single" w:sz="8" w:space="0" w:color="000000"/>
              <w:bottom w:val="single" w:sz="8" w:space="0" w:color="000000"/>
            </w:tcBorders>
          </w:tcPr>
          <w:p>
            <w:pPr>
              <w:pStyle w:val="TableParagraph"/>
              <w:spacing w:before="1"/>
              <w:ind w:left="119" w:right="115"/>
              <w:rPr>
                <w:sz w:val="18"/>
              </w:rPr>
            </w:pPr>
            <w:r>
              <w:rPr>
                <w:sz w:val="18"/>
              </w:rPr>
              <w:t>Comportamiento enfocado a un fin Percepciones de otros participantes</w:t>
            </w:r>
          </w:p>
        </w:tc>
        <w:tc>
          <w:tcPr>
            <w:tcW w:w="1571" w:type="dxa"/>
            <w:tcBorders>
              <w:top w:val="single" w:sz="8" w:space="0" w:color="000000"/>
              <w:bottom w:val="single" w:sz="8" w:space="0" w:color="000000"/>
            </w:tcBorders>
          </w:tcPr>
          <w:p>
            <w:pPr>
              <w:pStyle w:val="TableParagraph"/>
              <w:spacing w:before="1"/>
              <w:ind w:left="134" w:right="205"/>
              <w:rPr>
                <w:sz w:val="18"/>
              </w:rPr>
            </w:pPr>
            <w:r>
              <w:rPr>
                <w:sz w:val="18"/>
              </w:rPr>
              <w:t>Contactos cotidianos Relaciones prácticas de trabajo Continuidad de pautas de acción</w:t>
            </w:r>
          </w:p>
        </w:tc>
        <w:tc>
          <w:tcPr>
            <w:tcW w:w="1769" w:type="dxa"/>
            <w:tcBorders>
              <w:top w:val="single" w:sz="8" w:space="0" w:color="000000"/>
              <w:bottom w:val="single" w:sz="8" w:space="0" w:color="000000"/>
            </w:tcBorders>
          </w:tcPr>
          <w:p>
            <w:pPr>
              <w:pStyle w:val="TableParagraph"/>
              <w:spacing w:before="1"/>
              <w:ind w:left="139" w:right="178"/>
              <w:rPr>
                <w:sz w:val="18"/>
              </w:rPr>
            </w:pPr>
            <w:r>
              <w:rPr>
                <w:sz w:val="18"/>
              </w:rPr>
              <w:t>Funcionarios elegidos: legisladores, ejecutivos, jueces Funcionarios nombrados: administradores, gerentes, jefes de depto, personal</w:t>
            </w:r>
          </w:p>
        </w:tc>
        <w:tc>
          <w:tcPr>
            <w:tcW w:w="2249" w:type="dxa"/>
            <w:tcBorders>
              <w:top w:val="single" w:sz="8" w:space="0" w:color="000000"/>
              <w:bottom w:val="single" w:sz="8" w:space="0" w:color="000000"/>
              <w:right w:val="single" w:sz="8" w:space="0" w:color="000000"/>
            </w:tcBorders>
          </w:tcPr>
          <w:p>
            <w:pPr>
              <w:pStyle w:val="TableParagraph"/>
              <w:tabs>
                <w:tab w:pos="1271" w:val="left" w:leader="none"/>
              </w:tabs>
              <w:spacing w:before="1"/>
              <w:ind w:left="110" w:right="96"/>
              <w:rPr>
                <w:sz w:val="18"/>
              </w:rPr>
            </w:pPr>
            <w:r>
              <w:rPr>
                <w:sz w:val="18"/>
              </w:rPr>
              <w:t>Ingresos:</w:t>
              <w:tab/>
              <w:t>impuestos, ingreso intergubernamental, gasto</w:t>
            </w:r>
            <w:r>
              <w:rPr>
                <w:spacing w:val="-4"/>
                <w:sz w:val="18"/>
              </w:rPr>
              <w:t> </w:t>
            </w:r>
            <w:r>
              <w:rPr>
                <w:sz w:val="18"/>
              </w:rPr>
              <w:t>fiscal</w:t>
            </w:r>
          </w:p>
          <w:p>
            <w:pPr>
              <w:pStyle w:val="TableParagraph"/>
              <w:tabs>
                <w:tab w:pos="1136" w:val="left" w:leader="none"/>
                <w:tab w:pos="1192" w:val="left" w:leader="none"/>
                <w:tab w:pos="1501" w:val="left" w:leader="none"/>
                <w:tab w:pos="1570" w:val="left" w:leader="none"/>
                <w:tab w:pos="1611" w:val="left" w:leader="none"/>
              </w:tabs>
              <w:ind w:left="110" w:right="96"/>
              <w:rPr>
                <w:sz w:val="18"/>
              </w:rPr>
            </w:pPr>
            <w:r>
              <w:rPr>
                <w:sz w:val="18"/>
              </w:rPr>
              <w:t>Gastos:</w:t>
              <w:tab/>
              <w:tab/>
              <w:tab/>
              <w:tab/>
              <w:tab/>
              <w:t>gastos funcionales, impactos de la ayuda federal Préstamos</w:t>
              <w:tab/>
              <w:tab/>
              <w:t>y</w:t>
              <w:tab/>
              <w:t>deudas: mercados</w:t>
              <w:tab/>
              <w:t>de</w:t>
              <w:tab/>
              <w:tab/>
              <w:t>capital, crisis financiera Formulación y aplicación de</w:t>
            </w:r>
            <w:r>
              <w:rPr>
                <w:spacing w:val="-6"/>
                <w:sz w:val="18"/>
              </w:rPr>
              <w:t> </w:t>
            </w:r>
            <w:r>
              <w:rPr>
                <w:sz w:val="18"/>
              </w:rPr>
              <w:t>políticas</w:t>
            </w:r>
          </w:p>
          <w:p>
            <w:pPr>
              <w:pStyle w:val="TableParagraph"/>
              <w:spacing w:before="2"/>
              <w:ind w:left="110" w:right="97"/>
              <w:jc w:val="both"/>
              <w:rPr>
                <w:sz w:val="18"/>
              </w:rPr>
            </w:pPr>
            <w:r>
              <w:rPr>
                <w:sz w:val="18"/>
              </w:rPr>
              <w:t>Contenido de las políticas: cuestiones distributivas, regulatorias y redistributivas</w:t>
            </w:r>
          </w:p>
        </w:tc>
      </w:tr>
    </w:tbl>
    <w:p>
      <w:pPr>
        <w:spacing w:before="4"/>
        <w:ind w:left="102" w:right="0" w:firstLine="0"/>
        <w:jc w:val="both"/>
        <w:rPr>
          <w:sz w:val="20"/>
        </w:rPr>
      </w:pPr>
      <w:r>
        <w:rPr>
          <w:b/>
          <w:sz w:val="20"/>
        </w:rPr>
        <w:t>Fuente: </w:t>
      </w:r>
      <w:r>
        <w:rPr>
          <w:sz w:val="20"/>
        </w:rPr>
        <w:t>Elaboración propia con base en  Wright (1997).</w:t>
      </w:r>
    </w:p>
    <w:p>
      <w:pPr>
        <w:pStyle w:val="BodyText"/>
        <w:spacing w:before="5"/>
        <w:rPr>
          <w:sz w:val="27"/>
        </w:rPr>
      </w:pPr>
    </w:p>
    <w:p>
      <w:pPr>
        <w:pStyle w:val="BodyText"/>
        <w:spacing w:line="360" w:lineRule="auto"/>
        <w:ind w:left="102" w:right="475"/>
        <w:jc w:val="both"/>
      </w:pPr>
      <w:r>
        <w:rPr/>
        <w:t>Derivado del cuadro 3, habría que hacer una distinción antes de continuar sobre el término federalismo y las RIGs, debido a que podrian confundirse con sus definiciones; el federalismo ha sido un término común de gran significado político en el cual se tiene que subrayar, que cuando hablan de esté concepto se alude a las</w:t>
      </w:r>
      <w:r>
        <w:rPr>
          <w:spacing w:val="-16"/>
        </w:rPr>
        <w:t> </w:t>
      </w:r>
      <w:r>
        <w:rPr/>
        <w:t>relaciones</w:t>
      </w:r>
      <w:r>
        <w:rPr>
          <w:spacing w:val="-19"/>
        </w:rPr>
        <w:t> </w:t>
      </w:r>
      <w:r>
        <w:rPr/>
        <w:t>estatales-nacionales,</w:t>
      </w:r>
      <w:r>
        <w:rPr>
          <w:spacing w:val="-16"/>
        </w:rPr>
        <w:t> </w:t>
      </w:r>
      <w:r>
        <w:rPr/>
        <w:t>en</w:t>
      </w:r>
      <w:r>
        <w:rPr>
          <w:spacing w:val="-16"/>
        </w:rPr>
        <w:t> </w:t>
      </w:r>
      <w:r>
        <w:rPr/>
        <w:t>cambio</w:t>
      </w:r>
      <w:r>
        <w:rPr>
          <w:spacing w:val="-16"/>
        </w:rPr>
        <w:t> </w:t>
      </w:r>
      <w:r>
        <w:rPr/>
        <w:t>al</w:t>
      </w:r>
      <w:r>
        <w:rPr>
          <w:spacing w:val="-17"/>
        </w:rPr>
        <w:t> </w:t>
      </w:r>
      <w:r>
        <w:rPr/>
        <w:t>tratar</w:t>
      </w:r>
      <w:r>
        <w:rPr>
          <w:spacing w:val="-17"/>
        </w:rPr>
        <w:t> </w:t>
      </w:r>
      <w:r>
        <w:rPr/>
        <w:t>con</w:t>
      </w:r>
      <w:r>
        <w:rPr>
          <w:spacing w:val="-16"/>
        </w:rPr>
        <w:t> </w:t>
      </w:r>
      <w:r>
        <w:rPr/>
        <w:t>las</w:t>
      </w:r>
      <w:r>
        <w:rPr>
          <w:spacing w:val="-12"/>
        </w:rPr>
        <w:t> </w:t>
      </w:r>
      <w:r>
        <w:rPr/>
        <w:t>RIGs</w:t>
      </w:r>
      <w:r>
        <w:rPr>
          <w:spacing w:val="-18"/>
        </w:rPr>
        <w:t> </w:t>
      </w:r>
      <w:r>
        <w:rPr/>
        <w:t>reconoce</w:t>
      </w:r>
      <w:r>
        <w:rPr>
          <w:spacing w:val="-14"/>
        </w:rPr>
        <w:t> </w:t>
      </w:r>
      <w:r>
        <w:rPr/>
        <w:t>todas las relaciones habidas y por haber entre todas las unidades de gobierno dentro del sistema federal; todas aquellas relaciones que nacen del trato en correspondencia con los asuntos de gobierno y asuntos públicos entre los ámbitos federal, estatal y municipal.</w:t>
      </w:r>
    </w:p>
    <w:p>
      <w:pPr>
        <w:pStyle w:val="BodyText"/>
        <w:spacing w:line="360" w:lineRule="auto" w:before="204"/>
        <w:ind w:left="102" w:right="476"/>
        <w:jc w:val="both"/>
      </w:pPr>
      <w:r>
        <w:rPr/>
        <w:t>Siguiendo con las características del cuadro 3 ya expuesto, existen algunos conceptos tales como, unidad gubernamental, discrecionalidad entre otros que son parte importante de las RIGs.</w:t>
      </w:r>
    </w:p>
    <w:p>
      <w:pPr>
        <w:spacing w:before="204"/>
        <w:ind w:left="954" w:right="476" w:firstLine="0"/>
        <w:jc w:val="both"/>
        <w:rPr>
          <w:sz w:val="22"/>
        </w:rPr>
      </w:pPr>
      <w:r>
        <w:rPr>
          <w:sz w:val="22"/>
        </w:rPr>
        <w:t>La unidad de gobierno ha sido definida por la Oficina del Censo de los Estados Unidos como “una entidad organizada que, además de tener carácter gubernamental, tiene suficiente discrecionalidad en la administración de sus propios asuntos para dirigirla como separada de la estructura administrativa de cualquier otra unidad gubernamental. Con discrecionalidad se refiere a la existencia de un grado considerable de autonomía o de independencia al tomar decisiones importantes, especialmente respecto a impuestos y erogaciones (Wright, 1997:73).</w:t>
      </w:r>
    </w:p>
    <w:p>
      <w:pPr>
        <w:spacing w:after="0"/>
        <w:jc w:val="both"/>
        <w:rPr>
          <w:sz w:val="22"/>
        </w:rPr>
        <w:sectPr>
          <w:pgSz w:w="12240" w:h="15840"/>
          <w:pgMar w:header="0" w:footer="992" w:top="1420" w:bottom="1180" w:left="1600" w:right="1220"/>
        </w:sectPr>
      </w:pPr>
    </w:p>
    <w:p>
      <w:pPr>
        <w:pStyle w:val="BodyText"/>
        <w:spacing w:before="11"/>
        <w:rPr>
          <w:sz w:val="25"/>
        </w:rPr>
      </w:pPr>
    </w:p>
    <w:p>
      <w:pPr>
        <w:pStyle w:val="BodyText"/>
        <w:spacing w:line="360" w:lineRule="auto" w:before="69"/>
        <w:ind w:left="102" w:right="115"/>
        <w:jc w:val="both"/>
      </w:pPr>
      <w:r>
        <w:rPr/>
        <w:t>Por</w:t>
      </w:r>
      <w:r>
        <w:rPr>
          <w:spacing w:val="-7"/>
        </w:rPr>
        <w:t> </w:t>
      </w:r>
      <w:r>
        <w:rPr/>
        <w:t>otra</w:t>
      </w:r>
      <w:r>
        <w:rPr>
          <w:spacing w:val="-6"/>
        </w:rPr>
        <w:t> </w:t>
      </w:r>
      <w:r>
        <w:rPr/>
        <w:t>parte</w:t>
      </w:r>
      <w:r>
        <w:rPr>
          <w:spacing w:val="-6"/>
        </w:rPr>
        <w:t> </w:t>
      </w:r>
      <w:r>
        <w:rPr/>
        <w:t>los</w:t>
      </w:r>
      <w:r>
        <w:rPr>
          <w:spacing w:val="-9"/>
        </w:rPr>
        <w:t> </w:t>
      </w:r>
      <w:r>
        <w:rPr/>
        <w:t>funcionarios</w:t>
      </w:r>
      <w:r>
        <w:rPr>
          <w:spacing w:val="-7"/>
        </w:rPr>
        <w:t> </w:t>
      </w:r>
      <w:r>
        <w:rPr/>
        <w:t>públicos</w:t>
      </w:r>
      <w:r>
        <w:rPr>
          <w:spacing w:val="-4"/>
        </w:rPr>
        <w:t> </w:t>
      </w:r>
      <w:r>
        <w:rPr/>
        <w:t>son</w:t>
      </w:r>
      <w:r>
        <w:rPr>
          <w:spacing w:val="-6"/>
        </w:rPr>
        <w:t> </w:t>
      </w:r>
      <w:r>
        <w:rPr/>
        <w:t>el</w:t>
      </w:r>
      <w:r>
        <w:rPr>
          <w:spacing w:val="-10"/>
        </w:rPr>
        <w:t> </w:t>
      </w:r>
      <w:r>
        <w:rPr/>
        <w:t>elemento</w:t>
      </w:r>
      <w:r>
        <w:rPr>
          <w:spacing w:val="-6"/>
        </w:rPr>
        <w:t> </w:t>
      </w:r>
      <w:r>
        <w:rPr/>
        <w:t>humano,</w:t>
      </w:r>
      <w:r>
        <w:rPr>
          <w:spacing w:val="-6"/>
        </w:rPr>
        <w:t> </w:t>
      </w:r>
      <w:r>
        <w:rPr/>
        <w:t>y</w:t>
      </w:r>
      <w:r>
        <w:rPr>
          <w:spacing w:val="-9"/>
        </w:rPr>
        <w:t> </w:t>
      </w:r>
      <w:r>
        <w:rPr/>
        <w:t>son</w:t>
      </w:r>
      <w:r>
        <w:rPr>
          <w:spacing w:val="-6"/>
        </w:rPr>
        <w:t> </w:t>
      </w:r>
      <w:r>
        <w:rPr/>
        <w:t>la</w:t>
      </w:r>
      <w:r>
        <w:rPr>
          <w:spacing w:val="-6"/>
        </w:rPr>
        <w:t> </w:t>
      </w:r>
      <w:r>
        <w:rPr/>
        <w:t>clave</w:t>
      </w:r>
      <w:r>
        <w:rPr>
          <w:spacing w:val="-6"/>
        </w:rPr>
        <w:t> </w:t>
      </w:r>
      <w:r>
        <w:rPr/>
        <w:t>que influye poderosamente en las RIGs, los seres humanos que ejercen un cargo son los verdaderos determinantes de cómo serán las relaciones entre unidades de gobierno.</w:t>
      </w:r>
      <w:r>
        <w:rPr>
          <w:spacing w:val="-7"/>
        </w:rPr>
        <w:t> </w:t>
      </w:r>
      <w:r>
        <w:rPr/>
        <w:t>Por</w:t>
      </w:r>
      <w:r>
        <w:rPr>
          <w:spacing w:val="-8"/>
        </w:rPr>
        <w:t> </w:t>
      </w:r>
      <w:r>
        <w:rPr/>
        <w:t>consiguiente,</w:t>
      </w:r>
      <w:r>
        <w:rPr>
          <w:spacing w:val="-6"/>
        </w:rPr>
        <w:t> </w:t>
      </w:r>
      <w:r>
        <w:rPr/>
        <w:t>“el</w:t>
      </w:r>
      <w:r>
        <w:rPr>
          <w:spacing w:val="-8"/>
        </w:rPr>
        <w:t> </w:t>
      </w:r>
      <w:r>
        <w:rPr/>
        <w:t>concepto</w:t>
      </w:r>
      <w:r>
        <w:rPr>
          <w:spacing w:val="-7"/>
        </w:rPr>
        <w:t> </w:t>
      </w:r>
      <w:r>
        <w:rPr/>
        <w:t>de</w:t>
      </w:r>
      <w:r>
        <w:rPr>
          <w:spacing w:val="-9"/>
        </w:rPr>
        <w:t> </w:t>
      </w:r>
      <w:r>
        <w:rPr/>
        <w:t>Relaciones</w:t>
      </w:r>
      <w:r>
        <w:rPr>
          <w:spacing w:val="-8"/>
        </w:rPr>
        <w:t> </w:t>
      </w:r>
      <w:r>
        <w:rPr/>
        <w:t>Intergubernamentales</w:t>
      </w:r>
      <w:r>
        <w:rPr>
          <w:spacing w:val="-7"/>
        </w:rPr>
        <w:t> </w:t>
      </w:r>
      <w:r>
        <w:rPr/>
        <w:t>tiene que formularse, necesariamente, en términos de relaciones humanas y de la conducta humana. Así, estrictamente hablando, no existen relaciones entre gobiernos; solo hay relaciones entre funcionarios que gobiernan diferentes unidades” (Wright:</w:t>
      </w:r>
      <w:r>
        <w:rPr>
          <w:spacing w:val="-9"/>
        </w:rPr>
        <w:t> </w:t>
      </w:r>
      <w:r>
        <w:rPr/>
        <w:t>1997:75).</w:t>
      </w:r>
    </w:p>
    <w:p>
      <w:pPr>
        <w:pStyle w:val="BodyText"/>
        <w:spacing w:line="360" w:lineRule="auto" w:before="202"/>
        <w:ind w:left="102" w:right="115"/>
        <w:jc w:val="both"/>
      </w:pPr>
      <w:r>
        <w:rPr/>
        <w:t>El</w:t>
      </w:r>
      <w:r>
        <w:rPr>
          <w:spacing w:val="-12"/>
        </w:rPr>
        <w:t> </w:t>
      </w:r>
      <w:r>
        <w:rPr/>
        <w:t>tercer</w:t>
      </w:r>
      <w:r>
        <w:rPr>
          <w:spacing w:val="-12"/>
        </w:rPr>
        <w:t> </w:t>
      </w:r>
      <w:r>
        <w:rPr/>
        <w:t>rasgo</w:t>
      </w:r>
      <w:r>
        <w:rPr>
          <w:spacing w:val="-11"/>
        </w:rPr>
        <w:t> </w:t>
      </w:r>
      <w:r>
        <w:rPr/>
        <w:t>distintivo</w:t>
      </w:r>
      <w:r>
        <w:rPr>
          <w:spacing w:val="-11"/>
        </w:rPr>
        <w:t> </w:t>
      </w:r>
      <w:r>
        <w:rPr/>
        <w:t>de</w:t>
      </w:r>
      <w:r>
        <w:rPr>
          <w:spacing w:val="-11"/>
        </w:rPr>
        <w:t> </w:t>
      </w:r>
      <w:r>
        <w:rPr/>
        <w:t>las</w:t>
      </w:r>
      <w:r>
        <w:rPr>
          <w:spacing w:val="-11"/>
        </w:rPr>
        <w:t> </w:t>
      </w:r>
      <w:r>
        <w:rPr/>
        <w:t>RIGs</w:t>
      </w:r>
      <w:r>
        <w:rPr>
          <w:spacing w:val="-14"/>
        </w:rPr>
        <w:t> </w:t>
      </w:r>
      <w:r>
        <w:rPr/>
        <w:t>es</w:t>
      </w:r>
      <w:r>
        <w:rPr>
          <w:spacing w:val="-12"/>
        </w:rPr>
        <w:t> </w:t>
      </w:r>
      <w:r>
        <w:rPr/>
        <w:t>que</w:t>
      </w:r>
      <w:r>
        <w:rPr>
          <w:spacing w:val="-11"/>
        </w:rPr>
        <w:t> </w:t>
      </w:r>
      <w:r>
        <w:rPr/>
        <w:t>las</w:t>
      </w:r>
      <w:r>
        <w:rPr>
          <w:spacing w:val="-12"/>
        </w:rPr>
        <w:t> </w:t>
      </w:r>
      <w:r>
        <w:rPr/>
        <w:t>relaciones</w:t>
      </w:r>
      <w:r>
        <w:rPr>
          <w:spacing w:val="-12"/>
        </w:rPr>
        <w:t> </w:t>
      </w:r>
      <w:r>
        <w:rPr/>
        <w:t>entre</w:t>
      </w:r>
      <w:r>
        <w:rPr>
          <w:spacing w:val="-13"/>
        </w:rPr>
        <w:t> </w:t>
      </w:r>
      <w:r>
        <w:rPr/>
        <w:t>funcionarios</w:t>
      </w:r>
      <w:r>
        <w:rPr>
          <w:spacing w:val="-12"/>
        </w:rPr>
        <w:t> </w:t>
      </w:r>
      <w:r>
        <w:rPr/>
        <w:t>no</w:t>
      </w:r>
      <w:r>
        <w:rPr>
          <w:spacing w:val="-11"/>
        </w:rPr>
        <w:t> </w:t>
      </w:r>
      <w:r>
        <w:rPr/>
        <w:t>son sucesos ocasionales o aislados, no están formalmente ratificados en acuerdos o rígidamente fijados por estatutos o decisiones de tribunales. Las RIGs incluyen los continuos contactos de los funcionarios y los intercambios de información y de opiniones. “Los participantes en las RIGs se preocupan, sobre todo, porque las cosas</w:t>
      </w:r>
      <w:r>
        <w:rPr>
          <w:spacing w:val="-5"/>
        </w:rPr>
        <w:t> </w:t>
      </w:r>
      <w:r>
        <w:rPr/>
        <w:t>se</w:t>
      </w:r>
      <w:r>
        <w:rPr>
          <w:spacing w:val="-6"/>
        </w:rPr>
        <w:t> </w:t>
      </w:r>
      <w:r>
        <w:rPr/>
        <w:t>hagan;</w:t>
      </w:r>
      <w:r>
        <w:rPr>
          <w:spacing w:val="-7"/>
        </w:rPr>
        <w:t> </w:t>
      </w:r>
      <w:r>
        <w:rPr/>
        <w:t>es</w:t>
      </w:r>
      <w:r>
        <w:rPr>
          <w:spacing w:val="-8"/>
        </w:rPr>
        <w:t> </w:t>
      </w:r>
      <w:r>
        <w:rPr/>
        <w:t>decir</w:t>
      </w:r>
      <w:r>
        <w:rPr>
          <w:spacing w:val="-7"/>
        </w:rPr>
        <w:t> </w:t>
      </w:r>
      <w:r>
        <w:rPr/>
        <w:t>por</w:t>
      </w:r>
      <w:r>
        <w:rPr>
          <w:spacing w:val="-6"/>
        </w:rPr>
        <w:t> </w:t>
      </w:r>
      <w:r>
        <w:rPr/>
        <w:t>los</w:t>
      </w:r>
      <w:r>
        <w:rPr>
          <w:spacing w:val="-8"/>
        </w:rPr>
        <w:t> </w:t>
      </w:r>
      <w:r>
        <w:rPr/>
        <w:t>arreglos</w:t>
      </w:r>
      <w:r>
        <w:rPr>
          <w:spacing w:val="-3"/>
        </w:rPr>
        <w:t> </w:t>
      </w:r>
      <w:r>
        <w:rPr/>
        <w:t>informarles,</w:t>
      </w:r>
      <w:r>
        <w:rPr>
          <w:spacing w:val="-7"/>
        </w:rPr>
        <w:t> </w:t>
      </w:r>
      <w:r>
        <w:rPr/>
        <w:t>prácticos</w:t>
      </w:r>
      <w:r>
        <w:rPr>
          <w:spacing w:val="-7"/>
        </w:rPr>
        <w:t> </w:t>
      </w:r>
      <w:r>
        <w:rPr/>
        <w:t>y</w:t>
      </w:r>
      <w:r>
        <w:rPr>
          <w:spacing w:val="-8"/>
        </w:rPr>
        <w:t> </w:t>
      </w:r>
      <w:r>
        <w:rPr/>
        <w:t>orientados</w:t>
      </w:r>
      <w:r>
        <w:rPr>
          <w:spacing w:val="-8"/>
        </w:rPr>
        <w:t> </w:t>
      </w:r>
      <w:r>
        <w:rPr/>
        <w:t>a</w:t>
      </w:r>
      <w:r>
        <w:rPr>
          <w:spacing w:val="-7"/>
        </w:rPr>
        <w:t> </w:t>
      </w:r>
      <w:r>
        <w:rPr/>
        <w:t>unas metas que puedan realizarse dentro del marco formal, jurídico e institucional de los funcionarios” (Wright:</w:t>
      </w:r>
      <w:r>
        <w:rPr>
          <w:spacing w:val="-10"/>
        </w:rPr>
        <w:t> </w:t>
      </w:r>
      <w:r>
        <w:rPr/>
        <w:t>1997:81).</w:t>
      </w:r>
    </w:p>
    <w:p>
      <w:pPr>
        <w:pStyle w:val="BodyText"/>
        <w:spacing w:line="360" w:lineRule="auto" w:before="204"/>
        <w:ind w:left="102" w:right="116"/>
        <w:jc w:val="both"/>
      </w:pPr>
      <w:r>
        <w:rPr/>
        <w:t>La cuarta característica de las RIGs siguiendo con Wright (1997) es que todos los funcionarios</w:t>
      </w:r>
      <w:r>
        <w:rPr>
          <w:spacing w:val="-20"/>
        </w:rPr>
        <w:t> </w:t>
      </w:r>
      <w:r>
        <w:rPr/>
        <w:t>públicos</w:t>
      </w:r>
      <w:r>
        <w:rPr>
          <w:spacing w:val="-20"/>
        </w:rPr>
        <w:t> </w:t>
      </w:r>
      <w:r>
        <w:rPr/>
        <w:t>son</w:t>
      </w:r>
      <w:r>
        <w:rPr>
          <w:spacing w:val="-19"/>
        </w:rPr>
        <w:t> </w:t>
      </w:r>
      <w:r>
        <w:rPr/>
        <w:t>participantes</w:t>
      </w:r>
      <w:r>
        <w:rPr>
          <w:spacing w:val="-20"/>
        </w:rPr>
        <w:t> </w:t>
      </w:r>
      <w:r>
        <w:rPr/>
        <w:t>potenciales</w:t>
      </w:r>
      <w:r>
        <w:rPr>
          <w:spacing w:val="-17"/>
        </w:rPr>
        <w:t> </w:t>
      </w:r>
      <w:r>
        <w:rPr/>
        <w:t>o</w:t>
      </w:r>
      <w:r>
        <w:rPr>
          <w:spacing w:val="-19"/>
        </w:rPr>
        <w:t> </w:t>
      </w:r>
      <w:r>
        <w:rPr/>
        <w:t>reales</w:t>
      </w:r>
      <w:r>
        <w:rPr>
          <w:spacing w:val="-19"/>
        </w:rPr>
        <w:t> </w:t>
      </w:r>
      <w:r>
        <w:rPr/>
        <w:t>en</w:t>
      </w:r>
      <w:r>
        <w:rPr>
          <w:spacing w:val="-17"/>
        </w:rPr>
        <w:t> </w:t>
      </w:r>
      <w:r>
        <w:rPr/>
        <w:t>los</w:t>
      </w:r>
      <w:r>
        <w:rPr>
          <w:spacing w:val="-19"/>
        </w:rPr>
        <w:t> </w:t>
      </w:r>
      <w:r>
        <w:rPr/>
        <w:t>procesos</w:t>
      </w:r>
      <w:r>
        <w:rPr>
          <w:spacing w:val="-20"/>
        </w:rPr>
        <w:t> </w:t>
      </w:r>
      <w:r>
        <w:rPr/>
        <w:t>de</w:t>
      </w:r>
      <w:r>
        <w:rPr>
          <w:spacing w:val="-19"/>
        </w:rPr>
        <w:t> </w:t>
      </w:r>
      <w:r>
        <w:rPr/>
        <w:t>toma de decisiones. De ahí la importancia de estos personajes y que tan importantes e influyentes son en las Relaciones</w:t>
      </w:r>
      <w:r>
        <w:rPr>
          <w:spacing w:val="-17"/>
        </w:rPr>
        <w:t> </w:t>
      </w:r>
      <w:r>
        <w:rPr/>
        <w:t>Intergubernamentales.</w:t>
      </w:r>
    </w:p>
    <w:p>
      <w:pPr>
        <w:pStyle w:val="BodyText"/>
        <w:spacing w:line="360" w:lineRule="auto" w:before="204"/>
        <w:ind w:left="102" w:right="114"/>
        <w:jc w:val="both"/>
      </w:pPr>
      <w:r>
        <w:rPr/>
        <w:t>Entre esos actores influyentes están por un lado los actores nacionales, como presidentes,</w:t>
      </w:r>
      <w:r>
        <w:rPr>
          <w:spacing w:val="-9"/>
        </w:rPr>
        <w:t> </w:t>
      </w:r>
      <w:r>
        <w:rPr/>
        <w:t>senadores,</w:t>
      </w:r>
      <w:r>
        <w:rPr>
          <w:spacing w:val="-6"/>
        </w:rPr>
        <w:t> </w:t>
      </w:r>
      <w:r>
        <w:rPr/>
        <w:t>magistrados,</w:t>
      </w:r>
      <w:r>
        <w:rPr>
          <w:spacing w:val="-9"/>
        </w:rPr>
        <w:t> </w:t>
      </w:r>
      <w:r>
        <w:rPr/>
        <w:t>diputados;</w:t>
      </w:r>
      <w:r>
        <w:rPr>
          <w:spacing w:val="-8"/>
        </w:rPr>
        <w:t> </w:t>
      </w:r>
      <w:r>
        <w:rPr/>
        <w:t>entre</w:t>
      </w:r>
      <w:r>
        <w:rPr>
          <w:spacing w:val="-8"/>
        </w:rPr>
        <w:t> </w:t>
      </w:r>
      <w:r>
        <w:rPr/>
        <w:t>los</w:t>
      </w:r>
      <w:r>
        <w:rPr>
          <w:spacing w:val="-8"/>
        </w:rPr>
        <w:t> </w:t>
      </w:r>
      <w:r>
        <w:rPr/>
        <w:t>actores</w:t>
      </w:r>
      <w:r>
        <w:rPr>
          <w:spacing w:val="-11"/>
        </w:rPr>
        <w:t> </w:t>
      </w:r>
      <w:r>
        <w:rPr/>
        <w:t>estatales</w:t>
      </w:r>
      <w:r>
        <w:rPr>
          <w:spacing w:val="-6"/>
        </w:rPr>
        <w:t> </w:t>
      </w:r>
      <w:r>
        <w:rPr/>
        <w:t>está,</w:t>
      </w:r>
      <w:r>
        <w:rPr>
          <w:spacing w:val="-9"/>
        </w:rPr>
        <w:t> </w:t>
      </w:r>
      <w:r>
        <w:rPr/>
        <w:t>el gobernador, legisladores, personal del poder judicial, jefes de las dependencias administrativas, director de presupuesto y como actores locales; los alcaldes, miembros del ayuntamiento, directores de las oficinas entre otros. Estos son los personajes que desempeñan un cargo y que dan dirección a las RIGs y se podrían seguir nombrando más. Por último y para finalizar con las características; la quinta característica de las RIGs es su componente de políticas. “Las políticas consisten en  interacciones  y  acciones  (o  inacciones)  de  funcionarios  públicos   y      </w:t>
      </w:r>
      <w:r>
        <w:rPr>
          <w:spacing w:val="42"/>
        </w:rPr>
        <w:t> </w:t>
      </w:r>
      <w:r>
        <w:rPr/>
        <w:t>las</w:t>
      </w:r>
    </w:p>
    <w:p>
      <w:pPr>
        <w:spacing w:after="0" w:line="360" w:lineRule="auto"/>
        <w:jc w:val="both"/>
        <w:sectPr>
          <w:footerReference w:type="default" r:id="rId29"/>
          <w:pgSz w:w="12240" w:h="15840"/>
          <w:pgMar w:footer="992" w:header="0" w:top="1500" w:bottom="1180" w:left="1600" w:right="1580"/>
        </w:sectPr>
      </w:pPr>
    </w:p>
    <w:p>
      <w:pPr>
        <w:pStyle w:val="BodyText"/>
        <w:spacing w:line="360" w:lineRule="auto" w:before="54"/>
        <w:ind w:left="102" w:right="116"/>
        <w:jc w:val="both"/>
      </w:pPr>
      <w:r>
        <w:rPr/>
        <w:t>consecuencias de esas acciones. En el marco de las RIGs, las políticas son generadas por interacciones entre todos los funcionarios públicos” (Wright, 1997:84).</w:t>
      </w:r>
    </w:p>
    <w:p>
      <w:pPr>
        <w:pStyle w:val="Heading2"/>
        <w:spacing w:before="204"/>
      </w:pPr>
      <w:r>
        <w:rPr/>
        <w:t>Coordinación Intergubernamental</w:t>
      </w:r>
    </w:p>
    <w:p>
      <w:pPr>
        <w:pStyle w:val="BodyText"/>
        <w:spacing w:before="4"/>
        <w:rPr>
          <w:b/>
          <w:sz w:val="29"/>
        </w:rPr>
      </w:pPr>
    </w:p>
    <w:p>
      <w:pPr>
        <w:pStyle w:val="BodyText"/>
        <w:spacing w:line="360" w:lineRule="auto" w:before="1"/>
        <w:ind w:left="102" w:right="117"/>
        <w:jc w:val="both"/>
      </w:pPr>
      <w:r>
        <w:rPr/>
        <w:t>Este término es utilizado comúnmente en México para referirnos a las relaciones intergubernamentales. La coordinación implica la presencia de la dualidad de instancias o espacios de poder que se empatan en objetivos comunes: el factor coordinador</w:t>
      </w:r>
      <w:r>
        <w:rPr>
          <w:spacing w:val="-7"/>
        </w:rPr>
        <w:t> </w:t>
      </w:r>
      <w:r>
        <w:rPr/>
        <w:t>y</w:t>
      </w:r>
      <w:r>
        <w:rPr>
          <w:spacing w:val="-9"/>
        </w:rPr>
        <w:t> </w:t>
      </w:r>
      <w:r>
        <w:rPr/>
        <w:t>el</w:t>
      </w:r>
      <w:r>
        <w:rPr>
          <w:spacing w:val="-7"/>
        </w:rPr>
        <w:t> </w:t>
      </w:r>
      <w:r>
        <w:rPr/>
        <w:t>propio</w:t>
      </w:r>
      <w:r>
        <w:rPr>
          <w:spacing w:val="-6"/>
        </w:rPr>
        <w:t> </w:t>
      </w:r>
      <w:r>
        <w:rPr/>
        <w:t>interés</w:t>
      </w:r>
      <w:r>
        <w:rPr>
          <w:spacing w:val="-7"/>
        </w:rPr>
        <w:t> </w:t>
      </w:r>
      <w:r>
        <w:rPr/>
        <w:t>común</w:t>
      </w:r>
      <w:r>
        <w:rPr>
          <w:spacing w:val="-6"/>
        </w:rPr>
        <w:t> </w:t>
      </w:r>
      <w:r>
        <w:rPr/>
        <w:t>que</w:t>
      </w:r>
      <w:r>
        <w:rPr>
          <w:spacing w:val="-6"/>
        </w:rPr>
        <w:t> </w:t>
      </w:r>
      <w:r>
        <w:rPr/>
        <w:t>incide</w:t>
      </w:r>
      <w:r>
        <w:rPr>
          <w:spacing w:val="-6"/>
        </w:rPr>
        <w:t> </w:t>
      </w:r>
      <w:r>
        <w:rPr/>
        <w:t>sobre</w:t>
      </w:r>
      <w:r>
        <w:rPr>
          <w:spacing w:val="-7"/>
        </w:rPr>
        <w:t> </w:t>
      </w:r>
      <w:r>
        <w:rPr/>
        <w:t>la</w:t>
      </w:r>
      <w:r>
        <w:rPr>
          <w:spacing w:val="-6"/>
        </w:rPr>
        <w:t> </w:t>
      </w:r>
      <w:r>
        <w:rPr/>
        <w:t>realidad</w:t>
      </w:r>
      <w:r>
        <w:rPr>
          <w:spacing w:val="-6"/>
        </w:rPr>
        <w:t> </w:t>
      </w:r>
      <w:r>
        <w:rPr/>
        <w:t>social</w:t>
      </w:r>
      <w:r>
        <w:rPr>
          <w:spacing w:val="-7"/>
        </w:rPr>
        <w:t> </w:t>
      </w:r>
      <w:r>
        <w:rPr/>
        <w:t>o</w:t>
      </w:r>
      <w:r>
        <w:rPr>
          <w:spacing w:val="-6"/>
        </w:rPr>
        <w:t> </w:t>
      </w:r>
      <w:r>
        <w:rPr/>
        <w:t>material. “La coordinación significa la sincronización y unificación de las acciones para proporcionar una adecuada calidad, oportunidad y dirección; de tal manera que haya armonía y cooperación para alcanzar un objetivo común” (Hernández, 2006:42).</w:t>
      </w:r>
    </w:p>
    <w:p>
      <w:pPr>
        <w:pStyle w:val="BodyText"/>
        <w:spacing w:line="360" w:lineRule="auto" w:before="204"/>
        <w:ind w:left="102" w:right="115"/>
        <w:jc w:val="both"/>
      </w:pPr>
      <w:r>
        <w:rPr/>
        <w:t>La coordinación es un bien necesario en medida que significa, no sólo la</w:t>
      </w:r>
      <w:r>
        <w:rPr>
          <w:spacing w:val="-40"/>
        </w:rPr>
        <w:t> </w:t>
      </w:r>
      <w:r>
        <w:rPr/>
        <w:t>respuesta para lograr la coherencia en la lucha contra grandes problemas del Estado sino también un mecanismo de conciliación entre lo técnicamente aconsejable y lo políticamente factible. Es por ello, que la coordinación intergubernamental se considera un instrumento del Estado mexicano para el desarrollo de la descentralización, por el hecho que dispersa competencias o las</w:t>
      </w:r>
      <w:r>
        <w:rPr>
          <w:spacing w:val="-22"/>
        </w:rPr>
        <w:t> </w:t>
      </w:r>
      <w:r>
        <w:rPr/>
        <w:t>comparte.</w:t>
      </w:r>
    </w:p>
    <w:p>
      <w:pPr>
        <w:spacing w:line="240" w:lineRule="auto" w:before="201"/>
        <w:ind w:left="954" w:right="116" w:firstLine="0"/>
        <w:jc w:val="both"/>
        <w:rPr>
          <w:sz w:val="22"/>
        </w:rPr>
      </w:pPr>
      <w:r>
        <w:rPr>
          <w:sz w:val="22"/>
        </w:rPr>
        <w:t>La coordinación es término que como tantos, sugiere significados más allá de los que</w:t>
      </w:r>
      <w:r>
        <w:rPr>
          <w:spacing w:val="-6"/>
          <w:sz w:val="22"/>
        </w:rPr>
        <w:t> </w:t>
      </w:r>
      <w:r>
        <w:rPr>
          <w:sz w:val="22"/>
        </w:rPr>
        <w:t>se</w:t>
      </w:r>
      <w:r>
        <w:rPr>
          <w:spacing w:val="-3"/>
          <w:sz w:val="22"/>
        </w:rPr>
        <w:t> </w:t>
      </w:r>
      <w:r>
        <w:rPr>
          <w:sz w:val="22"/>
        </w:rPr>
        <w:t>enuncian</w:t>
      </w:r>
      <w:r>
        <w:rPr>
          <w:spacing w:val="-3"/>
          <w:sz w:val="22"/>
        </w:rPr>
        <w:t> </w:t>
      </w:r>
      <w:r>
        <w:rPr>
          <w:sz w:val="22"/>
        </w:rPr>
        <w:t>en</w:t>
      </w:r>
      <w:r>
        <w:rPr>
          <w:spacing w:val="-6"/>
          <w:sz w:val="22"/>
        </w:rPr>
        <w:t> </w:t>
      </w:r>
      <w:r>
        <w:rPr>
          <w:sz w:val="22"/>
        </w:rPr>
        <w:t>el</w:t>
      </w:r>
      <w:r>
        <w:rPr>
          <w:spacing w:val="-4"/>
          <w:sz w:val="22"/>
        </w:rPr>
        <w:t> </w:t>
      </w:r>
      <w:r>
        <w:rPr>
          <w:sz w:val="22"/>
        </w:rPr>
        <w:t>diccionario,</w:t>
      </w:r>
      <w:r>
        <w:rPr>
          <w:spacing w:val="-2"/>
          <w:sz w:val="22"/>
        </w:rPr>
        <w:t> </w:t>
      </w:r>
      <w:r>
        <w:rPr>
          <w:sz w:val="22"/>
        </w:rPr>
        <w:t>se</w:t>
      </w:r>
      <w:r>
        <w:rPr>
          <w:spacing w:val="-8"/>
          <w:sz w:val="22"/>
        </w:rPr>
        <w:t> </w:t>
      </w:r>
      <w:r>
        <w:rPr>
          <w:sz w:val="22"/>
        </w:rPr>
        <w:t>trata</w:t>
      </w:r>
      <w:r>
        <w:rPr>
          <w:spacing w:val="-3"/>
          <w:sz w:val="22"/>
        </w:rPr>
        <w:t> </w:t>
      </w:r>
      <w:r>
        <w:rPr>
          <w:sz w:val="22"/>
        </w:rPr>
        <w:t>de</w:t>
      </w:r>
      <w:r>
        <w:rPr>
          <w:spacing w:val="-6"/>
          <w:sz w:val="22"/>
        </w:rPr>
        <w:t> </w:t>
      </w:r>
      <w:r>
        <w:rPr>
          <w:sz w:val="22"/>
        </w:rPr>
        <w:t>un</w:t>
      </w:r>
      <w:r>
        <w:rPr>
          <w:spacing w:val="-6"/>
          <w:sz w:val="22"/>
        </w:rPr>
        <w:t> </w:t>
      </w:r>
      <w:r>
        <w:rPr>
          <w:sz w:val="22"/>
        </w:rPr>
        <w:t>concepto</w:t>
      </w:r>
      <w:r>
        <w:rPr>
          <w:spacing w:val="-5"/>
          <w:sz w:val="22"/>
        </w:rPr>
        <w:t> </w:t>
      </w:r>
      <w:r>
        <w:rPr>
          <w:sz w:val="22"/>
        </w:rPr>
        <w:t>entreverado</w:t>
      </w:r>
      <w:r>
        <w:rPr>
          <w:spacing w:val="-3"/>
          <w:sz w:val="22"/>
        </w:rPr>
        <w:t> </w:t>
      </w:r>
      <w:r>
        <w:rPr>
          <w:sz w:val="22"/>
        </w:rPr>
        <w:t>a</w:t>
      </w:r>
      <w:r>
        <w:rPr>
          <w:spacing w:val="-8"/>
          <w:sz w:val="22"/>
        </w:rPr>
        <w:t> </w:t>
      </w:r>
      <w:r>
        <w:rPr>
          <w:sz w:val="22"/>
        </w:rPr>
        <w:t>otros,</w:t>
      </w:r>
      <w:r>
        <w:rPr>
          <w:spacing w:val="-4"/>
          <w:sz w:val="22"/>
        </w:rPr>
        <w:t> </w:t>
      </w:r>
      <w:r>
        <w:rPr>
          <w:sz w:val="22"/>
        </w:rPr>
        <w:t>de los que toma sus referencias y sentidos, lo que hace que su definición y todavía más, su delimitación como objeto de estudio presenten algunas dificultades. Hay que decir de partida, que es un tema inherente a los conceptos de organización y administración, como principio o función que sustenta todo esfuerzo asociado en la búsqueda de objetivos comunes. Góran Ahrne sostiene que la experiencia humana básica es la pertenencia y la dependencia,...los seres humanos tienen metas, deseos, y esperanzas; las organizaciones existen como maneras en que las personas conectan entre sí para alcanzar esos fines. Dicho de otro modo, las organizaciones existen simplemente porque las personas tienen necesidad de ellas (Covarrubias, 2006:</w:t>
      </w:r>
      <w:r>
        <w:rPr>
          <w:spacing w:val="-8"/>
          <w:sz w:val="22"/>
        </w:rPr>
        <w:t> </w:t>
      </w:r>
      <w:r>
        <w:rPr>
          <w:sz w:val="22"/>
        </w:rPr>
        <w:t>66).</w:t>
      </w:r>
    </w:p>
    <w:p>
      <w:pPr>
        <w:pStyle w:val="BodyText"/>
        <w:spacing w:before="9"/>
        <w:rPr>
          <w:sz w:val="20"/>
        </w:rPr>
      </w:pPr>
    </w:p>
    <w:p>
      <w:pPr>
        <w:pStyle w:val="BodyText"/>
        <w:spacing w:line="360" w:lineRule="auto"/>
        <w:ind w:left="102" w:right="115"/>
        <w:jc w:val="both"/>
      </w:pPr>
      <w:r>
        <w:rPr/>
        <w:t>Los problemas sociales rebasan la capacidad de los gobiernos, por lo </w:t>
      </w:r>
      <w:r>
        <w:rPr>
          <w:spacing w:val="2"/>
        </w:rPr>
        <w:t>que </w:t>
      </w:r>
      <w:r>
        <w:rPr/>
        <w:t>estos tienen</w:t>
      </w:r>
      <w:r>
        <w:rPr>
          <w:spacing w:val="-15"/>
        </w:rPr>
        <w:t> </w:t>
      </w:r>
      <w:r>
        <w:rPr/>
        <w:t>que</w:t>
      </w:r>
      <w:r>
        <w:rPr>
          <w:spacing w:val="-17"/>
        </w:rPr>
        <w:t> </w:t>
      </w:r>
      <w:r>
        <w:rPr/>
        <w:t>enfrentar</w:t>
      </w:r>
      <w:r>
        <w:rPr>
          <w:spacing w:val="-17"/>
        </w:rPr>
        <w:t> </w:t>
      </w:r>
      <w:r>
        <w:rPr/>
        <w:t>diversas</w:t>
      </w:r>
      <w:r>
        <w:rPr>
          <w:spacing w:val="-13"/>
        </w:rPr>
        <w:t> </w:t>
      </w:r>
      <w:r>
        <w:rPr/>
        <w:t>situaciones</w:t>
      </w:r>
      <w:r>
        <w:rPr>
          <w:spacing w:val="-18"/>
        </w:rPr>
        <w:t> </w:t>
      </w:r>
      <w:r>
        <w:rPr/>
        <w:t>dando</w:t>
      </w:r>
      <w:r>
        <w:rPr>
          <w:spacing w:val="-18"/>
        </w:rPr>
        <w:t> </w:t>
      </w:r>
      <w:r>
        <w:rPr/>
        <w:t>pronta</w:t>
      </w:r>
      <w:r>
        <w:rPr>
          <w:spacing w:val="-15"/>
        </w:rPr>
        <w:t> </w:t>
      </w:r>
      <w:r>
        <w:rPr/>
        <w:t>solución;</w:t>
      </w:r>
      <w:r>
        <w:rPr>
          <w:spacing w:val="-18"/>
        </w:rPr>
        <w:t> </w:t>
      </w:r>
      <w:r>
        <w:rPr/>
        <w:t>porque</w:t>
      </w:r>
      <w:r>
        <w:rPr>
          <w:spacing w:val="-14"/>
        </w:rPr>
        <w:t> </w:t>
      </w:r>
      <w:r>
        <w:rPr/>
        <w:t>la</w:t>
      </w:r>
      <w:r>
        <w:rPr>
          <w:spacing w:val="-15"/>
        </w:rPr>
        <w:t> </w:t>
      </w:r>
      <w:r>
        <w:rPr/>
        <w:t>sociedad cada</w:t>
      </w:r>
      <w:r>
        <w:rPr>
          <w:spacing w:val="-16"/>
        </w:rPr>
        <w:t> </w:t>
      </w:r>
      <w:r>
        <w:rPr/>
        <w:t>vez</w:t>
      </w:r>
      <w:r>
        <w:rPr>
          <w:spacing w:val="-20"/>
        </w:rPr>
        <w:t> </w:t>
      </w:r>
      <w:r>
        <w:rPr/>
        <w:t>es</w:t>
      </w:r>
      <w:r>
        <w:rPr>
          <w:spacing w:val="-17"/>
        </w:rPr>
        <w:t> </w:t>
      </w:r>
      <w:r>
        <w:rPr/>
        <w:t>más</w:t>
      </w:r>
      <w:r>
        <w:rPr>
          <w:spacing w:val="-16"/>
        </w:rPr>
        <w:t> </w:t>
      </w:r>
      <w:r>
        <w:rPr/>
        <w:t>demandante,</w:t>
      </w:r>
      <w:r>
        <w:rPr>
          <w:spacing w:val="-19"/>
        </w:rPr>
        <w:t> </w:t>
      </w:r>
      <w:r>
        <w:rPr/>
        <w:t>por</w:t>
      </w:r>
      <w:r>
        <w:rPr>
          <w:spacing w:val="-18"/>
        </w:rPr>
        <w:t> </w:t>
      </w:r>
      <w:r>
        <w:rPr/>
        <w:t>ello,</w:t>
      </w:r>
      <w:r>
        <w:rPr>
          <w:spacing w:val="-19"/>
        </w:rPr>
        <w:t> </w:t>
      </w:r>
      <w:r>
        <w:rPr/>
        <w:t>es</w:t>
      </w:r>
      <w:r>
        <w:rPr>
          <w:spacing w:val="-17"/>
        </w:rPr>
        <w:t> </w:t>
      </w:r>
      <w:r>
        <w:rPr/>
        <w:t>necesario</w:t>
      </w:r>
      <w:r>
        <w:rPr>
          <w:spacing w:val="-13"/>
        </w:rPr>
        <w:t> </w:t>
      </w:r>
      <w:r>
        <w:rPr/>
        <w:t>diseñar</w:t>
      </w:r>
      <w:r>
        <w:rPr>
          <w:spacing w:val="-18"/>
        </w:rPr>
        <w:t> </w:t>
      </w:r>
      <w:r>
        <w:rPr/>
        <w:t>estrategias,</w:t>
      </w:r>
      <w:r>
        <w:rPr>
          <w:spacing w:val="-17"/>
        </w:rPr>
        <w:t> </w:t>
      </w:r>
      <w:r>
        <w:rPr/>
        <w:t>convenios,</w:t>
      </w:r>
    </w:p>
    <w:p>
      <w:pPr>
        <w:spacing w:after="0" w:line="360" w:lineRule="auto"/>
        <w:jc w:val="both"/>
        <w:sectPr>
          <w:footerReference w:type="default" r:id="rId30"/>
          <w:pgSz w:w="12240" w:h="15840"/>
          <w:pgMar w:footer="992" w:header="0" w:top="1360" w:bottom="1180" w:left="1600" w:right="1580"/>
          <w:pgNumType w:start="51"/>
        </w:sectPr>
      </w:pPr>
    </w:p>
    <w:p>
      <w:pPr>
        <w:pStyle w:val="BodyText"/>
        <w:spacing w:line="360" w:lineRule="auto" w:before="54"/>
        <w:ind w:left="102" w:right="116"/>
        <w:jc w:val="both"/>
      </w:pPr>
      <w:r>
        <w:rPr/>
        <w:t>políticas que brinden la posibilidad de atender esas demandas. Motivo por el cual, las RIGs son una herramienta de gran utilidad para el gobernante y para los funcionarios</w:t>
      </w:r>
      <w:r>
        <w:rPr>
          <w:spacing w:val="-7"/>
        </w:rPr>
        <w:t> </w:t>
      </w:r>
      <w:r>
        <w:rPr/>
        <w:t>encargados</w:t>
      </w:r>
      <w:r>
        <w:rPr>
          <w:spacing w:val="-4"/>
        </w:rPr>
        <w:t> </w:t>
      </w:r>
      <w:r>
        <w:rPr/>
        <w:t>de</w:t>
      </w:r>
      <w:r>
        <w:rPr>
          <w:spacing w:val="-4"/>
        </w:rPr>
        <w:t> </w:t>
      </w:r>
      <w:r>
        <w:rPr/>
        <w:t>la</w:t>
      </w:r>
      <w:r>
        <w:rPr>
          <w:spacing w:val="-6"/>
        </w:rPr>
        <w:t> </w:t>
      </w:r>
      <w:r>
        <w:rPr/>
        <w:t>toma</w:t>
      </w:r>
      <w:r>
        <w:rPr>
          <w:spacing w:val="-6"/>
        </w:rPr>
        <w:t> </w:t>
      </w:r>
      <w:r>
        <w:rPr/>
        <w:t>de</w:t>
      </w:r>
      <w:r>
        <w:rPr>
          <w:spacing w:val="-6"/>
        </w:rPr>
        <w:t> </w:t>
      </w:r>
      <w:r>
        <w:rPr/>
        <w:t>decisiones,</w:t>
      </w:r>
      <w:r>
        <w:rPr>
          <w:spacing w:val="-6"/>
        </w:rPr>
        <w:t> </w:t>
      </w:r>
      <w:r>
        <w:rPr/>
        <w:t>dando</w:t>
      </w:r>
      <w:r>
        <w:rPr>
          <w:spacing w:val="-4"/>
        </w:rPr>
        <w:t> </w:t>
      </w:r>
      <w:r>
        <w:rPr/>
        <w:t>prontitud</w:t>
      </w:r>
      <w:r>
        <w:rPr>
          <w:spacing w:val="-4"/>
        </w:rPr>
        <w:t> </w:t>
      </w:r>
      <w:r>
        <w:rPr/>
        <w:t>a</w:t>
      </w:r>
      <w:r>
        <w:rPr>
          <w:spacing w:val="-4"/>
        </w:rPr>
        <w:t> </w:t>
      </w:r>
      <w:r>
        <w:rPr/>
        <w:t>la</w:t>
      </w:r>
      <w:r>
        <w:rPr>
          <w:spacing w:val="-4"/>
        </w:rPr>
        <w:t> </w:t>
      </w:r>
      <w:r>
        <w:rPr/>
        <w:t>solución</w:t>
      </w:r>
      <w:r>
        <w:rPr>
          <w:spacing w:val="-8"/>
        </w:rPr>
        <w:t> </w:t>
      </w:r>
      <w:r>
        <w:rPr/>
        <w:t>de problemas. No cabe duda, que las RIGs tienen varios elementos así como factores que coadyuvan en la negociación política, la concatenación de diversas capacidades jurídicas, las relaciones interpersonales de los funcionarios, mecanismos</w:t>
      </w:r>
      <w:r>
        <w:rPr>
          <w:spacing w:val="-7"/>
        </w:rPr>
        <w:t> </w:t>
      </w:r>
      <w:r>
        <w:rPr/>
        <w:t>de</w:t>
      </w:r>
      <w:r>
        <w:rPr>
          <w:spacing w:val="-6"/>
        </w:rPr>
        <w:t> </w:t>
      </w:r>
      <w:r>
        <w:rPr/>
        <w:t>comunicación,</w:t>
      </w:r>
      <w:r>
        <w:rPr>
          <w:spacing w:val="-6"/>
        </w:rPr>
        <w:t> </w:t>
      </w:r>
      <w:r>
        <w:rPr/>
        <w:t>sistemas</w:t>
      </w:r>
      <w:r>
        <w:rPr>
          <w:spacing w:val="-9"/>
        </w:rPr>
        <w:t> </w:t>
      </w:r>
      <w:r>
        <w:rPr/>
        <w:t>de</w:t>
      </w:r>
      <w:r>
        <w:rPr>
          <w:spacing w:val="-8"/>
        </w:rPr>
        <w:t> </w:t>
      </w:r>
      <w:r>
        <w:rPr/>
        <w:t>convenios,</w:t>
      </w:r>
      <w:r>
        <w:rPr>
          <w:spacing w:val="-6"/>
        </w:rPr>
        <w:t> </w:t>
      </w:r>
      <w:r>
        <w:rPr/>
        <w:t>voluntad</w:t>
      </w:r>
      <w:r>
        <w:rPr>
          <w:spacing w:val="-6"/>
        </w:rPr>
        <w:t> </w:t>
      </w:r>
      <w:r>
        <w:rPr/>
        <w:t>política, así</w:t>
      </w:r>
      <w:r>
        <w:rPr>
          <w:spacing w:val="-8"/>
        </w:rPr>
        <w:t> </w:t>
      </w:r>
      <w:r>
        <w:rPr/>
        <w:t>mismo como esquemas de evaluación, entre</w:t>
      </w:r>
      <w:r>
        <w:rPr>
          <w:spacing w:val="-15"/>
        </w:rPr>
        <w:t> </w:t>
      </w:r>
      <w:r>
        <w:rPr/>
        <w:t>otros.</w:t>
      </w:r>
    </w:p>
    <w:p>
      <w:pPr>
        <w:pStyle w:val="BodyText"/>
        <w:spacing w:line="360" w:lineRule="auto" w:before="205"/>
        <w:ind w:left="102" w:right="116"/>
        <w:jc w:val="both"/>
      </w:pPr>
      <w:r>
        <w:rPr/>
        <w:t>Las RIGs aportan y enriquecen a los gobiernos, en cuanto se suscitan una multiplicidad de relaciones que buscan el aprovechamiento de recursos, mejoramiento de los servicios públicos, reducir costos y resolver diferentes problemáticas que la población tiene. Con lo antes descrito las RIGs son un mecanismo para la administración pública que permite el desarrollo de programas sociales, una estabilidad sociopolítica y da legitimidad a los gobiernos, así como colaborar en la gestión pública y fortalecer la gerencia pública.</w:t>
      </w:r>
    </w:p>
    <w:p>
      <w:pPr>
        <w:pStyle w:val="BodyText"/>
        <w:spacing w:line="360" w:lineRule="auto" w:before="202"/>
        <w:ind w:left="102" w:right="116"/>
        <w:jc w:val="both"/>
      </w:pPr>
      <w:r>
        <w:rPr/>
        <w:t>Al considerar las Relaciones Intergubernamentales es indudable que se relacionan los tres ámbitos de gobierno (federal, estatal y municipal), porque tomar</w:t>
      </w:r>
      <w:r>
        <w:rPr>
          <w:spacing w:val="-32"/>
        </w:rPr>
        <w:t> </w:t>
      </w:r>
      <w:r>
        <w:rPr/>
        <w:t>decisiones implica descentralización y política. Son en las RIGs donde se construyen</w:t>
      </w:r>
      <w:r>
        <w:rPr>
          <w:spacing w:val="-32"/>
        </w:rPr>
        <w:t> </w:t>
      </w:r>
      <w:r>
        <w:rPr/>
        <w:t>agendas que permiten conocer la capacidad de gestión o, en su caso conocer la forma de atender las demandas sociales como la prestación de servicios públicos así como la gestión de gobierno que permita el desarrollo de un</w:t>
      </w:r>
      <w:r>
        <w:rPr>
          <w:spacing w:val="-27"/>
        </w:rPr>
        <w:t> </w:t>
      </w:r>
      <w:r>
        <w:rPr/>
        <w:t>país.</w:t>
      </w:r>
    </w:p>
    <w:p>
      <w:pPr>
        <w:spacing w:before="204"/>
        <w:ind w:left="954" w:right="115" w:firstLine="0"/>
        <w:jc w:val="both"/>
        <w:rPr>
          <w:sz w:val="22"/>
        </w:rPr>
      </w:pPr>
      <w:r>
        <w:rPr>
          <w:sz w:val="22"/>
        </w:rPr>
        <w:t>Las relaciones intergubernamentales se convierten en necesarias para el buen puerto de la función gubernamental, la cual requiere recursos jurídicos, políticos, financieros, administrativos, organizacionales y de toda índole para atender la complejidad de asuntos públicos y gubernamentales que le son inherentes al gobierno. Estas relaciones implican la interacción de sujetos que gobiernan, que están</w:t>
      </w:r>
      <w:r>
        <w:rPr>
          <w:spacing w:val="-11"/>
          <w:sz w:val="22"/>
        </w:rPr>
        <w:t> </w:t>
      </w:r>
      <w:r>
        <w:rPr>
          <w:sz w:val="22"/>
        </w:rPr>
        <w:t>dispuestos</w:t>
      </w:r>
      <w:r>
        <w:rPr>
          <w:spacing w:val="-14"/>
          <w:sz w:val="22"/>
        </w:rPr>
        <w:t> </w:t>
      </w:r>
      <w:r>
        <w:rPr>
          <w:sz w:val="22"/>
        </w:rPr>
        <w:t>a</w:t>
      </w:r>
      <w:r>
        <w:rPr>
          <w:spacing w:val="-14"/>
          <w:sz w:val="22"/>
        </w:rPr>
        <w:t> </w:t>
      </w:r>
      <w:r>
        <w:rPr>
          <w:sz w:val="22"/>
        </w:rPr>
        <w:t>relacionarse,</w:t>
      </w:r>
      <w:r>
        <w:rPr>
          <w:spacing w:val="-12"/>
          <w:sz w:val="22"/>
        </w:rPr>
        <w:t> </w:t>
      </w:r>
      <w:r>
        <w:rPr>
          <w:sz w:val="22"/>
        </w:rPr>
        <w:t>a</w:t>
      </w:r>
      <w:r>
        <w:rPr>
          <w:spacing w:val="-14"/>
          <w:sz w:val="22"/>
        </w:rPr>
        <w:t> </w:t>
      </w:r>
      <w:r>
        <w:rPr>
          <w:sz w:val="22"/>
        </w:rPr>
        <w:t>construir</w:t>
      </w:r>
      <w:r>
        <w:rPr>
          <w:spacing w:val="-12"/>
          <w:sz w:val="22"/>
        </w:rPr>
        <w:t> </w:t>
      </w:r>
      <w:r>
        <w:rPr>
          <w:sz w:val="22"/>
        </w:rPr>
        <w:t>un</w:t>
      </w:r>
      <w:r>
        <w:rPr>
          <w:spacing w:val="-14"/>
          <w:sz w:val="22"/>
        </w:rPr>
        <w:t> </w:t>
      </w:r>
      <w:r>
        <w:rPr>
          <w:sz w:val="22"/>
        </w:rPr>
        <w:t>significado,</w:t>
      </w:r>
      <w:r>
        <w:rPr>
          <w:spacing w:val="-10"/>
          <w:sz w:val="22"/>
        </w:rPr>
        <w:t> </w:t>
      </w:r>
      <w:r>
        <w:rPr>
          <w:sz w:val="22"/>
        </w:rPr>
        <w:t>a</w:t>
      </w:r>
      <w:r>
        <w:rPr>
          <w:spacing w:val="-14"/>
          <w:sz w:val="22"/>
        </w:rPr>
        <w:t> </w:t>
      </w:r>
      <w:r>
        <w:rPr>
          <w:sz w:val="22"/>
        </w:rPr>
        <w:t>dar</w:t>
      </w:r>
      <w:r>
        <w:rPr>
          <w:spacing w:val="-10"/>
          <w:sz w:val="22"/>
        </w:rPr>
        <w:t> </w:t>
      </w:r>
      <w:r>
        <w:rPr>
          <w:sz w:val="22"/>
        </w:rPr>
        <w:t>sentido</w:t>
      </w:r>
      <w:r>
        <w:rPr>
          <w:spacing w:val="-11"/>
          <w:sz w:val="22"/>
        </w:rPr>
        <w:t> </w:t>
      </w:r>
      <w:r>
        <w:rPr>
          <w:sz w:val="22"/>
        </w:rPr>
        <w:t>al</w:t>
      </w:r>
      <w:r>
        <w:rPr>
          <w:spacing w:val="-17"/>
          <w:sz w:val="22"/>
        </w:rPr>
        <w:t> </w:t>
      </w:r>
      <w:r>
        <w:rPr>
          <w:sz w:val="22"/>
        </w:rPr>
        <w:t>símbolo de la función gubernamental. Entonces las relaciones intergubernamentales estriban en gran sentido en la capacidad personal que desplieguen los gobernantes (Sánchez, 2015:</w:t>
      </w:r>
      <w:r>
        <w:rPr>
          <w:spacing w:val="-5"/>
          <w:sz w:val="22"/>
        </w:rPr>
        <w:t> </w:t>
      </w:r>
      <w:r>
        <w:rPr>
          <w:sz w:val="22"/>
        </w:rPr>
        <w:t>89).</w:t>
      </w:r>
    </w:p>
    <w:p>
      <w:pPr>
        <w:pStyle w:val="BodyText"/>
        <w:rPr>
          <w:sz w:val="22"/>
        </w:rPr>
      </w:pPr>
    </w:p>
    <w:p>
      <w:pPr>
        <w:pStyle w:val="BodyText"/>
        <w:rPr>
          <w:sz w:val="22"/>
        </w:rPr>
      </w:pPr>
    </w:p>
    <w:p>
      <w:pPr>
        <w:pStyle w:val="BodyText"/>
        <w:spacing w:line="360" w:lineRule="auto" w:before="146"/>
        <w:ind w:left="102" w:right="115"/>
        <w:jc w:val="both"/>
      </w:pPr>
      <w:r>
        <w:rPr/>
        <w:t>En la realidad existen problemas de orden local o nacional que requieren del concurso de todos los gobiernos que están inmersos en dicho entorno. Los  temas</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de desarrollo, las necesidades sociales, los imperativos de la infraestructura y los servicios se manifiestan independientemente de que corresponda a un sólo gobierno su provisión. “El propósito de las RIG puede resumirse en un principio general de la administración: la asociación competitiva, caracterizada por la suma de esfuerzos, y la concertación de acciones bajo línea de trabajo” (Espejel, 2015: 38).</w:t>
      </w:r>
    </w:p>
    <w:p>
      <w:pPr>
        <w:spacing w:after="0" w:line="360" w:lineRule="auto"/>
        <w:jc w:val="both"/>
        <w:sectPr>
          <w:pgSz w:w="12240" w:h="15840"/>
          <w:pgMar w:header="0" w:footer="992" w:top="1360" w:bottom="1180" w:left="1600" w:right="1580"/>
        </w:sectPr>
      </w:pPr>
    </w:p>
    <w:p>
      <w:pPr>
        <w:pStyle w:val="Heading1"/>
        <w:spacing w:before="52"/>
        <w:ind w:right="748"/>
        <w:jc w:val="center"/>
      </w:pPr>
      <w:bookmarkStart w:name="_TOC_250040" w:id="12"/>
      <w:bookmarkEnd w:id="12"/>
      <w:r>
        <w:rPr/>
        <w:t>Capítulo II</w:t>
      </w:r>
    </w:p>
    <w:p>
      <w:pPr>
        <w:pStyle w:val="BodyText"/>
        <w:spacing w:before="10"/>
        <w:rPr>
          <w:b/>
          <w:sz w:val="41"/>
        </w:rPr>
      </w:pPr>
    </w:p>
    <w:p>
      <w:pPr>
        <w:pStyle w:val="Heading1"/>
        <w:spacing w:before="1"/>
        <w:ind w:right="747"/>
        <w:jc w:val="center"/>
      </w:pPr>
      <w:bookmarkStart w:name="_TOC_250039" w:id="13"/>
      <w:bookmarkEnd w:id="13"/>
      <w:r>
        <w:rPr/>
        <w:t>El Federalismo Fiscal en México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2"/>
        <w:rPr>
          <w:b/>
          <w:sz w:val="31"/>
        </w:rPr>
      </w:pPr>
    </w:p>
    <w:p>
      <w:pPr>
        <w:pStyle w:val="BodyText"/>
        <w:spacing w:line="360" w:lineRule="auto"/>
        <w:ind w:left="102" w:right="116"/>
        <w:jc w:val="both"/>
      </w:pPr>
      <w:r>
        <w:rPr/>
        <w:t>Tradicionalmente el estudio del federalismo en México se ha efectuado a través de la experiencia político-administrativa estadounidense, por ser un sistema demasiado descentralizado y cuya forma federal ha permitido una relación administrativa y política adecuada entre los distintos ámbitos de gobierno. </w:t>
      </w:r>
      <w:r>
        <w:rPr>
          <w:spacing w:val="-2"/>
        </w:rPr>
        <w:t>“En </w:t>
      </w:r>
      <w:r>
        <w:rPr/>
        <w:t>términos teóricos un modelo federal implica la asociación establecida y regulada por una alianza, cuyas relaciones internas reflejan la tendencia a compartir, que debe</w:t>
      </w:r>
      <w:r>
        <w:rPr>
          <w:spacing w:val="-13"/>
        </w:rPr>
        <w:t> </w:t>
      </w:r>
      <w:r>
        <w:rPr/>
        <w:t>prevalecer</w:t>
      </w:r>
      <w:r>
        <w:rPr>
          <w:spacing w:val="-15"/>
        </w:rPr>
        <w:t> </w:t>
      </w:r>
      <w:r>
        <w:rPr/>
        <w:t>sobre</w:t>
      </w:r>
      <w:r>
        <w:rPr>
          <w:spacing w:val="-19"/>
        </w:rPr>
        <w:t> </w:t>
      </w:r>
      <w:r>
        <w:rPr/>
        <w:t>los</w:t>
      </w:r>
      <w:r>
        <w:rPr>
          <w:spacing w:val="-13"/>
        </w:rPr>
        <w:t> </w:t>
      </w:r>
      <w:r>
        <w:rPr/>
        <w:t>asociados,</w:t>
      </w:r>
      <w:r>
        <w:rPr>
          <w:spacing w:val="-13"/>
        </w:rPr>
        <w:t> </w:t>
      </w:r>
      <w:r>
        <w:rPr/>
        <w:t>al</w:t>
      </w:r>
      <w:r>
        <w:rPr>
          <w:spacing w:val="-17"/>
        </w:rPr>
        <w:t> </w:t>
      </w:r>
      <w:r>
        <w:rPr/>
        <w:t>tiempo</w:t>
      </w:r>
      <w:r>
        <w:rPr>
          <w:spacing w:val="-13"/>
        </w:rPr>
        <w:t> </w:t>
      </w:r>
      <w:r>
        <w:rPr/>
        <w:t>que</w:t>
      </w:r>
      <w:r>
        <w:rPr>
          <w:spacing w:val="-15"/>
        </w:rPr>
        <w:t> </w:t>
      </w:r>
      <w:r>
        <w:rPr/>
        <w:t>debe</w:t>
      </w:r>
      <w:r>
        <w:rPr>
          <w:spacing w:val="-15"/>
        </w:rPr>
        <w:t> </w:t>
      </w:r>
      <w:r>
        <w:rPr/>
        <w:t>subsistir</w:t>
      </w:r>
      <w:r>
        <w:rPr>
          <w:spacing w:val="-18"/>
        </w:rPr>
        <w:t> </w:t>
      </w:r>
      <w:r>
        <w:rPr/>
        <w:t>el</w:t>
      </w:r>
      <w:r>
        <w:rPr>
          <w:spacing w:val="-17"/>
        </w:rPr>
        <w:t> </w:t>
      </w:r>
      <w:r>
        <w:rPr/>
        <w:t>reconocimiento mutuo</w:t>
      </w:r>
      <w:r>
        <w:rPr>
          <w:spacing w:val="-16"/>
        </w:rPr>
        <w:t> </w:t>
      </w:r>
      <w:r>
        <w:rPr/>
        <w:t>de</w:t>
      </w:r>
      <w:r>
        <w:rPr>
          <w:spacing w:val="-16"/>
        </w:rPr>
        <w:t> </w:t>
      </w:r>
      <w:r>
        <w:rPr/>
        <w:t>la</w:t>
      </w:r>
      <w:r>
        <w:rPr>
          <w:spacing w:val="-16"/>
        </w:rPr>
        <w:t> </w:t>
      </w:r>
      <w:r>
        <w:rPr/>
        <w:t>integridad</w:t>
      </w:r>
      <w:r>
        <w:rPr>
          <w:spacing w:val="-18"/>
        </w:rPr>
        <w:t> </w:t>
      </w:r>
      <w:r>
        <w:rPr/>
        <w:t>de</w:t>
      </w:r>
      <w:r>
        <w:rPr>
          <w:spacing w:val="-16"/>
        </w:rPr>
        <w:t> </w:t>
      </w:r>
      <w:r>
        <w:rPr/>
        <w:t>cada</w:t>
      </w:r>
      <w:r>
        <w:rPr>
          <w:spacing w:val="-16"/>
        </w:rPr>
        <w:t> </w:t>
      </w:r>
      <w:r>
        <w:rPr/>
        <w:t>uno</w:t>
      </w:r>
      <w:r>
        <w:rPr>
          <w:spacing w:val="-16"/>
        </w:rPr>
        <w:t> </w:t>
      </w:r>
      <w:r>
        <w:rPr/>
        <w:t>de</w:t>
      </w:r>
      <w:r>
        <w:rPr>
          <w:spacing w:val="-16"/>
        </w:rPr>
        <w:t> </w:t>
      </w:r>
      <w:r>
        <w:rPr/>
        <w:t>ellos</w:t>
      </w:r>
      <w:r>
        <w:rPr>
          <w:spacing w:val="-16"/>
        </w:rPr>
        <w:t> </w:t>
      </w:r>
      <w:r>
        <w:rPr/>
        <w:t>y</w:t>
      </w:r>
      <w:r>
        <w:rPr>
          <w:spacing w:val="-19"/>
        </w:rPr>
        <w:t> </w:t>
      </w:r>
      <w:r>
        <w:rPr/>
        <w:t>el</w:t>
      </w:r>
      <w:r>
        <w:rPr>
          <w:spacing w:val="-17"/>
        </w:rPr>
        <w:t> </w:t>
      </w:r>
      <w:r>
        <w:rPr/>
        <w:t>propósito</w:t>
      </w:r>
      <w:r>
        <w:rPr>
          <w:spacing w:val="-16"/>
        </w:rPr>
        <w:t> </w:t>
      </w:r>
      <w:r>
        <w:rPr/>
        <w:t>de</w:t>
      </w:r>
      <w:r>
        <w:rPr>
          <w:spacing w:val="-18"/>
        </w:rPr>
        <w:t> </w:t>
      </w:r>
      <w:r>
        <w:rPr/>
        <w:t>fomentar</w:t>
      </w:r>
      <w:r>
        <w:rPr>
          <w:spacing w:val="-17"/>
        </w:rPr>
        <w:t> </w:t>
      </w:r>
      <w:r>
        <w:rPr/>
        <w:t>el</w:t>
      </w:r>
      <w:r>
        <w:rPr>
          <w:spacing w:val="-17"/>
        </w:rPr>
        <w:t> </w:t>
      </w:r>
      <w:r>
        <w:rPr/>
        <w:t>sentimiento entre ellos” (Ramos,</w:t>
      </w:r>
      <w:r>
        <w:rPr>
          <w:spacing w:val="-9"/>
        </w:rPr>
        <w:t> </w:t>
      </w:r>
      <w:r>
        <w:rPr/>
        <w:t>1999:15).</w:t>
      </w:r>
    </w:p>
    <w:p>
      <w:pPr>
        <w:spacing w:before="204"/>
        <w:ind w:left="954" w:right="114" w:firstLine="0"/>
        <w:jc w:val="both"/>
        <w:rPr>
          <w:sz w:val="22"/>
        </w:rPr>
      </w:pPr>
      <w:r>
        <w:rPr>
          <w:sz w:val="22"/>
        </w:rPr>
        <w:t>El proceso de formación de nuestro federalismo se presenta con causas y características diferentes a las que se dieron en el nacimiento de los Estados Unidos de América: nuestro federalismo surge de la necesidad de conservar la unidad nacional y el de Norteamérica con el propósito de lograrla. En igual forma se manifiestan las diferencias en el proceso de formación, ya que el federalismo mexicano se concreta mediante una descentralización del poder y el norteamericano</w:t>
      </w:r>
      <w:r>
        <w:rPr>
          <w:spacing w:val="-14"/>
          <w:sz w:val="22"/>
        </w:rPr>
        <w:t> </w:t>
      </w:r>
      <w:r>
        <w:rPr>
          <w:sz w:val="22"/>
        </w:rPr>
        <w:t>a</w:t>
      </w:r>
      <w:r>
        <w:rPr>
          <w:spacing w:val="-13"/>
          <w:sz w:val="22"/>
        </w:rPr>
        <w:t> </w:t>
      </w:r>
      <w:r>
        <w:rPr>
          <w:sz w:val="22"/>
        </w:rPr>
        <w:t>través</w:t>
      </w:r>
      <w:r>
        <w:rPr>
          <w:spacing w:val="-16"/>
          <w:sz w:val="22"/>
        </w:rPr>
        <w:t> </w:t>
      </w:r>
      <w:r>
        <w:rPr>
          <w:sz w:val="22"/>
        </w:rPr>
        <w:t>del</w:t>
      </w:r>
      <w:r>
        <w:rPr>
          <w:spacing w:val="-12"/>
          <w:sz w:val="22"/>
        </w:rPr>
        <w:t> </w:t>
      </w:r>
      <w:r>
        <w:rPr>
          <w:sz w:val="22"/>
        </w:rPr>
        <w:t>mismo.</w:t>
      </w:r>
      <w:r>
        <w:rPr>
          <w:spacing w:val="-12"/>
          <w:sz w:val="22"/>
        </w:rPr>
        <w:t> </w:t>
      </w:r>
      <w:r>
        <w:rPr>
          <w:sz w:val="22"/>
        </w:rPr>
        <w:t>El</w:t>
      </w:r>
      <w:r>
        <w:rPr>
          <w:spacing w:val="-14"/>
          <w:sz w:val="22"/>
        </w:rPr>
        <w:t> </w:t>
      </w:r>
      <w:r>
        <w:rPr>
          <w:sz w:val="22"/>
        </w:rPr>
        <w:t>federalismo</w:t>
      </w:r>
      <w:r>
        <w:rPr>
          <w:spacing w:val="-11"/>
          <w:sz w:val="22"/>
        </w:rPr>
        <w:t> </w:t>
      </w:r>
      <w:r>
        <w:rPr>
          <w:sz w:val="22"/>
        </w:rPr>
        <w:t>mexicano</w:t>
      </w:r>
      <w:r>
        <w:rPr>
          <w:spacing w:val="-13"/>
          <w:sz w:val="22"/>
        </w:rPr>
        <w:t> </w:t>
      </w:r>
      <w:r>
        <w:rPr>
          <w:sz w:val="22"/>
        </w:rPr>
        <w:t>tiene</w:t>
      </w:r>
      <w:r>
        <w:rPr>
          <w:spacing w:val="-11"/>
          <w:sz w:val="22"/>
        </w:rPr>
        <w:t> </w:t>
      </w:r>
      <w:r>
        <w:rPr>
          <w:sz w:val="22"/>
        </w:rPr>
        <w:t>su</w:t>
      </w:r>
      <w:r>
        <w:rPr>
          <w:spacing w:val="-14"/>
          <w:sz w:val="22"/>
        </w:rPr>
        <w:t> </w:t>
      </w:r>
      <w:r>
        <w:rPr>
          <w:sz w:val="22"/>
        </w:rPr>
        <w:t>origen</w:t>
      </w:r>
      <w:r>
        <w:rPr>
          <w:spacing w:val="-11"/>
          <w:sz w:val="22"/>
        </w:rPr>
        <w:t> </w:t>
      </w:r>
      <w:r>
        <w:rPr>
          <w:sz w:val="22"/>
        </w:rPr>
        <w:t>en</w:t>
      </w:r>
      <w:r>
        <w:rPr>
          <w:spacing w:val="-11"/>
          <w:sz w:val="22"/>
        </w:rPr>
        <w:t> </w:t>
      </w:r>
      <w:r>
        <w:rPr>
          <w:sz w:val="22"/>
        </w:rPr>
        <w:t>las diputaciones provinciales y el norteamericano en la integración de las colonias inglesas (Matute,</w:t>
      </w:r>
      <w:r>
        <w:rPr>
          <w:spacing w:val="-5"/>
          <w:sz w:val="22"/>
        </w:rPr>
        <w:t> </w:t>
      </w:r>
      <w:r>
        <w:rPr>
          <w:sz w:val="22"/>
        </w:rPr>
        <w:t>2007:1).</w:t>
      </w:r>
    </w:p>
    <w:p>
      <w:pPr>
        <w:pStyle w:val="BodyText"/>
        <w:rPr>
          <w:sz w:val="22"/>
        </w:rPr>
      </w:pPr>
    </w:p>
    <w:p>
      <w:pPr>
        <w:pStyle w:val="BodyText"/>
        <w:rPr>
          <w:sz w:val="22"/>
        </w:rPr>
      </w:pPr>
    </w:p>
    <w:p>
      <w:pPr>
        <w:pStyle w:val="BodyText"/>
        <w:spacing w:line="360" w:lineRule="auto" w:before="149"/>
        <w:ind w:left="102" w:right="115"/>
        <w:jc w:val="both"/>
      </w:pPr>
      <w:r>
        <w:rPr/>
        <w:t>En contraste con Estados Unidos de América en México el federalismo originó un largo lapso de luchas intestinas, el cual inició con la disolución del primer congreso constituyente por Agustín de Iturbide hasta la restauración de la república. El federalismo se consolidó como forma de gobierno que adopta el pueblo mexicano en forma  definitiva,  como una de  sus  decisiones fundamentales a  partir de     la</w:t>
      </w:r>
    </w:p>
    <w:p>
      <w:pPr>
        <w:spacing w:after="0" w:line="360" w:lineRule="auto"/>
        <w:jc w:val="both"/>
        <w:sectPr>
          <w:pgSz w:w="12240" w:h="15840"/>
          <w:pgMar w:header="0" w:footer="992" w:top="1360" w:bottom="1180" w:left="1600" w:right="1580"/>
        </w:sectPr>
      </w:pPr>
    </w:p>
    <w:p>
      <w:pPr>
        <w:pStyle w:val="BodyText"/>
        <w:spacing w:line="360" w:lineRule="auto" w:before="54"/>
        <w:ind w:left="102" w:right="120"/>
        <w:jc w:val="both"/>
      </w:pPr>
      <w:r>
        <w:rPr/>
        <w:t>constitución de 1857. Sin embargo, hubo confrontaciones entre los federalistas y centralistas, ambos bandos se preocupaban por convencer de las ventajas y desventajas del sistema de gobierno que defendían, se atacaban y se responsabilizaban de los vicios y de los males que padecía y padecería el país.</w:t>
      </w:r>
    </w:p>
    <w:p>
      <w:pPr>
        <w:pStyle w:val="BodyText"/>
        <w:spacing w:before="204"/>
        <w:ind w:left="102"/>
        <w:jc w:val="both"/>
      </w:pPr>
      <w:r>
        <w:rPr/>
        <w:t>El federalismo mexicano tiene como principales objetivos los siguientes:</w:t>
      </w:r>
    </w:p>
    <w:p>
      <w:pPr>
        <w:pStyle w:val="BodyText"/>
        <w:spacing w:before="4"/>
        <w:rPr>
          <w:sz w:val="29"/>
        </w:rPr>
      </w:pPr>
    </w:p>
    <w:p>
      <w:pPr>
        <w:pStyle w:val="ListParagraph"/>
        <w:numPr>
          <w:ilvl w:val="1"/>
          <w:numId w:val="15"/>
        </w:numPr>
        <w:tabs>
          <w:tab w:pos="822" w:val="left" w:leader="none"/>
        </w:tabs>
        <w:spacing w:line="240" w:lineRule="auto" w:before="1" w:after="0"/>
        <w:ind w:left="822" w:right="0" w:hanging="360"/>
        <w:jc w:val="left"/>
        <w:rPr>
          <w:sz w:val="24"/>
        </w:rPr>
      </w:pPr>
      <w:r>
        <w:rPr>
          <w:sz w:val="24"/>
        </w:rPr>
        <w:t>El fortalecimiento de los ingresos y gasto de los estados  y</w:t>
      </w:r>
      <w:r>
        <w:rPr>
          <w:spacing w:val="-24"/>
          <w:sz w:val="24"/>
        </w:rPr>
        <w:t> </w:t>
      </w:r>
      <w:r>
        <w:rPr>
          <w:sz w:val="24"/>
        </w:rPr>
        <w:t>municipios.</w:t>
      </w:r>
    </w:p>
    <w:p>
      <w:pPr>
        <w:pStyle w:val="ListParagraph"/>
        <w:numPr>
          <w:ilvl w:val="1"/>
          <w:numId w:val="15"/>
        </w:numPr>
        <w:tabs>
          <w:tab w:pos="822" w:val="left" w:leader="none"/>
        </w:tabs>
        <w:spacing w:line="240" w:lineRule="auto" w:before="137" w:after="0"/>
        <w:ind w:left="822" w:right="0" w:hanging="360"/>
        <w:jc w:val="left"/>
        <w:rPr>
          <w:sz w:val="24"/>
        </w:rPr>
      </w:pPr>
      <w:r>
        <w:rPr>
          <w:sz w:val="24"/>
        </w:rPr>
        <w:t>El perfeccionamiento de los sistemas de</w:t>
      </w:r>
      <w:r>
        <w:rPr>
          <w:spacing w:val="-15"/>
          <w:sz w:val="24"/>
        </w:rPr>
        <w:t> </w:t>
      </w:r>
      <w:r>
        <w:rPr>
          <w:sz w:val="24"/>
        </w:rPr>
        <w:t>control.</w:t>
      </w:r>
    </w:p>
    <w:p>
      <w:pPr>
        <w:pStyle w:val="ListParagraph"/>
        <w:numPr>
          <w:ilvl w:val="1"/>
          <w:numId w:val="15"/>
        </w:numPr>
        <w:tabs>
          <w:tab w:pos="822" w:val="left" w:leader="none"/>
        </w:tabs>
        <w:spacing w:line="240" w:lineRule="auto" w:before="137" w:after="0"/>
        <w:ind w:left="822" w:right="0" w:hanging="360"/>
        <w:jc w:val="left"/>
        <w:rPr>
          <w:sz w:val="24"/>
        </w:rPr>
      </w:pPr>
      <w:r>
        <w:rPr>
          <w:sz w:val="24"/>
        </w:rPr>
        <w:t>Seguimiento y evaluación en todos los niveles de</w:t>
      </w:r>
      <w:r>
        <w:rPr>
          <w:spacing w:val="-21"/>
          <w:sz w:val="24"/>
        </w:rPr>
        <w:t> </w:t>
      </w:r>
      <w:r>
        <w:rPr>
          <w:sz w:val="24"/>
        </w:rPr>
        <w:t>gobierno.</w:t>
      </w:r>
    </w:p>
    <w:p>
      <w:pPr>
        <w:pStyle w:val="BodyText"/>
      </w:pPr>
    </w:p>
    <w:p>
      <w:pPr>
        <w:pStyle w:val="BodyText"/>
        <w:spacing w:line="360" w:lineRule="auto" w:before="144"/>
        <w:ind w:left="102" w:right="115"/>
        <w:jc w:val="both"/>
      </w:pPr>
      <w:r>
        <w:rPr/>
        <w:t>El sistema federal mexicano busca una distribución del poder entre el gobierno central y los gobiernos estatales, aunque no se logre plenamente; así mismo garantiza jurídicamente la protección sobre la existencia y autoridad del gobierno en sus tres niveles. “El sistema federal permite normativamente que todos los niveles de gobierno participen en los procesos de toma de decisiones y se</w:t>
      </w:r>
      <w:r>
        <w:rPr>
          <w:spacing w:val="-35"/>
        </w:rPr>
        <w:t> </w:t>
      </w:r>
      <w:r>
        <w:rPr/>
        <w:t>superen las dificultades reales que supone relacionar las entidades federativas con diferentes intereses, tradiciones y grados de desarrollo social y económico” (Ayala, 2005).</w:t>
      </w:r>
    </w:p>
    <w:p>
      <w:pPr>
        <w:pStyle w:val="BodyText"/>
      </w:pPr>
    </w:p>
    <w:p>
      <w:pPr>
        <w:pStyle w:val="Heading1"/>
        <w:numPr>
          <w:ilvl w:val="1"/>
          <w:numId w:val="18"/>
        </w:numPr>
        <w:tabs>
          <w:tab w:pos="2493" w:val="left" w:leader="none"/>
        </w:tabs>
        <w:spacing w:line="240" w:lineRule="auto" w:before="205" w:after="0"/>
        <w:ind w:left="4045" w:right="0" w:hanging="2100"/>
        <w:jc w:val="left"/>
      </w:pPr>
      <w:bookmarkStart w:name="_TOC_250038" w:id="14"/>
      <w:r>
        <w:rPr/>
        <w:t>Conceptualización de</w:t>
      </w:r>
      <w:r>
        <w:rPr>
          <w:spacing w:val="-17"/>
        </w:rPr>
        <w:t> </w:t>
      </w:r>
      <w:bookmarkEnd w:id="14"/>
      <w:r>
        <w:rPr/>
        <w:t>Federalismo</w:t>
      </w:r>
    </w:p>
    <w:p>
      <w:pPr>
        <w:pStyle w:val="BodyText"/>
        <w:rPr>
          <w:b/>
          <w:sz w:val="28"/>
        </w:rPr>
      </w:pPr>
    </w:p>
    <w:p>
      <w:pPr>
        <w:pStyle w:val="BodyText"/>
        <w:rPr>
          <w:b/>
          <w:sz w:val="28"/>
        </w:rPr>
      </w:pPr>
    </w:p>
    <w:p>
      <w:pPr>
        <w:pStyle w:val="BodyText"/>
        <w:rPr>
          <w:b/>
          <w:sz w:val="28"/>
        </w:rPr>
      </w:pPr>
    </w:p>
    <w:p>
      <w:pPr>
        <w:pStyle w:val="BodyText"/>
        <w:spacing w:before="1"/>
        <w:rPr>
          <w:b/>
          <w:sz w:val="26"/>
        </w:rPr>
      </w:pPr>
    </w:p>
    <w:p>
      <w:pPr>
        <w:pStyle w:val="BodyText"/>
        <w:spacing w:line="360" w:lineRule="auto"/>
        <w:ind w:right="116"/>
        <w:jc w:val="right"/>
      </w:pPr>
      <w:r>
        <w:rPr/>
        <w:t>El federalismo alude a una forma de organización de Estado y de las relaciones intergubernamentales. Las teorías sobre éste reflejan la preocupación por estudiar</w:t>
      </w:r>
      <w:r>
        <w:rPr>
          <w:w w:val="99"/>
        </w:rPr>
        <w:t> </w:t>
      </w:r>
      <w:r>
        <w:rPr/>
        <w:t>los modos de organización política que vinculan unidades políticas distintas (por su</w:t>
      </w:r>
      <w:r>
        <w:rPr>
          <w:w w:val="99"/>
        </w:rPr>
        <w:t> </w:t>
      </w:r>
      <w:r>
        <w:rPr/>
        <w:t>sistema jurídico, cultural, religioso e idioma) en un sistema global, y que permitan al</w:t>
      </w:r>
      <w:r>
        <w:rPr>
          <w:w w:val="99"/>
        </w:rPr>
        <w:t> </w:t>
      </w:r>
      <w:r>
        <w:rPr/>
        <w:t>mismo tiempo, que cada una de ellas mantenga su integridad política fundamental.</w:t>
      </w:r>
    </w:p>
    <w:p>
      <w:pPr>
        <w:spacing w:before="201"/>
        <w:ind w:left="954" w:right="115" w:firstLine="0"/>
        <w:jc w:val="both"/>
        <w:rPr>
          <w:sz w:val="22"/>
        </w:rPr>
      </w:pPr>
      <w:r>
        <w:rPr>
          <w:sz w:val="22"/>
        </w:rPr>
        <w:t>El vocablo “</w:t>
      </w:r>
      <w:r>
        <w:rPr>
          <w:i/>
          <w:sz w:val="22"/>
        </w:rPr>
        <w:t>Federalismo” </w:t>
      </w:r>
      <w:r>
        <w:rPr>
          <w:sz w:val="22"/>
        </w:rPr>
        <w:t>proviene del latín f</w:t>
      </w:r>
      <w:r>
        <w:rPr>
          <w:i/>
          <w:sz w:val="22"/>
        </w:rPr>
        <w:t>eoderatio</w:t>
      </w:r>
      <w:r>
        <w:rPr>
          <w:sz w:val="22"/>
        </w:rPr>
        <w:t>, de </w:t>
      </w:r>
      <w:r>
        <w:rPr>
          <w:i/>
          <w:sz w:val="22"/>
        </w:rPr>
        <w:t>feoderare</w:t>
      </w:r>
      <w:r>
        <w:rPr>
          <w:sz w:val="22"/>
        </w:rPr>
        <w:t>, que significa unir por medio de una alianza, derivado de </w:t>
      </w:r>
      <w:r>
        <w:rPr>
          <w:i/>
          <w:sz w:val="22"/>
        </w:rPr>
        <w:t>feodus-eris</w:t>
      </w:r>
      <w:r>
        <w:rPr>
          <w:sz w:val="22"/>
        </w:rPr>
        <w:t>, tratado o pacto. Por el significado</w:t>
      </w:r>
      <w:r>
        <w:rPr>
          <w:spacing w:val="-16"/>
          <w:sz w:val="22"/>
        </w:rPr>
        <w:t> </w:t>
      </w:r>
      <w:r>
        <w:rPr>
          <w:sz w:val="22"/>
        </w:rPr>
        <w:t>etimológico</w:t>
      </w:r>
      <w:r>
        <w:rPr>
          <w:spacing w:val="-16"/>
          <w:sz w:val="22"/>
        </w:rPr>
        <w:t> </w:t>
      </w:r>
      <w:r>
        <w:rPr>
          <w:sz w:val="22"/>
        </w:rPr>
        <w:t>de</w:t>
      </w:r>
      <w:r>
        <w:rPr>
          <w:spacing w:val="-16"/>
          <w:sz w:val="22"/>
        </w:rPr>
        <w:t> </w:t>
      </w:r>
      <w:r>
        <w:rPr>
          <w:sz w:val="22"/>
        </w:rPr>
        <w:t>este</w:t>
      </w:r>
      <w:r>
        <w:rPr>
          <w:spacing w:val="-18"/>
          <w:sz w:val="22"/>
        </w:rPr>
        <w:t> </w:t>
      </w:r>
      <w:r>
        <w:rPr>
          <w:sz w:val="22"/>
        </w:rPr>
        <w:t>vocablo,</w:t>
      </w:r>
      <w:r>
        <w:rPr>
          <w:spacing w:val="-15"/>
          <w:sz w:val="22"/>
        </w:rPr>
        <w:t> </w:t>
      </w:r>
      <w:r>
        <w:rPr>
          <w:sz w:val="22"/>
        </w:rPr>
        <w:t>la</w:t>
      </w:r>
      <w:r>
        <w:rPr>
          <w:spacing w:val="-16"/>
          <w:sz w:val="22"/>
        </w:rPr>
        <w:t> </w:t>
      </w:r>
      <w:r>
        <w:rPr>
          <w:sz w:val="22"/>
        </w:rPr>
        <w:t>palabra</w:t>
      </w:r>
      <w:r>
        <w:rPr>
          <w:spacing w:val="-15"/>
          <w:sz w:val="22"/>
        </w:rPr>
        <w:t> </w:t>
      </w:r>
      <w:r>
        <w:rPr>
          <w:sz w:val="22"/>
        </w:rPr>
        <w:t>Federación,</w:t>
      </w:r>
      <w:r>
        <w:rPr>
          <w:spacing w:val="-17"/>
          <w:sz w:val="22"/>
        </w:rPr>
        <w:t> </w:t>
      </w:r>
      <w:r>
        <w:rPr>
          <w:sz w:val="22"/>
        </w:rPr>
        <w:t>se</w:t>
      </w:r>
      <w:r>
        <w:rPr>
          <w:spacing w:val="-16"/>
          <w:sz w:val="22"/>
        </w:rPr>
        <w:t> </w:t>
      </w:r>
      <w:r>
        <w:rPr>
          <w:sz w:val="22"/>
        </w:rPr>
        <w:t>ha</w:t>
      </w:r>
      <w:r>
        <w:rPr>
          <w:spacing w:val="-19"/>
          <w:sz w:val="22"/>
        </w:rPr>
        <w:t> </w:t>
      </w:r>
      <w:r>
        <w:rPr>
          <w:sz w:val="22"/>
        </w:rPr>
        <w:t>utilizado</w:t>
      </w:r>
      <w:r>
        <w:rPr>
          <w:spacing w:val="29"/>
          <w:sz w:val="22"/>
        </w:rPr>
        <w:t> </w:t>
      </w:r>
      <w:r>
        <w:rPr>
          <w:sz w:val="22"/>
        </w:rPr>
        <w:t>para identificar</w:t>
      </w:r>
      <w:r>
        <w:rPr>
          <w:spacing w:val="-12"/>
          <w:sz w:val="22"/>
        </w:rPr>
        <w:t> </w:t>
      </w:r>
      <w:r>
        <w:rPr>
          <w:sz w:val="22"/>
        </w:rPr>
        <w:t>las</w:t>
      </w:r>
      <w:r>
        <w:rPr>
          <w:spacing w:val="-16"/>
          <w:sz w:val="22"/>
        </w:rPr>
        <w:t> </w:t>
      </w:r>
      <w:r>
        <w:rPr>
          <w:sz w:val="22"/>
        </w:rPr>
        <w:t>características</w:t>
      </w:r>
      <w:r>
        <w:rPr>
          <w:spacing w:val="-16"/>
          <w:sz w:val="22"/>
        </w:rPr>
        <w:t> </w:t>
      </w:r>
      <w:r>
        <w:rPr>
          <w:sz w:val="22"/>
        </w:rPr>
        <w:t>federales</w:t>
      </w:r>
      <w:r>
        <w:rPr>
          <w:spacing w:val="-12"/>
          <w:sz w:val="22"/>
        </w:rPr>
        <w:t> </w:t>
      </w:r>
      <w:r>
        <w:rPr>
          <w:sz w:val="22"/>
        </w:rPr>
        <w:t>de</w:t>
      </w:r>
      <w:r>
        <w:rPr>
          <w:spacing w:val="-16"/>
          <w:sz w:val="22"/>
        </w:rPr>
        <w:t> </w:t>
      </w:r>
      <w:r>
        <w:rPr>
          <w:sz w:val="22"/>
        </w:rPr>
        <w:t>una</w:t>
      </w:r>
      <w:r>
        <w:rPr>
          <w:spacing w:val="-19"/>
          <w:sz w:val="22"/>
        </w:rPr>
        <w:t> </w:t>
      </w:r>
      <w:r>
        <w:rPr>
          <w:sz w:val="22"/>
        </w:rPr>
        <w:t>forma</w:t>
      </w:r>
      <w:r>
        <w:rPr>
          <w:spacing w:val="-13"/>
          <w:sz w:val="22"/>
        </w:rPr>
        <w:t> </w:t>
      </w:r>
      <w:r>
        <w:rPr>
          <w:sz w:val="22"/>
        </w:rPr>
        <w:t>de</w:t>
      </w:r>
      <w:r>
        <w:rPr>
          <w:spacing w:val="-19"/>
          <w:sz w:val="22"/>
        </w:rPr>
        <w:t> </w:t>
      </w:r>
      <w:r>
        <w:rPr>
          <w:sz w:val="22"/>
        </w:rPr>
        <w:t>gobierno,</w:t>
      </w:r>
      <w:r>
        <w:rPr>
          <w:spacing w:val="-12"/>
          <w:sz w:val="22"/>
        </w:rPr>
        <w:t> </w:t>
      </w:r>
      <w:r>
        <w:rPr>
          <w:sz w:val="22"/>
        </w:rPr>
        <w:t>por</w:t>
      </w:r>
      <w:r>
        <w:rPr>
          <w:spacing w:val="-13"/>
          <w:sz w:val="22"/>
        </w:rPr>
        <w:t> </w:t>
      </w:r>
      <w:r>
        <w:rPr>
          <w:sz w:val="22"/>
        </w:rPr>
        <w:t>corresponder</w:t>
      </w:r>
    </w:p>
    <w:p>
      <w:pPr>
        <w:spacing w:after="0"/>
        <w:jc w:val="both"/>
        <w:rPr>
          <w:sz w:val="22"/>
        </w:rPr>
        <w:sectPr>
          <w:pgSz w:w="12240" w:h="15840"/>
          <w:pgMar w:header="0" w:footer="992" w:top="1360" w:bottom="1180" w:left="1600" w:right="1580"/>
        </w:sectPr>
      </w:pPr>
    </w:p>
    <w:p>
      <w:pPr>
        <w:spacing w:before="53"/>
        <w:ind w:left="954" w:right="115" w:firstLine="0"/>
        <w:jc w:val="both"/>
        <w:rPr>
          <w:sz w:val="22"/>
        </w:rPr>
      </w:pPr>
      <w:r>
        <w:rPr>
          <w:sz w:val="22"/>
        </w:rPr>
        <w:t>a una entidad que se crea a través de la composición de entidades o estados que antes estaban separados  (Rodríguez, 2003:31).</w:t>
      </w:r>
    </w:p>
    <w:p>
      <w:pPr>
        <w:pStyle w:val="BodyText"/>
        <w:spacing w:before="5"/>
        <w:rPr>
          <w:sz w:val="17"/>
        </w:rPr>
      </w:pPr>
    </w:p>
    <w:p>
      <w:pPr>
        <w:spacing w:before="0"/>
        <w:ind w:left="954" w:right="116" w:firstLine="0"/>
        <w:jc w:val="both"/>
        <w:rPr>
          <w:sz w:val="22"/>
        </w:rPr>
      </w:pPr>
      <w:r>
        <w:rPr>
          <w:sz w:val="22"/>
        </w:rPr>
        <w:t>La palabra “federal” proviene del latín </w:t>
      </w:r>
      <w:r>
        <w:rPr>
          <w:i/>
          <w:sz w:val="22"/>
        </w:rPr>
        <w:t>foedus</w:t>
      </w:r>
      <w:r>
        <w:rPr>
          <w:sz w:val="22"/>
        </w:rPr>
        <w:t>, que significa confianza, pacto o convenio. En su sentido más amplio, una asociación federal o un convenio es</w:t>
      </w:r>
      <w:r>
        <w:rPr>
          <w:spacing w:val="-32"/>
          <w:sz w:val="22"/>
        </w:rPr>
        <w:t> </w:t>
      </w:r>
      <w:r>
        <w:rPr>
          <w:sz w:val="22"/>
        </w:rPr>
        <w:t>una asociación voluntaria entre grupos iguales, que se unen por mutuo acuerdo para perseguir propósitos específicos. La asociación resultante es una forma de unión en la cual las partes acuerdan ceder algo de su autonomía individual a favor de la unión, el tiempo que retienen una cierta medida de su identidad y poder individuales para su nuevo papel de miembros constituyentes de la unión (Schechter,</w:t>
      </w:r>
      <w:r>
        <w:rPr>
          <w:spacing w:val="-4"/>
          <w:sz w:val="22"/>
        </w:rPr>
        <w:t> </w:t>
      </w:r>
      <w:r>
        <w:rPr>
          <w:sz w:val="22"/>
        </w:rPr>
        <w:t>2000:29).</w:t>
      </w:r>
    </w:p>
    <w:p>
      <w:pPr>
        <w:pStyle w:val="BodyText"/>
        <w:spacing w:before="5"/>
        <w:rPr>
          <w:sz w:val="17"/>
        </w:rPr>
      </w:pPr>
    </w:p>
    <w:p>
      <w:pPr>
        <w:pStyle w:val="BodyText"/>
        <w:spacing w:line="360" w:lineRule="auto"/>
        <w:ind w:left="102" w:right="115"/>
        <w:jc w:val="both"/>
      </w:pPr>
      <w:r>
        <w:rPr/>
        <w:t>El federalismo tiene sus raíces en la antigüedad, en su forma actual, fue inventado por los estadounidenses, principalmente por quienes forjaron la Constitución de 1787. Los estadounidenses tomaron la noción y la práctica del federalismo tal y como se habían conocido en Europa.</w:t>
      </w:r>
    </w:p>
    <w:p>
      <w:pPr>
        <w:spacing w:before="201"/>
        <w:ind w:left="954" w:right="116" w:firstLine="0"/>
        <w:jc w:val="both"/>
        <w:rPr>
          <w:sz w:val="22"/>
        </w:rPr>
      </w:pPr>
      <w:r>
        <w:rPr>
          <w:sz w:val="22"/>
        </w:rPr>
        <w:t>El federalismo se basa en dos principios cuya combinación es única: el republicanismo compuesto y la no centralización. Una república compuesta es la que se forma de estados que preservan un grado suficiente de separación entre ellos y entre cada una de sus partes. Esto lo logran gracias a la no centralización, la cual se consigue por medio de la transmisión de la autoridad y el poder entre una multiplicidad de centros, prescindiendo la propia república compuesta de un centro único (Elazar, 2000: 45).</w:t>
      </w:r>
    </w:p>
    <w:p>
      <w:pPr>
        <w:pStyle w:val="BodyText"/>
        <w:rPr>
          <w:sz w:val="22"/>
        </w:rPr>
      </w:pPr>
    </w:p>
    <w:p>
      <w:pPr>
        <w:pStyle w:val="BodyText"/>
        <w:rPr>
          <w:sz w:val="22"/>
        </w:rPr>
      </w:pPr>
    </w:p>
    <w:p>
      <w:pPr>
        <w:pStyle w:val="BodyText"/>
        <w:spacing w:line="360" w:lineRule="auto" w:before="146"/>
        <w:ind w:left="102" w:right="116"/>
        <w:jc w:val="both"/>
      </w:pPr>
      <w:r>
        <w:rPr/>
        <w:t>Independientemente del desarrollo histórico y teórico de cada país, el federalismo es</w:t>
      </w:r>
      <w:r>
        <w:rPr>
          <w:spacing w:val="-13"/>
        </w:rPr>
        <w:t> </w:t>
      </w:r>
      <w:r>
        <w:rPr/>
        <w:t>una</w:t>
      </w:r>
      <w:r>
        <w:rPr>
          <w:spacing w:val="-13"/>
        </w:rPr>
        <w:t> </w:t>
      </w:r>
      <w:r>
        <w:rPr/>
        <w:t>forma</w:t>
      </w:r>
      <w:r>
        <w:rPr>
          <w:spacing w:val="-12"/>
        </w:rPr>
        <w:t> </w:t>
      </w:r>
      <w:r>
        <w:rPr/>
        <w:t>de</w:t>
      </w:r>
      <w:r>
        <w:rPr>
          <w:spacing w:val="-12"/>
        </w:rPr>
        <w:t> </w:t>
      </w:r>
      <w:r>
        <w:rPr/>
        <w:t>régimen</w:t>
      </w:r>
      <w:r>
        <w:rPr>
          <w:spacing w:val="-9"/>
        </w:rPr>
        <w:t> </w:t>
      </w:r>
      <w:r>
        <w:rPr/>
        <w:t>político</w:t>
      </w:r>
      <w:r>
        <w:rPr>
          <w:spacing w:val="-12"/>
        </w:rPr>
        <w:t> </w:t>
      </w:r>
      <w:r>
        <w:rPr/>
        <w:t>por</w:t>
      </w:r>
      <w:r>
        <w:rPr>
          <w:spacing w:val="-13"/>
        </w:rPr>
        <w:t> </w:t>
      </w:r>
      <w:r>
        <w:rPr/>
        <w:t>medio</w:t>
      </w:r>
      <w:r>
        <w:rPr>
          <w:spacing w:val="-12"/>
        </w:rPr>
        <w:t> </w:t>
      </w:r>
      <w:r>
        <w:rPr/>
        <w:t>del</w:t>
      </w:r>
      <w:r>
        <w:rPr>
          <w:spacing w:val="-13"/>
        </w:rPr>
        <w:t> </w:t>
      </w:r>
      <w:r>
        <w:rPr/>
        <w:t>cual</w:t>
      </w:r>
      <w:r>
        <w:rPr>
          <w:spacing w:val="-13"/>
        </w:rPr>
        <w:t> </w:t>
      </w:r>
      <w:r>
        <w:rPr/>
        <w:t>se</w:t>
      </w:r>
      <w:r>
        <w:rPr>
          <w:spacing w:val="-12"/>
        </w:rPr>
        <w:t> </w:t>
      </w:r>
      <w:r>
        <w:rPr/>
        <w:t>divide</w:t>
      </w:r>
      <w:r>
        <w:rPr>
          <w:spacing w:val="-11"/>
        </w:rPr>
        <w:t> </w:t>
      </w:r>
      <w:r>
        <w:rPr/>
        <w:t>verticalmente</w:t>
      </w:r>
      <w:r>
        <w:rPr>
          <w:spacing w:val="-12"/>
        </w:rPr>
        <w:t> </w:t>
      </w:r>
      <w:r>
        <w:rPr/>
        <w:t>el</w:t>
      </w:r>
      <w:r>
        <w:rPr>
          <w:spacing w:val="-13"/>
        </w:rPr>
        <w:t> </w:t>
      </w:r>
      <w:r>
        <w:rPr/>
        <w:t>poder en un Estado y coexisten por lo menos dos ámbitos de gobierno. Está división no es estática sino dinámica y se transforma conforme cambian las circunstancias políticas, sin que ello constituya necesariamente un retorno, en el caso norteamericano</w:t>
      </w:r>
      <w:r>
        <w:rPr>
          <w:spacing w:val="-17"/>
        </w:rPr>
        <w:t> </w:t>
      </w:r>
      <w:r>
        <w:rPr/>
        <w:t>a</w:t>
      </w:r>
      <w:r>
        <w:rPr>
          <w:spacing w:val="-14"/>
        </w:rPr>
        <w:t> </w:t>
      </w:r>
      <w:r>
        <w:rPr/>
        <w:t>la</w:t>
      </w:r>
      <w:r>
        <w:rPr>
          <w:spacing w:val="-14"/>
        </w:rPr>
        <w:t> </w:t>
      </w:r>
      <w:r>
        <w:rPr/>
        <w:t>confederación</w:t>
      </w:r>
      <w:r>
        <w:rPr>
          <w:spacing w:val="-17"/>
        </w:rPr>
        <w:t> </w:t>
      </w:r>
      <w:r>
        <w:rPr/>
        <w:t>o</w:t>
      </w:r>
      <w:r>
        <w:rPr>
          <w:spacing w:val="-14"/>
        </w:rPr>
        <w:t> </w:t>
      </w:r>
      <w:r>
        <w:rPr/>
        <w:t>en</w:t>
      </w:r>
      <w:r>
        <w:rPr>
          <w:spacing w:val="-14"/>
        </w:rPr>
        <w:t> </w:t>
      </w:r>
      <w:r>
        <w:rPr/>
        <w:t>el</w:t>
      </w:r>
      <w:r>
        <w:rPr>
          <w:spacing w:val="-15"/>
        </w:rPr>
        <w:t> </w:t>
      </w:r>
      <w:r>
        <w:rPr/>
        <w:t>mexicano</w:t>
      </w:r>
      <w:r>
        <w:rPr>
          <w:spacing w:val="-14"/>
        </w:rPr>
        <w:t> </w:t>
      </w:r>
      <w:r>
        <w:rPr/>
        <w:t>al</w:t>
      </w:r>
      <w:r>
        <w:rPr>
          <w:spacing w:val="-15"/>
        </w:rPr>
        <w:t> </w:t>
      </w:r>
      <w:r>
        <w:rPr/>
        <w:t>constituyente.</w:t>
      </w:r>
      <w:r>
        <w:rPr>
          <w:spacing w:val="-14"/>
        </w:rPr>
        <w:t> </w:t>
      </w:r>
      <w:r>
        <w:rPr/>
        <w:t>El</w:t>
      </w:r>
      <w:r>
        <w:rPr>
          <w:spacing w:val="-18"/>
        </w:rPr>
        <w:t> </w:t>
      </w:r>
      <w:r>
        <w:rPr/>
        <w:t>federalismo adquiere vigencia jurídica con la declaratoria formal del constituyente con la que</w:t>
      </w:r>
      <w:r>
        <w:rPr>
          <w:spacing w:val="-34"/>
        </w:rPr>
        <w:t> </w:t>
      </w:r>
      <w:r>
        <w:rPr/>
        <w:t>se conforma un determinado régimen político; con la constitución política es donde se ve reflejado jurídicamente este régimen</w:t>
      </w:r>
      <w:r>
        <w:rPr>
          <w:spacing w:val="-13"/>
        </w:rPr>
        <w:t> </w:t>
      </w:r>
      <w:r>
        <w:rPr/>
        <w:t>federalista.</w:t>
      </w:r>
    </w:p>
    <w:p>
      <w:pPr>
        <w:spacing w:before="204"/>
        <w:ind w:left="954" w:right="115" w:firstLine="0"/>
        <w:jc w:val="both"/>
        <w:rPr>
          <w:sz w:val="22"/>
        </w:rPr>
      </w:pPr>
      <w:r>
        <w:rPr>
          <w:sz w:val="22"/>
        </w:rPr>
        <w:t>El federalismo, como decisión política fundamental, es una guía de acción y condicionante</w:t>
      </w:r>
      <w:r>
        <w:rPr>
          <w:spacing w:val="-6"/>
          <w:sz w:val="22"/>
        </w:rPr>
        <w:t> </w:t>
      </w:r>
      <w:r>
        <w:rPr>
          <w:sz w:val="22"/>
        </w:rPr>
        <w:t>a</w:t>
      </w:r>
      <w:r>
        <w:rPr>
          <w:spacing w:val="-6"/>
          <w:sz w:val="22"/>
        </w:rPr>
        <w:t> </w:t>
      </w:r>
      <w:r>
        <w:rPr>
          <w:sz w:val="22"/>
        </w:rPr>
        <w:t>las</w:t>
      </w:r>
      <w:r>
        <w:rPr>
          <w:spacing w:val="-9"/>
          <w:sz w:val="22"/>
        </w:rPr>
        <w:t> </w:t>
      </w:r>
      <w:r>
        <w:rPr>
          <w:sz w:val="22"/>
        </w:rPr>
        <w:t>posiciones</w:t>
      </w:r>
      <w:r>
        <w:rPr>
          <w:spacing w:val="-9"/>
          <w:sz w:val="22"/>
        </w:rPr>
        <w:t> </w:t>
      </w:r>
      <w:r>
        <w:rPr>
          <w:sz w:val="22"/>
        </w:rPr>
        <w:t>fácticas</w:t>
      </w:r>
      <w:r>
        <w:rPr>
          <w:spacing w:val="-6"/>
          <w:sz w:val="22"/>
        </w:rPr>
        <w:t> </w:t>
      </w:r>
      <w:r>
        <w:rPr>
          <w:sz w:val="22"/>
        </w:rPr>
        <w:t>de</w:t>
      </w:r>
      <w:r>
        <w:rPr>
          <w:spacing w:val="-9"/>
          <w:sz w:val="22"/>
        </w:rPr>
        <w:t> </w:t>
      </w:r>
      <w:r>
        <w:rPr>
          <w:sz w:val="22"/>
        </w:rPr>
        <w:t>poder</w:t>
      </w:r>
      <w:r>
        <w:rPr>
          <w:spacing w:val="-8"/>
          <w:sz w:val="22"/>
        </w:rPr>
        <w:t> </w:t>
      </w:r>
      <w:r>
        <w:rPr>
          <w:sz w:val="22"/>
        </w:rPr>
        <w:t>y,</w:t>
      </w:r>
      <w:r>
        <w:rPr>
          <w:spacing w:val="-5"/>
          <w:sz w:val="22"/>
        </w:rPr>
        <w:t> </w:t>
      </w:r>
      <w:r>
        <w:rPr>
          <w:sz w:val="22"/>
        </w:rPr>
        <w:t>por</w:t>
      </w:r>
      <w:r>
        <w:rPr>
          <w:spacing w:val="-5"/>
          <w:sz w:val="22"/>
        </w:rPr>
        <w:t> </w:t>
      </w:r>
      <w:r>
        <w:rPr>
          <w:sz w:val="22"/>
        </w:rPr>
        <w:t>lo</w:t>
      </w:r>
      <w:r>
        <w:rPr>
          <w:spacing w:val="-9"/>
          <w:sz w:val="22"/>
        </w:rPr>
        <w:t> </w:t>
      </w:r>
      <w:r>
        <w:rPr>
          <w:sz w:val="22"/>
        </w:rPr>
        <w:t>tanto,</w:t>
      </w:r>
      <w:r>
        <w:rPr>
          <w:spacing w:val="-8"/>
          <w:sz w:val="22"/>
        </w:rPr>
        <w:t> </w:t>
      </w:r>
      <w:r>
        <w:rPr>
          <w:sz w:val="22"/>
        </w:rPr>
        <w:t>establece</w:t>
      </w:r>
      <w:r>
        <w:rPr>
          <w:spacing w:val="-7"/>
          <w:sz w:val="22"/>
        </w:rPr>
        <w:t> </w:t>
      </w:r>
      <w:r>
        <w:rPr>
          <w:sz w:val="22"/>
        </w:rPr>
        <w:t>vínculos entre hombres. El federalismo como concepto jurídico, es un instrumento de control social, es un lenguaje regularizado y repetitivo, separado del mundo empírico de los hechos, que cobra fuerza, incluso, por procesos de educación, adoctrinamiento, hábitos de pensamiento o conductas heredadas de generación en generación  (Matute, 2007:</w:t>
      </w:r>
      <w:r>
        <w:rPr>
          <w:spacing w:val="-3"/>
          <w:sz w:val="22"/>
        </w:rPr>
        <w:t> </w:t>
      </w:r>
      <w:r>
        <w:rPr>
          <w:sz w:val="22"/>
        </w:rPr>
        <w:t>74).</w:t>
      </w:r>
    </w:p>
    <w:p>
      <w:pPr>
        <w:spacing w:after="0"/>
        <w:jc w:val="both"/>
        <w:rPr>
          <w:sz w:val="22"/>
        </w:rPr>
        <w:sectPr>
          <w:pgSz w:w="12240" w:h="15840"/>
          <w:pgMar w:header="0" w:footer="992" w:top="1360" w:bottom="1180" w:left="1600" w:right="1580"/>
        </w:sectPr>
      </w:pPr>
    </w:p>
    <w:p>
      <w:pPr>
        <w:pStyle w:val="BodyText"/>
        <w:spacing w:before="11"/>
        <w:rPr>
          <w:sz w:val="25"/>
        </w:rPr>
      </w:pPr>
    </w:p>
    <w:p>
      <w:pPr>
        <w:pStyle w:val="BodyText"/>
        <w:spacing w:line="360" w:lineRule="auto" w:before="69"/>
        <w:ind w:left="102" w:right="115"/>
        <w:jc w:val="both"/>
      </w:pPr>
      <w:r>
        <w:rPr/>
        <w:t>El federalismo es una organización de gobierno y de las relaciones intergubernamentales, tomando en cuenta la unidad y diversidad de un país, en lo económico,</w:t>
      </w:r>
      <w:r>
        <w:rPr>
          <w:spacing w:val="-14"/>
        </w:rPr>
        <w:t> </w:t>
      </w:r>
      <w:r>
        <w:rPr/>
        <w:t>político,</w:t>
      </w:r>
      <w:r>
        <w:rPr>
          <w:spacing w:val="-14"/>
        </w:rPr>
        <w:t> </w:t>
      </w:r>
      <w:r>
        <w:rPr/>
        <w:t>cultural</w:t>
      </w:r>
      <w:r>
        <w:rPr>
          <w:spacing w:val="-15"/>
        </w:rPr>
        <w:t> </w:t>
      </w:r>
      <w:r>
        <w:rPr/>
        <w:t>o</w:t>
      </w:r>
      <w:r>
        <w:rPr>
          <w:spacing w:val="-16"/>
        </w:rPr>
        <w:t> </w:t>
      </w:r>
      <w:r>
        <w:rPr/>
        <w:t>religioso.</w:t>
      </w:r>
      <w:r>
        <w:rPr>
          <w:spacing w:val="-12"/>
        </w:rPr>
        <w:t> </w:t>
      </w:r>
      <w:r>
        <w:rPr/>
        <w:t>“El</w:t>
      </w:r>
      <w:r>
        <w:rPr>
          <w:spacing w:val="-18"/>
        </w:rPr>
        <w:t> </w:t>
      </w:r>
      <w:r>
        <w:rPr/>
        <w:t>federalismo</w:t>
      </w:r>
      <w:r>
        <w:rPr>
          <w:spacing w:val="-16"/>
        </w:rPr>
        <w:t> </w:t>
      </w:r>
      <w:r>
        <w:rPr/>
        <w:t>es</w:t>
      </w:r>
      <w:r>
        <w:rPr>
          <w:spacing w:val="-17"/>
        </w:rPr>
        <w:t> </w:t>
      </w:r>
      <w:r>
        <w:rPr/>
        <w:t>un</w:t>
      </w:r>
      <w:r>
        <w:rPr>
          <w:spacing w:val="-14"/>
        </w:rPr>
        <w:t> </w:t>
      </w:r>
      <w:r>
        <w:rPr/>
        <w:t>sistema,</w:t>
      </w:r>
      <w:r>
        <w:rPr>
          <w:spacing w:val="-14"/>
        </w:rPr>
        <w:t> </w:t>
      </w:r>
      <w:r>
        <w:rPr/>
        <w:t>que</w:t>
      </w:r>
      <w:r>
        <w:rPr>
          <w:spacing w:val="-16"/>
        </w:rPr>
        <w:t> </w:t>
      </w:r>
      <w:r>
        <w:rPr/>
        <w:t>relaciona a otras entidades políticas distintas que forman parte de un sistema global sin que pierdan su integridad política y donde se distribuye el poder entre un gobierno central y los estados miembros o constitutivos con el fin de proteger la existencia y autonomía de cada uno” (Ayala, 2005:</w:t>
      </w:r>
      <w:r>
        <w:rPr>
          <w:spacing w:val="-15"/>
        </w:rPr>
        <w:t> </w:t>
      </w:r>
      <w:r>
        <w:rPr/>
        <w:t>375-376).</w:t>
      </w:r>
    </w:p>
    <w:p>
      <w:pPr>
        <w:spacing w:before="204"/>
        <w:ind w:left="954" w:right="115" w:firstLine="0"/>
        <w:jc w:val="both"/>
        <w:rPr>
          <w:sz w:val="22"/>
        </w:rPr>
      </w:pPr>
      <w:r>
        <w:rPr>
          <w:sz w:val="22"/>
        </w:rPr>
        <w:t>El federalismo es una institución política y jurídica que en el ámbito del Estado es una</w:t>
      </w:r>
      <w:r>
        <w:rPr>
          <w:spacing w:val="-16"/>
          <w:sz w:val="22"/>
        </w:rPr>
        <w:t> </w:t>
      </w:r>
      <w:r>
        <w:rPr>
          <w:sz w:val="22"/>
        </w:rPr>
        <w:t>de</w:t>
      </w:r>
      <w:r>
        <w:rPr>
          <w:spacing w:val="-16"/>
          <w:sz w:val="22"/>
        </w:rPr>
        <w:t> </w:t>
      </w:r>
      <w:r>
        <w:rPr>
          <w:sz w:val="22"/>
        </w:rPr>
        <w:t>las</w:t>
      </w:r>
      <w:r>
        <w:rPr>
          <w:spacing w:val="-16"/>
          <w:sz w:val="22"/>
        </w:rPr>
        <w:t> </w:t>
      </w:r>
      <w:r>
        <w:rPr>
          <w:sz w:val="22"/>
        </w:rPr>
        <w:t>tres</w:t>
      </w:r>
      <w:r>
        <w:rPr>
          <w:spacing w:val="-18"/>
          <w:sz w:val="22"/>
        </w:rPr>
        <w:t> </w:t>
      </w:r>
      <w:r>
        <w:rPr>
          <w:sz w:val="22"/>
        </w:rPr>
        <w:t>formas</w:t>
      </w:r>
      <w:r>
        <w:rPr>
          <w:spacing w:val="-17"/>
          <w:sz w:val="22"/>
        </w:rPr>
        <w:t> </w:t>
      </w:r>
      <w:r>
        <w:rPr>
          <w:sz w:val="22"/>
        </w:rPr>
        <w:t>conocidas</w:t>
      </w:r>
      <w:r>
        <w:rPr>
          <w:spacing w:val="-16"/>
          <w:sz w:val="22"/>
        </w:rPr>
        <w:t> </w:t>
      </w:r>
      <w:r>
        <w:rPr>
          <w:sz w:val="22"/>
        </w:rPr>
        <w:t>de</w:t>
      </w:r>
      <w:r>
        <w:rPr>
          <w:spacing w:val="-16"/>
          <w:sz w:val="22"/>
        </w:rPr>
        <w:t> </w:t>
      </w:r>
      <w:r>
        <w:rPr>
          <w:sz w:val="22"/>
        </w:rPr>
        <w:t>organización</w:t>
      </w:r>
      <w:r>
        <w:rPr>
          <w:spacing w:val="-16"/>
          <w:sz w:val="22"/>
        </w:rPr>
        <w:t> </w:t>
      </w:r>
      <w:r>
        <w:rPr>
          <w:sz w:val="22"/>
        </w:rPr>
        <w:t>intergubernamental</w:t>
      </w:r>
      <w:r>
        <w:rPr>
          <w:spacing w:val="-17"/>
          <w:sz w:val="22"/>
        </w:rPr>
        <w:t> </w:t>
      </w:r>
      <w:r>
        <w:rPr>
          <w:sz w:val="22"/>
        </w:rPr>
        <w:t>e</w:t>
      </w:r>
      <w:r>
        <w:rPr>
          <w:spacing w:val="-16"/>
          <w:sz w:val="22"/>
        </w:rPr>
        <w:t> </w:t>
      </w:r>
      <w:r>
        <w:rPr>
          <w:sz w:val="22"/>
        </w:rPr>
        <w:t>integración de diversos órdenes de gobierno. Otras son los estados unitarios y las confederaciones de estados. En los primeros la estructura política es indivisible y los órdenes locales no pueden tener leyes ni gobiernos propios. El extremo contrario se da en las confederaciones, muy populares en los siglos XVIII y XIX, las</w:t>
      </w:r>
      <w:r>
        <w:rPr>
          <w:spacing w:val="-4"/>
          <w:sz w:val="22"/>
        </w:rPr>
        <w:t> </w:t>
      </w:r>
      <w:r>
        <w:rPr>
          <w:sz w:val="22"/>
        </w:rPr>
        <w:t>cuales</w:t>
      </w:r>
      <w:r>
        <w:rPr>
          <w:spacing w:val="-4"/>
          <w:sz w:val="22"/>
        </w:rPr>
        <w:t> </w:t>
      </w:r>
      <w:r>
        <w:rPr>
          <w:sz w:val="22"/>
        </w:rPr>
        <w:t>surgían</w:t>
      </w:r>
      <w:r>
        <w:rPr>
          <w:spacing w:val="-4"/>
          <w:sz w:val="22"/>
        </w:rPr>
        <w:t> </w:t>
      </w:r>
      <w:r>
        <w:rPr>
          <w:sz w:val="22"/>
        </w:rPr>
        <w:t>para</w:t>
      </w:r>
      <w:r>
        <w:rPr>
          <w:spacing w:val="-6"/>
          <w:sz w:val="22"/>
        </w:rPr>
        <w:t> </w:t>
      </w:r>
      <w:r>
        <w:rPr>
          <w:sz w:val="22"/>
        </w:rPr>
        <w:t>fines</w:t>
      </w:r>
      <w:r>
        <w:rPr>
          <w:spacing w:val="-4"/>
          <w:sz w:val="22"/>
        </w:rPr>
        <w:t> </w:t>
      </w:r>
      <w:r>
        <w:rPr>
          <w:sz w:val="22"/>
        </w:rPr>
        <w:t>específicos</w:t>
      </w:r>
      <w:r>
        <w:rPr>
          <w:spacing w:val="-6"/>
          <w:sz w:val="22"/>
        </w:rPr>
        <w:t> </w:t>
      </w:r>
      <w:r>
        <w:rPr>
          <w:sz w:val="22"/>
        </w:rPr>
        <w:t>de</w:t>
      </w:r>
      <w:r>
        <w:rPr>
          <w:spacing w:val="-7"/>
          <w:sz w:val="22"/>
        </w:rPr>
        <w:t> </w:t>
      </w:r>
      <w:r>
        <w:rPr>
          <w:sz w:val="22"/>
        </w:rPr>
        <w:t>carácter</w:t>
      </w:r>
      <w:r>
        <w:rPr>
          <w:spacing w:val="-6"/>
          <w:sz w:val="22"/>
        </w:rPr>
        <w:t> </w:t>
      </w:r>
      <w:r>
        <w:rPr>
          <w:sz w:val="22"/>
        </w:rPr>
        <w:t>militar</w:t>
      </w:r>
      <w:r>
        <w:rPr>
          <w:spacing w:val="-6"/>
          <w:sz w:val="22"/>
        </w:rPr>
        <w:t> </w:t>
      </w:r>
      <w:r>
        <w:rPr>
          <w:sz w:val="22"/>
        </w:rPr>
        <w:t>económico</w:t>
      </w:r>
      <w:r>
        <w:rPr>
          <w:spacing w:val="-6"/>
          <w:sz w:val="22"/>
        </w:rPr>
        <w:t> </w:t>
      </w:r>
      <w:r>
        <w:rPr>
          <w:sz w:val="22"/>
        </w:rPr>
        <w:t>como</w:t>
      </w:r>
      <w:r>
        <w:rPr>
          <w:spacing w:val="-4"/>
          <w:sz w:val="22"/>
        </w:rPr>
        <w:t> </w:t>
      </w:r>
      <w:r>
        <w:rPr>
          <w:sz w:val="22"/>
        </w:rPr>
        <w:t>es</w:t>
      </w:r>
      <w:r>
        <w:rPr>
          <w:spacing w:val="-4"/>
          <w:sz w:val="22"/>
        </w:rPr>
        <w:t> </w:t>
      </w:r>
      <w:r>
        <w:rPr>
          <w:sz w:val="22"/>
        </w:rPr>
        <w:t>el caso de la Confederación de Estados Independientes (CEI), cuyos 12 miembros son estados independientes y soberanos; no surge un nuevo Estado, ni hay "unidad nacional”. En cambio, en el federalismo sí surge un nuevo Estado que abarca el territorio de todos los estados que integran la federación los cuales mantienen su propia soberanía, con división de poderes propia (Colmenares, 1999:415).</w:t>
      </w:r>
    </w:p>
    <w:p>
      <w:pPr>
        <w:pStyle w:val="BodyText"/>
        <w:rPr>
          <w:sz w:val="22"/>
        </w:rPr>
      </w:pPr>
    </w:p>
    <w:p>
      <w:pPr>
        <w:pStyle w:val="BodyText"/>
        <w:rPr>
          <w:sz w:val="22"/>
        </w:rPr>
      </w:pPr>
    </w:p>
    <w:p>
      <w:pPr>
        <w:pStyle w:val="BodyText"/>
        <w:spacing w:line="360" w:lineRule="auto" w:before="146"/>
        <w:ind w:left="102" w:right="116"/>
        <w:jc w:val="both"/>
      </w:pPr>
      <w:r>
        <w:rPr/>
        <w:t>El federalismo no es una doctrina: es una forma de vida. Un verdadero federalismo presupone que los tres ámbitos de gobierno reconozcan y garanticen sus autonomías reciprocas, participen de manera articulada y con suficiente capacidad administrativa y económica en la solución de los problemas públicos y sociales de las regiones y localidades del país. “Son dos factores que hacen a un sistema federal, uno el más importante, es la exigencia de una autonomía constitucional para los órganos de gobierno, aunque sea limitada. Otro factor es la incorporación de manera más o menos permanente de los procesos decisorios del gobierno central sobre una base constitucional y en igualdad de circunstancias” (Arellano, 1994:15).</w:t>
      </w:r>
    </w:p>
    <w:p>
      <w:pPr>
        <w:spacing w:after="0" w:line="360" w:lineRule="auto"/>
        <w:jc w:val="both"/>
        <w:sectPr>
          <w:pgSz w:w="12240" w:h="15840"/>
          <w:pgMar w:header="0" w:footer="992" w:top="1500" w:bottom="1180" w:left="1600" w:right="1580"/>
        </w:sectPr>
      </w:pPr>
    </w:p>
    <w:p>
      <w:pPr>
        <w:pStyle w:val="Heading1"/>
        <w:numPr>
          <w:ilvl w:val="1"/>
          <w:numId w:val="18"/>
        </w:numPr>
        <w:tabs>
          <w:tab w:pos="942" w:val="left" w:leader="none"/>
        </w:tabs>
        <w:spacing w:line="242" w:lineRule="auto" w:before="52" w:after="0"/>
        <w:ind w:left="4045" w:right="416" w:hanging="3651"/>
        <w:jc w:val="left"/>
      </w:pPr>
      <w:bookmarkStart w:name="_TOC_250037" w:id="15"/>
      <w:r>
        <w:rPr/>
        <w:t>Reseña histórica de la implementación del federalismo</w:t>
      </w:r>
      <w:r>
        <w:rPr>
          <w:spacing w:val="-23"/>
        </w:rPr>
        <w:t> </w:t>
      </w:r>
      <w:bookmarkEnd w:id="15"/>
      <w:r>
        <w:rPr/>
        <w:t>en México</w:t>
      </w:r>
    </w:p>
    <w:p>
      <w:pPr>
        <w:pStyle w:val="BodyText"/>
        <w:rPr>
          <w:b/>
          <w:sz w:val="28"/>
        </w:rPr>
      </w:pPr>
    </w:p>
    <w:p>
      <w:pPr>
        <w:pStyle w:val="BodyText"/>
        <w:spacing w:before="9"/>
        <w:rPr>
          <w:b/>
          <w:sz w:val="37"/>
        </w:rPr>
      </w:pPr>
    </w:p>
    <w:p>
      <w:pPr>
        <w:pStyle w:val="BodyText"/>
        <w:spacing w:line="360" w:lineRule="auto"/>
        <w:ind w:left="102" w:right="116"/>
        <w:jc w:val="both"/>
      </w:pPr>
      <w:r>
        <w:rPr/>
        <w:t>En</w:t>
      </w:r>
      <w:r>
        <w:rPr>
          <w:spacing w:val="-4"/>
        </w:rPr>
        <w:t> </w:t>
      </w:r>
      <w:r>
        <w:rPr/>
        <w:t>México,</w:t>
      </w:r>
      <w:r>
        <w:rPr>
          <w:spacing w:val="-4"/>
        </w:rPr>
        <w:t> </w:t>
      </w:r>
      <w:r>
        <w:rPr/>
        <w:t>la</w:t>
      </w:r>
      <w:r>
        <w:rPr>
          <w:spacing w:val="-3"/>
        </w:rPr>
        <w:t> </w:t>
      </w:r>
      <w:r>
        <w:rPr/>
        <w:t>estructura</w:t>
      </w:r>
      <w:r>
        <w:rPr>
          <w:spacing w:val="-6"/>
        </w:rPr>
        <w:t> </w:t>
      </w:r>
      <w:r>
        <w:rPr/>
        <w:t>federal</w:t>
      </w:r>
      <w:r>
        <w:rPr>
          <w:spacing w:val="-5"/>
        </w:rPr>
        <w:t> </w:t>
      </w:r>
      <w:r>
        <w:rPr/>
        <w:t>se</w:t>
      </w:r>
      <w:r>
        <w:rPr>
          <w:spacing w:val="-4"/>
        </w:rPr>
        <w:t> </w:t>
      </w:r>
      <w:r>
        <w:rPr/>
        <w:t>remonta</w:t>
      </w:r>
      <w:r>
        <w:rPr>
          <w:spacing w:val="-3"/>
        </w:rPr>
        <w:t> </w:t>
      </w:r>
      <w:r>
        <w:rPr/>
        <w:t>al</w:t>
      </w:r>
      <w:r>
        <w:rPr>
          <w:spacing w:val="-7"/>
        </w:rPr>
        <w:t> </w:t>
      </w:r>
      <w:r>
        <w:rPr/>
        <w:t>año</w:t>
      </w:r>
      <w:r>
        <w:rPr>
          <w:spacing w:val="-6"/>
        </w:rPr>
        <w:t> </w:t>
      </w:r>
      <w:r>
        <w:rPr/>
        <w:t>de</w:t>
      </w:r>
      <w:r>
        <w:rPr>
          <w:spacing w:val="-6"/>
        </w:rPr>
        <w:t> </w:t>
      </w:r>
      <w:r>
        <w:rPr/>
        <w:t>1824,</w:t>
      </w:r>
      <w:r>
        <w:rPr>
          <w:spacing w:val="-6"/>
        </w:rPr>
        <w:t> </w:t>
      </w:r>
      <w:r>
        <w:rPr/>
        <w:t>cuando</w:t>
      </w:r>
      <w:r>
        <w:rPr>
          <w:spacing w:val="-8"/>
        </w:rPr>
        <w:t> </w:t>
      </w:r>
      <w:r>
        <w:rPr/>
        <w:t>surge</w:t>
      </w:r>
      <w:r>
        <w:rPr>
          <w:spacing w:val="-4"/>
        </w:rPr>
        <w:t> </w:t>
      </w:r>
      <w:r>
        <w:rPr/>
        <w:t>como</w:t>
      </w:r>
      <w:r>
        <w:rPr>
          <w:spacing w:val="-4"/>
        </w:rPr>
        <w:t> </w:t>
      </w:r>
      <w:r>
        <w:rPr/>
        <w:t>un pacto político entre las regiones del país que lucharon contra el poder colonial centralista. Este pacto original fue reformulado con la constitución de 1857 y, entre otros aspectos, permitió construir y dar vida a dos órdenes de gobierno, el estatal</w:t>
      </w:r>
      <w:r>
        <w:rPr>
          <w:spacing w:val="-31"/>
        </w:rPr>
        <w:t> </w:t>
      </w:r>
      <w:r>
        <w:rPr/>
        <w:t>y el</w:t>
      </w:r>
      <w:r>
        <w:rPr>
          <w:spacing w:val="-18"/>
        </w:rPr>
        <w:t> </w:t>
      </w:r>
      <w:r>
        <w:rPr/>
        <w:t>federal.</w:t>
      </w:r>
      <w:r>
        <w:rPr>
          <w:spacing w:val="-16"/>
        </w:rPr>
        <w:t> </w:t>
      </w:r>
      <w:r>
        <w:rPr/>
        <w:t>Pero</w:t>
      </w:r>
      <w:r>
        <w:rPr>
          <w:spacing w:val="-19"/>
        </w:rPr>
        <w:t> </w:t>
      </w:r>
      <w:r>
        <w:rPr/>
        <w:t>finalmente</w:t>
      </w:r>
      <w:r>
        <w:rPr>
          <w:spacing w:val="-16"/>
        </w:rPr>
        <w:t> </w:t>
      </w:r>
      <w:r>
        <w:rPr/>
        <w:t>en</w:t>
      </w:r>
      <w:r>
        <w:rPr>
          <w:spacing w:val="-17"/>
        </w:rPr>
        <w:t> </w:t>
      </w:r>
      <w:r>
        <w:rPr/>
        <w:t>1917,</w:t>
      </w:r>
      <w:r>
        <w:rPr>
          <w:spacing w:val="-17"/>
        </w:rPr>
        <w:t> </w:t>
      </w:r>
      <w:r>
        <w:rPr/>
        <w:t>después</w:t>
      </w:r>
      <w:r>
        <w:rPr>
          <w:spacing w:val="-19"/>
        </w:rPr>
        <w:t> </w:t>
      </w:r>
      <w:r>
        <w:rPr/>
        <w:t>de</w:t>
      </w:r>
      <w:r>
        <w:rPr>
          <w:spacing w:val="-17"/>
        </w:rPr>
        <w:t> </w:t>
      </w:r>
      <w:r>
        <w:rPr/>
        <w:t>una</w:t>
      </w:r>
      <w:r>
        <w:rPr>
          <w:spacing w:val="-17"/>
        </w:rPr>
        <w:t> </w:t>
      </w:r>
      <w:r>
        <w:rPr/>
        <w:t>serie</w:t>
      </w:r>
      <w:r>
        <w:rPr>
          <w:spacing w:val="-17"/>
        </w:rPr>
        <w:t> </w:t>
      </w:r>
      <w:r>
        <w:rPr/>
        <w:t>de</w:t>
      </w:r>
      <w:r>
        <w:rPr>
          <w:spacing w:val="-17"/>
        </w:rPr>
        <w:t> </w:t>
      </w:r>
      <w:r>
        <w:rPr/>
        <w:t>disputas</w:t>
      </w:r>
      <w:r>
        <w:rPr>
          <w:spacing w:val="-19"/>
        </w:rPr>
        <w:t> </w:t>
      </w:r>
      <w:r>
        <w:rPr/>
        <w:t>el</w:t>
      </w:r>
      <w:r>
        <w:rPr>
          <w:spacing w:val="-18"/>
        </w:rPr>
        <w:t> </w:t>
      </w:r>
      <w:r>
        <w:rPr/>
        <w:t>federalismo quedo consolidado como forma de gobierno</w:t>
      </w:r>
      <w:r>
        <w:rPr>
          <w:spacing w:val="-20"/>
        </w:rPr>
        <w:t> </w:t>
      </w:r>
      <w:r>
        <w:rPr/>
        <w:t>mexicano.</w:t>
      </w:r>
    </w:p>
    <w:p>
      <w:pPr>
        <w:pStyle w:val="BodyText"/>
        <w:spacing w:line="360" w:lineRule="auto" w:before="204"/>
        <w:ind w:left="102" w:right="117"/>
        <w:jc w:val="both"/>
        <w:rPr>
          <w:sz w:val="22"/>
        </w:rPr>
      </w:pPr>
      <w:r>
        <w:rPr/>
        <w:t>El federalismo mexicano es una institución que se definió con caracteres propios, caracteres que las circunstancias fueron moldeando. Por principio, el federalismo en Estados Unidos ha sido obra fundamental de las decisiones judiciales de ese país. En cambio, en el caso de México ha sido totalmente distinto; ha sido mucho más que una forma de gobierno, sino que significó la consolidación de la independencia mexicana al conferir libertad y autogobierno</w:t>
      </w:r>
      <w:r>
        <w:rPr>
          <w:sz w:val="22"/>
        </w:rPr>
        <w:t>.</w:t>
      </w:r>
    </w:p>
    <w:p>
      <w:pPr>
        <w:pStyle w:val="BodyText"/>
        <w:spacing w:line="360" w:lineRule="auto" w:before="202"/>
        <w:ind w:left="102" w:right="114"/>
        <w:jc w:val="both"/>
      </w:pPr>
      <w:r>
        <w:rPr/>
        <w:t>El federalismo surge en la independencia, para combatir los intentos centralistas, imperiales y monárquicos, con el propósito de unir a la nación a través del reconocimiento de las aspiraciones regionalistas de libertad y autonomía de las provincias. Fue una fórmula de unión para organizar al Estado.</w:t>
      </w:r>
    </w:p>
    <w:p>
      <w:pPr>
        <w:pStyle w:val="BodyText"/>
        <w:spacing w:line="360" w:lineRule="auto" w:before="204"/>
        <w:ind w:left="102" w:right="123"/>
        <w:jc w:val="both"/>
      </w:pPr>
      <w:r>
        <w:rPr/>
        <w:t>Como primer antecedente del régimen federal en México se encuentra en las diputaciones</w:t>
      </w:r>
      <w:r>
        <w:rPr>
          <w:spacing w:val="-12"/>
        </w:rPr>
        <w:t> </w:t>
      </w:r>
      <w:r>
        <w:rPr/>
        <w:t>provinciales,</w:t>
      </w:r>
      <w:r>
        <w:rPr>
          <w:spacing w:val="-10"/>
        </w:rPr>
        <w:t> </w:t>
      </w:r>
      <w:r>
        <w:rPr/>
        <w:t>las</w:t>
      </w:r>
      <w:r>
        <w:rPr>
          <w:spacing w:val="-11"/>
        </w:rPr>
        <w:t> </w:t>
      </w:r>
      <w:r>
        <w:rPr/>
        <w:t>cuales</w:t>
      </w:r>
      <w:r>
        <w:rPr>
          <w:spacing w:val="-13"/>
        </w:rPr>
        <w:t> </w:t>
      </w:r>
      <w:r>
        <w:rPr/>
        <w:t>tienen</w:t>
      </w:r>
      <w:r>
        <w:rPr>
          <w:spacing w:val="-10"/>
        </w:rPr>
        <w:t> </w:t>
      </w:r>
      <w:r>
        <w:rPr/>
        <w:t>su</w:t>
      </w:r>
      <w:r>
        <w:rPr>
          <w:spacing w:val="-10"/>
        </w:rPr>
        <w:t> </w:t>
      </w:r>
      <w:r>
        <w:rPr/>
        <w:t>origen</w:t>
      </w:r>
      <w:r>
        <w:rPr>
          <w:spacing w:val="-10"/>
        </w:rPr>
        <w:t> </w:t>
      </w:r>
      <w:r>
        <w:rPr/>
        <w:t>en</w:t>
      </w:r>
      <w:r>
        <w:rPr>
          <w:spacing w:val="-10"/>
        </w:rPr>
        <w:t> </w:t>
      </w:r>
      <w:r>
        <w:rPr/>
        <w:t>la</w:t>
      </w:r>
      <w:r>
        <w:rPr>
          <w:spacing w:val="-13"/>
        </w:rPr>
        <w:t> </w:t>
      </w:r>
      <w:r>
        <w:rPr/>
        <w:t>emboscada</w:t>
      </w:r>
      <w:r>
        <w:rPr>
          <w:spacing w:val="-13"/>
        </w:rPr>
        <w:t> </w:t>
      </w:r>
      <w:r>
        <w:rPr/>
        <w:t>napoleónica en la que cayeron Carlos IV y Fernando VII; a partir de ese momento las juntas provinciales por propia iniciativa gobernaron España y cambiaron la estructura de dominio en las</w:t>
      </w:r>
      <w:r>
        <w:rPr>
          <w:spacing w:val="-8"/>
        </w:rPr>
        <w:t> </w:t>
      </w:r>
      <w:r>
        <w:rPr/>
        <w:t>colonias.</w:t>
      </w:r>
    </w:p>
    <w:p>
      <w:pPr>
        <w:pStyle w:val="BodyText"/>
        <w:spacing w:line="360" w:lineRule="auto" w:before="202"/>
        <w:ind w:left="102" w:right="123"/>
        <w:jc w:val="both"/>
      </w:pPr>
      <w:r>
        <w:rPr/>
        <w:t>La organización política del territorio que conformaba el México independizado era centralista, gobernada por un representante del Rey Español, llamado Virrey, y la Audiencia, intendencias, ayuntamientos, gremios y corporaciones y había reconocimiento a la autonomía de los ayuntamientos, pero no había gobiernos locales autónomos.</w:t>
      </w:r>
    </w:p>
    <w:p>
      <w:pPr>
        <w:spacing w:after="0" w:line="360" w:lineRule="auto"/>
        <w:jc w:val="both"/>
        <w:sectPr>
          <w:pgSz w:w="12240" w:h="15840"/>
          <w:pgMar w:header="0" w:footer="992" w:top="1360" w:bottom="1180" w:left="1600" w:right="1580"/>
        </w:sectPr>
      </w:pPr>
    </w:p>
    <w:p>
      <w:pPr>
        <w:pStyle w:val="Heading2"/>
        <w:spacing w:before="54"/>
      </w:pPr>
      <w:r>
        <w:rPr/>
        <w:t>Diputaciones provinciales inicio del régimen federal</w:t>
      </w:r>
    </w:p>
    <w:p>
      <w:pPr>
        <w:pStyle w:val="BodyText"/>
        <w:spacing w:before="5"/>
        <w:rPr>
          <w:b/>
          <w:sz w:val="29"/>
        </w:rPr>
      </w:pPr>
    </w:p>
    <w:p>
      <w:pPr>
        <w:pStyle w:val="BodyText"/>
        <w:spacing w:line="360" w:lineRule="auto"/>
        <w:ind w:left="102" w:right="117"/>
        <w:jc w:val="both"/>
      </w:pPr>
      <w:r>
        <w:rPr/>
        <w:t>La creación de las diputaciones provinciales se inscribe en un proceso de independencia de México, se desarrolló de 1808 hasta 1821. Después de la independencia, se formó la diputación de Chiapas, que instalada </w:t>
      </w:r>
      <w:r>
        <w:rPr>
          <w:spacing w:val="2"/>
        </w:rPr>
        <w:t>el </w:t>
      </w:r>
      <w:r>
        <w:rPr/>
        <w:t>18 de octubre de</w:t>
      </w:r>
      <w:r>
        <w:rPr>
          <w:spacing w:val="-17"/>
        </w:rPr>
        <w:t> </w:t>
      </w:r>
      <w:r>
        <w:rPr/>
        <w:t>1821,</w:t>
      </w:r>
      <w:r>
        <w:rPr>
          <w:spacing w:val="-17"/>
        </w:rPr>
        <w:t> </w:t>
      </w:r>
      <w:r>
        <w:rPr/>
        <w:t>aseguró</w:t>
      </w:r>
      <w:r>
        <w:rPr>
          <w:spacing w:val="-15"/>
        </w:rPr>
        <w:t> </w:t>
      </w:r>
      <w:r>
        <w:rPr/>
        <w:t>su</w:t>
      </w:r>
      <w:r>
        <w:rPr>
          <w:spacing w:val="-16"/>
        </w:rPr>
        <w:t> </w:t>
      </w:r>
      <w:r>
        <w:rPr/>
        <w:t>independencia</w:t>
      </w:r>
      <w:r>
        <w:rPr>
          <w:spacing w:val="-17"/>
        </w:rPr>
        <w:t> </w:t>
      </w:r>
      <w:r>
        <w:rPr/>
        <w:t>de</w:t>
      </w:r>
      <w:r>
        <w:rPr>
          <w:spacing w:val="-14"/>
        </w:rPr>
        <w:t> </w:t>
      </w:r>
      <w:r>
        <w:rPr/>
        <w:t>la</w:t>
      </w:r>
      <w:r>
        <w:rPr>
          <w:spacing w:val="-17"/>
        </w:rPr>
        <w:t> </w:t>
      </w:r>
      <w:r>
        <w:rPr/>
        <w:t>capitanía</w:t>
      </w:r>
      <w:r>
        <w:rPr>
          <w:spacing w:val="-11"/>
        </w:rPr>
        <w:t> </w:t>
      </w:r>
      <w:r>
        <w:rPr/>
        <w:t>General</w:t>
      </w:r>
      <w:r>
        <w:rPr>
          <w:spacing w:val="-15"/>
        </w:rPr>
        <w:t> </w:t>
      </w:r>
      <w:r>
        <w:rPr/>
        <w:t>de</w:t>
      </w:r>
      <w:r>
        <w:rPr>
          <w:spacing w:val="-17"/>
        </w:rPr>
        <w:t> </w:t>
      </w:r>
      <w:r>
        <w:rPr/>
        <w:t>Guatemala</w:t>
      </w:r>
      <w:r>
        <w:rPr>
          <w:spacing w:val="-14"/>
        </w:rPr>
        <w:t> </w:t>
      </w:r>
      <w:r>
        <w:rPr/>
        <w:t>y</w:t>
      </w:r>
      <w:r>
        <w:rPr>
          <w:spacing w:val="-17"/>
        </w:rPr>
        <w:t> </w:t>
      </w:r>
      <w:r>
        <w:rPr/>
        <w:t>justificó su voluntaria unión al imperio mexicano, para 1822 diecisiete diputaciones habían sido autorizadas y dieciocho</w:t>
      </w:r>
      <w:r>
        <w:rPr>
          <w:spacing w:val="-10"/>
        </w:rPr>
        <w:t> </w:t>
      </w:r>
      <w:r>
        <w:rPr/>
        <w:t>establecidas.</w:t>
      </w:r>
    </w:p>
    <w:p>
      <w:pPr>
        <w:pStyle w:val="BodyText"/>
        <w:spacing w:line="360" w:lineRule="auto" w:before="202"/>
        <w:ind w:left="102" w:right="119"/>
        <w:jc w:val="both"/>
      </w:pPr>
      <w:r>
        <w:rPr/>
        <w:t>Sin embargo un hecho importante también fue la rebelión de Casa Mata de 1823, donde se da fin al imperio de Iturbide, con este plan cada entidad asume la dominación</w:t>
      </w:r>
      <w:r>
        <w:rPr>
          <w:spacing w:val="-14"/>
        </w:rPr>
        <w:t> </w:t>
      </w:r>
      <w:r>
        <w:rPr/>
        <w:t>absoluta</w:t>
      </w:r>
      <w:r>
        <w:rPr>
          <w:spacing w:val="-16"/>
        </w:rPr>
        <w:t> </w:t>
      </w:r>
      <w:r>
        <w:rPr/>
        <w:t>de</w:t>
      </w:r>
      <w:r>
        <w:rPr>
          <w:spacing w:val="-14"/>
        </w:rPr>
        <w:t> </w:t>
      </w:r>
      <w:r>
        <w:rPr/>
        <w:t>su</w:t>
      </w:r>
      <w:r>
        <w:rPr>
          <w:spacing w:val="-16"/>
        </w:rPr>
        <w:t> </w:t>
      </w:r>
      <w:r>
        <w:rPr/>
        <w:t>territorio</w:t>
      </w:r>
      <w:r>
        <w:rPr>
          <w:spacing w:val="-16"/>
        </w:rPr>
        <w:t> </w:t>
      </w:r>
      <w:r>
        <w:rPr/>
        <w:t>y</w:t>
      </w:r>
      <w:r>
        <w:rPr>
          <w:spacing w:val="-17"/>
        </w:rPr>
        <w:t> </w:t>
      </w:r>
      <w:r>
        <w:rPr/>
        <w:t>adquiere</w:t>
      </w:r>
      <w:r>
        <w:rPr>
          <w:spacing w:val="-11"/>
        </w:rPr>
        <w:t> </w:t>
      </w:r>
      <w:r>
        <w:rPr/>
        <w:t>poder</w:t>
      </w:r>
      <w:r>
        <w:rPr>
          <w:spacing w:val="-18"/>
        </w:rPr>
        <w:t> </w:t>
      </w:r>
      <w:r>
        <w:rPr/>
        <w:t>originario,</w:t>
      </w:r>
      <w:r>
        <w:rPr>
          <w:spacing w:val="-14"/>
        </w:rPr>
        <w:t> </w:t>
      </w:r>
      <w:r>
        <w:rPr/>
        <w:t>con</w:t>
      </w:r>
      <w:r>
        <w:rPr>
          <w:spacing w:val="-17"/>
        </w:rPr>
        <w:t> </w:t>
      </w:r>
      <w:r>
        <w:rPr/>
        <w:t>ello</w:t>
      </w:r>
      <w:r>
        <w:rPr>
          <w:spacing w:val="-14"/>
        </w:rPr>
        <w:t> </w:t>
      </w:r>
      <w:r>
        <w:rPr/>
        <w:t>se</w:t>
      </w:r>
      <w:r>
        <w:rPr>
          <w:spacing w:val="-16"/>
        </w:rPr>
        <w:t> </w:t>
      </w:r>
      <w:r>
        <w:rPr/>
        <w:t>declaran independientes, convirtiéndose así, en</w:t>
      </w:r>
      <w:r>
        <w:rPr>
          <w:spacing w:val="-21"/>
        </w:rPr>
        <w:t> </w:t>
      </w:r>
      <w:r>
        <w:rPr/>
        <w:t>Estados.</w:t>
      </w:r>
    </w:p>
    <w:p>
      <w:pPr>
        <w:spacing w:before="204"/>
        <w:ind w:left="954" w:right="117" w:firstLine="0"/>
        <w:jc w:val="both"/>
        <w:rPr>
          <w:sz w:val="22"/>
        </w:rPr>
      </w:pPr>
      <w:r>
        <w:rPr>
          <w:sz w:val="22"/>
        </w:rPr>
        <w:t>El plan de Casa Mata no preveía un gobierno central reconocido por lo que</w:t>
      </w:r>
      <w:r>
        <w:rPr>
          <w:spacing w:val="-42"/>
          <w:sz w:val="22"/>
        </w:rPr>
        <w:t> </w:t>
      </w:r>
      <w:r>
        <w:rPr>
          <w:sz w:val="22"/>
        </w:rPr>
        <w:t>pronto las diputaciones provinciales se hallaron administrándose en libertad y por completo. México se hallaba dividido en provincias independientes, cada una de las cuales había tomado por completo el cuidado de su administración dentro de sus propias fronteras. Durante ese tiempo y hasta la promulgación de la Constitución de 1824, muchas de las provincias de México mantuvieron su propia forma</w:t>
      </w:r>
      <w:r>
        <w:rPr>
          <w:spacing w:val="-5"/>
          <w:sz w:val="22"/>
        </w:rPr>
        <w:t> </w:t>
      </w:r>
      <w:r>
        <w:rPr>
          <w:sz w:val="22"/>
        </w:rPr>
        <w:t>de</w:t>
      </w:r>
      <w:r>
        <w:rPr>
          <w:spacing w:val="-8"/>
          <w:sz w:val="22"/>
        </w:rPr>
        <w:t> </w:t>
      </w:r>
      <w:r>
        <w:rPr>
          <w:sz w:val="22"/>
        </w:rPr>
        <w:t>gobierno</w:t>
      </w:r>
      <w:r>
        <w:rPr>
          <w:spacing w:val="-5"/>
          <w:sz w:val="22"/>
        </w:rPr>
        <w:t> </w:t>
      </w:r>
      <w:r>
        <w:rPr>
          <w:sz w:val="22"/>
        </w:rPr>
        <w:t>independiente</w:t>
      </w:r>
      <w:r>
        <w:rPr>
          <w:spacing w:val="-3"/>
          <w:sz w:val="22"/>
        </w:rPr>
        <w:t> </w:t>
      </w:r>
      <w:r>
        <w:rPr>
          <w:sz w:val="22"/>
        </w:rPr>
        <w:t>y</w:t>
      </w:r>
      <w:r>
        <w:rPr>
          <w:spacing w:val="-7"/>
          <w:sz w:val="22"/>
        </w:rPr>
        <w:t> </w:t>
      </w:r>
      <w:r>
        <w:rPr>
          <w:sz w:val="22"/>
        </w:rPr>
        <w:t>tan</w:t>
      </w:r>
      <w:r>
        <w:rPr>
          <w:spacing w:val="-6"/>
          <w:sz w:val="22"/>
        </w:rPr>
        <w:t> </w:t>
      </w:r>
      <w:r>
        <w:rPr>
          <w:sz w:val="22"/>
        </w:rPr>
        <w:t>sólo</w:t>
      </w:r>
      <w:r>
        <w:rPr>
          <w:spacing w:val="-3"/>
          <w:sz w:val="22"/>
        </w:rPr>
        <w:t> </w:t>
      </w:r>
      <w:r>
        <w:rPr>
          <w:sz w:val="22"/>
        </w:rPr>
        <w:t>obedecieron</w:t>
      </w:r>
      <w:r>
        <w:rPr>
          <w:spacing w:val="-3"/>
          <w:sz w:val="22"/>
        </w:rPr>
        <w:t> </w:t>
      </w:r>
      <w:r>
        <w:rPr>
          <w:sz w:val="22"/>
        </w:rPr>
        <w:t>los</w:t>
      </w:r>
      <w:r>
        <w:rPr>
          <w:spacing w:val="-5"/>
          <w:sz w:val="22"/>
        </w:rPr>
        <w:t> </w:t>
      </w:r>
      <w:r>
        <w:rPr>
          <w:sz w:val="22"/>
        </w:rPr>
        <w:t>decretos</w:t>
      </w:r>
      <w:r>
        <w:rPr>
          <w:spacing w:val="-5"/>
          <w:sz w:val="22"/>
        </w:rPr>
        <w:t> </w:t>
      </w:r>
      <w:r>
        <w:rPr>
          <w:sz w:val="22"/>
        </w:rPr>
        <w:t>del</w:t>
      </w:r>
      <w:r>
        <w:rPr>
          <w:spacing w:val="-8"/>
          <w:sz w:val="22"/>
        </w:rPr>
        <w:t> </w:t>
      </w:r>
      <w:r>
        <w:rPr>
          <w:sz w:val="22"/>
        </w:rPr>
        <w:t>gobierno central por libre consentimiento de cada una de ellas (Martínez,</w:t>
      </w:r>
      <w:r>
        <w:rPr>
          <w:spacing w:val="-22"/>
          <w:sz w:val="22"/>
        </w:rPr>
        <w:t> </w:t>
      </w:r>
      <w:r>
        <w:rPr>
          <w:sz w:val="22"/>
        </w:rPr>
        <w:t>2003:67).</w:t>
      </w:r>
    </w:p>
    <w:p>
      <w:pPr>
        <w:pStyle w:val="BodyText"/>
        <w:spacing w:before="3"/>
        <w:rPr>
          <w:sz w:val="17"/>
        </w:rPr>
      </w:pPr>
    </w:p>
    <w:p>
      <w:pPr>
        <w:pStyle w:val="BodyText"/>
        <w:spacing w:line="360" w:lineRule="auto"/>
        <w:ind w:left="102" w:right="114"/>
        <w:jc w:val="both"/>
      </w:pPr>
      <w:r>
        <w:rPr/>
        <w:t>Una de las primeras provincias en establecer su propio gobierno estatal fue la antigua Nueva Galicia y en proclamar su independencia absoluta en los asuntos que le incumbían. La diputación provincial de Jalisco propuso una estrecha alianza con las demás en asuntos extranjeros. Con ello se realizó un Congreso Provincial el</w:t>
      </w:r>
      <w:r>
        <w:rPr>
          <w:spacing w:val="-17"/>
        </w:rPr>
        <w:t> </w:t>
      </w:r>
      <w:r>
        <w:rPr/>
        <w:t>comunicó</w:t>
      </w:r>
      <w:r>
        <w:rPr>
          <w:spacing w:val="-17"/>
        </w:rPr>
        <w:t> </w:t>
      </w:r>
      <w:r>
        <w:rPr/>
        <w:t>al</w:t>
      </w:r>
      <w:r>
        <w:rPr>
          <w:spacing w:val="-17"/>
        </w:rPr>
        <w:t> </w:t>
      </w:r>
      <w:r>
        <w:rPr/>
        <w:t>Congreso</w:t>
      </w:r>
      <w:r>
        <w:rPr>
          <w:spacing w:val="-15"/>
        </w:rPr>
        <w:t> </w:t>
      </w:r>
      <w:r>
        <w:rPr/>
        <w:t>reunido</w:t>
      </w:r>
      <w:r>
        <w:rPr>
          <w:spacing w:val="-18"/>
        </w:rPr>
        <w:t> </w:t>
      </w:r>
      <w:r>
        <w:rPr/>
        <w:t>en</w:t>
      </w:r>
      <w:r>
        <w:rPr>
          <w:spacing w:val="-18"/>
        </w:rPr>
        <w:t> </w:t>
      </w:r>
      <w:r>
        <w:rPr/>
        <w:t>la</w:t>
      </w:r>
      <w:r>
        <w:rPr>
          <w:spacing w:val="-16"/>
        </w:rPr>
        <w:t> </w:t>
      </w:r>
      <w:r>
        <w:rPr/>
        <w:t>Ciudad</w:t>
      </w:r>
      <w:r>
        <w:rPr>
          <w:spacing w:val="-16"/>
        </w:rPr>
        <w:t> </w:t>
      </w:r>
      <w:r>
        <w:rPr/>
        <w:t>de</w:t>
      </w:r>
      <w:r>
        <w:rPr>
          <w:spacing w:val="-18"/>
        </w:rPr>
        <w:t> </w:t>
      </w:r>
      <w:r>
        <w:rPr/>
        <w:t>México,</w:t>
      </w:r>
      <w:r>
        <w:rPr>
          <w:spacing w:val="-16"/>
        </w:rPr>
        <w:t> </w:t>
      </w:r>
      <w:r>
        <w:rPr/>
        <w:t>su</w:t>
      </w:r>
      <w:r>
        <w:rPr>
          <w:spacing w:val="-18"/>
        </w:rPr>
        <w:t> </w:t>
      </w:r>
      <w:r>
        <w:rPr/>
        <w:t>deseo</w:t>
      </w:r>
      <w:r>
        <w:rPr>
          <w:spacing w:val="-18"/>
        </w:rPr>
        <w:t> </w:t>
      </w:r>
      <w:r>
        <w:rPr/>
        <w:t>de</w:t>
      </w:r>
      <w:r>
        <w:rPr>
          <w:spacing w:val="-16"/>
        </w:rPr>
        <w:t> </w:t>
      </w:r>
      <w:r>
        <w:rPr/>
        <w:t>que</w:t>
      </w:r>
      <w:r>
        <w:rPr>
          <w:spacing w:val="-18"/>
        </w:rPr>
        <w:t> </w:t>
      </w:r>
      <w:r>
        <w:rPr/>
        <w:t>se</w:t>
      </w:r>
      <w:r>
        <w:rPr>
          <w:spacing w:val="-16"/>
        </w:rPr>
        <w:t> </w:t>
      </w:r>
      <w:r>
        <w:rPr/>
        <w:t>creara una</w:t>
      </w:r>
      <w:r>
        <w:rPr>
          <w:spacing w:val="-18"/>
        </w:rPr>
        <w:t> </w:t>
      </w:r>
      <w:r>
        <w:rPr/>
        <w:t>federación</w:t>
      </w:r>
      <w:r>
        <w:rPr>
          <w:spacing w:val="-13"/>
        </w:rPr>
        <w:t> </w:t>
      </w:r>
      <w:r>
        <w:rPr/>
        <w:t>similar</w:t>
      </w:r>
      <w:r>
        <w:rPr>
          <w:spacing w:val="-17"/>
        </w:rPr>
        <w:t> </w:t>
      </w:r>
      <w:r>
        <w:rPr/>
        <w:t>a</w:t>
      </w:r>
      <w:r>
        <w:rPr>
          <w:spacing w:val="-13"/>
        </w:rPr>
        <w:t> </w:t>
      </w:r>
      <w:r>
        <w:rPr/>
        <w:t>la</w:t>
      </w:r>
      <w:r>
        <w:rPr>
          <w:spacing w:val="-16"/>
        </w:rPr>
        <w:t> </w:t>
      </w:r>
      <w:r>
        <w:rPr/>
        <w:t>norteamericana</w:t>
      </w:r>
      <w:r>
        <w:rPr>
          <w:spacing w:val="-13"/>
        </w:rPr>
        <w:t> </w:t>
      </w:r>
      <w:r>
        <w:rPr/>
        <w:t>y</w:t>
      </w:r>
      <w:r>
        <w:rPr>
          <w:spacing w:val="-19"/>
        </w:rPr>
        <w:t> </w:t>
      </w:r>
      <w:r>
        <w:rPr/>
        <w:t>decidió</w:t>
      </w:r>
      <w:r>
        <w:rPr>
          <w:spacing w:val="-15"/>
        </w:rPr>
        <w:t> </w:t>
      </w:r>
      <w:r>
        <w:rPr/>
        <w:t>no</w:t>
      </w:r>
      <w:r>
        <w:rPr>
          <w:spacing w:val="-15"/>
        </w:rPr>
        <w:t> </w:t>
      </w:r>
      <w:r>
        <w:rPr/>
        <w:t>obedecer</w:t>
      </w:r>
      <w:r>
        <w:rPr>
          <w:spacing w:val="-17"/>
        </w:rPr>
        <w:t> </w:t>
      </w:r>
      <w:r>
        <w:rPr/>
        <w:t>órdenes</w:t>
      </w:r>
      <w:r>
        <w:rPr>
          <w:spacing w:val="37"/>
        </w:rPr>
        <w:t> </w:t>
      </w:r>
      <w:r>
        <w:rPr/>
        <w:t>centrales hasta que hubiera una integración de un gobierno representativo y</w:t>
      </w:r>
      <w:r>
        <w:rPr>
          <w:spacing w:val="-28"/>
        </w:rPr>
        <w:t> </w:t>
      </w:r>
      <w:r>
        <w:rPr/>
        <w:t>federado.</w:t>
      </w:r>
    </w:p>
    <w:p>
      <w:pPr>
        <w:pStyle w:val="BodyText"/>
        <w:spacing w:line="360" w:lineRule="auto" w:before="205"/>
        <w:ind w:left="102" w:right="116"/>
        <w:jc w:val="both"/>
      </w:pPr>
      <w:r>
        <w:rPr/>
        <w:t>El 16 de junio de 1823 se hizo conocedor al pueblo del Estado libre de Jalisco, el Plan de Gobierno provisional para el nuevo Estado. De la misma manera que Guadalajara fue la primera provincia de México en declarar su intención de establecer un congreso provisional, Oaxaca fue la primera que se convirtió en un Estado Federal. A Jalisco y a Oaxaca le siguieron Yucatán y Zacatecas; los representantes de ésta y los de Jalisco al Congreso, fueron los más celosos de las</w:t>
      </w:r>
    </w:p>
    <w:p>
      <w:pPr>
        <w:spacing w:after="0" w:line="360" w:lineRule="auto"/>
        <w:jc w:val="both"/>
        <w:sectPr>
          <w:pgSz w:w="12240" w:h="15840"/>
          <w:pgMar w:header="0" w:footer="992" w:top="1360" w:bottom="1180" w:left="1600" w:right="1580"/>
        </w:sectPr>
      </w:pPr>
    </w:p>
    <w:p>
      <w:pPr>
        <w:pStyle w:val="BodyText"/>
        <w:spacing w:line="362" w:lineRule="auto" w:before="54"/>
        <w:ind w:left="102" w:right="119"/>
        <w:jc w:val="both"/>
      </w:pPr>
      <w:r>
        <w:rPr/>
        <w:t>autonomías locales y los más interesados en que se estableciera un régimen federal.</w:t>
      </w:r>
    </w:p>
    <w:p>
      <w:pPr>
        <w:pStyle w:val="BodyText"/>
        <w:spacing w:line="360" w:lineRule="auto" w:before="201"/>
        <w:ind w:left="102" w:right="117"/>
        <w:jc w:val="both"/>
      </w:pPr>
      <w:r>
        <w:rPr/>
        <w:t>Las</w:t>
      </w:r>
      <w:r>
        <w:rPr>
          <w:spacing w:val="-9"/>
        </w:rPr>
        <w:t> </w:t>
      </w:r>
      <w:r>
        <w:rPr/>
        <w:t>fricciones</w:t>
      </w:r>
      <w:r>
        <w:rPr>
          <w:spacing w:val="-7"/>
        </w:rPr>
        <w:t> </w:t>
      </w:r>
      <w:r>
        <w:rPr/>
        <w:t>políticas</w:t>
      </w:r>
      <w:r>
        <w:rPr>
          <w:spacing w:val="-9"/>
        </w:rPr>
        <w:t> </w:t>
      </w:r>
      <w:r>
        <w:rPr/>
        <w:t>que</w:t>
      </w:r>
      <w:r>
        <w:rPr>
          <w:spacing w:val="-6"/>
        </w:rPr>
        <w:t> </w:t>
      </w:r>
      <w:r>
        <w:rPr/>
        <w:t>existieron</w:t>
      </w:r>
      <w:r>
        <w:rPr>
          <w:spacing w:val="-5"/>
        </w:rPr>
        <w:t> </w:t>
      </w:r>
      <w:r>
        <w:rPr/>
        <w:t>entre</w:t>
      </w:r>
      <w:r>
        <w:rPr>
          <w:spacing w:val="-3"/>
        </w:rPr>
        <w:t> </w:t>
      </w:r>
      <w:r>
        <w:rPr/>
        <w:t>los</w:t>
      </w:r>
      <w:r>
        <w:rPr>
          <w:spacing w:val="-7"/>
        </w:rPr>
        <w:t> </w:t>
      </w:r>
      <w:r>
        <w:rPr/>
        <w:t>gobiernos</w:t>
      </w:r>
      <w:r>
        <w:rPr>
          <w:spacing w:val="-7"/>
        </w:rPr>
        <w:t> </w:t>
      </w:r>
      <w:r>
        <w:rPr/>
        <w:t>nacionales</w:t>
      </w:r>
      <w:r>
        <w:rPr>
          <w:spacing w:val="-9"/>
        </w:rPr>
        <w:t> </w:t>
      </w:r>
      <w:r>
        <w:rPr/>
        <w:t>y</w:t>
      </w:r>
      <w:r>
        <w:rPr>
          <w:spacing w:val="-9"/>
        </w:rPr>
        <w:t> </w:t>
      </w:r>
      <w:r>
        <w:rPr/>
        <w:t>provinciales, provenían de las diferentes concepciones que se tenía sobre la forma de implantar el régimen federal y no el cuestionamiento del</w:t>
      </w:r>
      <w:r>
        <w:rPr>
          <w:spacing w:val="-14"/>
        </w:rPr>
        <w:t> </w:t>
      </w:r>
      <w:r>
        <w:rPr/>
        <w:t>mismo.</w:t>
      </w:r>
    </w:p>
    <w:p>
      <w:pPr>
        <w:pStyle w:val="BodyText"/>
        <w:spacing w:line="360" w:lineRule="auto" w:before="204"/>
        <w:ind w:left="102" w:right="117"/>
        <w:jc w:val="both"/>
      </w:pPr>
      <w:r>
        <w:rPr/>
        <w:t>Podría decirse como conclusión y de acuerdo a la opinión de Matute, (2007) que el federalismo mexicano tiene sus orígenes por dos circunstancias, la primera por la voluntad política de descentralizar a un Estado con régimen unitario y de controlar el poder central; y otro por los deseos de las provincias de independencia y autonomía. Sin embargo, es un hecho que las provincias fueron un factor determinante, además del pensamiento constitucional imperante en México, de la experiencia de Estados Unidos, y las ideas de la ilustración, que motivaron el régimen federal.</w:t>
      </w:r>
    </w:p>
    <w:p>
      <w:pPr>
        <w:pStyle w:val="BodyText"/>
        <w:spacing w:line="360" w:lineRule="auto" w:before="204"/>
        <w:ind w:left="102" w:right="126"/>
        <w:jc w:val="both"/>
      </w:pPr>
      <w:r>
        <w:rPr/>
        <w:t>Otro hecho relevante, fue que la provincia de Jalisco, a través de un manifiesto, citaba aquellos elementos para definir el sistema federal y dieron argumentos del porque las provincias estaban de acuerdo en un régimen federal. Tales como:</w:t>
      </w:r>
    </w:p>
    <w:p>
      <w:pPr>
        <w:pStyle w:val="ListParagraph"/>
        <w:numPr>
          <w:ilvl w:val="1"/>
          <w:numId w:val="17"/>
        </w:numPr>
        <w:tabs>
          <w:tab w:pos="954" w:val="left" w:leader="none"/>
        </w:tabs>
        <w:spacing w:line="252" w:lineRule="exact" w:before="204" w:after="0"/>
        <w:ind w:left="954" w:right="0" w:hanging="360"/>
        <w:jc w:val="left"/>
        <w:rPr>
          <w:sz w:val="22"/>
        </w:rPr>
      </w:pPr>
      <w:r>
        <w:rPr>
          <w:sz w:val="22"/>
        </w:rPr>
        <w:t>Cada provincia en un Estado</w:t>
      </w:r>
      <w:r>
        <w:rPr>
          <w:spacing w:val="-9"/>
          <w:sz w:val="22"/>
        </w:rPr>
        <w:t> </w:t>
      </w:r>
      <w:r>
        <w:rPr>
          <w:sz w:val="22"/>
        </w:rPr>
        <w:t>independiente</w:t>
      </w:r>
    </w:p>
    <w:p>
      <w:pPr>
        <w:pStyle w:val="ListParagraph"/>
        <w:numPr>
          <w:ilvl w:val="1"/>
          <w:numId w:val="17"/>
        </w:numPr>
        <w:tabs>
          <w:tab w:pos="954" w:val="left" w:leader="none"/>
        </w:tabs>
        <w:spacing w:line="240" w:lineRule="auto" w:before="0" w:after="0"/>
        <w:ind w:left="954" w:right="120" w:hanging="360"/>
        <w:jc w:val="both"/>
        <w:rPr>
          <w:sz w:val="22"/>
        </w:rPr>
      </w:pPr>
      <w:r>
        <w:rPr>
          <w:sz w:val="22"/>
        </w:rPr>
        <w:t>Esta independencia se manifiesta en órganos de gobierno propios, la diputación provincial se transforma en Poder Legislativo y el jefe político superior en gobernador</w:t>
      </w:r>
    </w:p>
    <w:p>
      <w:pPr>
        <w:pStyle w:val="ListParagraph"/>
        <w:numPr>
          <w:ilvl w:val="1"/>
          <w:numId w:val="17"/>
        </w:numPr>
        <w:tabs>
          <w:tab w:pos="954" w:val="left" w:leader="none"/>
        </w:tabs>
        <w:spacing w:line="240" w:lineRule="auto" w:before="0" w:after="0"/>
        <w:ind w:left="954" w:right="122" w:hanging="360"/>
        <w:jc w:val="both"/>
        <w:rPr>
          <w:sz w:val="22"/>
        </w:rPr>
      </w:pPr>
      <w:r>
        <w:rPr>
          <w:sz w:val="22"/>
        </w:rPr>
        <w:t>Por ser independiente, el Estado le compete promover su prosperidad y fortuna interna</w:t>
      </w:r>
    </w:p>
    <w:p>
      <w:pPr>
        <w:pStyle w:val="ListParagraph"/>
        <w:numPr>
          <w:ilvl w:val="1"/>
          <w:numId w:val="17"/>
        </w:numPr>
        <w:tabs>
          <w:tab w:pos="954" w:val="left" w:leader="none"/>
        </w:tabs>
        <w:spacing w:line="240" w:lineRule="auto" w:before="0" w:after="0"/>
        <w:ind w:left="954" w:right="123" w:hanging="360"/>
        <w:jc w:val="both"/>
        <w:rPr>
          <w:sz w:val="22"/>
        </w:rPr>
      </w:pPr>
      <w:r>
        <w:rPr>
          <w:sz w:val="22"/>
        </w:rPr>
        <w:t>La federación es un pacto que se concretaría en el Acta Constitutiva de la federación</w:t>
      </w:r>
    </w:p>
    <w:p>
      <w:pPr>
        <w:pStyle w:val="ListParagraph"/>
        <w:numPr>
          <w:ilvl w:val="1"/>
          <w:numId w:val="17"/>
        </w:numPr>
        <w:tabs>
          <w:tab w:pos="954" w:val="left" w:leader="none"/>
        </w:tabs>
        <w:spacing w:line="240" w:lineRule="auto" w:before="1" w:after="0"/>
        <w:ind w:left="954" w:right="115" w:hanging="360"/>
        <w:jc w:val="both"/>
        <w:rPr>
          <w:sz w:val="22"/>
        </w:rPr>
      </w:pPr>
      <w:r>
        <w:rPr>
          <w:sz w:val="22"/>
        </w:rPr>
        <w:t>El objetivo de la federación es ejercer de común consentimiento ciertos atributos de la soberanía, principalmente de la defensa mutua y aseguramiento de la paz pública</w:t>
      </w:r>
    </w:p>
    <w:p>
      <w:pPr>
        <w:pStyle w:val="ListParagraph"/>
        <w:numPr>
          <w:ilvl w:val="1"/>
          <w:numId w:val="17"/>
        </w:numPr>
        <w:tabs>
          <w:tab w:pos="953" w:val="left" w:leader="none"/>
          <w:tab w:pos="954" w:val="left" w:leader="none"/>
        </w:tabs>
        <w:spacing w:line="252" w:lineRule="exact" w:before="0" w:after="0"/>
        <w:ind w:left="954" w:right="0" w:hanging="360"/>
        <w:jc w:val="left"/>
        <w:rPr>
          <w:sz w:val="22"/>
        </w:rPr>
      </w:pPr>
      <w:r>
        <w:rPr>
          <w:sz w:val="22"/>
        </w:rPr>
        <w:t>Igualdad natural de las</w:t>
      </w:r>
      <w:r>
        <w:rPr>
          <w:spacing w:val="-13"/>
          <w:sz w:val="22"/>
        </w:rPr>
        <w:t> </w:t>
      </w:r>
      <w:r>
        <w:rPr>
          <w:sz w:val="22"/>
        </w:rPr>
        <w:t>provincias</w:t>
      </w:r>
    </w:p>
    <w:p>
      <w:pPr>
        <w:pStyle w:val="ListParagraph"/>
        <w:numPr>
          <w:ilvl w:val="1"/>
          <w:numId w:val="17"/>
        </w:numPr>
        <w:tabs>
          <w:tab w:pos="954" w:val="left" w:leader="none"/>
        </w:tabs>
        <w:spacing w:line="240" w:lineRule="auto" w:before="0" w:after="0"/>
        <w:ind w:left="954" w:right="121" w:hanging="360"/>
        <w:jc w:val="both"/>
        <w:rPr>
          <w:sz w:val="22"/>
        </w:rPr>
      </w:pPr>
      <w:r>
        <w:rPr>
          <w:sz w:val="22"/>
        </w:rPr>
        <w:t>Hacía referencia a la adopción de la república, de aquí que el federalismo y el republicanismo marcharon juntos (González, 1995:</w:t>
      </w:r>
      <w:r>
        <w:rPr>
          <w:spacing w:val="-14"/>
          <w:sz w:val="22"/>
        </w:rPr>
        <w:t> </w:t>
      </w:r>
      <w:r>
        <w:rPr>
          <w:sz w:val="22"/>
        </w:rPr>
        <w:t>25).</w:t>
      </w:r>
    </w:p>
    <w:p>
      <w:pPr>
        <w:pStyle w:val="BodyText"/>
        <w:rPr>
          <w:sz w:val="22"/>
        </w:rPr>
      </w:pPr>
    </w:p>
    <w:p>
      <w:pPr>
        <w:pStyle w:val="BodyText"/>
        <w:rPr>
          <w:sz w:val="22"/>
        </w:rPr>
      </w:pPr>
    </w:p>
    <w:p>
      <w:pPr>
        <w:pStyle w:val="BodyText"/>
        <w:rPr>
          <w:sz w:val="22"/>
        </w:rPr>
      </w:pPr>
    </w:p>
    <w:p>
      <w:pPr>
        <w:pStyle w:val="BodyText"/>
        <w:spacing w:before="9"/>
        <w:rPr>
          <w:sz w:val="26"/>
        </w:rPr>
      </w:pPr>
    </w:p>
    <w:p>
      <w:pPr>
        <w:pStyle w:val="Heading2"/>
      </w:pPr>
      <w:r>
        <w:rPr/>
        <w:t>1835-1857 Período del Régimen Federal en crisis</w:t>
      </w:r>
    </w:p>
    <w:p>
      <w:pPr>
        <w:spacing w:after="0"/>
        <w:sectPr>
          <w:footerReference w:type="default" r:id="rId31"/>
          <w:pgSz w:w="12240" w:h="15840"/>
          <w:pgMar w:footer="992" w:header="0" w:top="1360" w:bottom="1180" w:left="1600" w:right="1580"/>
        </w:sectPr>
      </w:pPr>
    </w:p>
    <w:p>
      <w:pPr>
        <w:pStyle w:val="BodyText"/>
        <w:spacing w:line="362" w:lineRule="auto" w:before="54"/>
        <w:ind w:left="102" w:right="121"/>
        <w:jc w:val="both"/>
      </w:pPr>
      <w:r>
        <w:rPr/>
        <w:t>La República federativa comienza su existencia bajo la presidencia y vicepresidencia de Guadalupe Victoria y Nicolás Bravo.</w:t>
      </w:r>
    </w:p>
    <w:p>
      <w:pPr>
        <w:pStyle w:val="BodyText"/>
        <w:spacing w:line="360" w:lineRule="auto" w:before="201"/>
        <w:ind w:left="102" w:right="119"/>
        <w:jc w:val="both"/>
      </w:pPr>
      <w:r>
        <w:rPr/>
        <w:t>El 03 de octubre de 1835, el Congreso dictó medidas que suprimieron el régimen federal, que subordinaban los gobiernos locales al nacional y desaparecían las legislaturas estatales. Este acto provocó que el 07 de noviembre de 1835, Austin, en nombre del pueblo de Texas, declararan la guerra al gobierno mexicano para buscar la independencia, la cual obtuvo en su totalidad el 02 de Marzo de 1836.</w:t>
      </w:r>
    </w:p>
    <w:p>
      <w:pPr>
        <w:pStyle w:val="BodyText"/>
        <w:spacing w:line="360" w:lineRule="auto" w:before="202"/>
        <w:ind w:left="102" w:right="116"/>
        <w:jc w:val="both"/>
      </w:pPr>
      <w:r>
        <w:rPr/>
        <w:t>Las Siete Leyes, que establecieron el régimen centralista, fueron promulgadas en 1836.</w:t>
      </w:r>
      <w:r>
        <w:rPr>
          <w:spacing w:val="-9"/>
        </w:rPr>
        <w:t> </w:t>
      </w:r>
      <w:r>
        <w:rPr/>
        <w:t>Este</w:t>
      </w:r>
      <w:r>
        <w:rPr>
          <w:spacing w:val="-8"/>
        </w:rPr>
        <w:t> </w:t>
      </w:r>
      <w:r>
        <w:rPr/>
        <w:t>documento</w:t>
      </w:r>
      <w:r>
        <w:rPr>
          <w:spacing w:val="-11"/>
        </w:rPr>
        <w:t> </w:t>
      </w:r>
      <w:r>
        <w:rPr/>
        <w:t>cambia</w:t>
      </w:r>
      <w:r>
        <w:rPr>
          <w:spacing w:val="-8"/>
        </w:rPr>
        <w:t> </w:t>
      </w:r>
      <w:r>
        <w:rPr/>
        <w:t>la</w:t>
      </w:r>
      <w:r>
        <w:rPr>
          <w:spacing w:val="-9"/>
        </w:rPr>
        <w:t> </w:t>
      </w:r>
      <w:r>
        <w:rPr/>
        <w:t>denominación</w:t>
      </w:r>
      <w:r>
        <w:rPr>
          <w:spacing w:val="-8"/>
        </w:rPr>
        <w:t> </w:t>
      </w:r>
      <w:r>
        <w:rPr/>
        <w:t>de</w:t>
      </w:r>
      <w:r>
        <w:rPr>
          <w:spacing w:val="-8"/>
        </w:rPr>
        <w:t> </w:t>
      </w:r>
      <w:r>
        <w:rPr/>
        <w:t>Estados</w:t>
      </w:r>
      <w:r>
        <w:rPr>
          <w:spacing w:val="-9"/>
        </w:rPr>
        <w:t> </w:t>
      </w:r>
      <w:r>
        <w:rPr/>
        <w:t>por</w:t>
      </w:r>
      <w:r>
        <w:rPr>
          <w:spacing w:val="-10"/>
        </w:rPr>
        <w:t> </w:t>
      </w:r>
      <w:r>
        <w:rPr/>
        <w:t>la</w:t>
      </w:r>
      <w:r>
        <w:rPr>
          <w:spacing w:val="-9"/>
        </w:rPr>
        <w:t> </w:t>
      </w:r>
      <w:r>
        <w:rPr/>
        <w:t>de</w:t>
      </w:r>
      <w:r>
        <w:rPr>
          <w:spacing w:val="-11"/>
        </w:rPr>
        <w:t> </w:t>
      </w:r>
      <w:r>
        <w:rPr/>
        <w:t>Departamento y</w:t>
      </w:r>
      <w:r>
        <w:rPr>
          <w:spacing w:val="-12"/>
        </w:rPr>
        <w:t> </w:t>
      </w:r>
      <w:r>
        <w:rPr/>
        <w:t>los</w:t>
      </w:r>
      <w:r>
        <w:rPr>
          <w:spacing w:val="-11"/>
        </w:rPr>
        <w:t> </w:t>
      </w:r>
      <w:r>
        <w:rPr/>
        <w:t>colocó</w:t>
      </w:r>
      <w:r>
        <w:rPr>
          <w:spacing w:val="-10"/>
        </w:rPr>
        <w:t> </w:t>
      </w:r>
      <w:r>
        <w:rPr/>
        <w:t>jerárquicamente</w:t>
      </w:r>
      <w:r>
        <w:rPr>
          <w:spacing w:val="-10"/>
        </w:rPr>
        <w:t> </w:t>
      </w:r>
      <w:r>
        <w:rPr/>
        <w:t>dependientes</w:t>
      </w:r>
      <w:r>
        <w:rPr>
          <w:spacing w:val="-12"/>
        </w:rPr>
        <w:t> </w:t>
      </w:r>
      <w:r>
        <w:rPr/>
        <w:t>del</w:t>
      </w:r>
      <w:r>
        <w:rPr>
          <w:spacing w:val="-12"/>
        </w:rPr>
        <w:t> </w:t>
      </w:r>
      <w:r>
        <w:rPr/>
        <w:t>centro.</w:t>
      </w:r>
      <w:r>
        <w:rPr>
          <w:spacing w:val="-11"/>
        </w:rPr>
        <w:t> </w:t>
      </w:r>
      <w:r>
        <w:rPr/>
        <w:t>“El</w:t>
      </w:r>
      <w:r>
        <w:rPr>
          <w:spacing w:val="-12"/>
        </w:rPr>
        <w:t> </w:t>
      </w:r>
      <w:r>
        <w:rPr/>
        <w:t>14</w:t>
      </w:r>
      <w:r>
        <w:rPr>
          <w:spacing w:val="-11"/>
        </w:rPr>
        <w:t> </w:t>
      </w:r>
      <w:r>
        <w:rPr/>
        <w:t>de</w:t>
      </w:r>
      <w:r>
        <w:rPr>
          <w:spacing w:val="-11"/>
        </w:rPr>
        <w:t> </w:t>
      </w:r>
      <w:r>
        <w:rPr/>
        <w:t>octubre</w:t>
      </w:r>
      <w:r>
        <w:rPr>
          <w:spacing w:val="-11"/>
        </w:rPr>
        <w:t> </w:t>
      </w:r>
      <w:r>
        <w:rPr/>
        <w:t>de</w:t>
      </w:r>
      <w:r>
        <w:rPr>
          <w:spacing w:val="-11"/>
        </w:rPr>
        <w:t> </w:t>
      </w:r>
      <w:r>
        <w:rPr/>
        <w:t>1836,</w:t>
      </w:r>
      <w:r>
        <w:rPr>
          <w:spacing w:val="-11"/>
        </w:rPr>
        <w:t> </w:t>
      </w:r>
      <w:r>
        <w:rPr/>
        <w:t>se presentó un proyecto de constitución liberal centralista con un voto de minoría que proponía</w:t>
      </w:r>
      <w:r>
        <w:rPr>
          <w:spacing w:val="-4"/>
        </w:rPr>
        <w:t> </w:t>
      </w:r>
      <w:r>
        <w:rPr/>
        <w:t>como</w:t>
      </w:r>
      <w:r>
        <w:rPr>
          <w:spacing w:val="-4"/>
        </w:rPr>
        <w:t> </w:t>
      </w:r>
      <w:r>
        <w:rPr/>
        <w:t>la</w:t>
      </w:r>
      <w:r>
        <w:rPr>
          <w:spacing w:val="-6"/>
        </w:rPr>
        <w:t> </w:t>
      </w:r>
      <w:r>
        <w:rPr/>
        <w:t>forma</w:t>
      </w:r>
      <w:r>
        <w:rPr>
          <w:spacing w:val="-4"/>
        </w:rPr>
        <w:t> </w:t>
      </w:r>
      <w:r>
        <w:rPr/>
        <w:t>de</w:t>
      </w:r>
      <w:r>
        <w:rPr>
          <w:spacing w:val="-4"/>
        </w:rPr>
        <w:t> </w:t>
      </w:r>
      <w:r>
        <w:rPr/>
        <w:t>gobierno</w:t>
      </w:r>
      <w:r>
        <w:rPr>
          <w:spacing w:val="-4"/>
        </w:rPr>
        <w:t> </w:t>
      </w:r>
      <w:r>
        <w:rPr/>
        <w:t>el</w:t>
      </w:r>
      <w:r>
        <w:rPr>
          <w:spacing w:val="-7"/>
        </w:rPr>
        <w:t> </w:t>
      </w:r>
      <w:r>
        <w:rPr/>
        <w:t>federalismo,</w:t>
      </w:r>
      <w:r>
        <w:rPr>
          <w:spacing w:val="-6"/>
        </w:rPr>
        <w:t> </w:t>
      </w:r>
      <w:r>
        <w:rPr/>
        <w:t>provocando</w:t>
      </w:r>
      <w:r>
        <w:rPr>
          <w:spacing w:val="-4"/>
        </w:rPr>
        <w:t> </w:t>
      </w:r>
      <w:r>
        <w:rPr/>
        <w:t>la</w:t>
      </w:r>
      <w:r>
        <w:rPr>
          <w:spacing w:val="-6"/>
        </w:rPr>
        <w:t> </w:t>
      </w:r>
      <w:r>
        <w:rPr/>
        <w:t>oposición</w:t>
      </w:r>
      <w:r>
        <w:rPr>
          <w:spacing w:val="-6"/>
        </w:rPr>
        <w:t> </w:t>
      </w:r>
      <w:r>
        <w:rPr/>
        <w:t>de</w:t>
      </w:r>
      <w:r>
        <w:rPr>
          <w:spacing w:val="-4"/>
        </w:rPr>
        <w:t> </w:t>
      </w:r>
      <w:r>
        <w:rPr/>
        <w:t>los conservadores, los cuales mediante –Nicolás Bravo, promovieron el desconocimiento del Congreso y su sustitución por una junta de notables” (Matute, 2007:10-12).</w:t>
      </w:r>
    </w:p>
    <w:p>
      <w:pPr>
        <w:pStyle w:val="Heading2"/>
        <w:spacing w:before="204"/>
      </w:pPr>
      <w:r>
        <w:rPr/>
        <w:t>Reimplantación del federalismo 1917 su consolidación</w:t>
      </w:r>
    </w:p>
    <w:p>
      <w:pPr>
        <w:pStyle w:val="BodyText"/>
        <w:spacing w:before="4"/>
        <w:rPr>
          <w:b/>
          <w:sz w:val="29"/>
        </w:rPr>
      </w:pPr>
    </w:p>
    <w:p>
      <w:pPr>
        <w:pStyle w:val="BodyText"/>
        <w:spacing w:line="360" w:lineRule="auto" w:before="1"/>
        <w:ind w:left="102" w:right="118"/>
        <w:jc w:val="both"/>
      </w:pPr>
      <w:r>
        <w:rPr/>
        <w:t>La</w:t>
      </w:r>
      <w:r>
        <w:rPr>
          <w:spacing w:val="-5"/>
        </w:rPr>
        <w:t> </w:t>
      </w:r>
      <w:r>
        <w:rPr/>
        <w:t>Constitución</w:t>
      </w:r>
      <w:r>
        <w:rPr>
          <w:spacing w:val="-5"/>
        </w:rPr>
        <w:t> </w:t>
      </w:r>
      <w:r>
        <w:rPr/>
        <w:t>de</w:t>
      </w:r>
      <w:r>
        <w:rPr>
          <w:spacing w:val="-5"/>
        </w:rPr>
        <w:t> </w:t>
      </w:r>
      <w:r>
        <w:rPr/>
        <w:t>1917</w:t>
      </w:r>
      <w:r>
        <w:rPr>
          <w:spacing w:val="-5"/>
        </w:rPr>
        <w:t> </w:t>
      </w:r>
      <w:r>
        <w:rPr/>
        <w:t>permitió</w:t>
      </w:r>
      <w:r>
        <w:rPr>
          <w:spacing w:val="-6"/>
        </w:rPr>
        <w:t> </w:t>
      </w:r>
      <w:r>
        <w:rPr/>
        <w:t>organizar</w:t>
      </w:r>
      <w:r>
        <w:rPr>
          <w:spacing w:val="-5"/>
        </w:rPr>
        <w:t> </w:t>
      </w:r>
      <w:r>
        <w:rPr/>
        <w:t>a los</w:t>
      </w:r>
      <w:r>
        <w:rPr>
          <w:spacing w:val="-5"/>
        </w:rPr>
        <w:t> </w:t>
      </w:r>
      <w:r>
        <w:rPr/>
        <w:t>poderes</w:t>
      </w:r>
      <w:r>
        <w:rPr>
          <w:spacing w:val="-9"/>
        </w:rPr>
        <w:t> </w:t>
      </w:r>
      <w:r>
        <w:rPr/>
        <w:t>federales</w:t>
      </w:r>
      <w:r>
        <w:rPr>
          <w:spacing w:val="-5"/>
        </w:rPr>
        <w:t> </w:t>
      </w:r>
      <w:r>
        <w:rPr/>
        <w:t>y</w:t>
      </w:r>
      <w:r>
        <w:rPr>
          <w:spacing w:val="-7"/>
        </w:rPr>
        <w:t> </w:t>
      </w:r>
      <w:r>
        <w:rPr/>
        <w:t>a</w:t>
      </w:r>
      <w:r>
        <w:rPr>
          <w:spacing w:val="-5"/>
        </w:rPr>
        <w:t> </w:t>
      </w:r>
      <w:r>
        <w:rPr/>
        <w:t>sus</w:t>
      </w:r>
      <w:r>
        <w:rPr>
          <w:spacing w:val="-7"/>
        </w:rPr>
        <w:t> </w:t>
      </w:r>
      <w:r>
        <w:rPr/>
        <w:t>estados asociados, y con ella se inicia propiamente la creación de un Estado</w:t>
      </w:r>
      <w:r>
        <w:rPr>
          <w:spacing w:val="-27"/>
        </w:rPr>
        <w:t> </w:t>
      </w:r>
      <w:r>
        <w:rPr/>
        <w:t>federal.</w:t>
      </w:r>
    </w:p>
    <w:p>
      <w:pPr>
        <w:pStyle w:val="BodyText"/>
        <w:spacing w:line="360" w:lineRule="auto" w:before="204"/>
        <w:ind w:left="102" w:right="117"/>
        <w:jc w:val="both"/>
      </w:pPr>
      <w:r>
        <w:rPr/>
        <w:t>El pacto federal queda consagrado en la Constitución, otorgando a sus estados asociados la seguridad de que los poderes de la Unión no tendrán más actividad que la pactada y definida en el texto constitucional. Las constituciones de los estados miembros, como expresión de la soberanía y autonomía forman parte del orden jurídico del país, que necesariamente deben sujetarse en la Constitución federal.</w:t>
      </w:r>
    </w:p>
    <w:p>
      <w:pPr>
        <w:spacing w:after="0" w:line="360" w:lineRule="auto"/>
        <w:jc w:val="both"/>
        <w:sectPr>
          <w:footerReference w:type="default" r:id="rId32"/>
          <w:pgSz w:w="12240" w:h="15840"/>
          <w:pgMar w:footer="992" w:header="0" w:top="1360" w:bottom="1180" w:left="1600" w:right="1580"/>
          <w:pgNumType w:start="61"/>
        </w:sectPr>
      </w:pPr>
    </w:p>
    <w:p>
      <w:pPr>
        <w:pStyle w:val="Heading1"/>
        <w:numPr>
          <w:ilvl w:val="1"/>
          <w:numId w:val="18"/>
        </w:numPr>
        <w:tabs>
          <w:tab w:pos="3170" w:val="left" w:leader="none"/>
        </w:tabs>
        <w:spacing w:line="240" w:lineRule="auto" w:before="52" w:after="0"/>
        <w:ind w:left="3169" w:right="0" w:hanging="547"/>
        <w:jc w:val="left"/>
      </w:pPr>
      <w:bookmarkStart w:name="_TOC_250036" w:id="16"/>
      <w:r>
        <w:rPr/>
        <w:t>Federalismo</w:t>
      </w:r>
      <w:r>
        <w:rPr>
          <w:spacing w:val="-9"/>
        </w:rPr>
        <w:t> </w:t>
      </w:r>
      <w:bookmarkEnd w:id="16"/>
      <w:r>
        <w:rPr/>
        <w:t>Hacendario</w:t>
      </w:r>
    </w:p>
    <w:p>
      <w:pPr>
        <w:pStyle w:val="BodyText"/>
        <w:rPr>
          <w:b/>
          <w:sz w:val="28"/>
        </w:rPr>
      </w:pPr>
    </w:p>
    <w:p>
      <w:pPr>
        <w:pStyle w:val="BodyText"/>
        <w:rPr>
          <w:b/>
          <w:sz w:val="28"/>
        </w:rPr>
      </w:pPr>
    </w:p>
    <w:p>
      <w:pPr>
        <w:pStyle w:val="BodyText"/>
        <w:rPr>
          <w:b/>
          <w:sz w:val="28"/>
        </w:rPr>
      </w:pPr>
    </w:p>
    <w:p>
      <w:pPr>
        <w:pStyle w:val="BodyText"/>
        <w:spacing w:before="11"/>
        <w:rPr>
          <w:b/>
          <w:sz w:val="22"/>
        </w:rPr>
      </w:pPr>
    </w:p>
    <w:p>
      <w:pPr>
        <w:pStyle w:val="BodyText"/>
        <w:spacing w:line="360" w:lineRule="auto"/>
        <w:ind w:left="102" w:right="116"/>
        <w:jc w:val="both"/>
      </w:pPr>
      <w:r>
        <w:rPr/>
        <w:t>El federalismo hacendario es, según Wallace Oates (1977) un sistema que trata</w:t>
      </w:r>
      <w:r>
        <w:rPr>
          <w:spacing w:val="-39"/>
        </w:rPr>
        <w:t> </w:t>
      </w:r>
      <w:r>
        <w:rPr/>
        <w:t>de determinar la estructura optima del sector público en términos de adscripción de responsabilidades (en la toma de decisiones o sobre funciones específicas) a representaciones</w:t>
      </w:r>
      <w:r>
        <w:rPr>
          <w:spacing w:val="-10"/>
        </w:rPr>
        <w:t> </w:t>
      </w:r>
      <w:r>
        <w:rPr/>
        <w:t>de</w:t>
      </w:r>
      <w:r>
        <w:rPr>
          <w:spacing w:val="-9"/>
        </w:rPr>
        <w:t> </w:t>
      </w:r>
      <w:r>
        <w:rPr/>
        <w:t>subconjuntos</w:t>
      </w:r>
      <w:r>
        <w:rPr>
          <w:spacing w:val="-10"/>
        </w:rPr>
        <w:t> </w:t>
      </w:r>
      <w:r>
        <w:rPr/>
        <w:t>geográficos</w:t>
      </w:r>
      <w:r>
        <w:rPr>
          <w:spacing w:val="-10"/>
        </w:rPr>
        <w:t> </w:t>
      </w:r>
      <w:r>
        <w:rPr/>
        <w:t>de</w:t>
      </w:r>
      <w:r>
        <w:rPr>
          <w:spacing w:val="-9"/>
        </w:rPr>
        <w:t> </w:t>
      </w:r>
      <w:r>
        <w:rPr/>
        <w:t>la</w:t>
      </w:r>
      <w:r>
        <w:rPr>
          <w:spacing w:val="-10"/>
        </w:rPr>
        <w:t> </w:t>
      </w:r>
      <w:r>
        <w:rPr/>
        <w:t>sociedad.</w:t>
      </w:r>
      <w:r>
        <w:rPr>
          <w:spacing w:val="-6"/>
        </w:rPr>
        <w:t> </w:t>
      </w:r>
      <w:r>
        <w:rPr/>
        <w:t>Lo</w:t>
      </w:r>
      <w:r>
        <w:rPr>
          <w:spacing w:val="-9"/>
        </w:rPr>
        <w:t> </w:t>
      </w:r>
      <w:r>
        <w:rPr/>
        <w:t>primero</w:t>
      </w:r>
      <w:r>
        <w:rPr>
          <w:spacing w:val="-10"/>
        </w:rPr>
        <w:t> </w:t>
      </w:r>
      <w:r>
        <w:rPr/>
        <w:t>es</w:t>
      </w:r>
      <w:r>
        <w:rPr>
          <w:spacing w:val="-10"/>
        </w:rPr>
        <w:t> </w:t>
      </w:r>
      <w:r>
        <w:rPr/>
        <w:t>definir responsabilidades</w:t>
      </w:r>
      <w:r>
        <w:rPr>
          <w:spacing w:val="-15"/>
        </w:rPr>
        <w:t> </w:t>
      </w:r>
      <w:r>
        <w:rPr/>
        <w:t>y</w:t>
      </w:r>
      <w:r>
        <w:rPr>
          <w:spacing w:val="-17"/>
        </w:rPr>
        <w:t> </w:t>
      </w:r>
      <w:r>
        <w:rPr/>
        <w:t>determinar</w:t>
      </w:r>
      <w:r>
        <w:rPr>
          <w:spacing w:val="-16"/>
        </w:rPr>
        <w:t> </w:t>
      </w:r>
      <w:r>
        <w:rPr/>
        <w:t>el</w:t>
      </w:r>
      <w:r>
        <w:rPr>
          <w:spacing w:val="-15"/>
        </w:rPr>
        <w:t> </w:t>
      </w:r>
      <w:r>
        <w:rPr/>
        <w:t>sistema</w:t>
      </w:r>
      <w:r>
        <w:rPr>
          <w:spacing w:val="-14"/>
        </w:rPr>
        <w:t> </w:t>
      </w:r>
      <w:r>
        <w:rPr/>
        <w:t>apropiado</w:t>
      </w:r>
      <w:r>
        <w:rPr>
          <w:spacing w:val="-14"/>
        </w:rPr>
        <w:t> </w:t>
      </w:r>
      <w:r>
        <w:rPr/>
        <w:t>para</w:t>
      </w:r>
      <w:r>
        <w:rPr>
          <w:spacing w:val="-17"/>
        </w:rPr>
        <w:t> </w:t>
      </w:r>
      <w:r>
        <w:rPr/>
        <w:t>obtener</w:t>
      </w:r>
      <w:r>
        <w:rPr>
          <w:spacing w:val="-16"/>
        </w:rPr>
        <w:t> </w:t>
      </w:r>
      <w:r>
        <w:rPr/>
        <w:t>los</w:t>
      </w:r>
      <w:r>
        <w:rPr>
          <w:spacing w:val="-14"/>
        </w:rPr>
        <w:t> </w:t>
      </w:r>
      <w:r>
        <w:rPr/>
        <w:t>recursos</w:t>
      </w:r>
      <w:r>
        <w:rPr>
          <w:spacing w:val="-15"/>
        </w:rPr>
        <w:t> </w:t>
      </w:r>
      <w:r>
        <w:rPr/>
        <w:t>para financiar los bienes y servicios a la sociedad. Esto es, proporciona las líneas generales para una división apropiada de las funciones fiscales entre los órdenes de</w:t>
      </w:r>
      <w:r>
        <w:rPr>
          <w:spacing w:val="-4"/>
        </w:rPr>
        <w:t> </w:t>
      </w:r>
      <w:r>
        <w:rPr/>
        <w:t>gobierno.</w:t>
      </w:r>
    </w:p>
    <w:p>
      <w:pPr>
        <w:pStyle w:val="BodyText"/>
        <w:spacing w:line="360" w:lineRule="auto" w:before="202"/>
        <w:ind w:left="102" w:right="115"/>
        <w:jc w:val="right"/>
      </w:pPr>
      <w:r>
        <w:rPr/>
        <w:t>En el federalismo confluyen aspectos políticos jurídicos,</w:t>
      </w:r>
      <w:r>
        <w:rPr>
          <w:spacing w:val="23"/>
        </w:rPr>
        <w:t> </w:t>
      </w:r>
      <w:r>
        <w:rPr/>
        <w:t>fiscales,</w:t>
      </w:r>
      <w:r>
        <w:rPr>
          <w:spacing w:val="12"/>
        </w:rPr>
        <w:t> </w:t>
      </w:r>
      <w:r>
        <w:rPr/>
        <w:t>financieros,</w:t>
      </w:r>
      <w:r>
        <w:rPr>
          <w:w w:val="100"/>
        </w:rPr>
        <w:t> </w:t>
      </w:r>
      <w:r>
        <w:rPr/>
        <w:t>económicos, políticos y administrativos. Es por eso, que cabe hacer</w:t>
      </w:r>
      <w:r>
        <w:rPr>
          <w:spacing w:val="18"/>
        </w:rPr>
        <w:t> </w:t>
      </w:r>
      <w:r>
        <w:rPr/>
        <w:t>hincapié</w:t>
      </w:r>
      <w:r>
        <w:rPr>
          <w:spacing w:val="15"/>
        </w:rPr>
        <w:t> </w:t>
      </w:r>
      <w:r>
        <w:rPr/>
        <w:t>que</w:t>
      </w:r>
      <w:r>
        <w:rPr>
          <w:w w:val="99"/>
        </w:rPr>
        <w:t> </w:t>
      </w:r>
      <w:r>
        <w:rPr/>
        <w:t>cuando se habla de federalismo hacendario se trata de aquello que conduce</w:t>
      </w:r>
      <w:r>
        <w:rPr>
          <w:spacing w:val="3"/>
        </w:rPr>
        <w:t> </w:t>
      </w:r>
      <w:r>
        <w:rPr/>
        <w:t>a</w:t>
      </w:r>
      <w:r>
        <w:rPr>
          <w:spacing w:val="15"/>
        </w:rPr>
        <w:t> </w:t>
      </w:r>
      <w:r>
        <w:rPr/>
        <w:t>la</w:t>
      </w:r>
      <w:r>
        <w:rPr>
          <w:w w:val="99"/>
        </w:rPr>
        <w:t> </w:t>
      </w:r>
      <w:r>
        <w:rPr/>
        <w:t>organización, dentro de un Estado, de distintas unidades de decisión</w:t>
      </w:r>
      <w:r>
        <w:rPr>
          <w:spacing w:val="-34"/>
        </w:rPr>
        <w:t> </w:t>
      </w:r>
      <w:r>
        <w:rPr/>
        <w:t>sobre</w:t>
      </w:r>
      <w:r>
        <w:rPr>
          <w:spacing w:val="-3"/>
        </w:rPr>
        <w:t> </w:t>
      </w:r>
      <w:r>
        <w:rPr/>
        <w:t>ingreso</w:t>
      </w:r>
      <w:r>
        <w:rPr>
          <w:w w:val="99"/>
        </w:rPr>
        <w:t> </w:t>
      </w:r>
      <w:r>
        <w:rPr/>
        <w:t>y</w:t>
      </w:r>
      <w:r>
        <w:rPr>
          <w:spacing w:val="48"/>
        </w:rPr>
        <w:t> </w:t>
      </w:r>
      <w:r>
        <w:rPr/>
        <w:t>gasto</w:t>
      </w:r>
      <w:r>
        <w:rPr>
          <w:spacing w:val="49"/>
        </w:rPr>
        <w:t> </w:t>
      </w:r>
      <w:r>
        <w:rPr/>
        <w:t>público,</w:t>
      </w:r>
      <w:r>
        <w:rPr>
          <w:spacing w:val="48"/>
        </w:rPr>
        <w:t> </w:t>
      </w:r>
      <w:r>
        <w:rPr/>
        <w:t>en</w:t>
      </w:r>
      <w:r>
        <w:rPr>
          <w:spacing w:val="48"/>
        </w:rPr>
        <w:t> </w:t>
      </w:r>
      <w:r>
        <w:rPr/>
        <w:t>cambio</w:t>
      </w:r>
      <w:r>
        <w:rPr>
          <w:spacing w:val="52"/>
        </w:rPr>
        <w:t> </w:t>
      </w:r>
      <w:r>
        <w:rPr/>
        <w:t>cuando</w:t>
      </w:r>
      <w:r>
        <w:rPr>
          <w:spacing w:val="49"/>
        </w:rPr>
        <w:t> </w:t>
      </w:r>
      <w:r>
        <w:rPr/>
        <w:t>se</w:t>
      </w:r>
      <w:r>
        <w:rPr>
          <w:spacing w:val="48"/>
        </w:rPr>
        <w:t> </w:t>
      </w:r>
      <w:r>
        <w:rPr/>
        <w:t>habla</w:t>
      </w:r>
      <w:r>
        <w:rPr>
          <w:spacing w:val="49"/>
        </w:rPr>
        <w:t> </w:t>
      </w:r>
      <w:r>
        <w:rPr/>
        <w:t>de</w:t>
      </w:r>
      <w:r>
        <w:rPr>
          <w:spacing w:val="46"/>
        </w:rPr>
        <w:t> </w:t>
      </w:r>
      <w:r>
        <w:rPr/>
        <w:t>federalismo</w:t>
      </w:r>
      <w:r>
        <w:rPr>
          <w:spacing w:val="46"/>
        </w:rPr>
        <w:t> </w:t>
      </w:r>
      <w:r>
        <w:rPr/>
        <w:t>fiscal</w:t>
      </w:r>
      <w:r>
        <w:rPr>
          <w:spacing w:val="50"/>
        </w:rPr>
        <w:t> </w:t>
      </w:r>
      <w:r>
        <w:rPr/>
        <w:t>trata</w:t>
      </w:r>
      <w:r>
        <w:rPr>
          <w:spacing w:val="47"/>
        </w:rPr>
        <w:t> </w:t>
      </w:r>
      <w:r>
        <w:rPr/>
        <w:t>de</w:t>
      </w:r>
      <w:r>
        <w:rPr>
          <w:spacing w:val="48"/>
        </w:rPr>
        <w:t> </w:t>
      </w:r>
      <w:r>
        <w:rPr/>
        <w:t>las interrelaciones</w:t>
      </w:r>
      <w:r>
        <w:rPr>
          <w:spacing w:val="-5"/>
        </w:rPr>
        <w:t> </w:t>
      </w:r>
      <w:r>
        <w:rPr/>
        <w:t>que</w:t>
      </w:r>
      <w:r>
        <w:rPr>
          <w:spacing w:val="-5"/>
        </w:rPr>
        <w:t> </w:t>
      </w:r>
      <w:r>
        <w:rPr/>
        <w:t>surgen</w:t>
      </w:r>
      <w:r>
        <w:rPr>
          <w:spacing w:val="-5"/>
        </w:rPr>
        <w:t> </w:t>
      </w:r>
      <w:r>
        <w:rPr/>
        <w:t>en</w:t>
      </w:r>
      <w:r>
        <w:rPr>
          <w:spacing w:val="-5"/>
        </w:rPr>
        <w:t> </w:t>
      </w:r>
      <w:r>
        <w:rPr/>
        <w:t>el</w:t>
      </w:r>
      <w:r>
        <w:rPr>
          <w:spacing w:val="-6"/>
        </w:rPr>
        <w:t> </w:t>
      </w:r>
      <w:r>
        <w:rPr/>
        <w:t>proceso</w:t>
      </w:r>
      <w:r>
        <w:rPr>
          <w:spacing w:val="-5"/>
        </w:rPr>
        <w:t> </w:t>
      </w:r>
      <w:r>
        <w:rPr/>
        <w:t>de</w:t>
      </w:r>
      <w:r>
        <w:rPr>
          <w:spacing w:val="-5"/>
        </w:rPr>
        <w:t> </w:t>
      </w:r>
      <w:r>
        <w:rPr/>
        <w:t>ingreso</w:t>
      </w:r>
      <w:r>
        <w:rPr>
          <w:spacing w:val="-4"/>
        </w:rPr>
        <w:t> </w:t>
      </w:r>
      <w:r>
        <w:rPr/>
        <w:t>y</w:t>
      </w:r>
      <w:r>
        <w:rPr>
          <w:spacing w:val="-6"/>
        </w:rPr>
        <w:t> </w:t>
      </w:r>
      <w:r>
        <w:rPr/>
        <w:t>gasto</w:t>
      </w:r>
      <w:r>
        <w:rPr>
          <w:spacing w:val="-4"/>
        </w:rPr>
        <w:t> </w:t>
      </w:r>
      <w:r>
        <w:rPr/>
        <w:t>público</w:t>
      </w:r>
      <w:r>
        <w:rPr>
          <w:spacing w:val="-7"/>
        </w:rPr>
        <w:t> </w:t>
      </w:r>
      <w:r>
        <w:rPr/>
        <w:t>entre</w:t>
      </w:r>
      <w:r>
        <w:rPr>
          <w:spacing w:val="-5"/>
        </w:rPr>
        <w:t> </w:t>
      </w:r>
      <w:r>
        <w:rPr/>
        <w:t>cada</w:t>
      </w:r>
      <w:r>
        <w:rPr>
          <w:spacing w:val="-5"/>
        </w:rPr>
        <w:t> </w:t>
      </w:r>
      <w:r>
        <w:rPr/>
        <w:t>una</w:t>
      </w:r>
      <w:r>
        <w:rPr>
          <w:w w:val="99"/>
        </w:rPr>
        <w:t> </w:t>
      </w:r>
      <w:r>
        <w:rPr/>
        <w:t>de las haciendas. “El federalismo fiscal es concebido como un</w:t>
      </w:r>
      <w:r>
        <w:rPr>
          <w:spacing w:val="-32"/>
        </w:rPr>
        <w:t> </w:t>
      </w:r>
      <w:r>
        <w:rPr/>
        <w:t>proceso</w:t>
      </w:r>
      <w:r>
        <w:rPr>
          <w:spacing w:val="-2"/>
        </w:rPr>
        <w:t> </w:t>
      </w:r>
      <w:r>
        <w:rPr/>
        <w:t>(económico</w:t>
      </w:r>
      <w:r>
        <w:rPr>
          <w:w w:val="99"/>
        </w:rPr>
        <w:t> </w:t>
      </w:r>
      <w:r>
        <w:rPr/>
        <w:t>y político) que refleja los costos y los beneficios de la descentralización</w:t>
      </w:r>
      <w:r>
        <w:rPr>
          <w:spacing w:val="27"/>
        </w:rPr>
        <w:t> </w:t>
      </w:r>
      <w:r>
        <w:rPr/>
        <w:t>en</w:t>
      </w:r>
      <w:r>
        <w:rPr>
          <w:spacing w:val="42"/>
        </w:rPr>
        <w:t> </w:t>
      </w:r>
      <w:r>
        <w:rPr/>
        <w:t>los</w:t>
      </w:r>
      <w:r>
        <w:rPr>
          <w:w w:val="99"/>
        </w:rPr>
        <w:t> </w:t>
      </w:r>
      <w:r>
        <w:rPr/>
        <w:t>diferentes niveles de gobierno, en los modelos de la administración pública,</w:t>
      </w:r>
      <w:r>
        <w:rPr>
          <w:spacing w:val="50"/>
        </w:rPr>
        <w:t> </w:t>
      </w:r>
      <w:r>
        <w:rPr/>
        <w:t>en</w:t>
      </w:r>
      <w:r>
        <w:rPr>
          <w:spacing w:val="4"/>
        </w:rPr>
        <w:t> </w:t>
      </w:r>
      <w:r>
        <w:rPr/>
        <w:t>los mecanismos de vigilancia y control y, en general, en la toma de</w:t>
      </w:r>
      <w:r>
        <w:rPr>
          <w:spacing w:val="-28"/>
        </w:rPr>
        <w:t> </w:t>
      </w:r>
      <w:r>
        <w:rPr/>
        <w:t>decisiones”</w:t>
      </w:r>
      <w:r>
        <w:rPr>
          <w:spacing w:val="-2"/>
        </w:rPr>
        <w:t> </w:t>
      </w:r>
      <w:r>
        <w:rPr/>
        <w:t>(Ayala,</w:t>
      </w:r>
      <w:r>
        <w:rPr>
          <w:w w:val="99"/>
        </w:rPr>
        <w:t> </w:t>
      </w:r>
      <w:r>
        <w:rPr/>
        <w:t>2005:351). Refleja el proceso de costos y beneficios de la descentralización</w:t>
      </w:r>
      <w:r>
        <w:rPr>
          <w:spacing w:val="29"/>
        </w:rPr>
        <w:t> </w:t>
      </w:r>
      <w:r>
        <w:rPr/>
        <w:t>en</w:t>
      </w:r>
      <w:r>
        <w:rPr>
          <w:spacing w:val="2"/>
        </w:rPr>
        <w:t> </w:t>
      </w:r>
      <w:r>
        <w:rPr/>
        <w:t>los distintos</w:t>
      </w:r>
      <w:r>
        <w:rPr>
          <w:spacing w:val="33"/>
        </w:rPr>
        <w:t> </w:t>
      </w:r>
      <w:r>
        <w:rPr/>
        <w:t>ámbitos</w:t>
      </w:r>
      <w:r>
        <w:rPr>
          <w:spacing w:val="33"/>
        </w:rPr>
        <w:t> </w:t>
      </w:r>
      <w:r>
        <w:rPr/>
        <w:t>de</w:t>
      </w:r>
      <w:r>
        <w:rPr>
          <w:spacing w:val="34"/>
        </w:rPr>
        <w:t> </w:t>
      </w:r>
      <w:r>
        <w:rPr/>
        <w:t>gobierno,</w:t>
      </w:r>
      <w:r>
        <w:rPr>
          <w:spacing w:val="36"/>
        </w:rPr>
        <w:t> </w:t>
      </w:r>
      <w:r>
        <w:rPr/>
        <w:t>en</w:t>
      </w:r>
      <w:r>
        <w:rPr>
          <w:spacing w:val="36"/>
        </w:rPr>
        <w:t> </w:t>
      </w:r>
      <w:r>
        <w:rPr/>
        <w:t>los</w:t>
      </w:r>
      <w:r>
        <w:rPr>
          <w:spacing w:val="34"/>
        </w:rPr>
        <w:t> </w:t>
      </w:r>
      <w:r>
        <w:rPr/>
        <w:t>modelos</w:t>
      </w:r>
      <w:r>
        <w:rPr>
          <w:spacing w:val="36"/>
        </w:rPr>
        <w:t> </w:t>
      </w:r>
      <w:r>
        <w:rPr/>
        <w:t>de</w:t>
      </w:r>
      <w:r>
        <w:rPr>
          <w:spacing w:val="41"/>
        </w:rPr>
        <w:t> </w:t>
      </w:r>
      <w:r>
        <w:rPr/>
        <w:t>administración</w:t>
      </w:r>
      <w:r>
        <w:rPr>
          <w:spacing w:val="35"/>
        </w:rPr>
        <w:t> </w:t>
      </w:r>
      <w:r>
        <w:rPr/>
        <w:t>pública,</w:t>
      </w:r>
      <w:r>
        <w:rPr>
          <w:spacing w:val="34"/>
        </w:rPr>
        <w:t> </w:t>
      </w:r>
      <w:r>
        <w:rPr/>
        <w:t>en</w:t>
      </w:r>
      <w:r>
        <w:rPr>
          <w:spacing w:val="34"/>
        </w:rPr>
        <w:t> </w:t>
      </w:r>
      <w:r>
        <w:rPr/>
        <w:t>los mecanismos</w:t>
      </w:r>
      <w:r>
        <w:rPr>
          <w:spacing w:val="-19"/>
        </w:rPr>
        <w:t> </w:t>
      </w:r>
      <w:r>
        <w:rPr/>
        <w:t>de</w:t>
      </w:r>
      <w:r>
        <w:rPr>
          <w:spacing w:val="-18"/>
        </w:rPr>
        <w:t> </w:t>
      </w:r>
      <w:r>
        <w:rPr/>
        <w:t>vigilancia</w:t>
      </w:r>
      <w:r>
        <w:rPr>
          <w:spacing w:val="-18"/>
        </w:rPr>
        <w:t> </w:t>
      </w:r>
      <w:r>
        <w:rPr/>
        <w:t>y</w:t>
      </w:r>
      <w:r>
        <w:rPr>
          <w:spacing w:val="-21"/>
        </w:rPr>
        <w:t> </w:t>
      </w:r>
      <w:r>
        <w:rPr/>
        <w:t>control</w:t>
      </w:r>
      <w:r>
        <w:rPr>
          <w:spacing w:val="-19"/>
        </w:rPr>
        <w:t> </w:t>
      </w:r>
      <w:r>
        <w:rPr/>
        <w:t>del</w:t>
      </w:r>
      <w:r>
        <w:rPr>
          <w:spacing w:val="-19"/>
        </w:rPr>
        <w:t> </w:t>
      </w:r>
      <w:r>
        <w:rPr/>
        <w:t>gobiernos</w:t>
      </w:r>
      <w:r>
        <w:rPr>
          <w:spacing w:val="-14"/>
        </w:rPr>
        <w:t> </w:t>
      </w:r>
      <w:r>
        <w:rPr/>
        <w:t>así</w:t>
      </w:r>
      <w:r>
        <w:rPr>
          <w:spacing w:val="-20"/>
        </w:rPr>
        <w:t> </w:t>
      </w:r>
      <w:r>
        <w:rPr/>
        <w:t>como</w:t>
      </w:r>
      <w:r>
        <w:rPr>
          <w:spacing w:val="-20"/>
        </w:rPr>
        <w:t> </w:t>
      </w:r>
      <w:r>
        <w:rPr/>
        <w:t>en</w:t>
      </w:r>
      <w:r>
        <w:rPr>
          <w:spacing w:val="-18"/>
        </w:rPr>
        <w:t> </w:t>
      </w:r>
      <w:r>
        <w:rPr/>
        <w:t>la</w:t>
      </w:r>
      <w:r>
        <w:rPr>
          <w:spacing w:val="-18"/>
        </w:rPr>
        <w:t> </w:t>
      </w:r>
      <w:r>
        <w:rPr/>
        <w:t>toma</w:t>
      </w:r>
      <w:r>
        <w:rPr>
          <w:spacing w:val="-18"/>
        </w:rPr>
        <w:t> </w:t>
      </w:r>
      <w:r>
        <w:rPr/>
        <w:t>de</w:t>
      </w:r>
      <w:r>
        <w:rPr>
          <w:spacing w:val="-15"/>
        </w:rPr>
        <w:t> </w:t>
      </w:r>
      <w:r>
        <w:rPr/>
        <w:t>decisiones.</w:t>
      </w:r>
    </w:p>
    <w:p>
      <w:pPr>
        <w:spacing w:before="204"/>
        <w:ind w:left="954" w:right="116" w:firstLine="0"/>
        <w:jc w:val="both"/>
        <w:rPr>
          <w:sz w:val="22"/>
        </w:rPr>
      </w:pPr>
      <w:r>
        <w:rPr>
          <w:sz w:val="22"/>
        </w:rPr>
        <w:t>El federalismo fiscal garantiza una mayor equidad en el tratamiento fiscal de transferencias, los subsidios y las participaciones, con objeto de equilibrar las limitaciones de los gobiernos locales, de aprovechar las ventajas de esos gobiernos</w:t>
      </w:r>
      <w:r>
        <w:rPr>
          <w:spacing w:val="-11"/>
          <w:sz w:val="22"/>
        </w:rPr>
        <w:t> </w:t>
      </w:r>
      <w:r>
        <w:rPr>
          <w:sz w:val="22"/>
        </w:rPr>
        <w:t>y</w:t>
      </w:r>
      <w:r>
        <w:rPr>
          <w:spacing w:val="-11"/>
          <w:sz w:val="22"/>
        </w:rPr>
        <w:t> </w:t>
      </w:r>
      <w:r>
        <w:rPr>
          <w:sz w:val="22"/>
        </w:rPr>
        <w:t>de</w:t>
      </w:r>
      <w:r>
        <w:rPr>
          <w:spacing w:val="-14"/>
          <w:sz w:val="22"/>
        </w:rPr>
        <w:t> </w:t>
      </w:r>
      <w:r>
        <w:rPr>
          <w:sz w:val="22"/>
        </w:rPr>
        <w:t>que</w:t>
      </w:r>
      <w:r>
        <w:rPr>
          <w:spacing w:val="-11"/>
          <w:sz w:val="22"/>
        </w:rPr>
        <w:t> </w:t>
      </w:r>
      <w:r>
        <w:rPr>
          <w:sz w:val="22"/>
        </w:rPr>
        <w:t>ciertos</w:t>
      </w:r>
      <w:r>
        <w:rPr>
          <w:spacing w:val="-8"/>
          <w:sz w:val="22"/>
        </w:rPr>
        <w:t> </w:t>
      </w:r>
      <w:r>
        <w:rPr>
          <w:sz w:val="22"/>
        </w:rPr>
        <w:t>servicios</w:t>
      </w:r>
      <w:r>
        <w:rPr>
          <w:spacing w:val="-9"/>
          <w:sz w:val="22"/>
        </w:rPr>
        <w:t> </w:t>
      </w:r>
      <w:r>
        <w:rPr>
          <w:sz w:val="22"/>
        </w:rPr>
        <w:t>y</w:t>
      </w:r>
      <w:r>
        <w:rPr>
          <w:spacing w:val="-11"/>
          <w:sz w:val="22"/>
        </w:rPr>
        <w:t> </w:t>
      </w:r>
      <w:r>
        <w:rPr>
          <w:sz w:val="22"/>
        </w:rPr>
        <w:t>bienes</w:t>
      </w:r>
      <w:r>
        <w:rPr>
          <w:spacing w:val="-9"/>
          <w:sz w:val="22"/>
        </w:rPr>
        <w:t> </w:t>
      </w:r>
      <w:r>
        <w:rPr>
          <w:sz w:val="22"/>
        </w:rPr>
        <w:t>públicos</w:t>
      </w:r>
      <w:r>
        <w:rPr>
          <w:spacing w:val="-9"/>
          <w:sz w:val="22"/>
        </w:rPr>
        <w:t> </w:t>
      </w:r>
      <w:r>
        <w:rPr>
          <w:sz w:val="22"/>
        </w:rPr>
        <w:t>estén</w:t>
      </w:r>
      <w:r>
        <w:rPr>
          <w:spacing w:val="-11"/>
          <w:sz w:val="22"/>
        </w:rPr>
        <w:t> </w:t>
      </w:r>
      <w:r>
        <w:rPr>
          <w:sz w:val="22"/>
        </w:rPr>
        <w:t>presentes</w:t>
      </w:r>
      <w:r>
        <w:rPr>
          <w:spacing w:val="-11"/>
          <w:sz w:val="22"/>
        </w:rPr>
        <w:t> </w:t>
      </w:r>
      <w:r>
        <w:rPr>
          <w:sz w:val="22"/>
        </w:rPr>
        <w:t>sin</w:t>
      </w:r>
      <w:r>
        <w:rPr>
          <w:spacing w:val="-11"/>
          <w:sz w:val="22"/>
        </w:rPr>
        <w:t> </w:t>
      </w:r>
      <w:r>
        <w:rPr>
          <w:sz w:val="22"/>
        </w:rPr>
        <w:t>importar la capacidad de pago de las regiones. De ahí la importancia de que el conjunto federado colabore tanto en la conformación como en la participación de recursos del Estado  (Terrazas,</w:t>
      </w:r>
      <w:r>
        <w:rPr>
          <w:spacing w:val="-6"/>
          <w:sz w:val="22"/>
        </w:rPr>
        <w:t> </w:t>
      </w:r>
      <w:r>
        <w:rPr>
          <w:sz w:val="22"/>
        </w:rPr>
        <w:t>2004:65).</w:t>
      </w:r>
    </w:p>
    <w:p>
      <w:pPr>
        <w:spacing w:after="0"/>
        <w:jc w:val="both"/>
        <w:rPr>
          <w:sz w:val="22"/>
        </w:rPr>
        <w:sectPr>
          <w:pgSz w:w="12240" w:h="15840"/>
          <w:pgMar w:header="0" w:footer="992" w:top="1360" w:bottom="1180" w:left="1600" w:right="1580"/>
        </w:sectPr>
      </w:pPr>
    </w:p>
    <w:p>
      <w:pPr>
        <w:pStyle w:val="BodyText"/>
        <w:spacing w:line="360" w:lineRule="auto" w:before="54"/>
        <w:ind w:left="102" w:right="114"/>
        <w:jc w:val="both"/>
      </w:pPr>
      <w:r>
        <w:rPr/>
        <w:t>El concepto de federalismo fiscal implica el funcionamiento de un sistema fiscal en el que están involucrados dos diferentes ámbitos de gobierno. Los problemas enfocados</w:t>
      </w:r>
      <w:r>
        <w:rPr>
          <w:spacing w:val="-21"/>
        </w:rPr>
        <w:t> </w:t>
      </w:r>
      <w:r>
        <w:rPr/>
        <w:t>por</w:t>
      </w:r>
      <w:r>
        <w:rPr>
          <w:spacing w:val="-19"/>
        </w:rPr>
        <w:t> </w:t>
      </w:r>
      <w:r>
        <w:rPr/>
        <w:t>el</w:t>
      </w:r>
      <w:r>
        <w:rPr>
          <w:spacing w:val="-22"/>
        </w:rPr>
        <w:t> </w:t>
      </w:r>
      <w:r>
        <w:rPr/>
        <w:t>federalismo</w:t>
      </w:r>
      <w:r>
        <w:rPr>
          <w:spacing w:val="-20"/>
        </w:rPr>
        <w:t> </w:t>
      </w:r>
      <w:r>
        <w:rPr/>
        <w:t>fiscal</w:t>
      </w:r>
      <w:r>
        <w:rPr>
          <w:spacing w:val="-21"/>
        </w:rPr>
        <w:t> </w:t>
      </w:r>
      <w:r>
        <w:rPr/>
        <w:t>están</w:t>
      </w:r>
      <w:r>
        <w:rPr>
          <w:spacing w:val="-18"/>
        </w:rPr>
        <w:t> </w:t>
      </w:r>
      <w:r>
        <w:rPr/>
        <w:t>relacionados</w:t>
      </w:r>
      <w:r>
        <w:rPr>
          <w:spacing w:val="-19"/>
        </w:rPr>
        <w:t> </w:t>
      </w:r>
      <w:r>
        <w:rPr/>
        <w:t>con</w:t>
      </w:r>
      <w:r>
        <w:rPr>
          <w:spacing w:val="-20"/>
        </w:rPr>
        <w:t> </w:t>
      </w:r>
      <w:r>
        <w:rPr/>
        <w:t>la</w:t>
      </w:r>
      <w:r>
        <w:rPr>
          <w:spacing w:val="-18"/>
        </w:rPr>
        <w:t> </w:t>
      </w:r>
      <w:r>
        <w:rPr/>
        <w:t>organización</w:t>
      </w:r>
      <w:r>
        <w:rPr>
          <w:spacing w:val="-18"/>
        </w:rPr>
        <w:t> </w:t>
      </w:r>
      <w:r>
        <w:rPr/>
        <w:t>del</w:t>
      </w:r>
      <w:r>
        <w:rPr>
          <w:spacing w:val="-11"/>
        </w:rPr>
        <w:t> </w:t>
      </w:r>
      <w:r>
        <w:rPr/>
        <w:t>sector público y con el nivel administrativo más apropiado para cumplir eficientemente el suministro de bienes públicos; así mismo, “(…) el federalismo fiscal intenta responder al problema de asignación optima en materia de impuestos regionales y federales, su distribución y el diseño de las transferencias interestatales” (Arellano, 1994:10).</w:t>
      </w:r>
    </w:p>
    <w:p>
      <w:pPr>
        <w:spacing w:before="204"/>
        <w:ind w:left="954" w:right="117" w:firstLine="0"/>
        <w:jc w:val="both"/>
        <w:rPr>
          <w:sz w:val="22"/>
        </w:rPr>
      </w:pPr>
      <w:r>
        <w:rPr>
          <w:sz w:val="22"/>
        </w:rPr>
        <w:t>El federalismo fiscal se refiere a la distribución de las competencias y las responsabilidades entre quienes suscriben un pacto federal. Esta distribución de competencias y responsabilidades va acompañada de criterios de suministro de los recursos captados por el Estado, distribuido a través de porcentajes establecidos para cada uno de los órdenes de gobierno (Ibarra, 2010:32).</w:t>
      </w:r>
    </w:p>
    <w:p>
      <w:pPr>
        <w:pStyle w:val="BodyText"/>
        <w:spacing w:before="5"/>
        <w:rPr>
          <w:sz w:val="17"/>
        </w:rPr>
      </w:pPr>
    </w:p>
    <w:p>
      <w:pPr>
        <w:pStyle w:val="BodyText"/>
        <w:spacing w:line="360" w:lineRule="auto"/>
        <w:ind w:left="102" w:right="118"/>
        <w:jc w:val="both"/>
      </w:pPr>
      <w:r>
        <w:rPr/>
        <w:t>El actual federalismo fiscal mexicano se fundamenta en el Sistema Nacional de Coordinación Fiscal, resultado de diversos convenios entre los estados y la federación</w:t>
      </w:r>
      <w:r>
        <w:rPr>
          <w:spacing w:val="-11"/>
        </w:rPr>
        <w:t> </w:t>
      </w:r>
      <w:r>
        <w:rPr/>
        <w:t>para</w:t>
      </w:r>
      <w:r>
        <w:rPr>
          <w:spacing w:val="-11"/>
        </w:rPr>
        <w:t> </w:t>
      </w:r>
      <w:r>
        <w:rPr/>
        <w:t>coordinar</w:t>
      </w:r>
      <w:r>
        <w:rPr>
          <w:spacing w:val="-12"/>
        </w:rPr>
        <w:t> </w:t>
      </w:r>
      <w:r>
        <w:rPr/>
        <w:t>y</w:t>
      </w:r>
      <w:r>
        <w:rPr>
          <w:spacing w:val="-14"/>
        </w:rPr>
        <w:t> </w:t>
      </w:r>
      <w:r>
        <w:rPr/>
        <w:t>fortalecer</w:t>
      </w:r>
      <w:r>
        <w:rPr>
          <w:spacing w:val="-12"/>
        </w:rPr>
        <w:t> </w:t>
      </w:r>
      <w:r>
        <w:rPr/>
        <w:t>el</w:t>
      </w:r>
      <w:r>
        <w:rPr>
          <w:spacing w:val="-12"/>
        </w:rPr>
        <w:t> </w:t>
      </w:r>
      <w:r>
        <w:rPr/>
        <w:t>sistema</w:t>
      </w:r>
      <w:r>
        <w:rPr>
          <w:spacing w:val="-11"/>
        </w:rPr>
        <w:t> </w:t>
      </w:r>
      <w:r>
        <w:rPr/>
        <w:t>impositivo.</w:t>
      </w:r>
      <w:r>
        <w:rPr>
          <w:spacing w:val="-5"/>
        </w:rPr>
        <w:t> </w:t>
      </w:r>
      <w:r>
        <w:rPr/>
        <w:t>“El</w:t>
      </w:r>
      <w:r>
        <w:rPr>
          <w:spacing w:val="-14"/>
        </w:rPr>
        <w:t> </w:t>
      </w:r>
      <w:r>
        <w:rPr/>
        <w:t>federalismo</w:t>
      </w:r>
      <w:r>
        <w:rPr>
          <w:spacing w:val="-13"/>
        </w:rPr>
        <w:t> </w:t>
      </w:r>
      <w:r>
        <w:rPr/>
        <w:t>fiscal</w:t>
      </w:r>
      <w:r>
        <w:rPr>
          <w:spacing w:val="-12"/>
        </w:rPr>
        <w:t> </w:t>
      </w:r>
      <w:r>
        <w:rPr/>
        <w:t>se refiere a la distribución de las competencias y las responsabilidades entre quienes suscriben un pacto federal. Esta distribución de competencias y responsabilidades va acompañada de criterios de suministro de los recursos captados por el Estado, distribuido a través de porcentajes establecidos para cada uno de los órdenes de gobierno” (Ibarra,</w:t>
      </w:r>
      <w:r>
        <w:rPr>
          <w:spacing w:val="-8"/>
        </w:rPr>
        <w:t> </w:t>
      </w:r>
      <w:r>
        <w:rPr/>
        <w:t>2010:32).</w:t>
      </w:r>
    </w:p>
    <w:p>
      <w:pPr>
        <w:pStyle w:val="BodyText"/>
        <w:spacing w:line="360" w:lineRule="auto" w:before="204"/>
        <w:ind w:left="102" w:right="122"/>
        <w:jc w:val="both"/>
      </w:pPr>
      <w:r>
        <w:rPr/>
        <w:t>El</w:t>
      </w:r>
      <w:r>
        <w:rPr>
          <w:spacing w:val="-5"/>
        </w:rPr>
        <w:t> </w:t>
      </w:r>
      <w:r>
        <w:rPr/>
        <w:t>Sistema</w:t>
      </w:r>
      <w:r>
        <w:rPr>
          <w:spacing w:val="-4"/>
        </w:rPr>
        <w:t> </w:t>
      </w:r>
      <w:r>
        <w:rPr/>
        <w:t>nacional</w:t>
      </w:r>
      <w:r>
        <w:rPr>
          <w:spacing w:val="-7"/>
        </w:rPr>
        <w:t> </w:t>
      </w:r>
      <w:r>
        <w:rPr/>
        <w:t>ha</w:t>
      </w:r>
      <w:r>
        <w:rPr>
          <w:spacing w:val="-6"/>
        </w:rPr>
        <w:t> </w:t>
      </w:r>
      <w:r>
        <w:rPr/>
        <w:t>logrado</w:t>
      </w:r>
      <w:r>
        <w:rPr>
          <w:spacing w:val="-4"/>
        </w:rPr>
        <w:t> </w:t>
      </w:r>
      <w:r>
        <w:rPr/>
        <w:t>importantes</w:t>
      </w:r>
      <w:r>
        <w:rPr>
          <w:spacing w:val="-4"/>
        </w:rPr>
        <w:t> </w:t>
      </w:r>
      <w:r>
        <w:rPr/>
        <w:t>avances</w:t>
      </w:r>
      <w:r>
        <w:rPr>
          <w:spacing w:val="-4"/>
        </w:rPr>
        <w:t> </w:t>
      </w:r>
      <w:r>
        <w:rPr/>
        <w:t>en</w:t>
      </w:r>
      <w:r>
        <w:rPr>
          <w:spacing w:val="-6"/>
        </w:rPr>
        <w:t> </w:t>
      </w:r>
      <w:r>
        <w:rPr/>
        <w:t>materia</w:t>
      </w:r>
      <w:r>
        <w:rPr>
          <w:spacing w:val="-4"/>
        </w:rPr>
        <w:t> </w:t>
      </w:r>
      <w:r>
        <w:rPr/>
        <w:t>administrativa</w:t>
      </w:r>
      <w:r>
        <w:rPr>
          <w:spacing w:val="-4"/>
        </w:rPr>
        <w:t> </w:t>
      </w:r>
      <w:r>
        <w:rPr/>
        <w:t>y</w:t>
      </w:r>
      <w:r>
        <w:rPr>
          <w:spacing w:val="-7"/>
        </w:rPr>
        <w:t> </w:t>
      </w:r>
      <w:r>
        <w:rPr/>
        <w:t>de colaboración</w:t>
      </w:r>
      <w:r>
        <w:rPr>
          <w:spacing w:val="-11"/>
        </w:rPr>
        <w:t> </w:t>
      </w:r>
      <w:r>
        <w:rPr/>
        <w:t>impositiva</w:t>
      </w:r>
      <w:r>
        <w:rPr>
          <w:spacing w:val="-11"/>
        </w:rPr>
        <w:t> </w:t>
      </w:r>
      <w:r>
        <w:rPr/>
        <w:t>entre</w:t>
      </w:r>
      <w:r>
        <w:rPr>
          <w:spacing w:val="-13"/>
        </w:rPr>
        <w:t> </w:t>
      </w:r>
      <w:r>
        <w:rPr/>
        <w:t>las</w:t>
      </w:r>
      <w:r>
        <w:rPr>
          <w:spacing w:val="-13"/>
        </w:rPr>
        <w:t> </w:t>
      </w:r>
      <w:r>
        <w:rPr/>
        <w:t>diferentes</w:t>
      </w:r>
      <w:r>
        <w:rPr>
          <w:spacing w:val="-14"/>
        </w:rPr>
        <w:t> </w:t>
      </w:r>
      <w:r>
        <w:rPr/>
        <w:t>instancias</w:t>
      </w:r>
      <w:r>
        <w:rPr>
          <w:spacing w:val="-13"/>
        </w:rPr>
        <w:t> </w:t>
      </w:r>
      <w:r>
        <w:rPr/>
        <w:t>de</w:t>
      </w:r>
      <w:r>
        <w:rPr>
          <w:spacing w:val="-13"/>
        </w:rPr>
        <w:t> </w:t>
      </w:r>
      <w:r>
        <w:rPr/>
        <w:t>gobierno,</w:t>
      </w:r>
      <w:r>
        <w:rPr>
          <w:spacing w:val="-13"/>
        </w:rPr>
        <w:t> </w:t>
      </w:r>
      <w:r>
        <w:rPr/>
        <w:t>el</w:t>
      </w:r>
      <w:r>
        <w:rPr>
          <w:spacing w:val="-12"/>
        </w:rPr>
        <w:t> </w:t>
      </w:r>
      <w:r>
        <w:rPr/>
        <w:t>cual</w:t>
      </w:r>
      <w:r>
        <w:rPr>
          <w:spacing w:val="-14"/>
        </w:rPr>
        <w:t> </w:t>
      </w:r>
      <w:r>
        <w:rPr/>
        <w:t>ha</w:t>
      </w:r>
      <w:r>
        <w:rPr>
          <w:spacing w:val="-13"/>
        </w:rPr>
        <w:t> </w:t>
      </w:r>
      <w:r>
        <w:rPr/>
        <w:t>tenido como resultados importantes en los siguientes</w:t>
      </w:r>
      <w:r>
        <w:rPr>
          <w:spacing w:val="-17"/>
        </w:rPr>
        <w:t> </w:t>
      </w:r>
      <w:r>
        <w:rPr/>
        <w:t>aspectos:</w:t>
      </w:r>
    </w:p>
    <w:p>
      <w:pPr>
        <w:pStyle w:val="ListParagraph"/>
        <w:numPr>
          <w:ilvl w:val="0"/>
          <w:numId w:val="19"/>
        </w:numPr>
        <w:tabs>
          <w:tab w:pos="822" w:val="left" w:leader="none"/>
        </w:tabs>
        <w:spacing w:line="360" w:lineRule="auto" w:before="204" w:after="0"/>
        <w:ind w:left="822" w:right="122" w:hanging="360"/>
        <w:jc w:val="left"/>
        <w:rPr>
          <w:sz w:val="24"/>
        </w:rPr>
      </w:pPr>
      <w:r>
        <w:rPr>
          <w:sz w:val="24"/>
        </w:rPr>
        <w:t>Un sistema tributario más homogeneizado de impuestos, evitando así la doble</w:t>
      </w:r>
      <w:r>
        <w:rPr>
          <w:spacing w:val="-7"/>
          <w:sz w:val="24"/>
        </w:rPr>
        <w:t> </w:t>
      </w:r>
      <w:r>
        <w:rPr>
          <w:sz w:val="24"/>
        </w:rPr>
        <w:t>tributación</w:t>
      </w:r>
    </w:p>
    <w:p>
      <w:pPr>
        <w:pStyle w:val="ListParagraph"/>
        <w:numPr>
          <w:ilvl w:val="0"/>
          <w:numId w:val="19"/>
        </w:numPr>
        <w:tabs>
          <w:tab w:pos="822" w:val="left" w:leader="none"/>
        </w:tabs>
        <w:spacing w:line="240" w:lineRule="auto" w:before="5" w:after="0"/>
        <w:ind w:left="822" w:right="0" w:hanging="360"/>
        <w:jc w:val="left"/>
        <w:rPr>
          <w:sz w:val="24"/>
        </w:rPr>
      </w:pPr>
      <w:r>
        <w:rPr>
          <w:sz w:val="24"/>
        </w:rPr>
        <w:t>Fortalece las finanzas de los gobiernos estatales y municipales</w:t>
      </w:r>
      <w:r>
        <w:rPr>
          <w:spacing w:val="-22"/>
          <w:sz w:val="24"/>
        </w:rPr>
        <w:t> </w:t>
      </w:r>
      <w:r>
        <w:rPr>
          <w:sz w:val="24"/>
        </w:rPr>
        <w:t>y</w:t>
      </w:r>
    </w:p>
    <w:p>
      <w:pPr>
        <w:pStyle w:val="ListParagraph"/>
        <w:numPr>
          <w:ilvl w:val="0"/>
          <w:numId w:val="19"/>
        </w:numPr>
        <w:tabs>
          <w:tab w:pos="822" w:val="left" w:leader="none"/>
        </w:tabs>
        <w:spacing w:line="240" w:lineRule="auto" w:before="137" w:after="0"/>
        <w:ind w:left="822" w:right="0" w:hanging="360"/>
        <w:jc w:val="left"/>
        <w:rPr>
          <w:sz w:val="24"/>
        </w:rPr>
      </w:pPr>
      <w:r>
        <w:rPr>
          <w:sz w:val="24"/>
        </w:rPr>
        <w:t>Un esquema de transferencias</w:t>
      </w:r>
      <w:r>
        <w:rPr>
          <w:spacing w:val="-18"/>
          <w:sz w:val="24"/>
        </w:rPr>
        <w:t> </w:t>
      </w:r>
      <w:r>
        <w:rPr>
          <w:sz w:val="24"/>
        </w:rPr>
        <w:t>equitativo.</w:t>
      </w:r>
    </w:p>
    <w:p>
      <w:pPr>
        <w:spacing w:after="0" w:line="240" w:lineRule="auto"/>
        <w:jc w:val="left"/>
        <w:rPr>
          <w:sz w:val="24"/>
        </w:rPr>
        <w:sectPr>
          <w:pgSz w:w="12240" w:h="15840"/>
          <w:pgMar w:header="0" w:footer="992" w:top="1360" w:bottom="1180" w:left="1600" w:right="1580"/>
        </w:sectPr>
      </w:pPr>
    </w:p>
    <w:p>
      <w:pPr>
        <w:pStyle w:val="Heading1"/>
        <w:numPr>
          <w:ilvl w:val="2"/>
          <w:numId w:val="20"/>
        </w:numPr>
        <w:tabs>
          <w:tab w:pos="2681" w:val="left" w:leader="none"/>
        </w:tabs>
        <w:spacing w:line="240" w:lineRule="auto" w:before="52" w:after="0"/>
        <w:ind w:left="2680" w:right="0" w:hanging="704"/>
        <w:jc w:val="left"/>
      </w:pPr>
      <w:bookmarkStart w:name="_TOC_250035" w:id="17"/>
      <w:r>
        <w:rPr/>
        <w:t>La coordinación fiscal en</w:t>
      </w:r>
      <w:r>
        <w:rPr>
          <w:spacing w:val="-17"/>
        </w:rPr>
        <w:t> </w:t>
      </w:r>
      <w:bookmarkEnd w:id="17"/>
      <w:r>
        <w:rPr/>
        <w:t>México</w:t>
      </w:r>
    </w:p>
    <w:p>
      <w:pPr>
        <w:pStyle w:val="BodyText"/>
        <w:rPr>
          <w:b/>
          <w:sz w:val="28"/>
        </w:rPr>
      </w:pPr>
    </w:p>
    <w:p>
      <w:pPr>
        <w:pStyle w:val="BodyText"/>
        <w:rPr>
          <w:b/>
          <w:sz w:val="28"/>
        </w:rPr>
      </w:pPr>
    </w:p>
    <w:p>
      <w:pPr>
        <w:pStyle w:val="BodyText"/>
        <w:rPr>
          <w:b/>
          <w:sz w:val="28"/>
        </w:rPr>
      </w:pPr>
    </w:p>
    <w:p>
      <w:pPr>
        <w:pStyle w:val="BodyText"/>
        <w:spacing w:line="360" w:lineRule="auto" w:before="195"/>
        <w:ind w:left="102" w:right="114"/>
        <w:jc w:val="both"/>
      </w:pPr>
      <w:r>
        <w:rPr/>
        <w:t>Al triunfo de la Revolución de 1910-1917 sin duda esa misma necesidad de allegarse de recursos para atender el cumplimiento de sus objetivos llevó al replanteamiento</w:t>
      </w:r>
      <w:r>
        <w:rPr>
          <w:spacing w:val="-6"/>
        </w:rPr>
        <w:t> </w:t>
      </w:r>
      <w:r>
        <w:rPr/>
        <w:t>de</w:t>
      </w:r>
      <w:r>
        <w:rPr>
          <w:spacing w:val="-6"/>
        </w:rPr>
        <w:t> </w:t>
      </w:r>
      <w:r>
        <w:rPr/>
        <w:t>ordenar</w:t>
      </w:r>
      <w:r>
        <w:rPr>
          <w:spacing w:val="-5"/>
        </w:rPr>
        <w:t> </w:t>
      </w:r>
      <w:r>
        <w:rPr/>
        <w:t>las</w:t>
      </w:r>
      <w:r>
        <w:rPr>
          <w:spacing w:val="-9"/>
        </w:rPr>
        <w:t> </w:t>
      </w:r>
      <w:r>
        <w:rPr/>
        <w:t>finanzas</w:t>
      </w:r>
      <w:r>
        <w:rPr>
          <w:spacing w:val="-7"/>
        </w:rPr>
        <w:t> </w:t>
      </w:r>
      <w:r>
        <w:rPr/>
        <w:t>federales</w:t>
      </w:r>
      <w:r>
        <w:rPr>
          <w:spacing w:val="-4"/>
        </w:rPr>
        <w:t> </w:t>
      </w:r>
      <w:r>
        <w:rPr/>
        <w:t>y</w:t>
      </w:r>
      <w:r>
        <w:rPr>
          <w:spacing w:val="-7"/>
        </w:rPr>
        <w:t> </w:t>
      </w:r>
      <w:r>
        <w:rPr/>
        <w:t>establecer</w:t>
      </w:r>
      <w:r>
        <w:rPr>
          <w:spacing w:val="-5"/>
        </w:rPr>
        <w:t> </w:t>
      </w:r>
      <w:r>
        <w:rPr/>
        <w:t>nuevos</w:t>
      </w:r>
      <w:r>
        <w:rPr>
          <w:spacing w:val="-4"/>
        </w:rPr>
        <w:t> </w:t>
      </w:r>
      <w:r>
        <w:rPr/>
        <w:t>tributos,</w:t>
      </w:r>
      <w:r>
        <w:rPr>
          <w:spacing w:val="-6"/>
        </w:rPr>
        <w:t> </w:t>
      </w:r>
      <w:r>
        <w:rPr/>
        <w:t>por lo</w:t>
      </w:r>
      <w:r>
        <w:rPr>
          <w:spacing w:val="-11"/>
        </w:rPr>
        <w:t> </w:t>
      </w:r>
      <w:r>
        <w:rPr/>
        <w:t>que</w:t>
      </w:r>
      <w:r>
        <w:rPr>
          <w:spacing w:val="-11"/>
        </w:rPr>
        <w:t> </w:t>
      </w:r>
      <w:r>
        <w:rPr/>
        <w:t>el</w:t>
      </w:r>
      <w:r>
        <w:rPr>
          <w:spacing w:val="-14"/>
        </w:rPr>
        <w:t> </w:t>
      </w:r>
      <w:r>
        <w:rPr/>
        <w:t>panorama</w:t>
      </w:r>
      <w:r>
        <w:rPr>
          <w:spacing w:val="-11"/>
        </w:rPr>
        <w:t> </w:t>
      </w:r>
      <w:r>
        <w:rPr/>
        <w:t>impositivo</w:t>
      </w:r>
      <w:r>
        <w:rPr>
          <w:spacing w:val="-11"/>
        </w:rPr>
        <w:t> </w:t>
      </w:r>
      <w:r>
        <w:rPr/>
        <w:t>de</w:t>
      </w:r>
      <w:r>
        <w:rPr>
          <w:spacing w:val="-13"/>
        </w:rPr>
        <w:t> </w:t>
      </w:r>
      <w:r>
        <w:rPr/>
        <w:t>nuestro</w:t>
      </w:r>
      <w:r>
        <w:rPr>
          <w:spacing w:val="-11"/>
        </w:rPr>
        <w:t> </w:t>
      </w:r>
      <w:r>
        <w:rPr/>
        <w:t>país</w:t>
      </w:r>
      <w:r>
        <w:rPr>
          <w:spacing w:val="-12"/>
        </w:rPr>
        <w:t> </w:t>
      </w:r>
      <w:r>
        <w:rPr/>
        <w:t>no</w:t>
      </w:r>
      <w:r>
        <w:rPr>
          <w:spacing w:val="-13"/>
        </w:rPr>
        <w:t> </w:t>
      </w:r>
      <w:r>
        <w:rPr/>
        <w:t>podía</w:t>
      </w:r>
      <w:r>
        <w:rPr>
          <w:spacing w:val="-11"/>
        </w:rPr>
        <w:t> </w:t>
      </w:r>
      <w:r>
        <w:rPr/>
        <w:t>ser</w:t>
      </w:r>
      <w:r>
        <w:rPr>
          <w:spacing w:val="-12"/>
        </w:rPr>
        <w:t> </w:t>
      </w:r>
      <w:r>
        <w:rPr/>
        <w:t>otro</w:t>
      </w:r>
      <w:r>
        <w:rPr>
          <w:spacing w:val="-4"/>
        </w:rPr>
        <w:t> </w:t>
      </w:r>
      <w:r>
        <w:rPr/>
        <w:t>que</w:t>
      </w:r>
      <w:r>
        <w:rPr>
          <w:spacing w:val="-13"/>
        </w:rPr>
        <w:t> </w:t>
      </w:r>
      <w:r>
        <w:rPr/>
        <w:t>el</w:t>
      </w:r>
      <w:r>
        <w:rPr>
          <w:spacing w:val="-12"/>
        </w:rPr>
        <w:t> </w:t>
      </w:r>
      <w:r>
        <w:rPr/>
        <w:t>de</w:t>
      </w:r>
      <w:r>
        <w:rPr>
          <w:spacing w:val="-13"/>
        </w:rPr>
        <w:t> </w:t>
      </w:r>
      <w:r>
        <w:rPr/>
        <w:t>la</w:t>
      </w:r>
      <w:r>
        <w:rPr>
          <w:spacing w:val="-13"/>
        </w:rPr>
        <w:t> </w:t>
      </w:r>
      <w:r>
        <w:rPr/>
        <w:t>múltiple tributación;</w:t>
      </w:r>
      <w:r>
        <w:rPr>
          <w:spacing w:val="-13"/>
        </w:rPr>
        <w:t> </w:t>
      </w:r>
      <w:r>
        <w:rPr/>
        <w:t>los</w:t>
      </w:r>
      <w:r>
        <w:rPr>
          <w:spacing w:val="-16"/>
        </w:rPr>
        <w:t> </w:t>
      </w:r>
      <w:r>
        <w:rPr/>
        <w:t>ámbitos</w:t>
      </w:r>
      <w:r>
        <w:rPr>
          <w:spacing w:val="-16"/>
        </w:rPr>
        <w:t> </w:t>
      </w:r>
      <w:r>
        <w:rPr/>
        <w:t>de</w:t>
      </w:r>
      <w:r>
        <w:rPr>
          <w:spacing w:val="-13"/>
        </w:rPr>
        <w:t> </w:t>
      </w:r>
      <w:r>
        <w:rPr/>
        <w:t>gobierno</w:t>
      </w:r>
      <w:r>
        <w:rPr>
          <w:spacing w:val="-13"/>
        </w:rPr>
        <w:t> </w:t>
      </w:r>
      <w:r>
        <w:rPr/>
        <w:t>así</w:t>
      </w:r>
      <w:r>
        <w:rPr>
          <w:spacing w:val="-16"/>
        </w:rPr>
        <w:t> </w:t>
      </w:r>
      <w:r>
        <w:rPr/>
        <w:t>como</w:t>
      </w:r>
      <w:r>
        <w:rPr>
          <w:spacing w:val="-13"/>
        </w:rPr>
        <w:t> </w:t>
      </w:r>
      <w:r>
        <w:rPr/>
        <w:t>los</w:t>
      </w:r>
      <w:r>
        <w:rPr>
          <w:spacing w:val="-14"/>
        </w:rPr>
        <w:t> </w:t>
      </w:r>
      <w:r>
        <w:rPr/>
        <w:t>niveles</w:t>
      </w:r>
      <w:r>
        <w:rPr>
          <w:spacing w:val="-13"/>
        </w:rPr>
        <w:t> </w:t>
      </w:r>
      <w:r>
        <w:rPr/>
        <w:t>del</w:t>
      </w:r>
      <w:r>
        <w:rPr>
          <w:spacing w:val="-17"/>
        </w:rPr>
        <w:t> </w:t>
      </w:r>
      <w:r>
        <w:rPr/>
        <w:t>mismo</w:t>
      </w:r>
      <w:r>
        <w:rPr>
          <w:spacing w:val="-13"/>
        </w:rPr>
        <w:t> </w:t>
      </w:r>
      <w:r>
        <w:rPr/>
        <w:t>llegaron</w:t>
      </w:r>
      <w:r>
        <w:rPr>
          <w:spacing w:val="-13"/>
        </w:rPr>
        <w:t> </w:t>
      </w:r>
      <w:r>
        <w:rPr/>
        <w:t>a</w:t>
      </w:r>
      <w:r>
        <w:rPr>
          <w:spacing w:val="-13"/>
        </w:rPr>
        <w:t> </w:t>
      </w:r>
      <w:r>
        <w:rPr/>
        <w:t>incidir sobre una misma fuente</w:t>
      </w:r>
      <w:r>
        <w:rPr>
          <w:spacing w:val="-16"/>
        </w:rPr>
        <w:t> </w:t>
      </w:r>
      <w:r>
        <w:rPr/>
        <w:t>tributaria.</w:t>
      </w:r>
    </w:p>
    <w:p>
      <w:pPr>
        <w:pStyle w:val="BodyText"/>
        <w:spacing w:line="360" w:lineRule="auto" w:before="204"/>
        <w:ind w:left="102" w:right="119"/>
        <w:jc w:val="both"/>
      </w:pPr>
      <w:r>
        <w:rPr/>
        <w:t>Antes de la aparición de los primeros fundamentos claros de la coordinación fiscal, el</w:t>
      </w:r>
      <w:r>
        <w:rPr>
          <w:spacing w:val="-5"/>
        </w:rPr>
        <w:t> </w:t>
      </w:r>
      <w:r>
        <w:rPr/>
        <w:t>escenario</w:t>
      </w:r>
      <w:r>
        <w:rPr>
          <w:spacing w:val="-4"/>
        </w:rPr>
        <w:t> </w:t>
      </w:r>
      <w:r>
        <w:rPr/>
        <w:t>fiscal</w:t>
      </w:r>
      <w:r>
        <w:rPr>
          <w:spacing w:val="-5"/>
        </w:rPr>
        <w:t> </w:t>
      </w:r>
      <w:r>
        <w:rPr/>
        <w:t>reinante</w:t>
      </w:r>
      <w:r>
        <w:rPr>
          <w:spacing w:val="-6"/>
        </w:rPr>
        <w:t> </w:t>
      </w:r>
      <w:r>
        <w:rPr/>
        <w:t>era</w:t>
      </w:r>
      <w:r>
        <w:rPr>
          <w:spacing w:val="-4"/>
        </w:rPr>
        <w:t> </w:t>
      </w:r>
      <w:r>
        <w:rPr/>
        <w:t>el</w:t>
      </w:r>
      <w:r>
        <w:rPr>
          <w:spacing w:val="-5"/>
        </w:rPr>
        <w:t> </w:t>
      </w:r>
      <w:r>
        <w:rPr/>
        <w:t>de</w:t>
      </w:r>
      <w:r>
        <w:rPr>
          <w:spacing w:val="-4"/>
        </w:rPr>
        <w:t> </w:t>
      </w:r>
      <w:r>
        <w:rPr/>
        <w:t>la</w:t>
      </w:r>
      <w:r>
        <w:rPr>
          <w:spacing w:val="-4"/>
        </w:rPr>
        <w:t> </w:t>
      </w:r>
      <w:r>
        <w:rPr/>
        <w:t>coexistencia</w:t>
      </w:r>
      <w:r>
        <w:rPr>
          <w:spacing w:val="-4"/>
        </w:rPr>
        <w:t> </w:t>
      </w:r>
      <w:r>
        <w:rPr/>
        <w:t>de</w:t>
      </w:r>
      <w:r>
        <w:rPr>
          <w:spacing w:val="-4"/>
        </w:rPr>
        <w:t> </w:t>
      </w:r>
      <w:r>
        <w:rPr/>
        <w:t>una</w:t>
      </w:r>
      <w:r>
        <w:rPr>
          <w:spacing w:val="-4"/>
        </w:rPr>
        <w:t> </w:t>
      </w:r>
      <w:r>
        <w:rPr/>
        <w:t>multiplicidad</w:t>
      </w:r>
      <w:r>
        <w:rPr>
          <w:spacing w:val="-4"/>
        </w:rPr>
        <w:t> </w:t>
      </w:r>
      <w:r>
        <w:rPr/>
        <w:t>de</w:t>
      </w:r>
      <w:r>
        <w:rPr>
          <w:spacing w:val="-4"/>
        </w:rPr>
        <w:t> </w:t>
      </w:r>
      <w:r>
        <w:rPr/>
        <w:t>tributos federales, estatales y municipales que gravaban una misma materia, lo que convertía al sistema tributario imperante en el país en algo complejo, debido a que cada ámbito de gobierno poseía sus leyes fiscales (frecuentemente contradictorias entre sí) que hacía que el gravamen se transformará en forma desproporcional e impedía el cumplimiento voluntario de la obligación</w:t>
      </w:r>
      <w:r>
        <w:rPr>
          <w:spacing w:val="-20"/>
        </w:rPr>
        <w:t> </w:t>
      </w:r>
      <w:r>
        <w:rPr/>
        <w:t>fiscal.</w:t>
      </w:r>
    </w:p>
    <w:p>
      <w:pPr>
        <w:spacing w:before="202"/>
        <w:ind w:left="954" w:right="115" w:firstLine="0"/>
        <w:jc w:val="both"/>
        <w:rPr>
          <w:sz w:val="22"/>
        </w:rPr>
      </w:pPr>
      <w:r>
        <w:rPr>
          <w:sz w:val="22"/>
        </w:rPr>
        <w:t>La</w:t>
      </w:r>
      <w:r>
        <w:rPr>
          <w:spacing w:val="-6"/>
          <w:sz w:val="22"/>
        </w:rPr>
        <w:t> </w:t>
      </w:r>
      <w:r>
        <w:rPr>
          <w:sz w:val="22"/>
        </w:rPr>
        <w:t>concurrencia</w:t>
      </w:r>
      <w:r>
        <w:rPr>
          <w:spacing w:val="-5"/>
          <w:sz w:val="22"/>
        </w:rPr>
        <w:t> </w:t>
      </w:r>
      <w:r>
        <w:rPr>
          <w:sz w:val="22"/>
        </w:rPr>
        <w:t>de</w:t>
      </w:r>
      <w:r>
        <w:rPr>
          <w:spacing w:val="-8"/>
          <w:sz w:val="22"/>
        </w:rPr>
        <w:t> </w:t>
      </w:r>
      <w:r>
        <w:rPr>
          <w:sz w:val="22"/>
        </w:rPr>
        <w:t>facultades</w:t>
      </w:r>
      <w:r>
        <w:rPr>
          <w:spacing w:val="-5"/>
          <w:sz w:val="22"/>
        </w:rPr>
        <w:t> </w:t>
      </w:r>
      <w:r>
        <w:rPr>
          <w:sz w:val="22"/>
        </w:rPr>
        <w:t>en</w:t>
      </w:r>
      <w:r>
        <w:rPr>
          <w:spacing w:val="-6"/>
          <w:sz w:val="22"/>
        </w:rPr>
        <w:t> </w:t>
      </w:r>
      <w:r>
        <w:rPr>
          <w:sz w:val="22"/>
        </w:rPr>
        <w:t>la</w:t>
      </w:r>
      <w:r>
        <w:rPr>
          <w:spacing w:val="-5"/>
          <w:sz w:val="22"/>
        </w:rPr>
        <w:t> </w:t>
      </w:r>
      <w:r>
        <w:rPr>
          <w:sz w:val="22"/>
        </w:rPr>
        <w:t>Constitución</w:t>
      </w:r>
      <w:r>
        <w:rPr>
          <w:spacing w:val="-8"/>
          <w:sz w:val="22"/>
        </w:rPr>
        <w:t> </w:t>
      </w:r>
      <w:r>
        <w:rPr>
          <w:sz w:val="22"/>
        </w:rPr>
        <w:t>motivó</w:t>
      </w:r>
      <w:r>
        <w:rPr>
          <w:spacing w:val="-5"/>
          <w:sz w:val="22"/>
        </w:rPr>
        <w:t> </w:t>
      </w:r>
      <w:r>
        <w:rPr>
          <w:sz w:val="22"/>
        </w:rPr>
        <w:t>que</w:t>
      </w:r>
      <w:r>
        <w:rPr>
          <w:spacing w:val="-8"/>
          <w:sz w:val="22"/>
        </w:rPr>
        <w:t> </w:t>
      </w:r>
      <w:r>
        <w:rPr>
          <w:sz w:val="22"/>
        </w:rPr>
        <w:t>se</w:t>
      </w:r>
      <w:r>
        <w:rPr>
          <w:spacing w:val="-8"/>
          <w:sz w:val="22"/>
        </w:rPr>
        <w:t> </w:t>
      </w:r>
      <w:r>
        <w:rPr>
          <w:sz w:val="22"/>
        </w:rPr>
        <w:t>realizaran</w:t>
      </w:r>
      <w:r>
        <w:rPr>
          <w:spacing w:val="-6"/>
          <w:sz w:val="22"/>
        </w:rPr>
        <w:t> </w:t>
      </w:r>
      <w:r>
        <w:rPr>
          <w:sz w:val="22"/>
        </w:rPr>
        <w:t>intentos de distribución de competencias fundamentalmente tributarias. Primero mediante las Leyes de Clasificación de Rentas (1824-1868). Posteriormente con diversas tendencias asumidas y recomendadas en tres reuniones denominadas “Convenciones Nacionales Fiscales”: 1925, 1933 y 1947, entre cuyos objetivos principales se pude señalar: la asignación o delimitación de fuentes impositivas entre los tres ámbitos de gobierno, la búsqueda de bases para la unificación de los sistemas tributarios estatales y municipales y su coordinación con el sistema federal, la búsqueda de otorgar recursos suficientes a los distintos niveles de gobierno, entre otros. En el fondo, lo que se buscaba era poner fin a la anarquía fiscal y a los excesivos traslapes impositivos (Pérez,</w:t>
      </w:r>
      <w:r>
        <w:rPr>
          <w:spacing w:val="-13"/>
          <w:sz w:val="22"/>
        </w:rPr>
        <w:t> </w:t>
      </w:r>
      <w:r>
        <w:rPr>
          <w:sz w:val="22"/>
        </w:rPr>
        <w:t>2004:27-28).</w:t>
      </w:r>
    </w:p>
    <w:p>
      <w:pPr>
        <w:pStyle w:val="BodyText"/>
        <w:rPr>
          <w:sz w:val="22"/>
        </w:rPr>
      </w:pPr>
    </w:p>
    <w:p>
      <w:pPr>
        <w:pStyle w:val="BodyText"/>
        <w:rPr>
          <w:sz w:val="22"/>
        </w:rPr>
      </w:pPr>
    </w:p>
    <w:p>
      <w:pPr>
        <w:pStyle w:val="BodyText"/>
        <w:spacing w:line="360" w:lineRule="auto" w:before="147"/>
        <w:ind w:left="102" w:right="115"/>
        <w:jc w:val="both"/>
      </w:pPr>
      <w:r>
        <w:rPr/>
        <w:t>Para</w:t>
      </w:r>
      <w:r>
        <w:rPr>
          <w:spacing w:val="-8"/>
        </w:rPr>
        <w:t> </w:t>
      </w:r>
      <w:r>
        <w:rPr/>
        <w:t>1925</w:t>
      </w:r>
      <w:r>
        <w:rPr>
          <w:spacing w:val="-5"/>
        </w:rPr>
        <w:t> </w:t>
      </w:r>
      <w:r>
        <w:rPr/>
        <w:t>se</w:t>
      </w:r>
      <w:r>
        <w:rPr>
          <w:spacing w:val="-7"/>
        </w:rPr>
        <w:t> </w:t>
      </w:r>
      <w:r>
        <w:rPr/>
        <w:t>constituyó</w:t>
      </w:r>
      <w:r>
        <w:rPr>
          <w:spacing w:val="-2"/>
        </w:rPr>
        <w:t> </w:t>
      </w:r>
      <w:r>
        <w:rPr/>
        <w:t>la</w:t>
      </w:r>
      <w:r>
        <w:rPr>
          <w:spacing w:val="-7"/>
        </w:rPr>
        <w:t> </w:t>
      </w:r>
      <w:r>
        <w:rPr/>
        <w:t>primera</w:t>
      </w:r>
      <w:r>
        <w:rPr>
          <w:spacing w:val="-7"/>
        </w:rPr>
        <w:t> </w:t>
      </w:r>
      <w:r>
        <w:rPr/>
        <w:t>reunión</w:t>
      </w:r>
      <w:r>
        <w:rPr>
          <w:spacing w:val="-6"/>
        </w:rPr>
        <w:t> </w:t>
      </w:r>
      <w:r>
        <w:rPr/>
        <w:t>de</w:t>
      </w:r>
      <w:r>
        <w:rPr>
          <w:spacing w:val="-5"/>
        </w:rPr>
        <w:t> </w:t>
      </w:r>
      <w:r>
        <w:rPr/>
        <w:t>asamblea,</w:t>
      </w:r>
      <w:r>
        <w:rPr>
          <w:spacing w:val="-7"/>
        </w:rPr>
        <w:t> </w:t>
      </w:r>
      <w:r>
        <w:rPr/>
        <w:t>que</w:t>
      </w:r>
      <w:r>
        <w:rPr>
          <w:spacing w:val="-5"/>
        </w:rPr>
        <w:t> </w:t>
      </w:r>
      <w:r>
        <w:rPr/>
        <w:t>intentó</w:t>
      </w:r>
      <w:r>
        <w:rPr>
          <w:spacing w:val="-1"/>
        </w:rPr>
        <w:t> </w:t>
      </w:r>
      <w:r>
        <w:rPr/>
        <w:t>solucionar</w:t>
      </w:r>
      <w:r>
        <w:rPr>
          <w:spacing w:val="-6"/>
        </w:rPr>
        <w:t> </w:t>
      </w:r>
      <w:r>
        <w:rPr/>
        <w:t>los problemas de concurrencia fiscal y delimitar los campos impositivos que fueron originados en la constitución de 1917, con este intento se estaba prácticamente dando fin a las diversas perturbaciones sociales y la desorganización económica, así como política, dando pie al control fiscal, sin embargo no fue suficiente; lo</w:t>
      </w:r>
      <w:r>
        <w:rPr>
          <w:spacing w:val="59"/>
        </w:rPr>
        <w:t> </w:t>
      </w:r>
      <w:r>
        <w:rPr/>
        <w:t>más</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sobresaliente de esta época fue que se lograra que la federación se reservara el derecho</w:t>
      </w:r>
      <w:r>
        <w:rPr>
          <w:spacing w:val="-6"/>
        </w:rPr>
        <w:t> </w:t>
      </w:r>
      <w:r>
        <w:rPr/>
        <w:t>de</w:t>
      </w:r>
      <w:r>
        <w:rPr>
          <w:spacing w:val="-6"/>
        </w:rPr>
        <w:t> </w:t>
      </w:r>
      <w:r>
        <w:rPr/>
        <w:t>recaudar</w:t>
      </w:r>
      <w:r>
        <w:rPr>
          <w:spacing w:val="-7"/>
        </w:rPr>
        <w:t> </w:t>
      </w:r>
      <w:r>
        <w:rPr/>
        <w:t>ciertos</w:t>
      </w:r>
      <w:r>
        <w:rPr>
          <w:spacing w:val="-6"/>
        </w:rPr>
        <w:t> </w:t>
      </w:r>
      <w:r>
        <w:rPr/>
        <w:t>impuestos</w:t>
      </w:r>
      <w:r>
        <w:rPr>
          <w:spacing w:val="-9"/>
        </w:rPr>
        <w:t> </w:t>
      </w:r>
      <w:r>
        <w:rPr/>
        <w:t>especiales.</w:t>
      </w:r>
      <w:r>
        <w:rPr>
          <w:spacing w:val="-1"/>
        </w:rPr>
        <w:t> </w:t>
      </w:r>
      <w:r>
        <w:rPr/>
        <w:t>“En</w:t>
      </w:r>
      <w:r>
        <w:rPr>
          <w:spacing w:val="-8"/>
        </w:rPr>
        <w:t> </w:t>
      </w:r>
      <w:r>
        <w:rPr/>
        <w:t>1933</w:t>
      </w:r>
      <w:r>
        <w:rPr>
          <w:spacing w:val="-6"/>
        </w:rPr>
        <w:t> </w:t>
      </w:r>
      <w:r>
        <w:rPr/>
        <w:t>se</w:t>
      </w:r>
      <w:r>
        <w:rPr>
          <w:spacing w:val="-4"/>
        </w:rPr>
        <w:t> </w:t>
      </w:r>
      <w:r>
        <w:rPr/>
        <w:t>celebró</w:t>
      </w:r>
      <w:r>
        <w:rPr>
          <w:spacing w:val="-5"/>
        </w:rPr>
        <w:t> </w:t>
      </w:r>
      <w:r>
        <w:rPr/>
        <w:t>la</w:t>
      </w:r>
      <w:r>
        <w:rPr>
          <w:spacing w:val="-8"/>
        </w:rPr>
        <w:t> </w:t>
      </w:r>
      <w:r>
        <w:rPr/>
        <w:t>segunda convención nacional fiscal. Sus objetivos fueron estudiar de nuevo el problema de delimitación de las jurisdicciones fiscales, formar las bases de unificación en los sistemas locales sobre tributación y la coordinación de los mismos con el sistema federal” (Terrazas, 2004:</w:t>
      </w:r>
      <w:r>
        <w:rPr>
          <w:spacing w:val="-12"/>
        </w:rPr>
        <w:t> </w:t>
      </w:r>
      <w:r>
        <w:rPr/>
        <w:t>67).</w:t>
      </w:r>
    </w:p>
    <w:p>
      <w:pPr>
        <w:pStyle w:val="BodyText"/>
        <w:spacing w:line="360" w:lineRule="auto" w:before="204"/>
        <w:ind w:left="102" w:right="119"/>
        <w:jc w:val="both"/>
      </w:pPr>
      <w:r>
        <w:rPr/>
        <w:t>Ahora bien, en 1942 año de un reforma constitucional, dio los origines o la espina dorsal</w:t>
      </w:r>
      <w:r>
        <w:rPr>
          <w:spacing w:val="-7"/>
        </w:rPr>
        <w:t> </w:t>
      </w:r>
      <w:r>
        <w:rPr/>
        <w:t>del</w:t>
      </w:r>
      <w:r>
        <w:rPr>
          <w:spacing w:val="-7"/>
        </w:rPr>
        <w:t> </w:t>
      </w:r>
      <w:r>
        <w:rPr/>
        <w:t>Sistema</w:t>
      </w:r>
      <w:r>
        <w:rPr>
          <w:spacing w:val="-8"/>
        </w:rPr>
        <w:t> </w:t>
      </w:r>
      <w:r>
        <w:rPr/>
        <w:t>de</w:t>
      </w:r>
      <w:r>
        <w:rPr>
          <w:spacing w:val="-8"/>
        </w:rPr>
        <w:t> </w:t>
      </w:r>
      <w:r>
        <w:rPr/>
        <w:t>Coordinación</w:t>
      </w:r>
      <w:r>
        <w:rPr>
          <w:spacing w:val="-6"/>
        </w:rPr>
        <w:t> </w:t>
      </w:r>
      <w:r>
        <w:rPr/>
        <w:t>Fiscal</w:t>
      </w:r>
      <w:r>
        <w:rPr>
          <w:spacing w:val="-10"/>
        </w:rPr>
        <w:t> </w:t>
      </w:r>
      <w:r>
        <w:rPr/>
        <w:t>de</w:t>
      </w:r>
      <w:r>
        <w:rPr>
          <w:spacing w:val="-8"/>
        </w:rPr>
        <w:t> </w:t>
      </w:r>
      <w:r>
        <w:rPr/>
        <w:t>nuestros</w:t>
      </w:r>
      <w:r>
        <w:rPr>
          <w:spacing w:val="-7"/>
        </w:rPr>
        <w:t> </w:t>
      </w:r>
      <w:r>
        <w:rPr/>
        <w:t>días,</w:t>
      </w:r>
      <w:r>
        <w:rPr>
          <w:spacing w:val="-9"/>
        </w:rPr>
        <w:t> </w:t>
      </w:r>
      <w:r>
        <w:rPr/>
        <w:t>el</w:t>
      </w:r>
      <w:r>
        <w:rPr>
          <w:spacing w:val="-7"/>
        </w:rPr>
        <w:t> </w:t>
      </w:r>
      <w:r>
        <w:rPr/>
        <w:t>cual</w:t>
      </w:r>
      <w:r>
        <w:rPr>
          <w:spacing w:val="-10"/>
        </w:rPr>
        <w:t> </w:t>
      </w:r>
      <w:r>
        <w:rPr/>
        <w:t>permitió</w:t>
      </w:r>
      <w:r>
        <w:rPr>
          <w:spacing w:val="-9"/>
        </w:rPr>
        <w:t> </w:t>
      </w:r>
      <w:r>
        <w:rPr/>
        <w:t>otorgar participaciones a los estados en parte de la recaudación de impuestos</w:t>
      </w:r>
      <w:r>
        <w:rPr>
          <w:spacing w:val="-19"/>
        </w:rPr>
        <w:t> </w:t>
      </w:r>
      <w:r>
        <w:rPr/>
        <w:t>especiales.</w:t>
      </w:r>
    </w:p>
    <w:p>
      <w:pPr>
        <w:pStyle w:val="BodyText"/>
        <w:spacing w:line="360" w:lineRule="auto" w:before="202"/>
        <w:ind w:left="102" w:right="115"/>
        <w:jc w:val="both"/>
        <w:rPr>
          <w:sz w:val="22"/>
        </w:rPr>
      </w:pPr>
      <w:r>
        <w:rPr/>
        <w:t>En 1948, se da la tercera Convención Nacional Fiscal, que da origen al impuesto sobre ingresos mercantiles (ISIM), el cual entro en vigor en ese mismo año. Sin embargo, aunque en la federación se hacían esfuerzo para evitar la doble o triple tributación, los estados por su parte continuaban tributando de forma múltiple. Por lo que, para solucionar este problema, se incentivó a los estados para que se coordinaran</w:t>
      </w:r>
      <w:r>
        <w:rPr>
          <w:spacing w:val="-12"/>
        </w:rPr>
        <w:t> </w:t>
      </w:r>
      <w:r>
        <w:rPr/>
        <w:t>con</w:t>
      </w:r>
      <w:r>
        <w:rPr>
          <w:spacing w:val="-15"/>
        </w:rPr>
        <w:t> </w:t>
      </w:r>
      <w:r>
        <w:rPr/>
        <w:t>la</w:t>
      </w:r>
      <w:r>
        <w:rPr>
          <w:spacing w:val="-16"/>
        </w:rPr>
        <w:t> </w:t>
      </w:r>
      <w:r>
        <w:rPr/>
        <w:t>federación,</w:t>
      </w:r>
      <w:r>
        <w:rPr>
          <w:spacing w:val="-16"/>
        </w:rPr>
        <w:t> </w:t>
      </w:r>
      <w:r>
        <w:rPr/>
        <w:t>y</w:t>
      </w:r>
      <w:r>
        <w:rPr>
          <w:spacing w:val="-16"/>
        </w:rPr>
        <w:t> </w:t>
      </w:r>
      <w:r>
        <w:rPr/>
        <w:t>que</w:t>
      </w:r>
      <w:r>
        <w:rPr>
          <w:spacing w:val="-13"/>
        </w:rPr>
        <w:t> </w:t>
      </w:r>
      <w:r>
        <w:rPr/>
        <w:t>se</w:t>
      </w:r>
      <w:r>
        <w:rPr>
          <w:spacing w:val="-15"/>
        </w:rPr>
        <w:t> </w:t>
      </w:r>
      <w:r>
        <w:rPr/>
        <w:t>abstuvieran</w:t>
      </w:r>
      <w:r>
        <w:rPr>
          <w:spacing w:val="-13"/>
        </w:rPr>
        <w:t> </w:t>
      </w:r>
      <w:r>
        <w:rPr/>
        <w:t>de</w:t>
      </w:r>
      <w:r>
        <w:rPr>
          <w:spacing w:val="-13"/>
        </w:rPr>
        <w:t> </w:t>
      </w:r>
      <w:r>
        <w:rPr/>
        <w:t>imponer</w:t>
      </w:r>
      <w:r>
        <w:rPr>
          <w:spacing w:val="-17"/>
        </w:rPr>
        <w:t> </w:t>
      </w:r>
      <w:r>
        <w:rPr/>
        <w:t>gravámenes</w:t>
      </w:r>
      <w:r>
        <w:rPr>
          <w:spacing w:val="-16"/>
        </w:rPr>
        <w:t> </w:t>
      </w:r>
      <w:r>
        <w:rPr/>
        <w:t>locales adicionales a las actividades mercantiles. Como compensación los estados recibirían una participación de los ingresos federales recaudados localmente. Los primeros convenios de coordinación fiscal se celebraron después de 1950, aunque con cierta renuencia de los estados para coordinarse en la recaudación, sin embargo por la década de los setenta, los estados se coordinaron más estrechamente con la federación para recaudar y administrar diversos tributos a cambio de mayor participación del ingreso</w:t>
      </w:r>
      <w:r>
        <w:rPr>
          <w:spacing w:val="-12"/>
        </w:rPr>
        <w:t> </w:t>
      </w:r>
      <w:r>
        <w:rPr/>
        <w:t>recaudado</w:t>
      </w:r>
      <w:r>
        <w:rPr>
          <w:sz w:val="22"/>
        </w:rPr>
        <w:t>.</w:t>
      </w:r>
    </w:p>
    <w:p>
      <w:pPr>
        <w:pStyle w:val="Heading2"/>
        <w:spacing w:before="204"/>
      </w:pPr>
      <w:r>
        <w:rPr/>
        <w:t>Sistema de Coordinación Fiscal en México</w:t>
      </w:r>
    </w:p>
    <w:p>
      <w:pPr>
        <w:pStyle w:val="BodyText"/>
        <w:spacing w:before="5"/>
        <w:rPr>
          <w:b/>
          <w:sz w:val="29"/>
        </w:rPr>
      </w:pPr>
    </w:p>
    <w:p>
      <w:pPr>
        <w:pStyle w:val="BodyText"/>
        <w:spacing w:line="360" w:lineRule="auto"/>
        <w:ind w:left="102" w:right="118"/>
        <w:jc w:val="both"/>
      </w:pPr>
      <w:r>
        <w:rPr/>
        <w:t>En</w:t>
      </w:r>
      <w:r>
        <w:rPr>
          <w:spacing w:val="-11"/>
        </w:rPr>
        <w:t> </w:t>
      </w:r>
      <w:r>
        <w:rPr/>
        <w:t>México</w:t>
      </w:r>
      <w:r>
        <w:rPr>
          <w:spacing w:val="-11"/>
        </w:rPr>
        <w:t> </w:t>
      </w:r>
      <w:r>
        <w:rPr/>
        <w:t>el</w:t>
      </w:r>
      <w:r>
        <w:rPr>
          <w:spacing w:val="-14"/>
        </w:rPr>
        <w:t> </w:t>
      </w:r>
      <w:r>
        <w:rPr/>
        <w:t>Sistema</w:t>
      </w:r>
      <w:r>
        <w:rPr>
          <w:spacing w:val="-13"/>
        </w:rPr>
        <w:t> </w:t>
      </w:r>
      <w:r>
        <w:rPr/>
        <w:t>Nacional</w:t>
      </w:r>
      <w:r>
        <w:rPr>
          <w:spacing w:val="-12"/>
        </w:rPr>
        <w:t> </w:t>
      </w:r>
      <w:r>
        <w:rPr/>
        <w:t>de</w:t>
      </w:r>
      <w:r>
        <w:rPr>
          <w:spacing w:val="-13"/>
        </w:rPr>
        <w:t> </w:t>
      </w:r>
      <w:r>
        <w:rPr/>
        <w:t>Coordinación</w:t>
      </w:r>
      <w:r>
        <w:rPr>
          <w:spacing w:val="-9"/>
        </w:rPr>
        <w:t> </w:t>
      </w:r>
      <w:r>
        <w:rPr/>
        <w:t>Fiscal</w:t>
      </w:r>
      <w:r>
        <w:rPr>
          <w:spacing w:val="-14"/>
        </w:rPr>
        <w:t> </w:t>
      </w:r>
      <w:r>
        <w:rPr/>
        <w:t>es</w:t>
      </w:r>
      <w:r>
        <w:rPr>
          <w:spacing w:val="-14"/>
        </w:rPr>
        <w:t> </w:t>
      </w:r>
      <w:r>
        <w:rPr/>
        <w:t>la</w:t>
      </w:r>
      <w:r>
        <w:rPr>
          <w:spacing w:val="-11"/>
        </w:rPr>
        <w:t> </w:t>
      </w:r>
      <w:r>
        <w:rPr/>
        <w:t>institución</w:t>
      </w:r>
      <w:r>
        <w:rPr>
          <w:spacing w:val="-13"/>
        </w:rPr>
        <w:t> </w:t>
      </w:r>
      <w:r>
        <w:rPr/>
        <w:t>más</w:t>
      </w:r>
      <w:r>
        <w:rPr>
          <w:spacing w:val="-14"/>
        </w:rPr>
        <w:t> </w:t>
      </w:r>
      <w:r>
        <w:rPr/>
        <w:t>reciente e importante del federalismo mexicano, así como fundamental para el desarrollo democrático del país. Su objetivo principal consiste en eliminar las situaciones de desequilibrio e inequidad que aun existan en materia de distribución del ingreso fiscal entre el gobierno federal, los estados y los municipios. Sus organismos principales son los</w:t>
      </w:r>
      <w:r>
        <w:rPr>
          <w:spacing w:val="-10"/>
        </w:rPr>
        <w:t> </w:t>
      </w:r>
      <w:r>
        <w:rPr/>
        <w:t>siguientes:</w:t>
      </w:r>
    </w:p>
    <w:p>
      <w:pPr>
        <w:spacing w:after="0" w:line="360" w:lineRule="auto"/>
        <w:jc w:val="both"/>
        <w:sectPr>
          <w:pgSz w:w="12240" w:h="15840"/>
          <w:pgMar w:header="0" w:footer="992" w:top="1360" w:bottom="1180" w:left="1600" w:right="1580"/>
        </w:sectPr>
      </w:pPr>
    </w:p>
    <w:p>
      <w:pPr>
        <w:pStyle w:val="ListParagraph"/>
        <w:numPr>
          <w:ilvl w:val="0"/>
          <w:numId w:val="21"/>
        </w:numPr>
        <w:tabs>
          <w:tab w:pos="702" w:val="left" w:leader="none"/>
        </w:tabs>
        <w:spacing w:line="240" w:lineRule="auto" w:before="54" w:after="0"/>
        <w:ind w:left="702" w:right="0" w:hanging="360"/>
        <w:jc w:val="left"/>
        <w:rPr>
          <w:sz w:val="24"/>
        </w:rPr>
      </w:pPr>
      <w:r>
        <w:rPr>
          <w:sz w:val="24"/>
        </w:rPr>
        <w:t>Reunión Nacional de Funcionarios</w:t>
      </w:r>
      <w:r>
        <w:rPr>
          <w:spacing w:val="-8"/>
          <w:sz w:val="24"/>
        </w:rPr>
        <w:t> </w:t>
      </w:r>
      <w:r>
        <w:rPr>
          <w:sz w:val="24"/>
        </w:rPr>
        <w:t>Fiscales</w:t>
      </w:r>
    </w:p>
    <w:p>
      <w:pPr>
        <w:pStyle w:val="ListParagraph"/>
        <w:numPr>
          <w:ilvl w:val="0"/>
          <w:numId w:val="21"/>
        </w:numPr>
        <w:tabs>
          <w:tab w:pos="702" w:val="left" w:leader="none"/>
        </w:tabs>
        <w:spacing w:line="240" w:lineRule="auto" w:before="139" w:after="0"/>
        <w:ind w:left="702" w:right="0" w:hanging="360"/>
        <w:jc w:val="left"/>
        <w:rPr>
          <w:sz w:val="24"/>
        </w:rPr>
      </w:pPr>
      <w:r>
        <w:rPr>
          <w:sz w:val="24"/>
        </w:rPr>
        <w:t>Comisión</w:t>
      </w:r>
      <w:r>
        <w:rPr>
          <w:spacing w:val="-9"/>
          <w:sz w:val="24"/>
        </w:rPr>
        <w:t> </w:t>
      </w:r>
      <w:r>
        <w:rPr>
          <w:sz w:val="24"/>
        </w:rPr>
        <w:t>Permanente</w:t>
      </w:r>
    </w:p>
    <w:p>
      <w:pPr>
        <w:pStyle w:val="ListParagraph"/>
        <w:numPr>
          <w:ilvl w:val="0"/>
          <w:numId w:val="21"/>
        </w:numPr>
        <w:tabs>
          <w:tab w:pos="702" w:val="left" w:leader="none"/>
        </w:tabs>
        <w:spacing w:line="240" w:lineRule="auto" w:before="137" w:after="0"/>
        <w:ind w:left="702" w:right="0" w:hanging="360"/>
        <w:jc w:val="left"/>
        <w:rPr>
          <w:sz w:val="24"/>
        </w:rPr>
      </w:pPr>
      <w:r>
        <w:rPr>
          <w:sz w:val="24"/>
        </w:rPr>
        <w:t>Junta Nacional de Coordinación</w:t>
      </w:r>
      <w:r>
        <w:rPr>
          <w:spacing w:val="-6"/>
          <w:sz w:val="24"/>
        </w:rPr>
        <w:t> </w:t>
      </w:r>
      <w:r>
        <w:rPr>
          <w:sz w:val="24"/>
        </w:rPr>
        <w:t>Fiscal</w:t>
      </w:r>
    </w:p>
    <w:p>
      <w:pPr>
        <w:pStyle w:val="ListParagraph"/>
        <w:numPr>
          <w:ilvl w:val="0"/>
          <w:numId w:val="21"/>
        </w:numPr>
        <w:tabs>
          <w:tab w:pos="702" w:val="left" w:leader="none"/>
        </w:tabs>
        <w:spacing w:line="240" w:lineRule="auto" w:before="139" w:after="0"/>
        <w:ind w:left="702" w:right="0" w:hanging="360"/>
        <w:jc w:val="left"/>
        <w:rPr>
          <w:sz w:val="24"/>
        </w:rPr>
      </w:pPr>
      <w:r>
        <w:rPr>
          <w:sz w:val="24"/>
        </w:rPr>
        <w:t>El Instituto para el Desarrollo Técnico de las Haciendas</w:t>
      </w:r>
      <w:r>
        <w:rPr>
          <w:spacing w:val="-19"/>
          <w:sz w:val="24"/>
        </w:rPr>
        <w:t> </w:t>
      </w:r>
      <w:r>
        <w:rPr>
          <w:sz w:val="24"/>
        </w:rPr>
        <w:t>Pública</w:t>
      </w:r>
    </w:p>
    <w:p>
      <w:pPr>
        <w:spacing w:after="0" w:line="240" w:lineRule="auto"/>
        <w:jc w:val="left"/>
        <w:rPr>
          <w:sz w:val="24"/>
        </w:rPr>
        <w:sectPr>
          <w:pgSz w:w="12240" w:h="15840"/>
          <w:pgMar w:header="0" w:footer="992" w:top="1360" w:bottom="1180" w:left="1720" w:right="1720"/>
        </w:sectPr>
      </w:pPr>
    </w:p>
    <w:p>
      <w:pPr>
        <w:pStyle w:val="BodyText"/>
        <w:spacing w:before="6"/>
        <w:rPr>
          <w:sz w:val="28"/>
        </w:rPr>
      </w:pPr>
    </w:p>
    <w:p>
      <w:pPr>
        <w:pStyle w:val="Heading1"/>
        <w:numPr>
          <w:ilvl w:val="2"/>
          <w:numId w:val="20"/>
        </w:numPr>
        <w:tabs>
          <w:tab w:pos="3091" w:val="left" w:leader="none"/>
        </w:tabs>
        <w:spacing w:line="240" w:lineRule="auto" w:before="65" w:after="0"/>
        <w:ind w:left="3090" w:right="0" w:hanging="780"/>
        <w:jc w:val="left"/>
      </w:pPr>
      <w:bookmarkStart w:name="_TOC_250034" w:id="18"/>
      <w:r>
        <w:rPr/>
        <w:t>Ley de Coordinación</w:t>
      </w:r>
      <w:r>
        <w:rPr>
          <w:spacing w:val="-14"/>
        </w:rPr>
        <w:t> </w:t>
      </w:r>
      <w:bookmarkEnd w:id="18"/>
      <w:r>
        <w:rPr/>
        <w:t>Fiscal</w:t>
      </w:r>
    </w:p>
    <w:p>
      <w:pPr>
        <w:pStyle w:val="BodyText"/>
        <w:rPr>
          <w:b/>
          <w:sz w:val="28"/>
        </w:rPr>
      </w:pPr>
    </w:p>
    <w:p>
      <w:pPr>
        <w:pStyle w:val="BodyText"/>
        <w:rPr>
          <w:b/>
          <w:sz w:val="28"/>
        </w:rPr>
      </w:pPr>
    </w:p>
    <w:p>
      <w:pPr>
        <w:pStyle w:val="BodyText"/>
        <w:spacing w:before="5"/>
        <w:rPr>
          <w:b/>
          <w:sz w:val="30"/>
        </w:rPr>
      </w:pPr>
    </w:p>
    <w:p>
      <w:pPr>
        <w:pStyle w:val="BodyText"/>
        <w:spacing w:line="360" w:lineRule="auto" w:before="1"/>
        <w:ind w:left="102" w:right="114"/>
        <w:jc w:val="both"/>
      </w:pPr>
      <w:r>
        <w:rPr/>
        <w:t>La coordinación fiscal se instituye formalmente en un sistema creado por una ley federal, con el fin de compatibilizar las competencias federales y estatales, disminuyendo</w:t>
      </w:r>
      <w:r>
        <w:rPr>
          <w:spacing w:val="-18"/>
        </w:rPr>
        <w:t> </w:t>
      </w:r>
      <w:r>
        <w:rPr/>
        <w:t>así</w:t>
      </w:r>
      <w:r>
        <w:rPr>
          <w:spacing w:val="-18"/>
        </w:rPr>
        <w:t> </w:t>
      </w:r>
      <w:r>
        <w:rPr/>
        <w:t>la</w:t>
      </w:r>
      <w:r>
        <w:rPr>
          <w:spacing w:val="-18"/>
        </w:rPr>
        <w:t> </w:t>
      </w:r>
      <w:r>
        <w:rPr/>
        <w:t>práctica</w:t>
      </w:r>
      <w:r>
        <w:rPr>
          <w:spacing w:val="-18"/>
        </w:rPr>
        <w:t> </w:t>
      </w:r>
      <w:r>
        <w:rPr/>
        <w:t>de</w:t>
      </w:r>
      <w:r>
        <w:rPr>
          <w:spacing w:val="-17"/>
        </w:rPr>
        <w:t> </w:t>
      </w:r>
      <w:r>
        <w:rPr/>
        <w:t>la</w:t>
      </w:r>
      <w:r>
        <w:rPr>
          <w:spacing w:val="-15"/>
        </w:rPr>
        <w:t> </w:t>
      </w:r>
      <w:r>
        <w:rPr/>
        <w:t>concurrencia</w:t>
      </w:r>
      <w:r>
        <w:rPr>
          <w:spacing w:val="-15"/>
        </w:rPr>
        <w:t> </w:t>
      </w:r>
      <w:r>
        <w:rPr/>
        <w:t>impositiva,</w:t>
      </w:r>
      <w:r>
        <w:rPr>
          <w:spacing w:val="-15"/>
        </w:rPr>
        <w:t> </w:t>
      </w:r>
      <w:r>
        <w:rPr/>
        <w:t>estableciendo</w:t>
      </w:r>
      <w:r>
        <w:rPr>
          <w:spacing w:val="-15"/>
        </w:rPr>
        <w:t> </w:t>
      </w:r>
      <w:r>
        <w:rPr/>
        <w:t>un</w:t>
      </w:r>
      <w:r>
        <w:rPr>
          <w:spacing w:val="-15"/>
        </w:rPr>
        <w:t> </w:t>
      </w:r>
      <w:r>
        <w:rPr/>
        <w:t>reparto de</w:t>
      </w:r>
      <w:r>
        <w:rPr>
          <w:spacing w:val="-18"/>
        </w:rPr>
        <w:t> </w:t>
      </w:r>
      <w:r>
        <w:rPr/>
        <w:t>competencias</w:t>
      </w:r>
      <w:r>
        <w:rPr>
          <w:spacing w:val="-18"/>
        </w:rPr>
        <w:t> </w:t>
      </w:r>
      <w:r>
        <w:rPr/>
        <w:t>entre</w:t>
      </w:r>
      <w:r>
        <w:rPr>
          <w:spacing w:val="-19"/>
        </w:rPr>
        <w:t> </w:t>
      </w:r>
      <w:r>
        <w:rPr/>
        <w:t>estos</w:t>
      </w:r>
      <w:r>
        <w:rPr>
          <w:spacing w:val="-17"/>
        </w:rPr>
        <w:t> </w:t>
      </w:r>
      <w:r>
        <w:rPr/>
        <w:t>órdenes</w:t>
      </w:r>
      <w:r>
        <w:rPr>
          <w:spacing w:val="-17"/>
        </w:rPr>
        <w:t> </w:t>
      </w:r>
      <w:r>
        <w:rPr/>
        <w:t>de</w:t>
      </w:r>
      <w:r>
        <w:rPr>
          <w:spacing w:val="-18"/>
        </w:rPr>
        <w:t> </w:t>
      </w:r>
      <w:r>
        <w:rPr/>
        <w:t>gobierno,</w:t>
      </w:r>
      <w:r>
        <w:rPr>
          <w:spacing w:val="-18"/>
        </w:rPr>
        <w:t> </w:t>
      </w:r>
      <w:r>
        <w:rPr/>
        <w:t>aprovechando</w:t>
      </w:r>
      <w:r>
        <w:rPr>
          <w:spacing w:val="-18"/>
        </w:rPr>
        <w:t> </w:t>
      </w:r>
      <w:r>
        <w:rPr/>
        <w:t>cada</w:t>
      </w:r>
      <w:r>
        <w:rPr>
          <w:spacing w:val="-18"/>
        </w:rPr>
        <w:t> </w:t>
      </w:r>
      <w:r>
        <w:rPr/>
        <w:t>ingreso</w:t>
      </w:r>
      <w:r>
        <w:rPr>
          <w:spacing w:val="-17"/>
        </w:rPr>
        <w:t> </w:t>
      </w:r>
      <w:r>
        <w:rPr/>
        <w:t>para financiar los gastos públicos, y unificando la carga impositiva para los contribuyentes. “La coordinación fiscal es la participación proporcional que, por disposición de la Constitución y de la Ley, se otorga a las entidades federativas en el rendimiento de un tributo federal en cuya recaudación y administración han intervenido</w:t>
      </w:r>
      <w:r>
        <w:rPr>
          <w:spacing w:val="-16"/>
        </w:rPr>
        <w:t> </w:t>
      </w:r>
      <w:r>
        <w:rPr/>
        <w:t>por</w:t>
      </w:r>
      <w:r>
        <w:rPr>
          <w:spacing w:val="-18"/>
        </w:rPr>
        <w:t> </w:t>
      </w:r>
      <w:r>
        <w:rPr/>
        <w:t>autorización</w:t>
      </w:r>
      <w:r>
        <w:rPr>
          <w:spacing w:val="-16"/>
        </w:rPr>
        <w:t> </w:t>
      </w:r>
      <w:r>
        <w:rPr/>
        <w:t>expresa</w:t>
      </w:r>
      <w:r>
        <w:rPr>
          <w:spacing w:val="-19"/>
        </w:rPr>
        <w:t> </w:t>
      </w:r>
      <w:r>
        <w:rPr/>
        <w:t>de</w:t>
      </w:r>
      <w:r>
        <w:rPr>
          <w:spacing w:val="-17"/>
        </w:rPr>
        <w:t> </w:t>
      </w:r>
      <w:r>
        <w:rPr/>
        <w:t>la</w:t>
      </w:r>
      <w:r>
        <w:rPr>
          <w:spacing w:val="-17"/>
        </w:rPr>
        <w:t> </w:t>
      </w:r>
      <w:r>
        <w:rPr/>
        <w:t>Secretaria</w:t>
      </w:r>
      <w:r>
        <w:rPr>
          <w:spacing w:val="-11"/>
        </w:rPr>
        <w:t> </w:t>
      </w:r>
      <w:r>
        <w:rPr/>
        <w:t>de</w:t>
      </w:r>
      <w:r>
        <w:rPr>
          <w:spacing w:val="-17"/>
        </w:rPr>
        <w:t> </w:t>
      </w:r>
      <w:r>
        <w:rPr/>
        <w:t>Hacienda</w:t>
      </w:r>
      <w:r>
        <w:rPr>
          <w:spacing w:val="-17"/>
        </w:rPr>
        <w:t> </w:t>
      </w:r>
      <w:r>
        <w:rPr/>
        <w:t>y</w:t>
      </w:r>
      <w:r>
        <w:rPr>
          <w:spacing w:val="-20"/>
        </w:rPr>
        <w:t> </w:t>
      </w:r>
      <w:r>
        <w:rPr/>
        <w:t>Crédito</w:t>
      </w:r>
      <w:r>
        <w:rPr>
          <w:spacing w:val="-17"/>
        </w:rPr>
        <w:t> </w:t>
      </w:r>
      <w:r>
        <w:rPr/>
        <w:t>Público“ (García,</w:t>
      </w:r>
      <w:r>
        <w:rPr>
          <w:spacing w:val="-6"/>
        </w:rPr>
        <w:t> </w:t>
      </w:r>
      <w:r>
        <w:rPr/>
        <w:t>2003:318).</w:t>
      </w:r>
    </w:p>
    <w:p>
      <w:pPr>
        <w:pStyle w:val="BodyText"/>
        <w:spacing w:line="360" w:lineRule="auto" w:before="204"/>
        <w:ind w:left="102" w:right="119"/>
        <w:jc w:val="both"/>
      </w:pPr>
      <w:r>
        <w:rPr/>
        <w:t>Por tanto, la Ley de Coordinación Fiscal (LCF) es un ordenamiento que establece la</w:t>
      </w:r>
      <w:r>
        <w:rPr>
          <w:spacing w:val="-9"/>
        </w:rPr>
        <w:t> </w:t>
      </w:r>
      <w:r>
        <w:rPr/>
        <w:t>estructura</w:t>
      </w:r>
      <w:r>
        <w:rPr>
          <w:spacing w:val="-11"/>
        </w:rPr>
        <w:t> </w:t>
      </w:r>
      <w:r>
        <w:rPr/>
        <w:t>del</w:t>
      </w:r>
      <w:r>
        <w:rPr>
          <w:spacing w:val="-10"/>
        </w:rPr>
        <w:t> </w:t>
      </w:r>
      <w:r>
        <w:rPr/>
        <w:t>sistema</w:t>
      </w:r>
      <w:r>
        <w:rPr>
          <w:spacing w:val="-9"/>
        </w:rPr>
        <w:t> </w:t>
      </w:r>
      <w:r>
        <w:rPr/>
        <w:t>de</w:t>
      </w:r>
      <w:r>
        <w:rPr>
          <w:spacing w:val="-9"/>
        </w:rPr>
        <w:t> </w:t>
      </w:r>
      <w:r>
        <w:rPr/>
        <w:t>coordinación</w:t>
      </w:r>
      <w:r>
        <w:rPr>
          <w:spacing w:val="-13"/>
        </w:rPr>
        <w:t> </w:t>
      </w:r>
      <w:r>
        <w:rPr/>
        <w:t>fiscal,</w:t>
      </w:r>
      <w:r>
        <w:rPr>
          <w:spacing w:val="-9"/>
        </w:rPr>
        <w:t> </w:t>
      </w:r>
      <w:r>
        <w:rPr/>
        <w:t>sus</w:t>
      </w:r>
      <w:r>
        <w:rPr>
          <w:spacing w:val="-12"/>
        </w:rPr>
        <w:t> </w:t>
      </w:r>
      <w:r>
        <w:rPr/>
        <w:t>participaciones</w:t>
      </w:r>
      <w:r>
        <w:rPr>
          <w:spacing w:val="-12"/>
        </w:rPr>
        <w:t> </w:t>
      </w:r>
      <w:r>
        <w:rPr/>
        <w:t>y</w:t>
      </w:r>
      <w:r>
        <w:rPr>
          <w:spacing w:val="-12"/>
        </w:rPr>
        <w:t> </w:t>
      </w:r>
      <w:r>
        <w:rPr/>
        <w:t>los</w:t>
      </w:r>
      <w:r>
        <w:rPr>
          <w:spacing w:val="-9"/>
        </w:rPr>
        <w:t> </w:t>
      </w:r>
      <w:r>
        <w:rPr/>
        <w:t>principales procesos de recaudación de ingresos fiscales federales, la constitución y distribución de fondos, y los mecanismos de coordinación y colaboración para operativizar el</w:t>
      </w:r>
      <w:r>
        <w:rPr>
          <w:spacing w:val="-5"/>
        </w:rPr>
        <w:t> </w:t>
      </w:r>
      <w:r>
        <w:rPr/>
        <w:t>sistema.</w:t>
      </w:r>
    </w:p>
    <w:p>
      <w:pPr>
        <w:pStyle w:val="BodyText"/>
        <w:spacing w:line="360" w:lineRule="auto" w:before="202"/>
        <w:ind w:left="102" w:right="117"/>
        <w:jc w:val="both"/>
      </w:pPr>
      <w:r>
        <w:rPr/>
        <w:t>Los antecedentes a la Ley de Coordinación Fiscal fueron: la ley que regula el pago de</w:t>
      </w:r>
      <w:r>
        <w:rPr>
          <w:spacing w:val="-8"/>
        </w:rPr>
        <w:t> </w:t>
      </w:r>
      <w:r>
        <w:rPr/>
        <w:t>participaciones</w:t>
      </w:r>
      <w:r>
        <w:rPr>
          <w:spacing w:val="-12"/>
        </w:rPr>
        <w:t> </w:t>
      </w:r>
      <w:r>
        <w:rPr/>
        <w:t>en</w:t>
      </w:r>
      <w:r>
        <w:rPr>
          <w:spacing w:val="-8"/>
        </w:rPr>
        <w:t> </w:t>
      </w:r>
      <w:r>
        <w:rPr/>
        <w:t>ingresos</w:t>
      </w:r>
      <w:r>
        <w:rPr>
          <w:spacing w:val="-9"/>
        </w:rPr>
        <w:t> </w:t>
      </w:r>
      <w:r>
        <w:rPr/>
        <w:t>federales</w:t>
      </w:r>
      <w:r>
        <w:rPr>
          <w:spacing w:val="-9"/>
        </w:rPr>
        <w:t> </w:t>
      </w:r>
      <w:r>
        <w:rPr/>
        <w:t>a</w:t>
      </w:r>
      <w:r>
        <w:rPr>
          <w:spacing w:val="-8"/>
        </w:rPr>
        <w:t> </w:t>
      </w:r>
      <w:r>
        <w:rPr/>
        <w:t>la</w:t>
      </w:r>
      <w:r>
        <w:rPr>
          <w:spacing w:val="-11"/>
        </w:rPr>
        <w:t> </w:t>
      </w:r>
      <w:r>
        <w:rPr/>
        <w:t>Entidades</w:t>
      </w:r>
      <w:r>
        <w:rPr>
          <w:spacing w:val="-9"/>
        </w:rPr>
        <w:t> </w:t>
      </w:r>
      <w:r>
        <w:rPr/>
        <w:t>Federativas</w:t>
      </w:r>
      <w:r>
        <w:rPr>
          <w:spacing w:val="-9"/>
        </w:rPr>
        <w:t> </w:t>
      </w:r>
      <w:r>
        <w:rPr/>
        <w:t>de</w:t>
      </w:r>
      <w:r>
        <w:rPr>
          <w:spacing w:val="-8"/>
        </w:rPr>
        <w:t> </w:t>
      </w:r>
      <w:r>
        <w:rPr/>
        <w:t>1948,</w:t>
      </w:r>
      <w:r>
        <w:rPr>
          <w:spacing w:val="-9"/>
        </w:rPr>
        <w:t> </w:t>
      </w:r>
      <w:r>
        <w:rPr/>
        <w:t>la</w:t>
      </w:r>
      <w:r>
        <w:rPr>
          <w:spacing w:val="-9"/>
        </w:rPr>
        <w:t> </w:t>
      </w:r>
      <w:r>
        <w:rPr/>
        <w:t>Ley de Coordinación Fiscal entre la federación y los Estados de 1953 y la Ley de Coordinación Fiscal de 1980. Esta última es la que fijó las bases del actual</w:t>
      </w:r>
      <w:r>
        <w:rPr>
          <w:spacing w:val="-28"/>
        </w:rPr>
        <w:t> </w:t>
      </w:r>
      <w:r>
        <w:rPr/>
        <w:t>sistema nacional</w:t>
      </w:r>
      <w:r>
        <w:rPr>
          <w:spacing w:val="-9"/>
        </w:rPr>
        <w:t> </w:t>
      </w:r>
      <w:r>
        <w:rPr/>
        <w:t>de</w:t>
      </w:r>
      <w:r>
        <w:rPr>
          <w:spacing w:val="-7"/>
        </w:rPr>
        <w:t> </w:t>
      </w:r>
      <w:r>
        <w:rPr/>
        <w:t>coordinación</w:t>
      </w:r>
      <w:r>
        <w:rPr>
          <w:spacing w:val="-7"/>
        </w:rPr>
        <w:t> </w:t>
      </w:r>
      <w:r>
        <w:rPr/>
        <w:t>en</w:t>
      </w:r>
      <w:r>
        <w:rPr>
          <w:spacing w:val="-7"/>
        </w:rPr>
        <w:t> </w:t>
      </w:r>
      <w:r>
        <w:rPr/>
        <w:t>México</w:t>
      </w:r>
      <w:r>
        <w:rPr>
          <w:spacing w:val="-8"/>
        </w:rPr>
        <w:t> </w:t>
      </w:r>
      <w:r>
        <w:rPr/>
        <w:t>y</w:t>
      </w:r>
      <w:r>
        <w:rPr>
          <w:spacing w:val="-11"/>
        </w:rPr>
        <w:t> </w:t>
      </w:r>
      <w:r>
        <w:rPr/>
        <w:t>dio</w:t>
      </w:r>
      <w:r>
        <w:rPr>
          <w:spacing w:val="-8"/>
        </w:rPr>
        <w:t> </w:t>
      </w:r>
      <w:r>
        <w:rPr/>
        <w:t>la</w:t>
      </w:r>
      <w:r>
        <w:rPr>
          <w:spacing w:val="-8"/>
        </w:rPr>
        <w:t> </w:t>
      </w:r>
      <w:r>
        <w:rPr/>
        <w:t>estructura</w:t>
      </w:r>
      <w:r>
        <w:rPr>
          <w:spacing w:val="-8"/>
        </w:rPr>
        <w:t> </w:t>
      </w:r>
      <w:r>
        <w:rPr/>
        <w:t>a</w:t>
      </w:r>
      <w:r>
        <w:rPr>
          <w:spacing w:val="-7"/>
        </w:rPr>
        <w:t> </w:t>
      </w:r>
      <w:r>
        <w:rPr/>
        <w:t>la</w:t>
      </w:r>
      <w:r>
        <w:rPr>
          <w:spacing w:val="-8"/>
        </w:rPr>
        <w:t> </w:t>
      </w:r>
      <w:r>
        <w:rPr/>
        <w:t>política</w:t>
      </w:r>
      <w:r>
        <w:rPr>
          <w:spacing w:val="-7"/>
        </w:rPr>
        <w:t> </w:t>
      </w:r>
      <w:r>
        <w:rPr/>
        <w:t>fiscal</w:t>
      </w:r>
      <w:r>
        <w:rPr>
          <w:spacing w:val="-9"/>
        </w:rPr>
        <w:t> </w:t>
      </w:r>
      <w:r>
        <w:rPr/>
        <w:t>y</w:t>
      </w:r>
      <w:r>
        <w:rPr>
          <w:spacing w:val="-11"/>
        </w:rPr>
        <w:t> </w:t>
      </w:r>
      <w:r>
        <w:rPr/>
        <w:t>la</w:t>
      </w:r>
      <w:r>
        <w:rPr>
          <w:spacing w:val="-8"/>
        </w:rPr>
        <w:t> </w:t>
      </w:r>
      <w:r>
        <w:rPr/>
        <w:t>cual</w:t>
      </w:r>
      <w:r>
        <w:rPr>
          <w:spacing w:val="-9"/>
        </w:rPr>
        <w:t> </w:t>
      </w:r>
      <w:r>
        <w:rPr/>
        <w:t>se encuentra vigente con sus determinadas reformas que se van adecuando a las necesidades y realidades de la política fiscal del</w:t>
      </w:r>
      <w:r>
        <w:rPr>
          <w:spacing w:val="-22"/>
        </w:rPr>
        <w:t> </w:t>
      </w:r>
      <w:r>
        <w:rPr/>
        <w:t>país.</w:t>
      </w:r>
    </w:p>
    <w:p>
      <w:pPr>
        <w:pStyle w:val="BodyText"/>
        <w:spacing w:line="360" w:lineRule="auto" w:before="204"/>
        <w:ind w:left="102" w:right="116"/>
        <w:jc w:val="both"/>
      </w:pPr>
      <w:r>
        <w:rPr/>
        <w:t>De</w:t>
      </w:r>
      <w:r>
        <w:rPr>
          <w:spacing w:val="-4"/>
        </w:rPr>
        <w:t> </w:t>
      </w:r>
      <w:r>
        <w:rPr/>
        <w:t>esta</w:t>
      </w:r>
      <w:r>
        <w:rPr>
          <w:spacing w:val="-8"/>
        </w:rPr>
        <w:t> </w:t>
      </w:r>
      <w:r>
        <w:rPr/>
        <w:t>manera</w:t>
      </w:r>
      <w:r>
        <w:rPr>
          <w:spacing w:val="-4"/>
        </w:rPr>
        <w:t> </w:t>
      </w:r>
      <w:r>
        <w:rPr/>
        <w:t>el</w:t>
      </w:r>
      <w:r>
        <w:rPr>
          <w:spacing w:val="-7"/>
        </w:rPr>
        <w:t> </w:t>
      </w:r>
      <w:r>
        <w:rPr/>
        <w:t>Sistema</w:t>
      </w:r>
      <w:r>
        <w:rPr>
          <w:spacing w:val="-6"/>
        </w:rPr>
        <w:t> </w:t>
      </w:r>
      <w:r>
        <w:rPr/>
        <w:t>Nacional</w:t>
      </w:r>
      <w:r>
        <w:rPr>
          <w:spacing w:val="-5"/>
        </w:rPr>
        <w:t> </w:t>
      </w:r>
      <w:r>
        <w:rPr/>
        <w:t>de</w:t>
      </w:r>
      <w:r>
        <w:rPr>
          <w:spacing w:val="-4"/>
        </w:rPr>
        <w:t> </w:t>
      </w:r>
      <w:r>
        <w:rPr/>
        <w:t>Coordinación</w:t>
      </w:r>
      <w:r>
        <w:rPr>
          <w:spacing w:val="-8"/>
        </w:rPr>
        <w:t> </w:t>
      </w:r>
      <w:r>
        <w:rPr/>
        <w:t>fiscal</w:t>
      </w:r>
      <w:r>
        <w:rPr>
          <w:spacing w:val="-4"/>
        </w:rPr>
        <w:t> </w:t>
      </w:r>
      <w:r>
        <w:rPr/>
        <w:t>(SNCF)</w:t>
      </w:r>
      <w:r>
        <w:rPr>
          <w:spacing w:val="-8"/>
        </w:rPr>
        <w:t> </w:t>
      </w:r>
      <w:r>
        <w:rPr/>
        <w:t>surge</w:t>
      </w:r>
      <w:r>
        <w:rPr>
          <w:spacing w:val="-4"/>
        </w:rPr>
        <w:t> </w:t>
      </w:r>
      <w:r>
        <w:rPr/>
        <w:t>en</w:t>
      </w:r>
      <w:r>
        <w:rPr>
          <w:spacing w:val="-6"/>
        </w:rPr>
        <w:t> </w:t>
      </w:r>
      <w:r>
        <w:rPr/>
        <w:t>1980, teniendo como objetivo principal tal como lo establece el propio convenio de Adhesión:  “(…)  el  sistema  fiscal  debe  ser armónico,  evitando  en  lo  posible</w:t>
      </w:r>
      <w:r>
        <w:rPr>
          <w:spacing w:val="1"/>
        </w:rPr>
        <w:t> </w:t>
      </w:r>
      <w:r>
        <w:rPr/>
        <w:t>la</w:t>
      </w:r>
    </w:p>
    <w:p>
      <w:pPr>
        <w:spacing w:after="0" w:line="360" w:lineRule="auto"/>
        <w:jc w:val="both"/>
        <w:sectPr>
          <w:pgSz w:w="12240" w:h="15840"/>
          <w:pgMar w:header="0" w:footer="992" w:top="1500" w:bottom="1180" w:left="1600" w:right="1580"/>
        </w:sectPr>
      </w:pPr>
    </w:p>
    <w:p>
      <w:pPr>
        <w:pStyle w:val="BodyText"/>
        <w:spacing w:line="360" w:lineRule="auto" w:before="54"/>
        <w:ind w:left="102" w:right="119"/>
        <w:jc w:val="both"/>
      </w:pPr>
      <w:r>
        <w:rPr/>
        <w:t>superposición de gravámenes federales, estatales y municipales cuyo conjunto puede producir cargas fiscales excesivas en los contribuyentes, además de múltiples intervenciones de vigilancia por parte de las diversas autoridades en esta materia” (Pérez, 2004:34).</w:t>
      </w:r>
    </w:p>
    <w:p>
      <w:pPr>
        <w:pStyle w:val="BodyText"/>
        <w:spacing w:line="360" w:lineRule="auto" w:before="204"/>
        <w:ind w:left="102" w:right="117"/>
        <w:jc w:val="both"/>
      </w:pPr>
      <w:r>
        <w:rPr/>
        <w:t>En la ley de coordinación fiscal se establece que las entidades que desean integrarse al Sistema Nacional de Coordinación Fiscal para participar de los ingresos de la federación deben firmar Convenio de Adhesión con la Secretaria de Hacienda y Crédito Público. Este convenio, que deben aprobar las legislaturas de los</w:t>
      </w:r>
      <w:r>
        <w:rPr>
          <w:spacing w:val="-11"/>
        </w:rPr>
        <w:t> </w:t>
      </w:r>
      <w:r>
        <w:rPr/>
        <w:t>estados,</w:t>
      </w:r>
      <w:r>
        <w:rPr>
          <w:spacing w:val="-11"/>
        </w:rPr>
        <w:t> </w:t>
      </w:r>
      <w:r>
        <w:rPr/>
        <w:t>incluye</w:t>
      </w:r>
      <w:r>
        <w:rPr>
          <w:spacing w:val="-11"/>
        </w:rPr>
        <w:t> </w:t>
      </w:r>
      <w:r>
        <w:rPr/>
        <w:t>todos</w:t>
      </w:r>
      <w:r>
        <w:rPr>
          <w:spacing w:val="-12"/>
        </w:rPr>
        <w:t> </w:t>
      </w:r>
      <w:r>
        <w:rPr/>
        <w:t>los</w:t>
      </w:r>
      <w:r>
        <w:rPr>
          <w:spacing w:val="-11"/>
        </w:rPr>
        <w:t> </w:t>
      </w:r>
      <w:r>
        <w:rPr/>
        <w:t>ingresos</w:t>
      </w:r>
      <w:r>
        <w:rPr>
          <w:spacing w:val="-14"/>
        </w:rPr>
        <w:t> </w:t>
      </w:r>
      <w:r>
        <w:rPr/>
        <w:t>federales</w:t>
      </w:r>
      <w:r>
        <w:rPr>
          <w:spacing w:val="-11"/>
        </w:rPr>
        <w:t> </w:t>
      </w:r>
      <w:r>
        <w:rPr/>
        <w:t>y</w:t>
      </w:r>
      <w:r>
        <w:rPr>
          <w:spacing w:val="-14"/>
        </w:rPr>
        <w:t> </w:t>
      </w:r>
      <w:r>
        <w:rPr/>
        <w:t>no</w:t>
      </w:r>
      <w:r>
        <w:rPr>
          <w:spacing w:val="-11"/>
        </w:rPr>
        <w:t> </w:t>
      </w:r>
      <w:r>
        <w:rPr/>
        <w:t>pueden</w:t>
      </w:r>
      <w:r>
        <w:rPr>
          <w:spacing w:val="-13"/>
        </w:rPr>
        <w:t> </w:t>
      </w:r>
      <w:r>
        <w:rPr/>
        <w:t>negociarse</w:t>
      </w:r>
      <w:r>
        <w:rPr>
          <w:spacing w:val="-11"/>
        </w:rPr>
        <w:t> </w:t>
      </w:r>
      <w:r>
        <w:rPr/>
        <w:t>impuestos específicos.</w:t>
      </w:r>
    </w:p>
    <w:p>
      <w:pPr>
        <w:pStyle w:val="BodyText"/>
      </w:pPr>
    </w:p>
    <w:p>
      <w:pPr>
        <w:pStyle w:val="Heading1"/>
        <w:tabs>
          <w:tab w:pos="4050" w:val="left" w:leader="none"/>
        </w:tabs>
        <w:ind w:left="3330"/>
      </w:pPr>
      <w:bookmarkStart w:name="_TOC_250033" w:id="19"/>
      <w:bookmarkEnd w:id="19"/>
      <w:r>
        <w:rPr/>
        <w:t>2.4</w:t>
        <w:tab/>
        <w:t>Descentralización</w:t>
      </w:r>
    </w:p>
    <w:p>
      <w:pPr>
        <w:pStyle w:val="BodyText"/>
        <w:rPr>
          <w:b/>
          <w:sz w:val="28"/>
        </w:rPr>
      </w:pPr>
    </w:p>
    <w:p>
      <w:pPr>
        <w:pStyle w:val="BodyText"/>
        <w:rPr>
          <w:b/>
          <w:sz w:val="28"/>
        </w:rPr>
      </w:pPr>
    </w:p>
    <w:p>
      <w:pPr>
        <w:pStyle w:val="BodyText"/>
        <w:spacing w:before="8"/>
        <w:rPr>
          <w:b/>
          <w:sz w:val="30"/>
        </w:rPr>
      </w:pPr>
    </w:p>
    <w:p>
      <w:pPr>
        <w:pStyle w:val="BodyText"/>
        <w:spacing w:line="360" w:lineRule="auto"/>
        <w:ind w:left="102" w:right="114"/>
        <w:jc w:val="both"/>
      </w:pPr>
      <w:r>
        <w:rPr/>
        <w:t>Durante los últimos años en México, se ha dado un esfuerzo exorbitante por descentralizar</w:t>
      </w:r>
      <w:r>
        <w:rPr>
          <w:spacing w:val="-12"/>
        </w:rPr>
        <w:t> </w:t>
      </w:r>
      <w:r>
        <w:rPr/>
        <w:t>el</w:t>
      </w:r>
      <w:r>
        <w:rPr>
          <w:spacing w:val="-12"/>
        </w:rPr>
        <w:t> </w:t>
      </w:r>
      <w:r>
        <w:rPr/>
        <w:t>poder</w:t>
      </w:r>
      <w:r>
        <w:rPr>
          <w:spacing w:val="-15"/>
        </w:rPr>
        <w:t> </w:t>
      </w:r>
      <w:r>
        <w:rPr/>
        <w:t>público</w:t>
      </w:r>
      <w:r>
        <w:rPr>
          <w:spacing w:val="-11"/>
        </w:rPr>
        <w:t> </w:t>
      </w:r>
      <w:r>
        <w:rPr/>
        <w:t>y</w:t>
      </w:r>
      <w:r>
        <w:rPr>
          <w:spacing w:val="-14"/>
        </w:rPr>
        <w:t> </w:t>
      </w:r>
      <w:r>
        <w:rPr/>
        <w:t>la</w:t>
      </w:r>
      <w:r>
        <w:rPr>
          <w:spacing w:val="-11"/>
        </w:rPr>
        <w:t> </w:t>
      </w:r>
      <w:r>
        <w:rPr/>
        <w:t>toma</w:t>
      </w:r>
      <w:r>
        <w:rPr>
          <w:spacing w:val="-11"/>
        </w:rPr>
        <w:t> </w:t>
      </w:r>
      <w:r>
        <w:rPr/>
        <w:t>de</w:t>
      </w:r>
      <w:r>
        <w:rPr>
          <w:spacing w:val="-13"/>
        </w:rPr>
        <w:t> </w:t>
      </w:r>
      <w:r>
        <w:rPr/>
        <w:t>decisiones</w:t>
      </w:r>
      <w:r>
        <w:rPr>
          <w:spacing w:val="-14"/>
        </w:rPr>
        <w:t> </w:t>
      </w:r>
      <w:r>
        <w:rPr/>
        <w:t>administrativas;</w:t>
      </w:r>
      <w:r>
        <w:rPr>
          <w:spacing w:val="-13"/>
        </w:rPr>
        <w:t> </w:t>
      </w:r>
      <w:r>
        <w:rPr/>
        <w:t>fue</w:t>
      </w:r>
      <w:r>
        <w:rPr>
          <w:spacing w:val="-3"/>
        </w:rPr>
        <w:t> </w:t>
      </w:r>
      <w:r>
        <w:rPr/>
        <w:t>hasta</w:t>
      </w:r>
      <w:r>
        <w:rPr>
          <w:spacing w:val="-13"/>
        </w:rPr>
        <w:t> </w:t>
      </w:r>
      <w:r>
        <w:rPr/>
        <w:t>en el gobierno de Miguel de la Madrid donde se marcó el inicio de modernizar al país dando autonomía a los estratos inferiores de gobierno, caso del</w:t>
      </w:r>
      <w:r>
        <w:rPr>
          <w:spacing w:val="-24"/>
        </w:rPr>
        <w:t> </w:t>
      </w:r>
      <w:r>
        <w:rPr/>
        <w:t>municipio.</w:t>
      </w:r>
    </w:p>
    <w:p>
      <w:pPr>
        <w:pStyle w:val="BodyText"/>
        <w:spacing w:line="360" w:lineRule="auto" w:before="204"/>
        <w:ind w:right="116"/>
        <w:jc w:val="right"/>
      </w:pPr>
      <w:r>
        <w:rPr/>
        <w:t>Durante la campaña electoral en 1982 Miguel de la Madrid, enfantizó</w:t>
      </w:r>
      <w:r>
        <w:rPr>
          <w:spacing w:val="55"/>
        </w:rPr>
        <w:t> </w:t>
      </w:r>
      <w:r>
        <w:rPr/>
        <w:t>la</w:t>
      </w:r>
      <w:r>
        <w:rPr>
          <w:spacing w:val="4"/>
        </w:rPr>
        <w:t> </w:t>
      </w:r>
      <w:r>
        <w:rPr/>
        <w:t>necesidad</w:t>
      </w:r>
      <w:r>
        <w:rPr>
          <w:w w:val="99"/>
        </w:rPr>
        <w:t> </w:t>
      </w:r>
      <w:r>
        <w:rPr/>
        <w:t>de descentralizar recursos y decisiones, para que los estados</w:t>
      </w:r>
      <w:r>
        <w:rPr>
          <w:spacing w:val="39"/>
        </w:rPr>
        <w:t> </w:t>
      </w:r>
      <w:r>
        <w:rPr/>
        <w:t>y</w:t>
      </w:r>
      <w:r>
        <w:rPr>
          <w:spacing w:val="17"/>
        </w:rPr>
        <w:t> </w:t>
      </w:r>
      <w:r>
        <w:rPr/>
        <w:t>municipios</w:t>
      </w:r>
      <w:r>
        <w:rPr>
          <w:w w:val="99"/>
        </w:rPr>
        <w:t> </w:t>
      </w:r>
      <w:r>
        <w:rPr/>
        <w:t>participaran</w:t>
      </w:r>
      <w:r>
        <w:rPr>
          <w:spacing w:val="-7"/>
        </w:rPr>
        <w:t> </w:t>
      </w:r>
      <w:r>
        <w:rPr/>
        <w:t>de</w:t>
      </w:r>
      <w:r>
        <w:rPr>
          <w:spacing w:val="-5"/>
        </w:rPr>
        <w:t> </w:t>
      </w:r>
      <w:r>
        <w:rPr/>
        <w:t>manera</w:t>
      </w:r>
      <w:r>
        <w:rPr>
          <w:spacing w:val="-6"/>
        </w:rPr>
        <w:t> </w:t>
      </w:r>
      <w:r>
        <w:rPr/>
        <w:t>equilibrada</w:t>
      </w:r>
      <w:r>
        <w:rPr>
          <w:spacing w:val="-5"/>
        </w:rPr>
        <w:t> </w:t>
      </w:r>
      <w:r>
        <w:rPr/>
        <w:t>en</w:t>
      </w:r>
      <w:r>
        <w:rPr>
          <w:spacing w:val="-5"/>
        </w:rPr>
        <w:t> </w:t>
      </w:r>
      <w:r>
        <w:rPr/>
        <w:t>el</w:t>
      </w:r>
      <w:r>
        <w:rPr>
          <w:spacing w:val="-6"/>
        </w:rPr>
        <w:t> </w:t>
      </w:r>
      <w:r>
        <w:rPr/>
        <w:t>ejercicio</w:t>
      </w:r>
      <w:r>
        <w:rPr>
          <w:spacing w:val="-5"/>
        </w:rPr>
        <w:t> </w:t>
      </w:r>
      <w:r>
        <w:rPr/>
        <w:t>de</w:t>
      </w:r>
      <w:r>
        <w:rPr>
          <w:spacing w:val="-5"/>
        </w:rPr>
        <w:t> </w:t>
      </w:r>
      <w:r>
        <w:rPr/>
        <w:t>las</w:t>
      </w:r>
      <w:r>
        <w:rPr>
          <w:spacing w:val="-5"/>
        </w:rPr>
        <w:t> </w:t>
      </w:r>
      <w:r>
        <w:rPr/>
        <w:t>funciones</w:t>
      </w:r>
      <w:r>
        <w:rPr>
          <w:spacing w:val="-8"/>
        </w:rPr>
        <w:t> </w:t>
      </w:r>
      <w:r>
        <w:rPr/>
        <w:t>públicas</w:t>
      </w:r>
      <w:r>
        <w:rPr>
          <w:spacing w:val="-6"/>
        </w:rPr>
        <w:t> </w:t>
      </w:r>
      <w:r>
        <w:rPr/>
        <w:t>y</w:t>
      </w:r>
      <w:r>
        <w:rPr>
          <w:spacing w:val="-8"/>
        </w:rPr>
        <w:t> </w:t>
      </w:r>
      <w:r>
        <w:rPr/>
        <w:t>en</w:t>
      </w:r>
      <w:r>
        <w:rPr>
          <w:spacing w:val="-5"/>
        </w:rPr>
        <w:t> </w:t>
      </w:r>
      <w:r>
        <w:rPr/>
        <w:t>los</w:t>
      </w:r>
      <w:r>
        <w:rPr>
          <w:w w:val="99"/>
        </w:rPr>
        <w:t> </w:t>
      </w:r>
      <w:r>
        <w:rPr/>
        <w:t>beneficios del desarrollo. La respuesta de De la Madrid fue afirmar la</w:t>
      </w:r>
      <w:r>
        <w:rPr>
          <w:spacing w:val="-27"/>
        </w:rPr>
        <w:t> </w:t>
      </w:r>
      <w:r>
        <w:rPr/>
        <w:t>necesidad</w:t>
      </w:r>
      <w:r>
        <w:rPr>
          <w:spacing w:val="-2"/>
        </w:rPr>
        <w:t> </w:t>
      </w:r>
      <w:r>
        <w:rPr/>
        <w:t>de</w:t>
      </w:r>
      <w:r>
        <w:rPr>
          <w:w w:val="99"/>
        </w:rPr>
        <w:t> </w:t>
      </w:r>
      <w:r>
        <w:rPr/>
        <w:t>descentralizar</w:t>
      </w:r>
      <w:r>
        <w:rPr>
          <w:spacing w:val="-16"/>
        </w:rPr>
        <w:t> </w:t>
      </w:r>
      <w:r>
        <w:rPr/>
        <w:t>la</w:t>
      </w:r>
      <w:r>
        <w:rPr>
          <w:spacing w:val="-14"/>
        </w:rPr>
        <w:t> </w:t>
      </w:r>
      <w:r>
        <w:rPr/>
        <w:t>vida</w:t>
      </w:r>
      <w:r>
        <w:rPr>
          <w:spacing w:val="-14"/>
        </w:rPr>
        <w:t> </w:t>
      </w:r>
      <w:r>
        <w:rPr/>
        <w:t>nacional,</w:t>
      </w:r>
      <w:r>
        <w:rPr>
          <w:spacing w:val="-17"/>
        </w:rPr>
        <w:t> </w:t>
      </w:r>
      <w:r>
        <w:rPr/>
        <w:t>idea</w:t>
      </w:r>
      <w:r>
        <w:rPr>
          <w:spacing w:val="-14"/>
        </w:rPr>
        <w:t> </w:t>
      </w:r>
      <w:r>
        <w:rPr/>
        <w:t>que</w:t>
      </w:r>
      <w:r>
        <w:rPr>
          <w:spacing w:val="-14"/>
        </w:rPr>
        <w:t> </w:t>
      </w:r>
      <w:r>
        <w:rPr/>
        <w:t>se</w:t>
      </w:r>
      <w:r>
        <w:rPr>
          <w:spacing w:val="-14"/>
        </w:rPr>
        <w:t> </w:t>
      </w:r>
      <w:r>
        <w:rPr/>
        <w:t>reflejó</w:t>
      </w:r>
      <w:r>
        <w:rPr>
          <w:spacing w:val="-14"/>
        </w:rPr>
        <w:t> </w:t>
      </w:r>
      <w:r>
        <w:rPr/>
        <w:t>en</w:t>
      </w:r>
      <w:r>
        <w:rPr>
          <w:spacing w:val="-16"/>
        </w:rPr>
        <w:t> </w:t>
      </w:r>
      <w:r>
        <w:rPr/>
        <w:t>el</w:t>
      </w:r>
      <w:r>
        <w:rPr>
          <w:spacing w:val="-15"/>
        </w:rPr>
        <w:t> </w:t>
      </w:r>
      <w:r>
        <w:rPr/>
        <w:t>Plan</w:t>
      </w:r>
      <w:r>
        <w:rPr>
          <w:spacing w:val="-14"/>
        </w:rPr>
        <w:t> </w:t>
      </w:r>
      <w:r>
        <w:rPr/>
        <w:t>Nacional</w:t>
      </w:r>
      <w:r>
        <w:rPr>
          <w:spacing w:val="-14"/>
        </w:rPr>
        <w:t> </w:t>
      </w:r>
      <w:r>
        <w:rPr/>
        <w:t>de</w:t>
      </w:r>
      <w:r>
        <w:rPr>
          <w:spacing w:val="-16"/>
        </w:rPr>
        <w:t> </w:t>
      </w:r>
      <w:r>
        <w:rPr/>
        <w:t>Desarrollo.</w:t>
      </w:r>
    </w:p>
    <w:p>
      <w:pPr>
        <w:spacing w:before="204"/>
        <w:ind w:left="954" w:right="115" w:firstLine="0"/>
        <w:jc w:val="both"/>
        <w:rPr>
          <w:sz w:val="22"/>
        </w:rPr>
      </w:pPr>
      <w:r>
        <w:rPr>
          <w:sz w:val="22"/>
        </w:rPr>
        <w:t>La descentralización en sentido estricto es un acto jurídico-político por el cual la federación transfiere facultades, funciones, programas y recursos a una persona moral de derecho público con autonomía técnica y orgánica, reservándose lo</w:t>
      </w:r>
      <w:r>
        <w:rPr>
          <w:spacing w:val="-33"/>
          <w:sz w:val="22"/>
        </w:rPr>
        <w:t> </w:t>
      </w:r>
      <w:r>
        <w:rPr>
          <w:sz w:val="22"/>
        </w:rPr>
        <w:t>que la doctrina denomina control de tutela y, consecuentemente, rompiéndose la línea jerárquica entre el que descentraliza y el que recibe las facultades. La descentralización</w:t>
      </w:r>
      <w:r>
        <w:rPr>
          <w:spacing w:val="-11"/>
          <w:sz w:val="22"/>
        </w:rPr>
        <w:t> </w:t>
      </w:r>
      <w:r>
        <w:rPr>
          <w:sz w:val="22"/>
        </w:rPr>
        <w:t>puede</w:t>
      </w:r>
      <w:r>
        <w:rPr>
          <w:spacing w:val="-13"/>
          <w:sz w:val="22"/>
        </w:rPr>
        <w:t> </w:t>
      </w:r>
      <w:r>
        <w:rPr>
          <w:sz w:val="22"/>
        </w:rPr>
        <w:t>llevarse</w:t>
      </w:r>
      <w:r>
        <w:rPr>
          <w:spacing w:val="-11"/>
          <w:sz w:val="22"/>
        </w:rPr>
        <w:t> </w:t>
      </w:r>
      <w:r>
        <w:rPr>
          <w:sz w:val="22"/>
        </w:rPr>
        <w:t>a</w:t>
      </w:r>
      <w:r>
        <w:rPr>
          <w:spacing w:val="-11"/>
          <w:sz w:val="22"/>
        </w:rPr>
        <w:t> </w:t>
      </w:r>
      <w:r>
        <w:rPr>
          <w:sz w:val="22"/>
        </w:rPr>
        <w:t>la</w:t>
      </w:r>
      <w:r>
        <w:rPr>
          <w:spacing w:val="-12"/>
          <w:sz w:val="22"/>
        </w:rPr>
        <w:t> </w:t>
      </w:r>
      <w:r>
        <w:rPr>
          <w:sz w:val="22"/>
        </w:rPr>
        <w:t>práctica</w:t>
      </w:r>
      <w:r>
        <w:rPr>
          <w:spacing w:val="-11"/>
          <w:sz w:val="22"/>
        </w:rPr>
        <w:t> </w:t>
      </w:r>
      <w:r>
        <w:rPr>
          <w:sz w:val="22"/>
        </w:rPr>
        <w:t>en</w:t>
      </w:r>
      <w:r>
        <w:rPr>
          <w:spacing w:val="-14"/>
          <w:sz w:val="22"/>
        </w:rPr>
        <w:t> </w:t>
      </w:r>
      <w:r>
        <w:rPr>
          <w:sz w:val="22"/>
        </w:rPr>
        <w:t>dos</w:t>
      </w:r>
      <w:r>
        <w:rPr>
          <w:spacing w:val="-11"/>
          <w:sz w:val="22"/>
        </w:rPr>
        <w:t> </w:t>
      </w:r>
      <w:r>
        <w:rPr>
          <w:sz w:val="22"/>
        </w:rPr>
        <w:t>ámbitos:</w:t>
      </w:r>
      <w:r>
        <w:rPr>
          <w:spacing w:val="-13"/>
          <w:sz w:val="22"/>
        </w:rPr>
        <w:t> </w:t>
      </w:r>
      <w:r>
        <w:rPr>
          <w:sz w:val="22"/>
        </w:rPr>
        <w:t>a)</w:t>
      </w:r>
      <w:r>
        <w:rPr>
          <w:spacing w:val="-12"/>
          <w:sz w:val="22"/>
        </w:rPr>
        <w:t> </w:t>
      </w:r>
      <w:r>
        <w:rPr>
          <w:sz w:val="22"/>
        </w:rPr>
        <w:t>funcional,</w:t>
      </w:r>
      <w:r>
        <w:rPr>
          <w:spacing w:val="-12"/>
          <w:sz w:val="22"/>
        </w:rPr>
        <w:t> </w:t>
      </w:r>
      <w:r>
        <w:rPr>
          <w:sz w:val="22"/>
        </w:rPr>
        <w:t>cuando se transfieren facultades hacia un organismo público descentralizado, que forme parte de la Administración Pública Federal, y b) territorial, cuando se transfieren programas y recursos hacia los niveles estatal o municipal (Beltrán y Portilla, 1986:92).</w:t>
      </w:r>
    </w:p>
    <w:p>
      <w:pPr>
        <w:spacing w:after="0"/>
        <w:jc w:val="both"/>
        <w:rPr>
          <w:sz w:val="22"/>
        </w:rPr>
        <w:sectPr>
          <w:pgSz w:w="12240" w:h="15840"/>
          <w:pgMar w:header="0" w:footer="992" w:top="1360" w:bottom="1180" w:left="1600" w:right="1580"/>
        </w:sectPr>
      </w:pPr>
    </w:p>
    <w:p>
      <w:pPr>
        <w:pStyle w:val="BodyText"/>
        <w:rPr>
          <w:sz w:val="28"/>
        </w:rPr>
      </w:pPr>
    </w:p>
    <w:p>
      <w:pPr>
        <w:pStyle w:val="BodyText"/>
        <w:spacing w:line="360" w:lineRule="auto" w:before="70"/>
        <w:ind w:left="102" w:right="116"/>
        <w:jc w:val="both"/>
      </w:pPr>
      <w:r>
        <w:rPr/>
        <w:t>La</w:t>
      </w:r>
      <w:r>
        <w:rPr>
          <w:spacing w:val="-13"/>
        </w:rPr>
        <w:t> </w:t>
      </w:r>
      <w:r>
        <w:rPr/>
        <w:t>descentralización</w:t>
      </w:r>
      <w:r>
        <w:rPr>
          <w:spacing w:val="-13"/>
        </w:rPr>
        <w:t> </w:t>
      </w:r>
      <w:r>
        <w:rPr/>
        <w:t>es</w:t>
      </w:r>
      <w:r>
        <w:rPr>
          <w:spacing w:val="-14"/>
        </w:rPr>
        <w:t> </w:t>
      </w:r>
      <w:r>
        <w:rPr/>
        <w:t>lo</w:t>
      </w:r>
      <w:r>
        <w:rPr>
          <w:spacing w:val="-13"/>
        </w:rPr>
        <w:t> </w:t>
      </w:r>
      <w:r>
        <w:rPr/>
        <w:t>opuesto</w:t>
      </w:r>
      <w:r>
        <w:rPr>
          <w:spacing w:val="-13"/>
        </w:rPr>
        <w:t> </w:t>
      </w:r>
      <w:r>
        <w:rPr/>
        <w:t>a</w:t>
      </w:r>
      <w:r>
        <w:rPr>
          <w:spacing w:val="-13"/>
        </w:rPr>
        <w:t> </w:t>
      </w:r>
      <w:r>
        <w:rPr/>
        <w:t>la</w:t>
      </w:r>
      <w:r>
        <w:rPr>
          <w:spacing w:val="-13"/>
        </w:rPr>
        <w:t> </w:t>
      </w:r>
      <w:r>
        <w:rPr/>
        <w:t>centralización,</w:t>
      </w:r>
      <w:r>
        <w:rPr>
          <w:spacing w:val="-13"/>
        </w:rPr>
        <w:t> </w:t>
      </w:r>
      <w:r>
        <w:rPr/>
        <w:t>sin</w:t>
      </w:r>
      <w:r>
        <w:rPr>
          <w:spacing w:val="-13"/>
        </w:rPr>
        <w:t> </w:t>
      </w:r>
      <w:r>
        <w:rPr/>
        <w:t>embargo</w:t>
      </w:r>
      <w:r>
        <w:rPr>
          <w:spacing w:val="-13"/>
        </w:rPr>
        <w:t> </w:t>
      </w:r>
      <w:r>
        <w:rPr/>
        <w:t>en</w:t>
      </w:r>
      <w:r>
        <w:rPr>
          <w:spacing w:val="-13"/>
        </w:rPr>
        <w:t> </w:t>
      </w:r>
      <w:r>
        <w:rPr/>
        <w:t>el</w:t>
      </w:r>
      <w:r>
        <w:rPr>
          <w:spacing w:val="-14"/>
        </w:rPr>
        <w:t> </w:t>
      </w:r>
      <w:r>
        <w:rPr/>
        <w:t>mundo</w:t>
      </w:r>
      <w:r>
        <w:rPr>
          <w:spacing w:val="-13"/>
        </w:rPr>
        <w:t> </w:t>
      </w:r>
      <w:r>
        <w:rPr/>
        <w:t>real no existe la autonomía total en la toma de decisiones ni, por ende, la descentralización</w:t>
      </w:r>
      <w:r>
        <w:rPr>
          <w:spacing w:val="-14"/>
        </w:rPr>
        <w:t> </w:t>
      </w:r>
      <w:r>
        <w:rPr/>
        <w:t>como</w:t>
      </w:r>
      <w:r>
        <w:rPr>
          <w:spacing w:val="-14"/>
        </w:rPr>
        <w:t> </w:t>
      </w:r>
      <w:r>
        <w:rPr/>
        <w:t>tal.</w:t>
      </w:r>
      <w:r>
        <w:rPr>
          <w:spacing w:val="-15"/>
        </w:rPr>
        <w:t> </w:t>
      </w:r>
      <w:r>
        <w:rPr/>
        <w:t>Así,</w:t>
      </w:r>
      <w:r>
        <w:rPr>
          <w:spacing w:val="-14"/>
        </w:rPr>
        <w:t> </w:t>
      </w:r>
      <w:r>
        <w:rPr/>
        <w:t>“(…)</w:t>
      </w:r>
      <w:r>
        <w:rPr>
          <w:spacing w:val="-16"/>
        </w:rPr>
        <w:t> </w:t>
      </w:r>
      <w:r>
        <w:rPr/>
        <w:t>la</w:t>
      </w:r>
      <w:r>
        <w:rPr>
          <w:spacing w:val="-14"/>
        </w:rPr>
        <w:t> </w:t>
      </w:r>
      <w:r>
        <w:rPr/>
        <w:t>descentralización</w:t>
      </w:r>
      <w:r>
        <w:rPr>
          <w:spacing w:val="-14"/>
        </w:rPr>
        <w:t> </w:t>
      </w:r>
      <w:r>
        <w:rPr/>
        <w:t>debe</w:t>
      </w:r>
      <w:r>
        <w:rPr>
          <w:spacing w:val="-14"/>
        </w:rPr>
        <w:t> </w:t>
      </w:r>
      <w:r>
        <w:rPr/>
        <w:t>entenderse</w:t>
      </w:r>
      <w:r>
        <w:rPr>
          <w:spacing w:val="-15"/>
        </w:rPr>
        <w:t> </w:t>
      </w:r>
      <w:r>
        <w:rPr/>
        <w:t>como</w:t>
      </w:r>
      <w:r>
        <w:rPr>
          <w:spacing w:val="-14"/>
        </w:rPr>
        <w:t> </w:t>
      </w:r>
      <w:r>
        <w:rPr/>
        <w:t>un proceso antes que una meta o un objetivo final logrado plenamente </w:t>
      </w:r>
      <w:r>
        <w:rPr>
          <w:spacing w:val="5"/>
        </w:rPr>
        <w:t>en </w:t>
      </w:r>
      <w:r>
        <w:rPr/>
        <w:t>cierto periodo. En el lugar de ser algo que pueda lograrse, debe considerarse como una serie de medidas que se aplican para eliminar o por lo menos reducir el exceso de concentración” (Rodríguez,</w:t>
      </w:r>
      <w:r>
        <w:rPr>
          <w:spacing w:val="-13"/>
        </w:rPr>
        <w:t> </w:t>
      </w:r>
      <w:r>
        <w:rPr/>
        <w:t>1999:37).</w:t>
      </w:r>
    </w:p>
    <w:p>
      <w:pPr>
        <w:pStyle w:val="BodyText"/>
        <w:spacing w:before="1"/>
        <w:rPr>
          <w:sz w:val="21"/>
        </w:rPr>
      </w:pPr>
    </w:p>
    <w:p>
      <w:pPr>
        <w:pStyle w:val="BodyText"/>
        <w:spacing w:line="360" w:lineRule="auto" w:before="1"/>
        <w:ind w:left="102" w:right="116"/>
        <w:jc w:val="both"/>
      </w:pPr>
      <w:r>
        <w:rPr/>
        <w:t>Dado que Miguel de la Madrid era el autor del Plan Global de Desarrollo de José López Portillo, cuando se convirtió en el candidato presidencial del PRI había una buena probabilidad de que la descentralización se volvería un rubro principal de su programa gubernamental. “Descentralización implica un conjunto de vertientes que pasan por lo económico-regional, por procesos de ajuste entre actores políticos, por</w:t>
      </w:r>
      <w:r>
        <w:rPr>
          <w:spacing w:val="-7"/>
        </w:rPr>
        <w:t> </w:t>
      </w:r>
      <w:r>
        <w:rPr/>
        <w:t>sistemas</w:t>
      </w:r>
      <w:r>
        <w:rPr>
          <w:spacing w:val="-7"/>
        </w:rPr>
        <w:t> </w:t>
      </w:r>
      <w:r>
        <w:rPr/>
        <w:t>de</w:t>
      </w:r>
      <w:r>
        <w:rPr>
          <w:spacing w:val="-6"/>
        </w:rPr>
        <w:t> </w:t>
      </w:r>
      <w:r>
        <w:rPr/>
        <w:t>relaciones</w:t>
      </w:r>
      <w:r>
        <w:rPr>
          <w:spacing w:val="-7"/>
        </w:rPr>
        <w:t> </w:t>
      </w:r>
      <w:r>
        <w:rPr/>
        <w:t>sociales</w:t>
      </w:r>
      <w:r>
        <w:rPr>
          <w:spacing w:val="-7"/>
        </w:rPr>
        <w:t> </w:t>
      </w:r>
      <w:r>
        <w:rPr/>
        <w:t>locales,</w:t>
      </w:r>
      <w:r>
        <w:rPr>
          <w:spacing w:val="-8"/>
        </w:rPr>
        <w:t> </w:t>
      </w:r>
      <w:r>
        <w:rPr/>
        <w:t>por</w:t>
      </w:r>
      <w:r>
        <w:rPr>
          <w:spacing w:val="-7"/>
        </w:rPr>
        <w:t> </w:t>
      </w:r>
      <w:r>
        <w:rPr/>
        <w:t>redes</w:t>
      </w:r>
      <w:r>
        <w:rPr>
          <w:spacing w:val="-7"/>
        </w:rPr>
        <w:t> </w:t>
      </w:r>
      <w:r>
        <w:rPr/>
        <w:t>institucionales</w:t>
      </w:r>
      <w:r>
        <w:rPr>
          <w:spacing w:val="-9"/>
        </w:rPr>
        <w:t> </w:t>
      </w:r>
      <w:r>
        <w:rPr/>
        <w:t>y</w:t>
      </w:r>
      <w:r>
        <w:rPr>
          <w:spacing w:val="-9"/>
        </w:rPr>
        <w:t> </w:t>
      </w:r>
      <w:r>
        <w:rPr/>
        <w:t>procesos</w:t>
      </w:r>
      <w:r>
        <w:rPr>
          <w:spacing w:val="-7"/>
        </w:rPr>
        <w:t> </w:t>
      </w:r>
      <w:r>
        <w:rPr/>
        <w:t>de decisión que reconfiguren las estructuras de acción gubernamental” (Cabrero y Mejía,</w:t>
      </w:r>
      <w:r>
        <w:rPr>
          <w:spacing w:val="-5"/>
        </w:rPr>
        <w:t> </w:t>
      </w:r>
      <w:r>
        <w:rPr/>
        <w:t>2007:81).</w:t>
      </w:r>
    </w:p>
    <w:p>
      <w:pPr>
        <w:pStyle w:val="BodyText"/>
      </w:pPr>
    </w:p>
    <w:p>
      <w:pPr>
        <w:pStyle w:val="Heading1"/>
        <w:numPr>
          <w:ilvl w:val="2"/>
          <w:numId w:val="22"/>
        </w:numPr>
        <w:tabs>
          <w:tab w:pos="3122" w:val="left" w:leader="none"/>
        </w:tabs>
        <w:spacing w:line="240" w:lineRule="auto" w:before="205" w:after="0"/>
        <w:ind w:left="3121" w:right="0" w:hanging="780"/>
        <w:jc w:val="left"/>
      </w:pPr>
      <w:bookmarkStart w:name="_TOC_250032" w:id="20"/>
      <w:r>
        <w:rPr/>
        <w:t>Tipos de</w:t>
      </w:r>
      <w:r>
        <w:rPr>
          <w:spacing w:val="-12"/>
        </w:rPr>
        <w:t> </w:t>
      </w:r>
      <w:bookmarkEnd w:id="20"/>
      <w:r>
        <w:rPr/>
        <w:t>descentralización</w:t>
      </w:r>
    </w:p>
    <w:p>
      <w:pPr>
        <w:pStyle w:val="BodyText"/>
        <w:rPr>
          <w:b/>
          <w:sz w:val="28"/>
        </w:rPr>
      </w:pPr>
    </w:p>
    <w:p>
      <w:pPr>
        <w:pStyle w:val="BodyText"/>
        <w:rPr>
          <w:b/>
          <w:sz w:val="28"/>
        </w:rPr>
      </w:pPr>
    </w:p>
    <w:p>
      <w:pPr>
        <w:pStyle w:val="BodyText"/>
        <w:rPr>
          <w:b/>
          <w:sz w:val="28"/>
        </w:rPr>
      </w:pPr>
    </w:p>
    <w:p>
      <w:pPr>
        <w:pStyle w:val="BodyText"/>
        <w:spacing w:line="360" w:lineRule="auto" w:before="194"/>
        <w:ind w:left="102" w:right="126"/>
        <w:jc w:val="both"/>
      </w:pPr>
      <w:r>
        <w:rPr/>
        <w:t>La descentralización de la vida nacional propuesta por el gobierno de Miguel de la Madrid en 1982 obtuvo desde un principio el más amplio acuerdo como tarea impostergable para la modernización del país.</w:t>
      </w:r>
    </w:p>
    <w:p>
      <w:pPr>
        <w:pStyle w:val="BodyText"/>
        <w:spacing w:line="360" w:lineRule="auto" w:before="205"/>
        <w:ind w:left="102" w:right="119"/>
        <w:jc w:val="both"/>
      </w:pPr>
      <w:r>
        <w:rPr/>
        <w:t>Todos los tipos de descentralización sólo son variaciones del mismo fenómeno: la dispersión de funciones y de poder del centro a la periferia.</w:t>
      </w:r>
    </w:p>
    <w:p>
      <w:pPr>
        <w:pStyle w:val="BodyText"/>
        <w:spacing w:before="204"/>
        <w:ind w:left="102"/>
        <w:jc w:val="both"/>
      </w:pPr>
      <w:r>
        <w:rPr>
          <w:u w:val="single"/>
        </w:rPr>
        <w:t>Descentralización política.</w:t>
      </w:r>
    </w:p>
    <w:p>
      <w:pPr>
        <w:pStyle w:val="BodyText"/>
        <w:spacing w:before="4"/>
        <w:rPr>
          <w:sz w:val="23"/>
        </w:rPr>
      </w:pPr>
    </w:p>
    <w:p>
      <w:pPr>
        <w:pStyle w:val="BodyText"/>
        <w:spacing w:line="360" w:lineRule="auto" w:before="70"/>
        <w:ind w:left="102"/>
      </w:pPr>
      <w:r>
        <w:rPr/>
        <w:t>Rodríguez</w:t>
      </w:r>
      <w:r>
        <w:rPr>
          <w:spacing w:val="-15"/>
        </w:rPr>
        <w:t> </w:t>
      </w:r>
      <w:r>
        <w:rPr/>
        <w:t>(1999)</w:t>
      </w:r>
      <w:r>
        <w:rPr>
          <w:spacing w:val="-16"/>
        </w:rPr>
        <w:t> </w:t>
      </w:r>
      <w:r>
        <w:rPr/>
        <w:t>menciona</w:t>
      </w:r>
      <w:r>
        <w:rPr>
          <w:spacing w:val="-14"/>
        </w:rPr>
        <w:t> </w:t>
      </w:r>
      <w:r>
        <w:rPr/>
        <w:t>que</w:t>
      </w:r>
      <w:r>
        <w:rPr>
          <w:spacing w:val="-14"/>
        </w:rPr>
        <w:t> </w:t>
      </w:r>
      <w:r>
        <w:rPr/>
        <w:t>cuando</w:t>
      </w:r>
      <w:r>
        <w:rPr>
          <w:spacing w:val="-14"/>
        </w:rPr>
        <w:t> </w:t>
      </w:r>
      <w:r>
        <w:rPr/>
        <w:t>la</w:t>
      </w:r>
      <w:r>
        <w:rPr>
          <w:spacing w:val="-17"/>
        </w:rPr>
        <w:t> </w:t>
      </w:r>
      <w:r>
        <w:rPr/>
        <w:t>descentralización</w:t>
      </w:r>
      <w:r>
        <w:rPr>
          <w:spacing w:val="-14"/>
        </w:rPr>
        <w:t> </w:t>
      </w:r>
      <w:r>
        <w:rPr/>
        <w:t>política</w:t>
      </w:r>
      <w:r>
        <w:rPr>
          <w:spacing w:val="-16"/>
        </w:rPr>
        <w:t> </w:t>
      </w:r>
      <w:r>
        <w:rPr/>
        <w:t>se</w:t>
      </w:r>
      <w:r>
        <w:rPr>
          <w:spacing w:val="-14"/>
        </w:rPr>
        <w:t> </w:t>
      </w:r>
      <w:r>
        <w:rPr/>
        <w:t>lleva</w:t>
      </w:r>
      <w:r>
        <w:rPr>
          <w:spacing w:val="-14"/>
        </w:rPr>
        <w:t> </w:t>
      </w:r>
      <w:r>
        <w:rPr/>
        <w:t>a</w:t>
      </w:r>
      <w:r>
        <w:rPr>
          <w:spacing w:val="-14"/>
        </w:rPr>
        <w:t> </w:t>
      </w:r>
      <w:r>
        <w:rPr/>
        <w:t>cabo en</w:t>
      </w:r>
      <w:r>
        <w:rPr>
          <w:spacing w:val="-13"/>
        </w:rPr>
        <w:t> </w:t>
      </w:r>
      <w:r>
        <w:rPr/>
        <w:t>toda</w:t>
      </w:r>
      <w:r>
        <w:rPr>
          <w:spacing w:val="-13"/>
        </w:rPr>
        <w:t> </w:t>
      </w:r>
      <w:r>
        <w:rPr/>
        <w:t>su</w:t>
      </w:r>
      <w:r>
        <w:rPr>
          <w:spacing w:val="-13"/>
        </w:rPr>
        <w:t> </w:t>
      </w:r>
      <w:r>
        <w:rPr/>
        <w:t>extensión,</w:t>
      </w:r>
      <w:r>
        <w:rPr>
          <w:spacing w:val="-13"/>
        </w:rPr>
        <w:t> </w:t>
      </w:r>
      <w:r>
        <w:rPr/>
        <w:t>se</w:t>
      </w:r>
      <w:r>
        <w:rPr>
          <w:spacing w:val="-13"/>
        </w:rPr>
        <w:t> </w:t>
      </w:r>
      <w:r>
        <w:rPr/>
        <w:t>equipara</w:t>
      </w:r>
      <w:r>
        <w:rPr>
          <w:spacing w:val="-16"/>
        </w:rPr>
        <w:t> </w:t>
      </w:r>
      <w:r>
        <w:rPr/>
        <w:t>a</w:t>
      </w:r>
      <w:r>
        <w:rPr>
          <w:spacing w:val="-13"/>
        </w:rPr>
        <w:t> </w:t>
      </w:r>
      <w:r>
        <w:rPr/>
        <w:t>la</w:t>
      </w:r>
      <w:r>
        <w:rPr>
          <w:spacing w:val="-16"/>
        </w:rPr>
        <w:t> </w:t>
      </w:r>
      <w:r>
        <w:rPr/>
        <w:t>democratización,</w:t>
      </w:r>
      <w:r>
        <w:rPr>
          <w:spacing w:val="-13"/>
        </w:rPr>
        <w:t> </w:t>
      </w:r>
      <w:r>
        <w:rPr/>
        <w:t>a</w:t>
      </w:r>
      <w:r>
        <w:rPr>
          <w:spacing w:val="-13"/>
        </w:rPr>
        <w:t> </w:t>
      </w:r>
      <w:r>
        <w:rPr/>
        <w:t>la</w:t>
      </w:r>
      <w:r>
        <w:rPr>
          <w:spacing w:val="-16"/>
        </w:rPr>
        <w:t> </w:t>
      </w:r>
      <w:r>
        <w:rPr/>
        <w:t>participación</w:t>
      </w:r>
      <w:r>
        <w:rPr>
          <w:spacing w:val="-13"/>
        </w:rPr>
        <w:t> </w:t>
      </w:r>
      <w:r>
        <w:rPr/>
        <w:t>ciudadana</w:t>
      </w:r>
    </w:p>
    <w:p>
      <w:pPr>
        <w:spacing w:after="0" w:line="360" w:lineRule="auto"/>
        <w:sectPr>
          <w:pgSz w:w="12240" w:h="15840"/>
          <w:pgMar w:header="0" w:footer="992" w:top="1500" w:bottom="1180" w:left="1600" w:right="1580"/>
        </w:sectPr>
      </w:pPr>
    </w:p>
    <w:p>
      <w:pPr>
        <w:pStyle w:val="BodyText"/>
        <w:spacing w:line="360" w:lineRule="auto" w:before="54"/>
        <w:ind w:left="102" w:right="114"/>
        <w:jc w:val="both"/>
      </w:pPr>
      <w:r>
        <w:rPr/>
        <w:t>y al gobierno representativo. En esencia otorga mayor poder político al conceder autonomía a los ciudadanos y a sus representantes elegidos en la toma de decisiones y</w:t>
      </w:r>
      <w:r>
        <w:rPr>
          <w:spacing w:val="-47"/>
        </w:rPr>
        <w:t> </w:t>
      </w:r>
      <w:r>
        <w:rPr/>
        <w:t>en el control de recursos. “La descentralización política existe cuando, en una unidad estatal, las colectividades que la forman tienen su propia organización y regulan su existencia tanto en la esfera de la comunidad particular como en toda la sociedad, ésta a su vez concilia poder y libertad, fortaleciendo las relaciones entre el pueblo y el gobierno, dándole al ciudadano la oportunidad de seguirlos de cerca” (Pardo,</w:t>
      </w:r>
      <w:r>
        <w:rPr>
          <w:spacing w:val="-12"/>
        </w:rPr>
        <w:t> </w:t>
      </w:r>
      <w:r>
        <w:rPr/>
        <w:t>1986:119-120).</w:t>
      </w:r>
    </w:p>
    <w:p>
      <w:pPr>
        <w:pStyle w:val="BodyText"/>
        <w:spacing w:line="360" w:lineRule="auto" w:before="205"/>
        <w:ind w:left="102" w:right="122"/>
        <w:jc w:val="both"/>
      </w:pPr>
      <w:r>
        <w:rPr>
          <w:u w:val="single"/>
        </w:rPr>
        <w:t>Descentralización espacial</w:t>
      </w:r>
      <w:r>
        <w:rPr/>
        <w:t>. Se hace referencia al espacio territorial donde cada asentamiento tiene la capacidad para recaudar sus propios ingresos.</w:t>
      </w:r>
    </w:p>
    <w:p>
      <w:pPr>
        <w:spacing w:before="204"/>
        <w:ind w:left="954" w:right="114" w:firstLine="0"/>
        <w:jc w:val="both"/>
        <w:rPr>
          <w:sz w:val="22"/>
        </w:rPr>
      </w:pPr>
      <w:r>
        <w:rPr>
          <w:sz w:val="22"/>
        </w:rPr>
        <w:t>Su meta general es la búsqueda de un patrón de desarrollo urbano más balanceado que disperse geográficamente la población urbana y las actividades económicas</w:t>
      </w:r>
      <w:r>
        <w:rPr>
          <w:spacing w:val="-4"/>
          <w:sz w:val="22"/>
        </w:rPr>
        <w:t> </w:t>
      </w:r>
      <w:r>
        <w:rPr>
          <w:sz w:val="22"/>
        </w:rPr>
        <w:t>entre</w:t>
      </w:r>
      <w:r>
        <w:rPr>
          <w:spacing w:val="-6"/>
          <w:sz w:val="22"/>
        </w:rPr>
        <w:t> </w:t>
      </w:r>
      <w:r>
        <w:rPr>
          <w:sz w:val="22"/>
        </w:rPr>
        <w:t>asentamientos</w:t>
      </w:r>
      <w:r>
        <w:rPr>
          <w:spacing w:val="-6"/>
          <w:sz w:val="22"/>
        </w:rPr>
        <w:t> </w:t>
      </w:r>
      <w:r>
        <w:rPr>
          <w:sz w:val="22"/>
        </w:rPr>
        <w:t>de</w:t>
      </w:r>
      <w:r>
        <w:rPr>
          <w:spacing w:val="-4"/>
          <w:sz w:val="22"/>
        </w:rPr>
        <w:t> </w:t>
      </w:r>
      <w:r>
        <w:rPr>
          <w:sz w:val="22"/>
        </w:rPr>
        <w:t>diferentes</w:t>
      </w:r>
      <w:r>
        <w:rPr>
          <w:spacing w:val="-6"/>
          <w:sz w:val="22"/>
        </w:rPr>
        <w:t> </w:t>
      </w:r>
      <w:r>
        <w:rPr>
          <w:sz w:val="22"/>
        </w:rPr>
        <w:t>tamaños.</w:t>
      </w:r>
      <w:r>
        <w:rPr>
          <w:spacing w:val="-5"/>
          <w:sz w:val="22"/>
        </w:rPr>
        <w:t> </w:t>
      </w:r>
      <w:r>
        <w:rPr>
          <w:sz w:val="22"/>
        </w:rPr>
        <w:t>Esto</w:t>
      </w:r>
      <w:r>
        <w:rPr>
          <w:spacing w:val="-4"/>
          <w:sz w:val="22"/>
        </w:rPr>
        <w:t> </w:t>
      </w:r>
      <w:r>
        <w:rPr>
          <w:sz w:val="22"/>
        </w:rPr>
        <w:t>da</w:t>
      </w:r>
      <w:r>
        <w:rPr>
          <w:spacing w:val="-9"/>
          <w:sz w:val="22"/>
        </w:rPr>
        <w:t> </w:t>
      </w:r>
      <w:r>
        <w:rPr>
          <w:sz w:val="22"/>
        </w:rPr>
        <w:t>fortalecimiento</w:t>
      </w:r>
      <w:r>
        <w:rPr>
          <w:spacing w:val="-6"/>
          <w:sz w:val="22"/>
        </w:rPr>
        <w:t> </w:t>
      </w:r>
      <w:r>
        <w:rPr>
          <w:sz w:val="22"/>
        </w:rPr>
        <w:t>a la capacidad de las organizaciones públicas y privadas de las ciudades secundarias para recaudar sus propios ingresos que les permitan adquirir y suministrar</w:t>
      </w:r>
      <w:r>
        <w:rPr>
          <w:spacing w:val="-6"/>
          <w:sz w:val="22"/>
        </w:rPr>
        <w:t> </w:t>
      </w:r>
      <w:r>
        <w:rPr>
          <w:sz w:val="22"/>
        </w:rPr>
        <w:t>los</w:t>
      </w:r>
      <w:r>
        <w:rPr>
          <w:spacing w:val="-9"/>
          <w:sz w:val="22"/>
        </w:rPr>
        <w:t> </w:t>
      </w:r>
      <w:r>
        <w:rPr>
          <w:sz w:val="22"/>
        </w:rPr>
        <w:t>servicios,</w:t>
      </w:r>
      <w:r>
        <w:rPr>
          <w:spacing w:val="-8"/>
          <w:sz w:val="22"/>
        </w:rPr>
        <w:t> </w:t>
      </w:r>
      <w:r>
        <w:rPr>
          <w:sz w:val="22"/>
        </w:rPr>
        <w:t>las</w:t>
      </w:r>
      <w:r>
        <w:rPr>
          <w:spacing w:val="-7"/>
          <w:sz w:val="22"/>
        </w:rPr>
        <w:t> </w:t>
      </w:r>
      <w:r>
        <w:rPr>
          <w:sz w:val="22"/>
        </w:rPr>
        <w:t>instalaciones</w:t>
      </w:r>
      <w:r>
        <w:rPr>
          <w:spacing w:val="-7"/>
          <w:sz w:val="22"/>
        </w:rPr>
        <w:t> </w:t>
      </w:r>
      <w:r>
        <w:rPr>
          <w:sz w:val="22"/>
        </w:rPr>
        <w:t>y</w:t>
      </w:r>
      <w:r>
        <w:rPr>
          <w:spacing w:val="-8"/>
          <w:sz w:val="22"/>
        </w:rPr>
        <w:t> </w:t>
      </w:r>
      <w:r>
        <w:rPr>
          <w:sz w:val="22"/>
        </w:rPr>
        <w:t>las</w:t>
      </w:r>
      <w:r>
        <w:rPr>
          <w:spacing w:val="-9"/>
          <w:sz w:val="22"/>
        </w:rPr>
        <w:t> </w:t>
      </w:r>
      <w:r>
        <w:rPr>
          <w:sz w:val="22"/>
        </w:rPr>
        <w:t>actividades</w:t>
      </w:r>
      <w:r>
        <w:rPr>
          <w:spacing w:val="-7"/>
          <w:sz w:val="22"/>
        </w:rPr>
        <w:t> </w:t>
      </w:r>
      <w:r>
        <w:rPr>
          <w:sz w:val="22"/>
        </w:rPr>
        <w:t>productivas</w:t>
      </w:r>
      <w:r>
        <w:rPr>
          <w:spacing w:val="-7"/>
          <w:sz w:val="22"/>
        </w:rPr>
        <w:t> </w:t>
      </w:r>
      <w:r>
        <w:rPr>
          <w:sz w:val="22"/>
        </w:rPr>
        <w:t>requeridas por el desarrollo económico (Rodríguez,</w:t>
      </w:r>
      <w:r>
        <w:rPr>
          <w:spacing w:val="-15"/>
          <w:sz w:val="22"/>
        </w:rPr>
        <w:t> </w:t>
      </w:r>
      <w:r>
        <w:rPr>
          <w:sz w:val="22"/>
        </w:rPr>
        <w:t>1999:39).</w:t>
      </w:r>
    </w:p>
    <w:p>
      <w:pPr>
        <w:pStyle w:val="BodyText"/>
        <w:rPr>
          <w:sz w:val="22"/>
        </w:rPr>
      </w:pPr>
    </w:p>
    <w:p>
      <w:pPr>
        <w:pStyle w:val="BodyText"/>
        <w:rPr>
          <w:sz w:val="22"/>
        </w:rPr>
      </w:pPr>
    </w:p>
    <w:p>
      <w:pPr>
        <w:pStyle w:val="BodyText"/>
        <w:spacing w:before="149"/>
        <w:ind w:left="102"/>
        <w:jc w:val="both"/>
      </w:pPr>
      <w:r>
        <w:rPr>
          <w:u w:val="single"/>
        </w:rPr>
        <w:t>Descentralización administrativa</w:t>
      </w:r>
      <w:r>
        <w:rPr/>
        <w:t>.</w:t>
      </w:r>
    </w:p>
    <w:p>
      <w:pPr>
        <w:pStyle w:val="BodyText"/>
        <w:spacing w:before="4"/>
        <w:rPr>
          <w:sz w:val="23"/>
        </w:rPr>
      </w:pPr>
    </w:p>
    <w:p>
      <w:pPr>
        <w:pStyle w:val="BodyText"/>
        <w:spacing w:line="360" w:lineRule="auto" w:before="70"/>
        <w:ind w:left="102" w:right="116"/>
        <w:jc w:val="both"/>
      </w:pPr>
      <w:r>
        <w:rPr/>
        <w:t>Implica la transferencia de responsabilidades en planeación, administración, recolección</w:t>
      </w:r>
      <w:r>
        <w:rPr>
          <w:spacing w:val="-6"/>
        </w:rPr>
        <w:t> </w:t>
      </w:r>
      <w:r>
        <w:rPr/>
        <w:t>y</w:t>
      </w:r>
      <w:r>
        <w:rPr>
          <w:spacing w:val="-7"/>
        </w:rPr>
        <w:t> </w:t>
      </w:r>
      <w:r>
        <w:rPr/>
        <w:t>asignación</w:t>
      </w:r>
      <w:r>
        <w:rPr>
          <w:spacing w:val="-6"/>
        </w:rPr>
        <w:t> </w:t>
      </w:r>
      <w:r>
        <w:rPr/>
        <w:t>de</w:t>
      </w:r>
      <w:r>
        <w:rPr>
          <w:spacing w:val="-4"/>
        </w:rPr>
        <w:t> </w:t>
      </w:r>
      <w:r>
        <w:rPr/>
        <w:t>recursos</w:t>
      </w:r>
      <w:r>
        <w:rPr>
          <w:spacing w:val="-7"/>
        </w:rPr>
        <w:t> </w:t>
      </w:r>
      <w:r>
        <w:rPr/>
        <w:t>del</w:t>
      </w:r>
      <w:r>
        <w:rPr>
          <w:spacing w:val="-5"/>
        </w:rPr>
        <w:t> </w:t>
      </w:r>
      <w:r>
        <w:rPr/>
        <w:t>gobierno</w:t>
      </w:r>
      <w:r>
        <w:rPr>
          <w:spacing w:val="-4"/>
        </w:rPr>
        <w:t> </w:t>
      </w:r>
      <w:r>
        <w:rPr/>
        <w:t>central</w:t>
      </w:r>
      <w:r>
        <w:rPr>
          <w:spacing w:val="-5"/>
        </w:rPr>
        <w:t> </w:t>
      </w:r>
      <w:r>
        <w:rPr/>
        <w:t>y</w:t>
      </w:r>
      <w:r>
        <w:rPr>
          <w:spacing w:val="-7"/>
        </w:rPr>
        <w:t> </w:t>
      </w:r>
      <w:r>
        <w:rPr/>
        <w:t>sus</w:t>
      </w:r>
      <w:r>
        <w:rPr>
          <w:spacing w:val="-7"/>
        </w:rPr>
        <w:t> </w:t>
      </w:r>
      <w:r>
        <w:rPr/>
        <w:t>dependencias</w:t>
      </w:r>
      <w:r>
        <w:rPr>
          <w:spacing w:val="-6"/>
        </w:rPr>
        <w:t> </w:t>
      </w:r>
      <w:r>
        <w:rPr/>
        <w:t>a</w:t>
      </w:r>
      <w:r>
        <w:rPr>
          <w:spacing w:val="-4"/>
        </w:rPr>
        <w:t> </w:t>
      </w:r>
      <w:r>
        <w:rPr/>
        <w:t>las unidades de campo de las dependencias gubernamentales, en su caso a los gobiernos locales (estados y</w:t>
      </w:r>
      <w:r>
        <w:rPr>
          <w:spacing w:val="-9"/>
        </w:rPr>
        <w:t> </w:t>
      </w:r>
      <w:r>
        <w:rPr/>
        <w:t>municipios)</w:t>
      </w:r>
    </w:p>
    <w:p>
      <w:pPr>
        <w:pStyle w:val="BodyText"/>
      </w:pPr>
    </w:p>
    <w:p>
      <w:pPr>
        <w:pStyle w:val="Heading1"/>
        <w:numPr>
          <w:ilvl w:val="2"/>
          <w:numId w:val="22"/>
        </w:numPr>
        <w:tabs>
          <w:tab w:pos="3005" w:val="left" w:leader="none"/>
        </w:tabs>
        <w:spacing w:line="240" w:lineRule="auto" w:before="205" w:after="0"/>
        <w:ind w:left="3004" w:right="0" w:hanging="701"/>
        <w:jc w:val="left"/>
      </w:pPr>
      <w:bookmarkStart w:name="_TOC_250031" w:id="21"/>
      <w:r>
        <w:rPr/>
        <w:t>Modos de</w:t>
      </w:r>
      <w:r>
        <w:rPr>
          <w:spacing w:val="-11"/>
        </w:rPr>
        <w:t> </w:t>
      </w:r>
      <w:bookmarkEnd w:id="21"/>
      <w:r>
        <w:rPr/>
        <w:t>descentralización</w:t>
      </w:r>
    </w:p>
    <w:p>
      <w:pPr>
        <w:pStyle w:val="BodyText"/>
        <w:rPr>
          <w:b/>
          <w:sz w:val="28"/>
        </w:rPr>
      </w:pPr>
    </w:p>
    <w:p>
      <w:pPr>
        <w:pStyle w:val="BodyText"/>
        <w:spacing w:before="7"/>
        <w:rPr>
          <w:b/>
          <w:sz w:val="22"/>
        </w:rPr>
      </w:pPr>
    </w:p>
    <w:p>
      <w:pPr>
        <w:pStyle w:val="BodyText"/>
        <w:spacing w:line="360" w:lineRule="auto"/>
        <w:ind w:left="102" w:right="117"/>
        <w:jc w:val="both"/>
      </w:pPr>
      <w:r>
        <w:rPr/>
        <w:t>Conforme al estudio de Rodríguez (1999) hay tres formas de descentralización: la desconcentración, la delegación y la devolución, es importante realizar la</w:t>
      </w:r>
      <w:r>
        <w:rPr>
          <w:spacing w:val="-30"/>
        </w:rPr>
        <w:t> </w:t>
      </w:r>
      <w:r>
        <w:rPr/>
        <w:t>distinción entre estas tres, porque a menudo suelen</w:t>
      </w:r>
      <w:r>
        <w:rPr>
          <w:spacing w:val="-14"/>
        </w:rPr>
        <w:t> </w:t>
      </w:r>
      <w:r>
        <w:rPr/>
        <w:t>confundirse.</w:t>
      </w:r>
    </w:p>
    <w:p>
      <w:pPr>
        <w:pStyle w:val="BodyText"/>
        <w:spacing w:line="360" w:lineRule="auto" w:before="204"/>
        <w:ind w:left="102" w:right="123"/>
        <w:jc w:val="both"/>
      </w:pPr>
      <w:r>
        <w:rPr>
          <w:u w:val="single"/>
        </w:rPr>
        <w:t>Desconcentración</w:t>
      </w:r>
      <w:r>
        <w:rPr/>
        <w:t>.</w:t>
      </w:r>
      <w:r>
        <w:rPr>
          <w:spacing w:val="-15"/>
        </w:rPr>
        <w:t> </w:t>
      </w:r>
      <w:r>
        <w:rPr/>
        <w:t>Se</w:t>
      </w:r>
      <w:r>
        <w:rPr>
          <w:spacing w:val="-18"/>
        </w:rPr>
        <w:t> </w:t>
      </w:r>
      <w:r>
        <w:rPr/>
        <w:t>entiende</w:t>
      </w:r>
      <w:r>
        <w:rPr>
          <w:spacing w:val="-17"/>
        </w:rPr>
        <w:t> </w:t>
      </w:r>
      <w:r>
        <w:rPr/>
        <w:t>generalmente</w:t>
      </w:r>
      <w:r>
        <w:rPr>
          <w:spacing w:val="-17"/>
        </w:rPr>
        <w:t> </w:t>
      </w:r>
      <w:r>
        <w:rPr/>
        <w:t>como</w:t>
      </w:r>
      <w:r>
        <w:rPr>
          <w:spacing w:val="-18"/>
        </w:rPr>
        <w:t> </w:t>
      </w:r>
      <w:r>
        <w:rPr/>
        <w:t>una</w:t>
      </w:r>
      <w:r>
        <w:rPr>
          <w:spacing w:val="-15"/>
        </w:rPr>
        <w:t> </w:t>
      </w:r>
      <w:r>
        <w:rPr/>
        <w:t>transferencia</w:t>
      </w:r>
      <w:r>
        <w:rPr>
          <w:spacing w:val="-15"/>
        </w:rPr>
        <w:t> </w:t>
      </w:r>
      <w:r>
        <w:rPr/>
        <w:t>de</w:t>
      </w:r>
      <w:r>
        <w:rPr>
          <w:spacing w:val="-18"/>
        </w:rPr>
        <w:t> </w:t>
      </w:r>
      <w:r>
        <w:rPr/>
        <w:t>funciones, poderes y recursos a las oficinas estatales de dependencias centrales</w:t>
      </w:r>
      <w:r>
        <w:rPr>
          <w:spacing w:val="65"/>
        </w:rPr>
        <w:t> </w:t>
      </w:r>
      <w:r>
        <w:rPr/>
        <w:t>(federales).</w:t>
      </w:r>
    </w:p>
    <w:p>
      <w:pPr>
        <w:spacing w:after="0" w:line="360" w:lineRule="auto"/>
        <w:jc w:val="both"/>
        <w:sectPr>
          <w:footerReference w:type="default" r:id="rId33"/>
          <w:pgSz w:w="12240" w:h="15840"/>
          <w:pgMar w:footer="992" w:header="0" w:top="1360" w:bottom="1180" w:left="1600" w:right="1580"/>
        </w:sectPr>
      </w:pPr>
    </w:p>
    <w:p>
      <w:pPr>
        <w:pStyle w:val="BodyText"/>
        <w:spacing w:line="360" w:lineRule="auto" w:before="54"/>
        <w:ind w:left="102" w:right="114"/>
        <w:jc w:val="both"/>
      </w:pPr>
      <w:r>
        <w:rPr/>
        <w:t>La desconcentración significa un cambio de autoridad administrativa central. Se trata de una acción administrativa y no altera el flujo del mando en el sistema. “La desconcentración y delegación de facultades se describen como actos jurídico- administrativos que permiten a un funcionario y al titular de una dependencia transferir facultades a un subordinado o una unidad administrativa, respectivamente” (Beltrán y Portilla, 1986:93).</w:t>
      </w:r>
    </w:p>
    <w:p>
      <w:pPr>
        <w:pStyle w:val="BodyText"/>
        <w:spacing w:before="1"/>
        <w:rPr>
          <w:sz w:val="21"/>
        </w:rPr>
      </w:pPr>
    </w:p>
    <w:p>
      <w:pPr>
        <w:pStyle w:val="BodyText"/>
        <w:spacing w:line="360" w:lineRule="auto"/>
        <w:ind w:left="102" w:right="118" w:firstLine="67"/>
        <w:jc w:val="both"/>
      </w:pPr>
      <w:r>
        <w:rPr>
          <w:u w:val="single"/>
        </w:rPr>
        <w:t>Delegación. </w:t>
      </w:r>
      <w:r>
        <w:rPr/>
        <w:t>A través de la delegación, las Secretarías de Estado transfieren la responsabilidad de la toma de decisiones y la administración a organizaciones semiautónomas que no están enteramente controladas por el gobierno central. La delegación implica crear empresas y corporaciones públicas que puedan suministrar servicios en una forma más eficaz y eficiente que las burocracias centrales; al mismo tiempo, ofrece un mecanismo para la expansión de servicios que requieran grandes inversiones de capital.</w:t>
      </w:r>
    </w:p>
    <w:p>
      <w:pPr>
        <w:pStyle w:val="BodyText"/>
        <w:spacing w:line="360" w:lineRule="auto" w:before="204"/>
        <w:ind w:left="102" w:right="116"/>
        <w:jc w:val="both"/>
      </w:pPr>
      <w:r>
        <w:rPr>
          <w:u w:val="single"/>
        </w:rPr>
        <w:t>Devolución. </w:t>
      </w:r>
      <w:r>
        <w:rPr/>
        <w:t>Fortalece las relaciones entre el gobierno federal y los gobiernos estatales</w:t>
      </w:r>
      <w:r>
        <w:rPr>
          <w:spacing w:val="-4"/>
        </w:rPr>
        <w:t> </w:t>
      </w:r>
      <w:r>
        <w:rPr/>
        <w:t>y</w:t>
      </w:r>
      <w:r>
        <w:rPr>
          <w:spacing w:val="-6"/>
        </w:rPr>
        <w:t> </w:t>
      </w:r>
      <w:r>
        <w:rPr/>
        <w:t>municipales,</w:t>
      </w:r>
      <w:r>
        <w:rPr>
          <w:spacing w:val="-4"/>
        </w:rPr>
        <w:t> </w:t>
      </w:r>
      <w:r>
        <w:rPr/>
        <w:t>lo</w:t>
      </w:r>
      <w:r>
        <w:rPr>
          <w:spacing w:val="-4"/>
        </w:rPr>
        <w:t> </w:t>
      </w:r>
      <w:r>
        <w:rPr/>
        <w:t>cual</w:t>
      </w:r>
      <w:r>
        <w:rPr>
          <w:spacing w:val="-5"/>
        </w:rPr>
        <w:t> </w:t>
      </w:r>
      <w:r>
        <w:rPr/>
        <w:t>implica</w:t>
      </w:r>
      <w:r>
        <w:rPr>
          <w:spacing w:val="-4"/>
        </w:rPr>
        <w:t> </w:t>
      </w:r>
      <w:r>
        <w:rPr/>
        <w:t>una</w:t>
      </w:r>
      <w:r>
        <w:rPr>
          <w:spacing w:val="-4"/>
        </w:rPr>
        <w:t> </w:t>
      </w:r>
      <w:r>
        <w:rPr/>
        <w:t>autonomía</w:t>
      </w:r>
      <w:r>
        <w:rPr>
          <w:spacing w:val="-4"/>
        </w:rPr>
        <w:t> </w:t>
      </w:r>
      <w:r>
        <w:rPr/>
        <w:t>para</w:t>
      </w:r>
      <w:r>
        <w:rPr>
          <w:spacing w:val="-4"/>
        </w:rPr>
        <w:t> </w:t>
      </w:r>
      <w:r>
        <w:rPr/>
        <w:t>estos</w:t>
      </w:r>
      <w:r>
        <w:rPr>
          <w:spacing w:val="-4"/>
        </w:rPr>
        <w:t> </w:t>
      </w:r>
      <w:r>
        <w:rPr/>
        <w:t>dos.</w:t>
      </w:r>
      <w:r>
        <w:rPr>
          <w:spacing w:val="-4"/>
        </w:rPr>
        <w:t> </w:t>
      </w:r>
      <w:r>
        <w:rPr/>
        <w:t>Cuando</w:t>
      </w:r>
      <w:r>
        <w:rPr>
          <w:spacing w:val="-6"/>
        </w:rPr>
        <w:t> </w:t>
      </w:r>
      <w:r>
        <w:rPr/>
        <w:t>hay una devolución, se transfieren algunos elementos que fortalecen el control del centro a niveles gubernamentales inferiores. Así pues, la devolución transfiere responsabilidades a los municipios, los cuales eligen a sus propios funcionarios, recaudan</w:t>
      </w:r>
      <w:r>
        <w:rPr>
          <w:spacing w:val="-12"/>
        </w:rPr>
        <w:t> </w:t>
      </w:r>
      <w:r>
        <w:rPr/>
        <w:t>sus</w:t>
      </w:r>
      <w:r>
        <w:rPr>
          <w:spacing w:val="-15"/>
        </w:rPr>
        <w:t> </w:t>
      </w:r>
      <w:r>
        <w:rPr/>
        <w:t>propios</w:t>
      </w:r>
      <w:r>
        <w:rPr>
          <w:spacing w:val="-14"/>
        </w:rPr>
        <w:t> </w:t>
      </w:r>
      <w:r>
        <w:rPr/>
        <w:t>ingresos</w:t>
      </w:r>
      <w:r>
        <w:rPr>
          <w:spacing w:val="-13"/>
        </w:rPr>
        <w:t> </w:t>
      </w:r>
      <w:r>
        <w:rPr/>
        <w:t>y</w:t>
      </w:r>
      <w:r>
        <w:rPr>
          <w:spacing w:val="-15"/>
        </w:rPr>
        <w:t> </w:t>
      </w:r>
      <w:r>
        <w:rPr/>
        <w:t>tienen</w:t>
      </w:r>
      <w:r>
        <w:rPr>
          <w:spacing w:val="-12"/>
        </w:rPr>
        <w:t> </w:t>
      </w:r>
      <w:r>
        <w:rPr/>
        <w:t>una</w:t>
      </w:r>
      <w:r>
        <w:rPr>
          <w:spacing w:val="-14"/>
        </w:rPr>
        <w:t> </w:t>
      </w:r>
      <w:r>
        <w:rPr/>
        <w:t>autoridad</w:t>
      </w:r>
      <w:r>
        <w:rPr>
          <w:spacing w:val="-12"/>
        </w:rPr>
        <w:t> </w:t>
      </w:r>
      <w:r>
        <w:rPr/>
        <w:t>independiente</w:t>
      </w:r>
      <w:r>
        <w:rPr>
          <w:spacing w:val="-14"/>
        </w:rPr>
        <w:t> </w:t>
      </w:r>
      <w:r>
        <w:rPr/>
        <w:t>para</w:t>
      </w:r>
      <w:r>
        <w:rPr>
          <w:spacing w:val="-15"/>
        </w:rPr>
        <w:t> </w:t>
      </w:r>
      <w:r>
        <w:rPr/>
        <w:t>gastarlos, lo que distingue a un gobierno local independiente de una administración</w:t>
      </w:r>
      <w:r>
        <w:rPr>
          <w:spacing w:val="-30"/>
        </w:rPr>
        <w:t> </w:t>
      </w:r>
      <w:r>
        <w:rPr/>
        <w:t>local.</w:t>
      </w:r>
    </w:p>
    <w:p>
      <w:pPr>
        <w:pStyle w:val="BodyText"/>
      </w:pPr>
    </w:p>
    <w:p>
      <w:pPr>
        <w:pStyle w:val="Heading1"/>
        <w:numPr>
          <w:ilvl w:val="1"/>
          <w:numId w:val="22"/>
        </w:numPr>
        <w:tabs>
          <w:tab w:pos="1744" w:val="left" w:leader="none"/>
        </w:tabs>
        <w:spacing w:line="240" w:lineRule="auto" w:before="205" w:after="0"/>
        <w:ind w:left="1743" w:right="0" w:hanging="468"/>
        <w:jc w:val="left"/>
      </w:pPr>
      <w:bookmarkStart w:name="_TOC_250030" w:id="22"/>
      <w:r>
        <w:rPr/>
        <w:t>Política Social y Descentralización en</w:t>
      </w:r>
      <w:r>
        <w:rPr>
          <w:spacing w:val="-12"/>
        </w:rPr>
        <w:t> </w:t>
      </w:r>
      <w:bookmarkEnd w:id="22"/>
      <w:r>
        <w:rPr/>
        <w:t>México</w:t>
      </w:r>
    </w:p>
    <w:p>
      <w:pPr>
        <w:pStyle w:val="BodyText"/>
        <w:rPr>
          <w:b/>
          <w:sz w:val="28"/>
        </w:rPr>
      </w:pPr>
    </w:p>
    <w:p>
      <w:pPr>
        <w:pStyle w:val="BodyText"/>
        <w:rPr>
          <w:b/>
          <w:sz w:val="28"/>
        </w:rPr>
      </w:pPr>
    </w:p>
    <w:p>
      <w:pPr>
        <w:pStyle w:val="BodyText"/>
        <w:rPr>
          <w:b/>
          <w:sz w:val="28"/>
        </w:rPr>
      </w:pPr>
    </w:p>
    <w:p>
      <w:pPr>
        <w:pStyle w:val="BodyText"/>
        <w:spacing w:line="360" w:lineRule="auto" w:before="197"/>
        <w:ind w:left="102" w:right="115"/>
        <w:jc w:val="both"/>
      </w:pPr>
      <w:r>
        <w:rPr/>
        <w:t>La centralización de competencias en el ámbito federal, después de numerosas reformas constitucionales hechas desde 1921, llegó a tal punto que el Ejecutivo Federal reconoció la necesidad de iniciar un proceso descentralizador de la vida institucional. Para ello se actuó en correspondencia a las relaciones intergubernamentales   entre   federación,   estados   y   municipios,   se     decidió</w:t>
      </w:r>
    </w:p>
    <w:p>
      <w:pPr>
        <w:spacing w:after="0" w:line="360" w:lineRule="auto"/>
        <w:jc w:val="both"/>
        <w:sectPr>
          <w:footerReference w:type="default" r:id="rId34"/>
          <w:pgSz w:w="12240" w:h="15840"/>
          <w:pgMar w:footer="992" w:header="0" w:top="1360" w:bottom="1180" w:left="1600" w:right="1580"/>
          <w:pgNumType w:start="71"/>
        </w:sectPr>
      </w:pPr>
    </w:p>
    <w:p>
      <w:pPr>
        <w:pStyle w:val="BodyText"/>
        <w:spacing w:line="362" w:lineRule="auto" w:before="54"/>
        <w:ind w:left="102" w:right="115"/>
        <w:jc w:val="both"/>
      </w:pPr>
      <w:r>
        <w:rPr/>
        <w:t>reconocerle a éstos últimos personalidad jurídica, así como ciertas competencias básicas, a fin de dar mayor capacidad a los ayuntamientos.</w:t>
      </w:r>
    </w:p>
    <w:p>
      <w:pPr>
        <w:pStyle w:val="BodyText"/>
        <w:spacing w:before="10"/>
        <w:rPr>
          <w:sz w:val="20"/>
        </w:rPr>
      </w:pPr>
    </w:p>
    <w:p>
      <w:pPr>
        <w:pStyle w:val="BodyText"/>
        <w:spacing w:line="360" w:lineRule="auto"/>
        <w:ind w:left="102" w:right="116"/>
        <w:jc w:val="both"/>
      </w:pPr>
      <w:r>
        <w:rPr/>
        <w:t>Desde</w:t>
      </w:r>
      <w:r>
        <w:rPr>
          <w:spacing w:val="-6"/>
        </w:rPr>
        <w:t> </w:t>
      </w:r>
      <w:r>
        <w:rPr/>
        <w:t>hace</w:t>
      </w:r>
      <w:r>
        <w:rPr>
          <w:spacing w:val="-6"/>
        </w:rPr>
        <w:t> </w:t>
      </w:r>
      <w:r>
        <w:rPr/>
        <w:t>ya</w:t>
      </w:r>
      <w:r>
        <w:rPr>
          <w:spacing w:val="-4"/>
        </w:rPr>
        <w:t> </w:t>
      </w:r>
      <w:r>
        <w:rPr/>
        <w:t>varios</w:t>
      </w:r>
      <w:r>
        <w:rPr>
          <w:spacing w:val="-4"/>
        </w:rPr>
        <w:t> </w:t>
      </w:r>
      <w:r>
        <w:rPr/>
        <w:t>años,</w:t>
      </w:r>
      <w:r>
        <w:rPr>
          <w:spacing w:val="-6"/>
        </w:rPr>
        <w:t> </w:t>
      </w:r>
      <w:r>
        <w:rPr/>
        <w:t>el</w:t>
      </w:r>
      <w:r>
        <w:rPr>
          <w:spacing w:val="-5"/>
        </w:rPr>
        <w:t> </w:t>
      </w:r>
      <w:r>
        <w:rPr/>
        <w:t>gobierno</w:t>
      </w:r>
      <w:r>
        <w:rPr>
          <w:spacing w:val="-6"/>
        </w:rPr>
        <w:t> </w:t>
      </w:r>
      <w:r>
        <w:rPr/>
        <w:t>mexicano</w:t>
      </w:r>
      <w:r>
        <w:rPr>
          <w:spacing w:val="-6"/>
        </w:rPr>
        <w:t> </w:t>
      </w:r>
      <w:r>
        <w:rPr/>
        <w:t>ha</w:t>
      </w:r>
      <w:r>
        <w:rPr>
          <w:spacing w:val="-6"/>
        </w:rPr>
        <w:t> </w:t>
      </w:r>
      <w:r>
        <w:rPr/>
        <w:t>puesto</w:t>
      </w:r>
      <w:r>
        <w:rPr>
          <w:spacing w:val="-5"/>
        </w:rPr>
        <w:t> </w:t>
      </w:r>
      <w:r>
        <w:rPr/>
        <w:t>en</w:t>
      </w:r>
      <w:r>
        <w:rPr>
          <w:spacing w:val="-6"/>
        </w:rPr>
        <w:t> </w:t>
      </w:r>
      <w:r>
        <w:rPr/>
        <w:t>práctica,</w:t>
      </w:r>
      <w:r>
        <w:rPr>
          <w:spacing w:val="-4"/>
        </w:rPr>
        <w:t> </w:t>
      </w:r>
      <w:r>
        <w:rPr/>
        <w:t>políticas</w:t>
      </w:r>
      <w:r>
        <w:rPr>
          <w:spacing w:val="-4"/>
        </w:rPr>
        <w:t> </w:t>
      </w:r>
      <w:r>
        <w:rPr/>
        <w:t>y medidas tendientes a descentralizar la asignación de fondos hacia estados y municipios.</w:t>
      </w:r>
      <w:r>
        <w:rPr>
          <w:spacing w:val="-3"/>
        </w:rPr>
        <w:t> </w:t>
      </w:r>
      <w:r>
        <w:rPr/>
        <w:t>En</w:t>
      </w:r>
      <w:r>
        <w:rPr>
          <w:spacing w:val="-5"/>
        </w:rPr>
        <w:t> </w:t>
      </w:r>
      <w:r>
        <w:rPr/>
        <w:t>este</w:t>
      </w:r>
      <w:r>
        <w:rPr>
          <w:spacing w:val="-5"/>
        </w:rPr>
        <w:t> </w:t>
      </w:r>
      <w:r>
        <w:rPr/>
        <w:t>proceso,</w:t>
      </w:r>
      <w:r>
        <w:rPr>
          <w:spacing w:val="-5"/>
        </w:rPr>
        <w:t> </w:t>
      </w:r>
      <w:r>
        <w:rPr/>
        <w:t>estos</w:t>
      </w:r>
      <w:r>
        <w:rPr>
          <w:spacing w:val="-5"/>
        </w:rPr>
        <w:t> </w:t>
      </w:r>
      <w:r>
        <w:rPr/>
        <w:t>órdenes</w:t>
      </w:r>
      <w:r>
        <w:rPr>
          <w:spacing w:val="-6"/>
        </w:rPr>
        <w:t> </w:t>
      </w:r>
      <w:r>
        <w:rPr/>
        <w:t>de</w:t>
      </w:r>
      <w:r>
        <w:rPr>
          <w:spacing w:val="-3"/>
        </w:rPr>
        <w:t> </w:t>
      </w:r>
      <w:r>
        <w:rPr/>
        <w:t>gobierno</w:t>
      </w:r>
      <w:r>
        <w:rPr>
          <w:spacing w:val="-5"/>
        </w:rPr>
        <w:t> </w:t>
      </w:r>
      <w:r>
        <w:rPr/>
        <w:t>han</w:t>
      </w:r>
      <w:r>
        <w:rPr>
          <w:spacing w:val="-3"/>
        </w:rPr>
        <w:t> </w:t>
      </w:r>
      <w:r>
        <w:rPr/>
        <w:t>ido</w:t>
      </w:r>
      <w:r>
        <w:rPr>
          <w:spacing w:val="-3"/>
        </w:rPr>
        <w:t> </w:t>
      </w:r>
      <w:r>
        <w:rPr/>
        <w:t>renunciando</w:t>
      </w:r>
      <w:r>
        <w:rPr>
          <w:spacing w:val="-5"/>
        </w:rPr>
        <w:t> </w:t>
      </w:r>
      <w:r>
        <w:rPr/>
        <w:t>a</w:t>
      </w:r>
      <w:r>
        <w:rPr>
          <w:spacing w:val="-3"/>
        </w:rPr>
        <w:t> </w:t>
      </w:r>
      <w:r>
        <w:rPr/>
        <w:t>sus derechos tributarios y han requerido de mayores participaciones asignadas por el gobierno federal. Lo anterior ha motivado que se encuentre a discusión los mecanismos de distribución, diseñados para proporcionar a los gobiernos locales, una</w:t>
      </w:r>
      <w:r>
        <w:rPr>
          <w:spacing w:val="-15"/>
        </w:rPr>
        <w:t> </w:t>
      </w:r>
      <w:r>
        <w:rPr/>
        <w:t>estructura</w:t>
      </w:r>
      <w:r>
        <w:rPr>
          <w:spacing w:val="-16"/>
        </w:rPr>
        <w:t> </w:t>
      </w:r>
      <w:r>
        <w:rPr/>
        <w:t>más</w:t>
      </w:r>
      <w:r>
        <w:rPr>
          <w:spacing w:val="-16"/>
        </w:rPr>
        <w:t> </w:t>
      </w:r>
      <w:r>
        <w:rPr/>
        <w:t>eficiente</w:t>
      </w:r>
      <w:r>
        <w:rPr>
          <w:spacing w:val="-15"/>
        </w:rPr>
        <w:t> </w:t>
      </w:r>
      <w:r>
        <w:rPr/>
        <w:t>en</w:t>
      </w:r>
      <w:r>
        <w:rPr>
          <w:spacing w:val="-15"/>
        </w:rPr>
        <w:t> </w:t>
      </w:r>
      <w:r>
        <w:rPr/>
        <w:t>la</w:t>
      </w:r>
      <w:r>
        <w:rPr>
          <w:spacing w:val="-16"/>
        </w:rPr>
        <w:t> </w:t>
      </w:r>
      <w:r>
        <w:rPr/>
        <w:t>recaudación</w:t>
      </w:r>
      <w:r>
        <w:rPr>
          <w:spacing w:val="-15"/>
        </w:rPr>
        <w:t> </w:t>
      </w:r>
      <w:r>
        <w:rPr/>
        <w:t>de</w:t>
      </w:r>
      <w:r>
        <w:rPr>
          <w:spacing w:val="-15"/>
        </w:rPr>
        <w:t> </w:t>
      </w:r>
      <w:r>
        <w:rPr/>
        <w:t>ingresos</w:t>
      </w:r>
      <w:r>
        <w:rPr>
          <w:spacing w:val="-16"/>
        </w:rPr>
        <w:t> </w:t>
      </w:r>
      <w:r>
        <w:rPr/>
        <w:t>propios.</w:t>
      </w:r>
      <w:r>
        <w:rPr>
          <w:spacing w:val="-16"/>
        </w:rPr>
        <w:t> </w:t>
      </w:r>
      <w:r>
        <w:rPr/>
        <w:t>En</w:t>
      </w:r>
      <w:r>
        <w:rPr>
          <w:spacing w:val="-12"/>
        </w:rPr>
        <w:t> </w:t>
      </w:r>
      <w:r>
        <w:rPr/>
        <w:t>este</w:t>
      </w:r>
      <w:r>
        <w:rPr>
          <w:spacing w:val="-12"/>
        </w:rPr>
        <w:t> </w:t>
      </w:r>
      <w:r>
        <w:rPr/>
        <w:t>sentido, la</w:t>
      </w:r>
      <w:r>
        <w:rPr>
          <w:spacing w:val="-6"/>
        </w:rPr>
        <w:t> </w:t>
      </w:r>
      <w:r>
        <w:rPr/>
        <w:t>coordinación</w:t>
      </w:r>
      <w:r>
        <w:rPr>
          <w:spacing w:val="-8"/>
        </w:rPr>
        <w:t> </w:t>
      </w:r>
      <w:r>
        <w:rPr/>
        <w:t>fiscal</w:t>
      </w:r>
      <w:r>
        <w:rPr>
          <w:spacing w:val="-7"/>
        </w:rPr>
        <w:t> </w:t>
      </w:r>
      <w:r>
        <w:rPr/>
        <w:t>es</w:t>
      </w:r>
      <w:r>
        <w:rPr>
          <w:spacing w:val="-7"/>
        </w:rPr>
        <w:t> </w:t>
      </w:r>
      <w:r>
        <w:rPr/>
        <w:t>vista</w:t>
      </w:r>
      <w:r>
        <w:rPr>
          <w:spacing w:val="-6"/>
        </w:rPr>
        <w:t> </w:t>
      </w:r>
      <w:r>
        <w:rPr/>
        <w:t>como</w:t>
      </w:r>
      <w:r>
        <w:rPr>
          <w:spacing w:val="-6"/>
        </w:rPr>
        <w:t> </w:t>
      </w:r>
      <w:r>
        <w:rPr/>
        <w:t>un</w:t>
      </w:r>
      <w:r>
        <w:rPr>
          <w:spacing w:val="-6"/>
        </w:rPr>
        <w:t> </w:t>
      </w:r>
      <w:r>
        <w:rPr/>
        <w:t>reto</w:t>
      </w:r>
      <w:r>
        <w:rPr>
          <w:spacing w:val="-6"/>
        </w:rPr>
        <w:t> </w:t>
      </w:r>
      <w:r>
        <w:rPr/>
        <w:t>del</w:t>
      </w:r>
      <w:r>
        <w:rPr>
          <w:spacing w:val="-7"/>
        </w:rPr>
        <w:t> </w:t>
      </w:r>
      <w:r>
        <w:rPr/>
        <w:t>sistema</w:t>
      </w:r>
      <w:r>
        <w:rPr>
          <w:spacing w:val="-8"/>
        </w:rPr>
        <w:t> </w:t>
      </w:r>
      <w:r>
        <w:rPr/>
        <w:t>federal,</w:t>
      </w:r>
      <w:r>
        <w:rPr>
          <w:spacing w:val="-7"/>
        </w:rPr>
        <w:t> </w:t>
      </w:r>
      <w:r>
        <w:rPr/>
        <w:t>en</w:t>
      </w:r>
      <w:r>
        <w:rPr>
          <w:spacing w:val="-8"/>
        </w:rPr>
        <w:t> </w:t>
      </w:r>
      <w:r>
        <w:rPr/>
        <w:t>el</w:t>
      </w:r>
      <w:r>
        <w:rPr>
          <w:spacing w:val="-7"/>
        </w:rPr>
        <w:t> </w:t>
      </w:r>
      <w:r>
        <w:rPr/>
        <w:t>que</w:t>
      </w:r>
      <w:r>
        <w:rPr>
          <w:spacing w:val="-6"/>
        </w:rPr>
        <w:t> </w:t>
      </w:r>
      <w:r>
        <w:rPr/>
        <w:t>se</w:t>
      </w:r>
      <w:r>
        <w:rPr>
          <w:spacing w:val="-6"/>
        </w:rPr>
        <w:t> </w:t>
      </w:r>
      <w:r>
        <w:rPr/>
        <w:t>debate la centralización y la descentralización</w:t>
      </w:r>
      <w:r>
        <w:rPr>
          <w:spacing w:val="-15"/>
        </w:rPr>
        <w:t> </w:t>
      </w:r>
      <w:r>
        <w:rPr/>
        <w:t>financiera.</w:t>
      </w:r>
    </w:p>
    <w:p>
      <w:pPr>
        <w:pStyle w:val="BodyText"/>
        <w:spacing w:before="3"/>
        <w:rPr>
          <w:sz w:val="21"/>
        </w:rPr>
      </w:pPr>
    </w:p>
    <w:p>
      <w:pPr>
        <w:spacing w:before="0"/>
        <w:ind w:left="954" w:right="117" w:firstLine="0"/>
        <w:jc w:val="both"/>
        <w:rPr>
          <w:sz w:val="22"/>
        </w:rPr>
      </w:pPr>
      <w:r>
        <w:rPr>
          <w:sz w:val="22"/>
        </w:rPr>
        <w:t>La economía, por sí sola, no puede ofrecer ni a corto ni a largo</w:t>
      </w:r>
      <w:r>
        <w:rPr>
          <w:spacing w:val="-43"/>
          <w:sz w:val="22"/>
        </w:rPr>
        <w:t> </w:t>
      </w:r>
      <w:r>
        <w:rPr>
          <w:sz w:val="22"/>
        </w:rPr>
        <w:t>plazo mecanismos eficientes</w:t>
      </w:r>
      <w:r>
        <w:rPr>
          <w:spacing w:val="-19"/>
          <w:sz w:val="22"/>
        </w:rPr>
        <w:t> </w:t>
      </w:r>
      <w:r>
        <w:rPr>
          <w:sz w:val="22"/>
        </w:rPr>
        <w:t>para</w:t>
      </w:r>
      <w:r>
        <w:rPr>
          <w:spacing w:val="-19"/>
          <w:sz w:val="22"/>
        </w:rPr>
        <w:t> </w:t>
      </w:r>
      <w:r>
        <w:rPr>
          <w:sz w:val="22"/>
        </w:rPr>
        <w:t>atenuar</w:t>
      </w:r>
      <w:r>
        <w:rPr>
          <w:spacing w:val="-17"/>
          <w:sz w:val="22"/>
        </w:rPr>
        <w:t> </w:t>
      </w:r>
      <w:r>
        <w:rPr>
          <w:sz w:val="22"/>
        </w:rPr>
        <w:t>la</w:t>
      </w:r>
      <w:r>
        <w:rPr>
          <w:spacing w:val="-19"/>
          <w:sz w:val="22"/>
        </w:rPr>
        <w:t> </w:t>
      </w:r>
      <w:r>
        <w:rPr>
          <w:sz w:val="22"/>
        </w:rPr>
        <w:t>desigualdad</w:t>
      </w:r>
      <w:r>
        <w:rPr>
          <w:spacing w:val="-16"/>
          <w:sz w:val="22"/>
        </w:rPr>
        <w:t> </w:t>
      </w:r>
      <w:r>
        <w:rPr>
          <w:sz w:val="22"/>
        </w:rPr>
        <w:t>y</w:t>
      </w:r>
      <w:r>
        <w:rPr>
          <w:spacing w:val="-20"/>
          <w:sz w:val="22"/>
        </w:rPr>
        <w:t> </w:t>
      </w:r>
      <w:r>
        <w:rPr>
          <w:sz w:val="22"/>
        </w:rPr>
        <w:t>sentar</w:t>
      </w:r>
      <w:r>
        <w:rPr>
          <w:spacing w:val="-15"/>
          <w:sz w:val="22"/>
        </w:rPr>
        <w:t> </w:t>
      </w:r>
      <w:r>
        <w:rPr>
          <w:sz w:val="22"/>
        </w:rPr>
        <w:t>las</w:t>
      </w:r>
      <w:r>
        <w:rPr>
          <w:spacing w:val="-21"/>
          <w:sz w:val="22"/>
        </w:rPr>
        <w:t> </w:t>
      </w:r>
      <w:r>
        <w:rPr>
          <w:sz w:val="22"/>
        </w:rPr>
        <w:t>bases</w:t>
      </w:r>
      <w:r>
        <w:rPr>
          <w:spacing w:val="-16"/>
          <w:sz w:val="22"/>
        </w:rPr>
        <w:t> </w:t>
      </w:r>
      <w:r>
        <w:rPr>
          <w:sz w:val="22"/>
        </w:rPr>
        <w:t>de</w:t>
      </w:r>
      <w:r>
        <w:rPr>
          <w:spacing w:val="-19"/>
          <w:sz w:val="22"/>
        </w:rPr>
        <w:t> </w:t>
      </w:r>
      <w:r>
        <w:rPr>
          <w:sz w:val="22"/>
        </w:rPr>
        <w:t>una</w:t>
      </w:r>
      <w:r>
        <w:rPr>
          <w:spacing w:val="-19"/>
          <w:sz w:val="22"/>
        </w:rPr>
        <w:t> </w:t>
      </w:r>
      <w:r>
        <w:rPr>
          <w:sz w:val="22"/>
        </w:rPr>
        <w:t>equidad</w:t>
      </w:r>
      <w:r>
        <w:rPr>
          <w:spacing w:val="-19"/>
          <w:sz w:val="22"/>
        </w:rPr>
        <w:t> </w:t>
      </w:r>
      <w:r>
        <w:rPr>
          <w:sz w:val="22"/>
        </w:rPr>
        <w:t>coherente con</w:t>
      </w:r>
      <w:r>
        <w:rPr>
          <w:spacing w:val="-7"/>
          <w:sz w:val="22"/>
        </w:rPr>
        <w:t> </w:t>
      </w:r>
      <w:r>
        <w:rPr>
          <w:sz w:val="22"/>
        </w:rPr>
        <w:t>los</w:t>
      </w:r>
      <w:r>
        <w:rPr>
          <w:spacing w:val="-6"/>
          <w:sz w:val="22"/>
        </w:rPr>
        <w:t> </w:t>
      </w:r>
      <w:r>
        <w:rPr>
          <w:sz w:val="22"/>
        </w:rPr>
        <w:t>nuevos</w:t>
      </w:r>
      <w:r>
        <w:rPr>
          <w:spacing w:val="-9"/>
          <w:sz w:val="22"/>
        </w:rPr>
        <w:t> </w:t>
      </w:r>
      <w:r>
        <w:rPr>
          <w:sz w:val="22"/>
        </w:rPr>
        <w:t>términos</w:t>
      </w:r>
      <w:r>
        <w:rPr>
          <w:spacing w:val="-8"/>
          <w:sz w:val="22"/>
        </w:rPr>
        <w:t> </w:t>
      </w:r>
      <w:r>
        <w:rPr>
          <w:sz w:val="22"/>
        </w:rPr>
        <w:t>de</w:t>
      </w:r>
      <w:r>
        <w:rPr>
          <w:spacing w:val="-9"/>
          <w:sz w:val="22"/>
        </w:rPr>
        <w:t> </w:t>
      </w:r>
      <w:r>
        <w:rPr>
          <w:sz w:val="22"/>
        </w:rPr>
        <w:t>funcionamiento</w:t>
      </w:r>
      <w:r>
        <w:rPr>
          <w:spacing w:val="-9"/>
          <w:sz w:val="22"/>
        </w:rPr>
        <w:t> </w:t>
      </w:r>
      <w:r>
        <w:rPr>
          <w:sz w:val="22"/>
        </w:rPr>
        <w:t>de</w:t>
      </w:r>
      <w:r>
        <w:rPr>
          <w:spacing w:val="-7"/>
          <w:sz w:val="22"/>
        </w:rPr>
        <w:t> </w:t>
      </w:r>
      <w:r>
        <w:rPr>
          <w:sz w:val="22"/>
        </w:rPr>
        <w:t>la</w:t>
      </w:r>
      <w:r>
        <w:rPr>
          <w:spacing w:val="-9"/>
          <w:sz w:val="22"/>
        </w:rPr>
        <w:t> </w:t>
      </w:r>
      <w:r>
        <w:rPr>
          <w:sz w:val="22"/>
        </w:rPr>
        <w:t>maquinaria</w:t>
      </w:r>
      <w:r>
        <w:rPr>
          <w:spacing w:val="-6"/>
          <w:sz w:val="22"/>
        </w:rPr>
        <w:t> </w:t>
      </w:r>
      <w:r>
        <w:rPr>
          <w:sz w:val="22"/>
        </w:rPr>
        <w:t>económica.</w:t>
      </w:r>
      <w:r>
        <w:rPr>
          <w:spacing w:val="-10"/>
          <w:sz w:val="22"/>
        </w:rPr>
        <w:t> </w:t>
      </w:r>
      <w:r>
        <w:rPr>
          <w:sz w:val="22"/>
        </w:rPr>
        <w:t>De</w:t>
      </w:r>
      <w:r>
        <w:rPr>
          <w:spacing w:val="-6"/>
          <w:sz w:val="22"/>
        </w:rPr>
        <w:t> </w:t>
      </w:r>
      <w:r>
        <w:rPr>
          <w:sz w:val="22"/>
        </w:rPr>
        <w:t>ahí</w:t>
      </w:r>
      <w:r>
        <w:rPr>
          <w:spacing w:val="-10"/>
          <w:sz w:val="22"/>
        </w:rPr>
        <w:t> </w:t>
      </w:r>
      <w:r>
        <w:rPr>
          <w:sz w:val="22"/>
        </w:rPr>
        <w:t>la importancia de la política social y la pertinencia de preguntarse por el papel que puede tener la solidaridad social, como un modo eficaz de propiciar nuevas maneras de intercambio político y social (Cordera y Cabrera,</w:t>
      </w:r>
      <w:r>
        <w:rPr>
          <w:spacing w:val="-17"/>
          <w:sz w:val="22"/>
        </w:rPr>
        <w:t> </w:t>
      </w:r>
      <w:r>
        <w:rPr>
          <w:sz w:val="22"/>
        </w:rPr>
        <w:t>1996:47).</w:t>
      </w:r>
    </w:p>
    <w:p>
      <w:pPr>
        <w:pStyle w:val="BodyText"/>
        <w:rPr>
          <w:sz w:val="22"/>
        </w:rPr>
      </w:pPr>
    </w:p>
    <w:p>
      <w:pPr>
        <w:pStyle w:val="BodyText"/>
        <w:rPr>
          <w:sz w:val="22"/>
        </w:rPr>
      </w:pPr>
    </w:p>
    <w:p>
      <w:pPr>
        <w:pStyle w:val="BodyText"/>
        <w:spacing w:line="360" w:lineRule="auto" w:before="146"/>
        <w:ind w:left="102" w:right="117"/>
        <w:jc w:val="both"/>
      </w:pPr>
      <w:r>
        <w:rPr/>
        <w:t>Al considerar la política social, se parte de dos momentos que dieron pie a esta misma, y que dió concepción al desarrollo del país. Por un lado, está el modelo de Estado</w:t>
      </w:r>
      <w:r>
        <w:rPr>
          <w:spacing w:val="-17"/>
        </w:rPr>
        <w:t> </w:t>
      </w:r>
      <w:r>
        <w:rPr/>
        <w:t>Desarrollador</w:t>
      </w:r>
      <w:r>
        <w:rPr>
          <w:spacing w:val="-18"/>
        </w:rPr>
        <w:t> </w:t>
      </w:r>
      <w:r>
        <w:rPr/>
        <w:t>que</w:t>
      </w:r>
      <w:r>
        <w:rPr>
          <w:spacing w:val="-17"/>
        </w:rPr>
        <w:t> </w:t>
      </w:r>
      <w:r>
        <w:rPr/>
        <w:t>consistió</w:t>
      </w:r>
      <w:r>
        <w:rPr>
          <w:spacing w:val="-19"/>
        </w:rPr>
        <w:t> </w:t>
      </w:r>
      <w:r>
        <w:rPr/>
        <w:t>en</w:t>
      </w:r>
      <w:r>
        <w:rPr>
          <w:spacing w:val="-17"/>
        </w:rPr>
        <w:t> </w:t>
      </w:r>
      <w:r>
        <w:rPr/>
        <w:t>la</w:t>
      </w:r>
      <w:r>
        <w:rPr>
          <w:spacing w:val="-19"/>
        </w:rPr>
        <w:t> </w:t>
      </w:r>
      <w:r>
        <w:rPr/>
        <w:t>capacidad</w:t>
      </w:r>
      <w:r>
        <w:rPr>
          <w:spacing w:val="-19"/>
        </w:rPr>
        <w:t> </w:t>
      </w:r>
      <w:r>
        <w:rPr/>
        <w:t>de</w:t>
      </w:r>
      <w:r>
        <w:rPr>
          <w:spacing w:val="-19"/>
        </w:rPr>
        <w:t> </w:t>
      </w:r>
      <w:r>
        <w:rPr/>
        <w:t>las</w:t>
      </w:r>
      <w:r>
        <w:rPr>
          <w:spacing w:val="-19"/>
        </w:rPr>
        <w:t> </w:t>
      </w:r>
      <w:r>
        <w:rPr/>
        <w:t>instituciones</w:t>
      </w:r>
      <w:r>
        <w:rPr>
          <w:spacing w:val="-17"/>
        </w:rPr>
        <w:t> </w:t>
      </w:r>
      <w:r>
        <w:rPr/>
        <w:t>para</w:t>
      </w:r>
      <w:r>
        <w:rPr>
          <w:spacing w:val="-17"/>
        </w:rPr>
        <w:t> </w:t>
      </w:r>
      <w:r>
        <w:rPr/>
        <w:t>generar crecimiento económico y el modelo de Estado donde la participación de la ciudadanía y el mundo de lo privado son productores de</w:t>
      </w:r>
      <w:r>
        <w:rPr>
          <w:spacing w:val="-28"/>
        </w:rPr>
        <w:t> </w:t>
      </w:r>
      <w:r>
        <w:rPr/>
        <w:t>riqueza.</w:t>
      </w:r>
    </w:p>
    <w:p>
      <w:pPr>
        <w:pStyle w:val="BodyText"/>
        <w:spacing w:line="360" w:lineRule="auto" w:before="204"/>
        <w:ind w:left="102" w:right="115"/>
        <w:jc w:val="both"/>
        <w:rPr>
          <w:sz w:val="22"/>
        </w:rPr>
      </w:pPr>
      <w:r>
        <w:rPr/>
        <w:t>A partir de 1917 el lema de justicia social se convirtió en el sello distintivo de los gobiernos sucesivos y con ese sentido el Estado justificó cada acto, llámese en materia de educación, industrialización, de seguridad social, entre otros, sólo por poner algún ejemplo</w:t>
      </w:r>
      <w:r>
        <w:rPr>
          <w:sz w:val="22"/>
        </w:rPr>
        <w:t>.</w:t>
      </w:r>
    </w:p>
    <w:p>
      <w:pPr>
        <w:pStyle w:val="BodyText"/>
        <w:spacing w:line="360" w:lineRule="auto" w:before="204"/>
        <w:ind w:left="102" w:right="117"/>
        <w:jc w:val="both"/>
      </w:pPr>
      <w:r>
        <w:rPr/>
        <w:t>Con</w:t>
      </w:r>
      <w:r>
        <w:rPr>
          <w:spacing w:val="-8"/>
        </w:rPr>
        <w:t> </w:t>
      </w:r>
      <w:r>
        <w:rPr/>
        <w:t>la</w:t>
      </w:r>
      <w:r>
        <w:rPr>
          <w:spacing w:val="-9"/>
        </w:rPr>
        <w:t> </w:t>
      </w:r>
      <w:r>
        <w:rPr/>
        <w:t>crisis</w:t>
      </w:r>
      <w:r>
        <w:rPr>
          <w:spacing w:val="-10"/>
        </w:rPr>
        <w:t> </w:t>
      </w:r>
      <w:r>
        <w:rPr/>
        <w:t>de</w:t>
      </w:r>
      <w:r>
        <w:rPr>
          <w:spacing w:val="-11"/>
        </w:rPr>
        <w:t> </w:t>
      </w:r>
      <w:r>
        <w:rPr/>
        <w:t>1929</w:t>
      </w:r>
      <w:r>
        <w:rPr>
          <w:spacing w:val="-8"/>
        </w:rPr>
        <w:t> </w:t>
      </w:r>
      <w:r>
        <w:rPr/>
        <w:t>el</w:t>
      </w:r>
      <w:r>
        <w:rPr>
          <w:spacing w:val="-10"/>
        </w:rPr>
        <w:t> </w:t>
      </w:r>
      <w:r>
        <w:rPr/>
        <w:t>Estado</w:t>
      </w:r>
      <w:r>
        <w:rPr>
          <w:spacing w:val="-11"/>
        </w:rPr>
        <w:t> </w:t>
      </w:r>
      <w:r>
        <w:rPr/>
        <w:t>mexicano</w:t>
      </w:r>
      <w:r>
        <w:rPr>
          <w:spacing w:val="-11"/>
        </w:rPr>
        <w:t> </w:t>
      </w:r>
      <w:r>
        <w:rPr/>
        <w:t>tuvo</w:t>
      </w:r>
      <w:r>
        <w:rPr>
          <w:spacing w:val="-8"/>
        </w:rPr>
        <w:t> </w:t>
      </w:r>
      <w:r>
        <w:rPr/>
        <w:t>que</w:t>
      </w:r>
      <w:r>
        <w:rPr>
          <w:spacing w:val="-8"/>
        </w:rPr>
        <w:t> </w:t>
      </w:r>
      <w:r>
        <w:rPr/>
        <w:t>intervenir</w:t>
      </w:r>
      <w:r>
        <w:rPr>
          <w:spacing w:val="-10"/>
        </w:rPr>
        <w:t> </w:t>
      </w:r>
      <w:r>
        <w:rPr/>
        <w:t>de</w:t>
      </w:r>
      <w:r>
        <w:rPr>
          <w:spacing w:val="-11"/>
        </w:rPr>
        <w:t> </w:t>
      </w:r>
      <w:r>
        <w:rPr/>
        <w:t>forma</w:t>
      </w:r>
      <w:r>
        <w:rPr>
          <w:spacing w:val="-11"/>
        </w:rPr>
        <w:t> </w:t>
      </w:r>
      <w:r>
        <w:rPr/>
        <w:t>directa</w:t>
      </w:r>
      <w:r>
        <w:rPr>
          <w:spacing w:val="-10"/>
        </w:rPr>
        <w:t> </w:t>
      </w:r>
      <w:r>
        <w:rPr/>
        <w:t>en</w:t>
      </w:r>
      <w:r>
        <w:rPr>
          <w:spacing w:val="-11"/>
        </w:rPr>
        <w:t> </w:t>
      </w:r>
      <w:r>
        <w:rPr/>
        <w:t>los ciclos de la economía del país, a partir de ese momento el Estado y la sociedad tuvieron que construir nuevos acuerdos de voluntades que permitieran salir de la crisis</w:t>
      </w:r>
      <w:r>
        <w:rPr>
          <w:spacing w:val="-10"/>
        </w:rPr>
        <w:t> </w:t>
      </w:r>
      <w:r>
        <w:rPr/>
        <w:t>que</w:t>
      </w:r>
      <w:r>
        <w:rPr>
          <w:spacing w:val="-8"/>
        </w:rPr>
        <w:t> </w:t>
      </w:r>
      <w:r>
        <w:rPr/>
        <w:t>se</w:t>
      </w:r>
      <w:r>
        <w:rPr>
          <w:spacing w:val="-8"/>
        </w:rPr>
        <w:t> </w:t>
      </w:r>
      <w:r>
        <w:rPr/>
        <w:t>alberga</w:t>
      </w:r>
      <w:r>
        <w:rPr>
          <w:spacing w:val="-8"/>
        </w:rPr>
        <w:t> </w:t>
      </w:r>
      <w:r>
        <w:rPr/>
        <w:t>a</w:t>
      </w:r>
      <w:r>
        <w:rPr>
          <w:spacing w:val="-11"/>
        </w:rPr>
        <w:t> </w:t>
      </w:r>
      <w:r>
        <w:rPr/>
        <w:t>nivel</w:t>
      </w:r>
      <w:r>
        <w:rPr>
          <w:spacing w:val="-10"/>
        </w:rPr>
        <w:t> </w:t>
      </w:r>
      <w:r>
        <w:rPr/>
        <w:t>mundial</w:t>
      </w:r>
      <w:r>
        <w:rPr>
          <w:spacing w:val="-10"/>
        </w:rPr>
        <w:t> </w:t>
      </w:r>
      <w:r>
        <w:rPr/>
        <w:t>y</w:t>
      </w:r>
      <w:r>
        <w:rPr>
          <w:spacing w:val="-12"/>
        </w:rPr>
        <w:t> </w:t>
      </w:r>
      <w:r>
        <w:rPr/>
        <w:t>con</w:t>
      </w:r>
      <w:r>
        <w:rPr>
          <w:spacing w:val="-11"/>
        </w:rPr>
        <w:t> </w:t>
      </w:r>
      <w:r>
        <w:rPr/>
        <w:t>el</w:t>
      </w:r>
      <w:r>
        <w:rPr>
          <w:spacing w:val="-12"/>
        </w:rPr>
        <w:t> </w:t>
      </w:r>
      <w:r>
        <w:rPr/>
        <w:t>estallido</w:t>
      </w:r>
      <w:r>
        <w:rPr>
          <w:spacing w:val="-9"/>
        </w:rPr>
        <w:t> </w:t>
      </w:r>
      <w:r>
        <w:rPr/>
        <w:t>de</w:t>
      </w:r>
      <w:r>
        <w:rPr>
          <w:spacing w:val="-11"/>
        </w:rPr>
        <w:t> </w:t>
      </w:r>
      <w:r>
        <w:rPr/>
        <w:t>la</w:t>
      </w:r>
      <w:r>
        <w:rPr>
          <w:spacing w:val="-9"/>
        </w:rPr>
        <w:t> </w:t>
      </w:r>
      <w:r>
        <w:rPr/>
        <w:t>segunda</w:t>
      </w:r>
      <w:r>
        <w:rPr>
          <w:spacing w:val="-11"/>
        </w:rPr>
        <w:t> </w:t>
      </w:r>
      <w:r>
        <w:rPr/>
        <w:t>guerra</w:t>
      </w:r>
      <w:r>
        <w:rPr>
          <w:spacing w:val="-8"/>
        </w:rPr>
        <w:t> </w:t>
      </w:r>
      <w:r>
        <w:rPr/>
        <w:t>mundial</w:t>
      </w:r>
    </w:p>
    <w:p>
      <w:pPr>
        <w:spacing w:after="0" w:line="360" w:lineRule="auto"/>
        <w:jc w:val="both"/>
        <w:sectPr>
          <w:pgSz w:w="12240" w:h="15840"/>
          <w:pgMar w:header="0" w:footer="992" w:top="1360" w:bottom="1180" w:left="1600" w:right="1580"/>
        </w:sectPr>
      </w:pPr>
    </w:p>
    <w:p>
      <w:pPr>
        <w:pStyle w:val="BodyText"/>
        <w:spacing w:line="360" w:lineRule="auto" w:before="54"/>
        <w:ind w:left="102" w:right="117"/>
        <w:jc w:val="both"/>
      </w:pPr>
      <w:r>
        <w:rPr/>
        <w:t>sólo terminó por agrandarse dicha crisis, motivo por el cual en los años cuarenta sería acuñado y puesto en práctica el “Estado de Bienestar” caracterizada por la despolitización</w:t>
      </w:r>
      <w:r>
        <w:rPr>
          <w:spacing w:val="-3"/>
        </w:rPr>
        <w:t> </w:t>
      </w:r>
      <w:r>
        <w:rPr/>
        <w:t>de</w:t>
      </w:r>
      <w:r>
        <w:rPr>
          <w:spacing w:val="-4"/>
        </w:rPr>
        <w:t> </w:t>
      </w:r>
      <w:r>
        <w:rPr/>
        <w:t>lo</w:t>
      </w:r>
      <w:r>
        <w:rPr>
          <w:spacing w:val="-2"/>
        </w:rPr>
        <w:t> </w:t>
      </w:r>
      <w:r>
        <w:rPr/>
        <w:t>social,</w:t>
      </w:r>
      <w:r>
        <w:rPr>
          <w:spacing w:val="-4"/>
        </w:rPr>
        <w:t> </w:t>
      </w:r>
      <w:r>
        <w:rPr/>
        <w:t>además</w:t>
      </w:r>
      <w:r>
        <w:rPr>
          <w:spacing w:val="-4"/>
        </w:rPr>
        <w:t> </w:t>
      </w:r>
      <w:r>
        <w:rPr/>
        <w:t>se</w:t>
      </w:r>
      <w:r>
        <w:rPr>
          <w:spacing w:val="-4"/>
        </w:rPr>
        <w:t> </w:t>
      </w:r>
      <w:r>
        <w:rPr/>
        <w:t>toma</w:t>
      </w:r>
      <w:r>
        <w:rPr>
          <w:spacing w:val="-6"/>
        </w:rPr>
        <w:t> </w:t>
      </w:r>
      <w:r>
        <w:rPr/>
        <w:t>como</w:t>
      </w:r>
      <w:r>
        <w:rPr>
          <w:spacing w:val="-6"/>
        </w:rPr>
        <w:t> </w:t>
      </w:r>
      <w:r>
        <w:rPr/>
        <w:t>bandera</w:t>
      </w:r>
      <w:r>
        <w:rPr>
          <w:spacing w:val="-7"/>
        </w:rPr>
        <w:t> </w:t>
      </w:r>
      <w:r>
        <w:rPr/>
        <w:t>principal</w:t>
      </w:r>
      <w:r>
        <w:rPr>
          <w:spacing w:val="-5"/>
        </w:rPr>
        <w:t> </w:t>
      </w:r>
      <w:r>
        <w:rPr/>
        <w:t>a</w:t>
      </w:r>
      <w:r>
        <w:rPr>
          <w:spacing w:val="-4"/>
        </w:rPr>
        <w:t> </w:t>
      </w:r>
      <w:r>
        <w:rPr/>
        <w:t>la</w:t>
      </w:r>
      <w:r>
        <w:rPr>
          <w:spacing w:val="-4"/>
        </w:rPr>
        <w:t> </w:t>
      </w:r>
      <w:r>
        <w:rPr/>
        <w:t>sociedad, a</w:t>
      </w:r>
      <w:r>
        <w:rPr>
          <w:spacing w:val="-16"/>
        </w:rPr>
        <w:t> </w:t>
      </w:r>
      <w:r>
        <w:rPr/>
        <w:t>través</w:t>
      </w:r>
      <w:r>
        <w:rPr>
          <w:spacing w:val="-16"/>
        </w:rPr>
        <w:t> </w:t>
      </w:r>
      <w:r>
        <w:rPr/>
        <w:t>de</w:t>
      </w:r>
      <w:r>
        <w:rPr>
          <w:spacing w:val="-16"/>
        </w:rPr>
        <w:t> </w:t>
      </w:r>
      <w:r>
        <w:rPr/>
        <w:t>la</w:t>
      </w:r>
      <w:r>
        <w:rPr>
          <w:spacing w:val="-16"/>
        </w:rPr>
        <w:t> </w:t>
      </w:r>
      <w:r>
        <w:rPr/>
        <w:t>organización</w:t>
      </w:r>
      <w:r>
        <w:rPr>
          <w:spacing w:val="-15"/>
        </w:rPr>
        <w:t> </w:t>
      </w:r>
      <w:r>
        <w:rPr/>
        <w:t>de</w:t>
      </w:r>
      <w:r>
        <w:rPr>
          <w:spacing w:val="-18"/>
        </w:rPr>
        <w:t> </w:t>
      </w:r>
      <w:r>
        <w:rPr/>
        <w:t>ésta,</w:t>
      </w:r>
      <w:r>
        <w:rPr>
          <w:spacing w:val="-16"/>
        </w:rPr>
        <w:t> </w:t>
      </w:r>
      <w:r>
        <w:rPr/>
        <w:t>donde</w:t>
      </w:r>
      <w:r>
        <w:rPr>
          <w:spacing w:val="-18"/>
        </w:rPr>
        <w:t> </w:t>
      </w:r>
      <w:r>
        <w:rPr/>
        <w:t>las</w:t>
      </w:r>
      <w:r>
        <w:rPr>
          <w:spacing w:val="-18"/>
        </w:rPr>
        <w:t> </w:t>
      </w:r>
      <w:r>
        <w:rPr/>
        <w:t>líneas</w:t>
      </w:r>
      <w:r>
        <w:rPr>
          <w:spacing w:val="-16"/>
        </w:rPr>
        <w:t> </w:t>
      </w:r>
      <w:r>
        <w:rPr/>
        <w:t>articuladas</w:t>
      </w:r>
      <w:r>
        <w:rPr>
          <w:spacing w:val="-19"/>
        </w:rPr>
        <w:t> </w:t>
      </w:r>
      <w:r>
        <w:rPr/>
        <w:t>fueron</w:t>
      </w:r>
      <w:r>
        <w:rPr>
          <w:spacing w:val="-15"/>
        </w:rPr>
        <w:t> </w:t>
      </w:r>
      <w:r>
        <w:rPr/>
        <w:t>básicamente seguridad social, derechos laborales y</w:t>
      </w:r>
      <w:r>
        <w:rPr>
          <w:spacing w:val="-17"/>
        </w:rPr>
        <w:t> </w:t>
      </w:r>
      <w:r>
        <w:rPr/>
        <w:t>bienestar.</w:t>
      </w:r>
    </w:p>
    <w:p>
      <w:pPr>
        <w:spacing w:before="204"/>
        <w:ind w:left="954" w:right="114" w:firstLine="0"/>
        <w:jc w:val="both"/>
        <w:rPr>
          <w:sz w:val="22"/>
        </w:rPr>
      </w:pPr>
      <w:r>
        <w:rPr>
          <w:sz w:val="22"/>
        </w:rPr>
        <w:t>La crisis del 1929 evidenció cómo el Estado llegó a carecer de los medios y recursos para incidir en el cambio de coordenadas sociales y del nuevo comportamiento económico; es decir, el abstencionismo estatal había impuesto condiciones que le impedían contrarrestar las fallas del mercado y, menos aún, enfrentar y resolver problemas que implicaba tener en su haber a millones de desempleados</w:t>
      </w:r>
      <w:r>
        <w:rPr>
          <w:spacing w:val="-6"/>
          <w:sz w:val="22"/>
        </w:rPr>
        <w:t> </w:t>
      </w:r>
      <w:r>
        <w:rPr>
          <w:sz w:val="22"/>
        </w:rPr>
        <w:t>en</w:t>
      </w:r>
      <w:r>
        <w:rPr>
          <w:spacing w:val="-4"/>
          <w:sz w:val="22"/>
        </w:rPr>
        <w:t> </w:t>
      </w:r>
      <w:r>
        <w:rPr>
          <w:sz w:val="22"/>
        </w:rPr>
        <w:t>el</w:t>
      </w:r>
      <w:r>
        <w:rPr>
          <w:spacing w:val="-7"/>
          <w:sz w:val="22"/>
        </w:rPr>
        <w:t> </w:t>
      </w:r>
      <w:r>
        <w:rPr>
          <w:sz w:val="22"/>
        </w:rPr>
        <w:t>seno</w:t>
      </w:r>
      <w:r>
        <w:rPr>
          <w:spacing w:val="-4"/>
          <w:sz w:val="22"/>
        </w:rPr>
        <w:t> </w:t>
      </w:r>
      <w:r>
        <w:rPr>
          <w:sz w:val="22"/>
        </w:rPr>
        <w:t>de</w:t>
      </w:r>
      <w:r>
        <w:rPr>
          <w:spacing w:val="-7"/>
          <w:sz w:val="22"/>
        </w:rPr>
        <w:t> </w:t>
      </w:r>
      <w:r>
        <w:rPr>
          <w:sz w:val="22"/>
        </w:rPr>
        <w:t>una</w:t>
      </w:r>
      <w:r>
        <w:rPr>
          <w:spacing w:val="-4"/>
          <w:sz w:val="22"/>
        </w:rPr>
        <w:t> </w:t>
      </w:r>
      <w:r>
        <w:rPr>
          <w:sz w:val="22"/>
        </w:rPr>
        <w:t>economía</w:t>
      </w:r>
      <w:r>
        <w:rPr>
          <w:spacing w:val="-4"/>
          <w:sz w:val="22"/>
        </w:rPr>
        <w:t> </w:t>
      </w:r>
      <w:r>
        <w:rPr>
          <w:sz w:val="22"/>
        </w:rPr>
        <w:t>paralizada.</w:t>
      </w:r>
      <w:r>
        <w:rPr>
          <w:spacing w:val="-3"/>
          <w:sz w:val="22"/>
        </w:rPr>
        <w:t> </w:t>
      </w:r>
      <w:r>
        <w:rPr>
          <w:sz w:val="22"/>
        </w:rPr>
        <w:t>En</w:t>
      </w:r>
      <w:r>
        <w:rPr>
          <w:spacing w:val="-4"/>
          <w:sz w:val="22"/>
        </w:rPr>
        <w:t> </w:t>
      </w:r>
      <w:r>
        <w:rPr>
          <w:sz w:val="22"/>
        </w:rPr>
        <w:t>suma,</w:t>
      </w:r>
      <w:r>
        <w:rPr>
          <w:spacing w:val="-5"/>
          <w:sz w:val="22"/>
        </w:rPr>
        <w:t> </w:t>
      </w:r>
      <w:r>
        <w:rPr>
          <w:sz w:val="22"/>
        </w:rPr>
        <w:t>el</w:t>
      </w:r>
      <w:r>
        <w:rPr>
          <w:spacing w:val="-5"/>
          <w:sz w:val="22"/>
        </w:rPr>
        <w:t> </w:t>
      </w:r>
      <w:r>
        <w:rPr>
          <w:sz w:val="22"/>
        </w:rPr>
        <w:t>Estado</w:t>
      </w:r>
      <w:r>
        <w:rPr>
          <w:spacing w:val="-4"/>
          <w:sz w:val="22"/>
        </w:rPr>
        <w:t> </w:t>
      </w:r>
      <w:r>
        <w:rPr>
          <w:sz w:val="22"/>
        </w:rPr>
        <w:t>liberal mostraba una incapacidad para resolver sus propias contradicciones. En el caso mexicano, desde los años cuarenta, estas decisiones en los sistemas jurídicos e institucionales obedecieron a necesidades evidentes: hacían falta servicios, no existían sistemas de educación, salud y abasto, y la población era predominantemente rural (Cordera y Cabrera,</w:t>
      </w:r>
      <w:r>
        <w:rPr>
          <w:spacing w:val="-14"/>
          <w:sz w:val="22"/>
        </w:rPr>
        <w:t> </w:t>
      </w:r>
      <w:r>
        <w:rPr>
          <w:sz w:val="22"/>
        </w:rPr>
        <w:t>2008:443).</w:t>
      </w:r>
    </w:p>
    <w:p>
      <w:pPr>
        <w:pStyle w:val="BodyText"/>
        <w:rPr>
          <w:sz w:val="22"/>
        </w:rPr>
      </w:pPr>
    </w:p>
    <w:p>
      <w:pPr>
        <w:pStyle w:val="BodyText"/>
        <w:rPr>
          <w:sz w:val="22"/>
        </w:rPr>
      </w:pPr>
    </w:p>
    <w:p>
      <w:pPr>
        <w:pStyle w:val="BodyText"/>
        <w:spacing w:line="360" w:lineRule="auto" w:before="148"/>
        <w:ind w:left="102" w:right="117"/>
        <w:jc w:val="both"/>
      </w:pPr>
      <w:r>
        <w:rPr/>
        <w:t>En</w:t>
      </w:r>
      <w:r>
        <w:rPr>
          <w:spacing w:val="-5"/>
        </w:rPr>
        <w:t> </w:t>
      </w:r>
      <w:r>
        <w:rPr/>
        <w:t>este</w:t>
      </w:r>
      <w:r>
        <w:rPr>
          <w:spacing w:val="-5"/>
        </w:rPr>
        <w:t> </w:t>
      </w:r>
      <w:r>
        <w:rPr/>
        <w:t>sentido,</w:t>
      </w:r>
      <w:r>
        <w:rPr>
          <w:spacing w:val="-5"/>
        </w:rPr>
        <w:t> </w:t>
      </w:r>
      <w:r>
        <w:rPr/>
        <w:t>el</w:t>
      </w:r>
      <w:r>
        <w:rPr>
          <w:spacing w:val="-6"/>
        </w:rPr>
        <w:t> </w:t>
      </w:r>
      <w:r>
        <w:rPr/>
        <w:t>Estado</w:t>
      </w:r>
      <w:r>
        <w:rPr>
          <w:spacing w:val="-5"/>
        </w:rPr>
        <w:t> </w:t>
      </w:r>
      <w:r>
        <w:rPr/>
        <w:t>desarrollador</w:t>
      </w:r>
      <w:r>
        <w:rPr>
          <w:spacing w:val="-6"/>
        </w:rPr>
        <w:t> </w:t>
      </w:r>
      <w:r>
        <w:rPr/>
        <w:t>que</w:t>
      </w:r>
      <w:r>
        <w:rPr>
          <w:spacing w:val="-5"/>
        </w:rPr>
        <w:t> </w:t>
      </w:r>
      <w:r>
        <w:rPr/>
        <w:t>impero</w:t>
      </w:r>
      <w:r>
        <w:rPr>
          <w:spacing w:val="-5"/>
        </w:rPr>
        <w:t> </w:t>
      </w:r>
      <w:r>
        <w:rPr/>
        <w:t>antes</w:t>
      </w:r>
      <w:r>
        <w:rPr>
          <w:spacing w:val="-5"/>
        </w:rPr>
        <w:t> </w:t>
      </w:r>
      <w:r>
        <w:rPr/>
        <w:t>de</w:t>
      </w:r>
      <w:r>
        <w:rPr>
          <w:spacing w:val="-5"/>
        </w:rPr>
        <w:t> </w:t>
      </w:r>
      <w:r>
        <w:rPr/>
        <w:t>los</w:t>
      </w:r>
      <w:r>
        <w:rPr>
          <w:spacing w:val="-7"/>
        </w:rPr>
        <w:t> </w:t>
      </w:r>
      <w:r>
        <w:rPr/>
        <w:t>años</w:t>
      </w:r>
      <w:r>
        <w:rPr>
          <w:spacing w:val="-5"/>
        </w:rPr>
        <w:t> </w:t>
      </w:r>
      <w:r>
        <w:rPr/>
        <w:t>ochenta,</w:t>
      </w:r>
      <w:r>
        <w:rPr>
          <w:spacing w:val="-7"/>
        </w:rPr>
        <w:t> </w:t>
      </w:r>
      <w:r>
        <w:rPr/>
        <w:t>fue entonces un Estado proteccionista o interventor que asumió crecientes responsabilidades,</w:t>
      </w:r>
      <w:r>
        <w:rPr>
          <w:spacing w:val="-14"/>
        </w:rPr>
        <w:t> </w:t>
      </w:r>
      <w:r>
        <w:rPr/>
        <w:t>tales</w:t>
      </w:r>
      <w:r>
        <w:rPr>
          <w:spacing w:val="-15"/>
        </w:rPr>
        <w:t> </w:t>
      </w:r>
      <w:r>
        <w:rPr/>
        <w:t>como</w:t>
      </w:r>
      <w:r>
        <w:rPr>
          <w:spacing w:val="-14"/>
        </w:rPr>
        <w:t> </w:t>
      </w:r>
      <w:r>
        <w:rPr/>
        <w:t>generar</w:t>
      </w:r>
      <w:r>
        <w:rPr>
          <w:spacing w:val="-12"/>
        </w:rPr>
        <w:t> </w:t>
      </w:r>
      <w:r>
        <w:rPr/>
        <w:t>los</w:t>
      </w:r>
      <w:r>
        <w:rPr>
          <w:spacing w:val="-14"/>
        </w:rPr>
        <w:t> </w:t>
      </w:r>
      <w:r>
        <w:rPr/>
        <w:t>sistemas</w:t>
      </w:r>
      <w:r>
        <w:rPr>
          <w:spacing w:val="-17"/>
        </w:rPr>
        <w:t> </w:t>
      </w:r>
      <w:r>
        <w:rPr/>
        <w:t>de</w:t>
      </w:r>
      <w:r>
        <w:rPr>
          <w:spacing w:val="-14"/>
        </w:rPr>
        <w:t> </w:t>
      </w:r>
      <w:r>
        <w:rPr/>
        <w:t>educación,</w:t>
      </w:r>
      <w:r>
        <w:rPr>
          <w:spacing w:val="-14"/>
        </w:rPr>
        <w:t> </w:t>
      </w:r>
      <w:r>
        <w:rPr/>
        <w:t>abasto,</w:t>
      </w:r>
      <w:r>
        <w:rPr>
          <w:spacing w:val="-14"/>
        </w:rPr>
        <w:t> </w:t>
      </w:r>
      <w:r>
        <w:rPr/>
        <w:t>vivienda, trabajo,</w:t>
      </w:r>
      <w:r>
        <w:rPr>
          <w:spacing w:val="-18"/>
        </w:rPr>
        <w:t> </w:t>
      </w:r>
      <w:r>
        <w:rPr/>
        <w:t>salud</w:t>
      </w:r>
      <w:r>
        <w:rPr>
          <w:spacing w:val="-18"/>
        </w:rPr>
        <w:t> </w:t>
      </w:r>
      <w:r>
        <w:rPr/>
        <w:t>entre</w:t>
      </w:r>
      <w:r>
        <w:rPr>
          <w:spacing w:val="-18"/>
        </w:rPr>
        <w:t> </w:t>
      </w:r>
      <w:r>
        <w:rPr/>
        <w:t>otros</w:t>
      </w:r>
      <w:r>
        <w:rPr>
          <w:spacing w:val="-16"/>
        </w:rPr>
        <w:t> </w:t>
      </w:r>
      <w:r>
        <w:rPr/>
        <w:t>servicios,</w:t>
      </w:r>
      <w:r>
        <w:rPr>
          <w:spacing w:val="-16"/>
        </w:rPr>
        <w:t> </w:t>
      </w:r>
      <w:r>
        <w:rPr/>
        <w:t>así</w:t>
      </w:r>
      <w:r>
        <w:rPr>
          <w:spacing w:val="-18"/>
        </w:rPr>
        <w:t> </w:t>
      </w:r>
      <w:r>
        <w:rPr/>
        <w:t>como</w:t>
      </w:r>
      <w:r>
        <w:rPr>
          <w:spacing w:val="-18"/>
        </w:rPr>
        <w:t> </w:t>
      </w:r>
      <w:r>
        <w:rPr/>
        <w:t>la</w:t>
      </w:r>
      <w:r>
        <w:rPr>
          <w:spacing w:val="-16"/>
        </w:rPr>
        <w:t> </w:t>
      </w:r>
      <w:r>
        <w:rPr/>
        <w:t>creciente</w:t>
      </w:r>
      <w:r>
        <w:rPr>
          <w:spacing w:val="-17"/>
        </w:rPr>
        <w:t> </w:t>
      </w:r>
      <w:r>
        <w:rPr/>
        <w:t>responsabilidad</w:t>
      </w:r>
      <w:r>
        <w:rPr>
          <w:spacing w:val="-18"/>
        </w:rPr>
        <w:t> </w:t>
      </w:r>
      <w:r>
        <w:rPr/>
        <w:t>en</w:t>
      </w:r>
      <w:r>
        <w:rPr>
          <w:spacing w:val="-18"/>
        </w:rPr>
        <w:t> </w:t>
      </w:r>
      <w:r>
        <w:rPr/>
        <w:t>materia económica y de financiación de desarrollo, pero no fue más que un Estado asistencialista, lo cual conllevo a que ya no era posible sostener en los años posteriores a los cuarenta; debido a que se requería ajustarse a los cambios de mercado laboral y esto afectó el aparato de bienestar. El crecimiento de la población, el deterioro de las condiciones de vida por el desempleo que iba surgiendo</w:t>
      </w:r>
      <w:r>
        <w:rPr>
          <w:spacing w:val="-14"/>
        </w:rPr>
        <w:t> </w:t>
      </w:r>
      <w:r>
        <w:rPr/>
        <w:t>en</w:t>
      </w:r>
      <w:r>
        <w:rPr>
          <w:spacing w:val="-13"/>
        </w:rPr>
        <w:t> </w:t>
      </w:r>
      <w:r>
        <w:rPr/>
        <w:t>torno</w:t>
      </w:r>
      <w:r>
        <w:rPr>
          <w:spacing w:val="-14"/>
        </w:rPr>
        <w:t> </w:t>
      </w:r>
      <w:r>
        <w:rPr/>
        <w:t>a</w:t>
      </w:r>
      <w:r>
        <w:rPr>
          <w:spacing w:val="-14"/>
        </w:rPr>
        <w:t> </w:t>
      </w:r>
      <w:r>
        <w:rPr/>
        <w:t>los</w:t>
      </w:r>
      <w:r>
        <w:rPr>
          <w:spacing w:val="-13"/>
        </w:rPr>
        <w:t> </w:t>
      </w:r>
      <w:r>
        <w:rPr/>
        <w:t>cambios,</w:t>
      </w:r>
      <w:r>
        <w:rPr>
          <w:spacing w:val="-14"/>
        </w:rPr>
        <w:t> </w:t>
      </w:r>
      <w:r>
        <w:rPr/>
        <w:t>da</w:t>
      </w:r>
      <w:r>
        <w:rPr>
          <w:spacing w:val="-14"/>
        </w:rPr>
        <w:t> </w:t>
      </w:r>
      <w:r>
        <w:rPr/>
        <w:t>como</w:t>
      </w:r>
      <w:r>
        <w:rPr>
          <w:spacing w:val="-14"/>
        </w:rPr>
        <w:t> </w:t>
      </w:r>
      <w:r>
        <w:rPr/>
        <w:t>resultado</w:t>
      </w:r>
      <w:r>
        <w:rPr>
          <w:spacing w:val="-14"/>
        </w:rPr>
        <w:t> </w:t>
      </w:r>
      <w:r>
        <w:rPr/>
        <w:t>el</w:t>
      </w:r>
      <w:r>
        <w:rPr>
          <w:spacing w:val="-13"/>
        </w:rPr>
        <w:t> </w:t>
      </w:r>
      <w:r>
        <w:rPr/>
        <w:t>quebrantamiento</w:t>
      </w:r>
      <w:r>
        <w:rPr>
          <w:spacing w:val="-14"/>
        </w:rPr>
        <w:t> </w:t>
      </w:r>
      <w:r>
        <w:rPr/>
        <w:t>del</w:t>
      </w:r>
      <w:r>
        <w:rPr>
          <w:spacing w:val="-13"/>
        </w:rPr>
        <w:t> </w:t>
      </w:r>
      <w:r>
        <w:rPr/>
        <w:t>Estado de Bienestar, motivo por el cual se tuvo que iniciar una renovación en la política social mexicana, que solucionará las problemáticas surgidas y disminuyera los niveles de pobreza y marginación que venía padeciendo el</w:t>
      </w:r>
      <w:r>
        <w:rPr>
          <w:spacing w:val="-20"/>
        </w:rPr>
        <w:t> </w:t>
      </w:r>
      <w:r>
        <w:rPr/>
        <w:t>país.</w:t>
      </w:r>
    </w:p>
    <w:p>
      <w:pPr>
        <w:pStyle w:val="BodyText"/>
        <w:spacing w:line="360" w:lineRule="auto" w:before="202"/>
        <w:ind w:left="102" w:right="118"/>
        <w:jc w:val="both"/>
      </w:pPr>
      <w:r>
        <w:rPr/>
        <w:t>Con esta perspectiva, la descentralización plantea dispersar recursos conllevados con responsabilidades sociales hacia instancias locales, motivo por el cual es prudente</w:t>
      </w:r>
      <w:r>
        <w:rPr>
          <w:spacing w:val="-14"/>
        </w:rPr>
        <w:t> </w:t>
      </w:r>
      <w:r>
        <w:rPr/>
        <w:t>entender</w:t>
      </w:r>
      <w:r>
        <w:rPr>
          <w:spacing w:val="-16"/>
        </w:rPr>
        <w:t> </w:t>
      </w:r>
      <w:r>
        <w:rPr/>
        <w:t>que</w:t>
      </w:r>
      <w:r>
        <w:rPr>
          <w:spacing w:val="-14"/>
        </w:rPr>
        <w:t> </w:t>
      </w:r>
      <w:r>
        <w:rPr/>
        <w:t>la</w:t>
      </w:r>
      <w:r>
        <w:rPr>
          <w:spacing w:val="-14"/>
        </w:rPr>
        <w:t> </w:t>
      </w:r>
      <w:r>
        <w:rPr/>
        <w:t>descentralización</w:t>
      </w:r>
      <w:r>
        <w:rPr>
          <w:spacing w:val="-11"/>
        </w:rPr>
        <w:t> </w:t>
      </w:r>
      <w:r>
        <w:rPr/>
        <w:t>la</w:t>
      </w:r>
      <w:r>
        <w:rPr>
          <w:spacing w:val="-17"/>
        </w:rPr>
        <w:t> </w:t>
      </w:r>
      <w:r>
        <w:rPr/>
        <w:t>tenemos</w:t>
      </w:r>
      <w:r>
        <w:rPr>
          <w:spacing w:val="-15"/>
        </w:rPr>
        <w:t> </w:t>
      </w:r>
      <w:r>
        <w:rPr/>
        <w:t>que</w:t>
      </w:r>
      <w:r>
        <w:rPr>
          <w:spacing w:val="-14"/>
        </w:rPr>
        <w:t> </w:t>
      </w:r>
      <w:r>
        <w:rPr/>
        <w:t>observar</w:t>
      </w:r>
      <w:r>
        <w:rPr>
          <w:spacing w:val="-13"/>
        </w:rPr>
        <w:t> </w:t>
      </w:r>
      <w:r>
        <w:rPr/>
        <w:t>de</w:t>
      </w:r>
      <w:r>
        <w:rPr>
          <w:spacing w:val="-14"/>
        </w:rPr>
        <w:t> </w:t>
      </w:r>
      <w:r>
        <w:rPr/>
        <w:t>dos</w:t>
      </w:r>
      <w:r>
        <w:rPr>
          <w:spacing w:val="-15"/>
        </w:rPr>
        <w:t> </w:t>
      </w:r>
      <w:r>
        <w:rPr/>
        <w:t>puntos, por</w:t>
      </w:r>
      <w:r>
        <w:rPr>
          <w:spacing w:val="32"/>
        </w:rPr>
        <w:t> </w:t>
      </w:r>
      <w:r>
        <w:rPr/>
        <w:t>un</w:t>
      </w:r>
      <w:r>
        <w:rPr>
          <w:spacing w:val="34"/>
        </w:rPr>
        <w:t> </w:t>
      </w:r>
      <w:r>
        <w:rPr/>
        <w:t>lado</w:t>
      </w:r>
      <w:r>
        <w:rPr>
          <w:spacing w:val="34"/>
        </w:rPr>
        <w:t> </w:t>
      </w:r>
      <w:r>
        <w:rPr/>
        <w:t>la</w:t>
      </w:r>
      <w:r>
        <w:rPr>
          <w:spacing w:val="34"/>
        </w:rPr>
        <w:t> </w:t>
      </w:r>
      <w:r>
        <w:rPr/>
        <w:t>descentralización</w:t>
      </w:r>
      <w:r>
        <w:rPr>
          <w:spacing w:val="34"/>
        </w:rPr>
        <w:t> </w:t>
      </w:r>
      <w:r>
        <w:rPr/>
        <w:t>política</w:t>
      </w:r>
      <w:r>
        <w:rPr>
          <w:spacing w:val="34"/>
        </w:rPr>
        <w:t> </w:t>
      </w:r>
      <w:r>
        <w:rPr/>
        <w:t>que</w:t>
      </w:r>
      <w:r>
        <w:rPr>
          <w:spacing w:val="34"/>
        </w:rPr>
        <w:t> </w:t>
      </w:r>
      <w:r>
        <w:rPr/>
        <w:t>a</w:t>
      </w:r>
      <w:r>
        <w:rPr>
          <w:spacing w:val="34"/>
        </w:rPr>
        <w:t> </w:t>
      </w:r>
      <w:r>
        <w:rPr/>
        <w:t>través</w:t>
      </w:r>
      <w:r>
        <w:rPr>
          <w:spacing w:val="33"/>
        </w:rPr>
        <w:t> </w:t>
      </w:r>
      <w:r>
        <w:rPr/>
        <w:t>de</w:t>
      </w:r>
      <w:r>
        <w:rPr>
          <w:spacing w:val="34"/>
        </w:rPr>
        <w:t> </w:t>
      </w:r>
      <w:r>
        <w:rPr/>
        <w:t>la</w:t>
      </w:r>
      <w:r>
        <w:rPr>
          <w:spacing w:val="34"/>
        </w:rPr>
        <w:t> </w:t>
      </w:r>
      <w:r>
        <w:rPr/>
        <w:t>cual</w:t>
      </w:r>
      <w:r>
        <w:rPr>
          <w:spacing w:val="33"/>
        </w:rPr>
        <w:t> </w:t>
      </w:r>
      <w:r>
        <w:rPr/>
        <w:t>se</w:t>
      </w:r>
      <w:r>
        <w:rPr>
          <w:spacing w:val="34"/>
        </w:rPr>
        <w:t> </w:t>
      </w:r>
      <w:r>
        <w:rPr/>
        <w:t>transfiere</w:t>
      </w:r>
      <w:r>
        <w:rPr>
          <w:spacing w:val="34"/>
        </w:rPr>
        <w:t> </w:t>
      </w:r>
      <w:r>
        <w:rPr/>
        <w:t>la</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capacidad de decisión sobre la provisión de bienes públicos a los gobiernos subnacionales. Por otro lado, está la descentralización económica con la cual se aumenta la eficiencia y se reducen costos mediante la competencia. “En definitiva, la descentralización permite que ciudadanos de diferentes territorios adecuen la provisión de bienes y servicios públicos a sus propias preferencias, pero también implica</w:t>
      </w:r>
      <w:r>
        <w:rPr>
          <w:spacing w:val="-6"/>
        </w:rPr>
        <w:t> </w:t>
      </w:r>
      <w:r>
        <w:rPr/>
        <w:t>que</w:t>
      </w:r>
      <w:r>
        <w:rPr>
          <w:spacing w:val="-6"/>
        </w:rPr>
        <w:t> </w:t>
      </w:r>
      <w:r>
        <w:rPr/>
        <w:t>esa</w:t>
      </w:r>
      <w:r>
        <w:rPr>
          <w:spacing w:val="-8"/>
        </w:rPr>
        <w:t> </w:t>
      </w:r>
      <w:r>
        <w:rPr/>
        <w:t>nueva</w:t>
      </w:r>
      <w:r>
        <w:rPr>
          <w:spacing w:val="-8"/>
        </w:rPr>
        <w:t> </w:t>
      </w:r>
      <w:r>
        <w:rPr/>
        <w:t>canasta</w:t>
      </w:r>
      <w:r>
        <w:rPr>
          <w:spacing w:val="-6"/>
        </w:rPr>
        <w:t> </w:t>
      </w:r>
      <w:r>
        <w:rPr/>
        <w:t>sea</w:t>
      </w:r>
      <w:r>
        <w:rPr>
          <w:spacing w:val="-8"/>
        </w:rPr>
        <w:t> </w:t>
      </w:r>
      <w:r>
        <w:rPr/>
        <w:t>financiada</w:t>
      </w:r>
      <w:r>
        <w:rPr>
          <w:spacing w:val="-8"/>
        </w:rPr>
        <w:t> </w:t>
      </w:r>
      <w:r>
        <w:rPr/>
        <w:t>total</w:t>
      </w:r>
      <w:r>
        <w:rPr>
          <w:spacing w:val="-7"/>
        </w:rPr>
        <w:t> </w:t>
      </w:r>
      <w:r>
        <w:rPr/>
        <w:t>o</w:t>
      </w:r>
      <w:r>
        <w:rPr>
          <w:spacing w:val="-6"/>
        </w:rPr>
        <w:t> </w:t>
      </w:r>
      <w:r>
        <w:rPr/>
        <w:t>parcialmente</w:t>
      </w:r>
      <w:r>
        <w:rPr>
          <w:spacing w:val="-6"/>
        </w:rPr>
        <w:t> </w:t>
      </w:r>
      <w:r>
        <w:rPr/>
        <w:t>con</w:t>
      </w:r>
      <w:r>
        <w:rPr>
          <w:spacing w:val="-6"/>
        </w:rPr>
        <w:t> </w:t>
      </w:r>
      <w:r>
        <w:rPr/>
        <w:t>los</w:t>
      </w:r>
      <w:r>
        <w:rPr>
          <w:spacing w:val="-6"/>
        </w:rPr>
        <w:t> </w:t>
      </w:r>
      <w:r>
        <w:rPr/>
        <w:t>recursos generados por la comunidad que escoge” (Franco,</w:t>
      </w:r>
      <w:r>
        <w:rPr>
          <w:spacing w:val="-18"/>
        </w:rPr>
        <w:t> </w:t>
      </w:r>
      <w:r>
        <w:rPr/>
        <w:t>2004:34).</w:t>
      </w:r>
    </w:p>
    <w:p>
      <w:pPr>
        <w:spacing w:before="204"/>
        <w:ind w:left="954" w:right="115" w:firstLine="0"/>
        <w:jc w:val="both"/>
        <w:rPr>
          <w:sz w:val="22"/>
        </w:rPr>
      </w:pPr>
      <w:r>
        <w:rPr>
          <w:sz w:val="22"/>
        </w:rPr>
        <w:t>Para, entender el ámbito social, la noción de relaciones sociales es clave. Es posible partir de ella para entender todo lo existente socialmente. Las sociedades son</w:t>
      </w:r>
      <w:r>
        <w:rPr>
          <w:spacing w:val="-7"/>
          <w:sz w:val="22"/>
        </w:rPr>
        <w:t> </w:t>
      </w:r>
      <w:r>
        <w:rPr>
          <w:sz w:val="22"/>
        </w:rPr>
        <w:t>siempre</w:t>
      </w:r>
      <w:r>
        <w:rPr>
          <w:spacing w:val="-9"/>
          <w:sz w:val="22"/>
        </w:rPr>
        <w:t> </w:t>
      </w:r>
      <w:r>
        <w:rPr>
          <w:sz w:val="22"/>
        </w:rPr>
        <w:t>un</w:t>
      </w:r>
      <w:r>
        <w:rPr>
          <w:spacing w:val="-9"/>
          <w:sz w:val="22"/>
        </w:rPr>
        <w:t> </w:t>
      </w:r>
      <w:r>
        <w:rPr>
          <w:sz w:val="22"/>
        </w:rPr>
        <w:t>complejo</w:t>
      </w:r>
      <w:r>
        <w:rPr>
          <w:spacing w:val="-9"/>
          <w:sz w:val="22"/>
        </w:rPr>
        <w:t> </w:t>
      </w:r>
      <w:r>
        <w:rPr>
          <w:sz w:val="22"/>
        </w:rPr>
        <w:t>heterogéneo</w:t>
      </w:r>
      <w:r>
        <w:rPr>
          <w:spacing w:val="-9"/>
          <w:sz w:val="22"/>
        </w:rPr>
        <w:t> </w:t>
      </w:r>
      <w:r>
        <w:rPr>
          <w:sz w:val="22"/>
        </w:rPr>
        <w:t>y</w:t>
      </w:r>
      <w:r>
        <w:rPr>
          <w:spacing w:val="-8"/>
          <w:sz w:val="22"/>
        </w:rPr>
        <w:t> </w:t>
      </w:r>
      <w:r>
        <w:rPr>
          <w:sz w:val="22"/>
        </w:rPr>
        <w:t>articulado</w:t>
      </w:r>
      <w:r>
        <w:rPr>
          <w:spacing w:val="-6"/>
          <w:sz w:val="22"/>
        </w:rPr>
        <w:t> </w:t>
      </w:r>
      <w:r>
        <w:rPr>
          <w:sz w:val="22"/>
        </w:rPr>
        <w:t>de</w:t>
      </w:r>
      <w:r>
        <w:rPr>
          <w:spacing w:val="-9"/>
          <w:sz w:val="22"/>
        </w:rPr>
        <w:t> </w:t>
      </w:r>
      <w:r>
        <w:rPr>
          <w:sz w:val="22"/>
        </w:rPr>
        <w:t>relaciones</w:t>
      </w:r>
      <w:r>
        <w:rPr>
          <w:spacing w:val="-9"/>
          <w:sz w:val="22"/>
        </w:rPr>
        <w:t> </w:t>
      </w:r>
      <w:r>
        <w:rPr>
          <w:sz w:val="22"/>
        </w:rPr>
        <w:t>de</w:t>
      </w:r>
      <w:r>
        <w:rPr>
          <w:spacing w:val="-7"/>
          <w:sz w:val="22"/>
        </w:rPr>
        <w:t> </w:t>
      </w:r>
      <w:r>
        <w:rPr>
          <w:sz w:val="22"/>
        </w:rPr>
        <w:t>producción</w:t>
      </w:r>
      <w:r>
        <w:rPr>
          <w:spacing w:val="-7"/>
          <w:sz w:val="22"/>
        </w:rPr>
        <w:t> </w:t>
      </w:r>
      <w:r>
        <w:rPr>
          <w:sz w:val="22"/>
        </w:rPr>
        <w:t>de materiales</w:t>
      </w:r>
      <w:r>
        <w:rPr>
          <w:spacing w:val="-4"/>
          <w:sz w:val="22"/>
        </w:rPr>
        <w:t> </w:t>
      </w:r>
      <w:r>
        <w:rPr>
          <w:sz w:val="22"/>
        </w:rPr>
        <w:t>y</w:t>
      </w:r>
      <w:r>
        <w:rPr>
          <w:spacing w:val="-6"/>
          <w:sz w:val="22"/>
        </w:rPr>
        <w:t> </w:t>
      </w:r>
      <w:r>
        <w:rPr>
          <w:sz w:val="22"/>
        </w:rPr>
        <w:t>mentales,</w:t>
      </w:r>
      <w:r>
        <w:rPr>
          <w:spacing w:val="-3"/>
          <w:sz w:val="22"/>
        </w:rPr>
        <w:t> </w:t>
      </w:r>
      <w:r>
        <w:rPr>
          <w:sz w:val="22"/>
        </w:rPr>
        <w:t>son</w:t>
      </w:r>
      <w:r>
        <w:rPr>
          <w:spacing w:val="-4"/>
          <w:sz w:val="22"/>
        </w:rPr>
        <w:t> </w:t>
      </w:r>
      <w:r>
        <w:rPr>
          <w:sz w:val="22"/>
        </w:rPr>
        <w:t>clases,</w:t>
      </w:r>
      <w:r>
        <w:rPr>
          <w:spacing w:val="-5"/>
          <w:sz w:val="22"/>
        </w:rPr>
        <w:t> </w:t>
      </w:r>
      <w:r>
        <w:rPr>
          <w:sz w:val="22"/>
        </w:rPr>
        <w:t>capas,</w:t>
      </w:r>
      <w:r>
        <w:rPr>
          <w:spacing w:val="-8"/>
          <w:sz w:val="22"/>
        </w:rPr>
        <w:t> </w:t>
      </w:r>
      <w:r>
        <w:rPr>
          <w:sz w:val="22"/>
        </w:rPr>
        <w:t>grupos,</w:t>
      </w:r>
      <w:r>
        <w:rPr>
          <w:spacing w:val="-5"/>
          <w:sz w:val="22"/>
        </w:rPr>
        <w:t> </w:t>
      </w:r>
      <w:r>
        <w:rPr>
          <w:sz w:val="22"/>
        </w:rPr>
        <w:t>formas</w:t>
      </w:r>
      <w:r>
        <w:rPr>
          <w:spacing w:val="-4"/>
          <w:sz w:val="22"/>
        </w:rPr>
        <w:t> </w:t>
      </w:r>
      <w:r>
        <w:rPr>
          <w:sz w:val="22"/>
        </w:rPr>
        <w:t>de</w:t>
      </w:r>
      <w:r>
        <w:rPr>
          <w:spacing w:val="-7"/>
          <w:sz w:val="22"/>
        </w:rPr>
        <w:t> </w:t>
      </w:r>
      <w:r>
        <w:rPr>
          <w:sz w:val="22"/>
        </w:rPr>
        <w:t>pensamiento;</w:t>
      </w:r>
      <w:r>
        <w:rPr>
          <w:spacing w:val="-3"/>
          <w:sz w:val="22"/>
        </w:rPr>
        <w:t> </w:t>
      </w:r>
      <w:r>
        <w:rPr>
          <w:sz w:val="22"/>
        </w:rPr>
        <w:t>son</w:t>
      </w:r>
      <w:r>
        <w:rPr>
          <w:spacing w:val="-7"/>
          <w:sz w:val="22"/>
        </w:rPr>
        <w:t> </w:t>
      </w:r>
      <w:r>
        <w:rPr>
          <w:sz w:val="22"/>
        </w:rPr>
        <w:t>en definitiva un complejo estructurado de relaciones sociales. Los sujetos sociales encarnan distintas alternativas. Las relaciones sociales dependerán del proyecto que ellos mismos diseñen para construir su identidad y, por tanto, el espacio que construyan para el desarrollo de esta identidad. Toda sociedad se produce en un espacio,</w:t>
      </w:r>
      <w:r>
        <w:rPr>
          <w:spacing w:val="-12"/>
          <w:sz w:val="22"/>
        </w:rPr>
        <w:t> </w:t>
      </w:r>
      <w:r>
        <w:rPr>
          <w:sz w:val="22"/>
        </w:rPr>
        <w:t>crea</w:t>
      </w:r>
      <w:r>
        <w:rPr>
          <w:spacing w:val="-13"/>
          <w:sz w:val="22"/>
        </w:rPr>
        <w:t> </w:t>
      </w:r>
      <w:r>
        <w:rPr>
          <w:sz w:val="22"/>
        </w:rPr>
        <w:t>un</w:t>
      </w:r>
      <w:r>
        <w:rPr>
          <w:spacing w:val="-15"/>
          <w:sz w:val="22"/>
        </w:rPr>
        <w:t> </w:t>
      </w:r>
      <w:r>
        <w:rPr>
          <w:sz w:val="22"/>
        </w:rPr>
        <w:t>espacio</w:t>
      </w:r>
      <w:r>
        <w:rPr>
          <w:spacing w:val="-15"/>
          <w:sz w:val="22"/>
        </w:rPr>
        <w:t> </w:t>
      </w:r>
      <w:r>
        <w:rPr>
          <w:sz w:val="22"/>
        </w:rPr>
        <w:t>y</w:t>
      </w:r>
      <w:r>
        <w:rPr>
          <w:spacing w:val="-15"/>
          <w:sz w:val="22"/>
        </w:rPr>
        <w:t> </w:t>
      </w:r>
      <w:r>
        <w:rPr>
          <w:sz w:val="22"/>
        </w:rPr>
        <w:t>contiene</w:t>
      </w:r>
      <w:r>
        <w:rPr>
          <w:spacing w:val="-12"/>
          <w:sz w:val="22"/>
        </w:rPr>
        <w:t> </w:t>
      </w:r>
      <w:r>
        <w:rPr>
          <w:sz w:val="22"/>
        </w:rPr>
        <w:t>múltiples</w:t>
      </w:r>
      <w:r>
        <w:rPr>
          <w:spacing w:val="-12"/>
          <w:sz w:val="22"/>
        </w:rPr>
        <w:t> </w:t>
      </w:r>
      <w:r>
        <w:rPr>
          <w:sz w:val="22"/>
        </w:rPr>
        <w:t>espacios</w:t>
      </w:r>
      <w:r>
        <w:rPr>
          <w:spacing w:val="-11"/>
          <w:sz w:val="22"/>
        </w:rPr>
        <w:t> </w:t>
      </w:r>
      <w:r>
        <w:rPr>
          <w:sz w:val="22"/>
        </w:rPr>
        <w:t>(Cabrero</w:t>
      </w:r>
      <w:r>
        <w:rPr>
          <w:spacing w:val="-12"/>
          <w:sz w:val="22"/>
        </w:rPr>
        <w:t> </w:t>
      </w:r>
      <w:r>
        <w:rPr>
          <w:sz w:val="22"/>
        </w:rPr>
        <w:t>y</w:t>
      </w:r>
      <w:r>
        <w:rPr>
          <w:spacing w:val="-15"/>
          <w:sz w:val="22"/>
        </w:rPr>
        <w:t> </w:t>
      </w:r>
      <w:r>
        <w:rPr>
          <w:sz w:val="22"/>
        </w:rPr>
        <w:t>Mejía,</w:t>
      </w:r>
      <w:r>
        <w:rPr>
          <w:spacing w:val="-12"/>
          <w:sz w:val="22"/>
        </w:rPr>
        <w:t> </w:t>
      </w:r>
      <w:r>
        <w:rPr>
          <w:sz w:val="22"/>
        </w:rPr>
        <w:t>2007:65).</w:t>
      </w:r>
    </w:p>
    <w:p>
      <w:pPr>
        <w:pStyle w:val="BodyText"/>
        <w:rPr>
          <w:sz w:val="22"/>
        </w:rPr>
      </w:pPr>
    </w:p>
    <w:p>
      <w:pPr>
        <w:pStyle w:val="BodyText"/>
        <w:rPr>
          <w:sz w:val="22"/>
        </w:rPr>
      </w:pPr>
    </w:p>
    <w:p>
      <w:pPr>
        <w:pStyle w:val="BodyText"/>
        <w:spacing w:line="360" w:lineRule="auto" w:before="148"/>
        <w:ind w:left="102" w:right="115"/>
        <w:jc w:val="both"/>
      </w:pPr>
      <w:r>
        <w:rPr/>
        <w:t>La política social tiene su tarea primordial en la construcción del</w:t>
      </w:r>
      <w:r>
        <w:rPr>
          <w:spacing w:val="-46"/>
        </w:rPr>
        <w:t> </w:t>
      </w:r>
      <w:r>
        <w:rPr/>
        <w:t>orden civil. A partir de esa construcción, la política social comenzó a ser un conjunto de prácticas portadoras de transformaciones en donde se atienden la salud, las formas de alimentarse y de alojarse, las condiciones de vida, y sobre todo el espacio de lo cotidiano,</w:t>
      </w:r>
      <w:r>
        <w:rPr>
          <w:spacing w:val="-16"/>
        </w:rPr>
        <w:t> </w:t>
      </w:r>
      <w:r>
        <w:rPr/>
        <w:t>se</w:t>
      </w:r>
      <w:r>
        <w:rPr>
          <w:spacing w:val="-16"/>
        </w:rPr>
        <w:t> </w:t>
      </w:r>
      <w:r>
        <w:rPr/>
        <w:t>busca</w:t>
      </w:r>
      <w:r>
        <w:rPr>
          <w:spacing w:val="-14"/>
        </w:rPr>
        <w:t> </w:t>
      </w:r>
      <w:r>
        <w:rPr/>
        <w:t>que</w:t>
      </w:r>
      <w:r>
        <w:rPr>
          <w:spacing w:val="-13"/>
        </w:rPr>
        <w:t> </w:t>
      </w:r>
      <w:r>
        <w:rPr/>
        <w:t>la</w:t>
      </w:r>
      <w:r>
        <w:rPr>
          <w:spacing w:val="-16"/>
        </w:rPr>
        <w:t> </w:t>
      </w:r>
      <w:r>
        <w:rPr/>
        <w:t>población</w:t>
      </w:r>
      <w:r>
        <w:rPr>
          <w:spacing w:val="-14"/>
        </w:rPr>
        <w:t> </w:t>
      </w:r>
      <w:r>
        <w:rPr/>
        <w:t>sea</w:t>
      </w:r>
      <w:r>
        <w:rPr>
          <w:spacing w:val="-16"/>
        </w:rPr>
        <w:t> </w:t>
      </w:r>
      <w:r>
        <w:rPr/>
        <w:t>la</w:t>
      </w:r>
      <w:r>
        <w:rPr>
          <w:spacing w:val="-14"/>
        </w:rPr>
        <w:t> </w:t>
      </w:r>
      <w:r>
        <w:rPr/>
        <w:t>vía</w:t>
      </w:r>
      <w:r>
        <w:rPr>
          <w:spacing w:val="-14"/>
        </w:rPr>
        <w:t> </w:t>
      </w:r>
      <w:r>
        <w:rPr/>
        <w:t>para</w:t>
      </w:r>
      <w:r>
        <w:rPr>
          <w:spacing w:val="-14"/>
        </w:rPr>
        <w:t> </w:t>
      </w:r>
      <w:r>
        <w:rPr/>
        <w:t>consolidar</w:t>
      </w:r>
      <w:r>
        <w:rPr>
          <w:spacing w:val="-18"/>
        </w:rPr>
        <w:t> </w:t>
      </w:r>
      <w:r>
        <w:rPr/>
        <w:t>el</w:t>
      </w:r>
      <w:r>
        <w:rPr>
          <w:spacing w:val="-15"/>
        </w:rPr>
        <w:t> </w:t>
      </w:r>
      <w:r>
        <w:rPr/>
        <w:t>poder</w:t>
      </w:r>
      <w:r>
        <w:rPr>
          <w:spacing w:val="-16"/>
        </w:rPr>
        <w:t> </w:t>
      </w:r>
      <w:r>
        <w:rPr/>
        <w:t>de</w:t>
      </w:r>
      <w:r>
        <w:rPr>
          <w:spacing w:val="-14"/>
        </w:rPr>
        <w:t> </w:t>
      </w:r>
      <w:r>
        <w:rPr/>
        <w:t>la</w:t>
      </w:r>
      <w:r>
        <w:rPr>
          <w:spacing w:val="-17"/>
        </w:rPr>
        <w:t> </w:t>
      </w:r>
      <w:r>
        <w:rPr/>
        <w:t>nación. “En este sentido, la política social nació como una práctica de regulación sobre la sociedad ejercida por el Estado para establecer las formas de integración social moderna” (Incháustegui y Martínez,</w:t>
      </w:r>
      <w:r>
        <w:rPr>
          <w:spacing w:val="-18"/>
        </w:rPr>
        <w:t> </w:t>
      </w:r>
      <w:r>
        <w:rPr/>
        <w:t>1996:65).</w:t>
      </w:r>
    </w:p>
    <w:p>
      <w:pPr>
        <w:pStyle w:val="BodyText"/>
        <w:spacing w:line="360" w:lineRule="auto" w:before="204"/>
        <w:ind w:left="102" w:right="116"/>
        <w:jc w:val="both"/>
      </w:pPr>
      <w:r>
        <w:rPr/>
        <w:t>Franco (2004) cita que en América Latina en los años ochenta surgieron dos paradigmas</w:t>
      </w:r>
      <w:r>
        <w:rPr>
          <w:spacing w:val="-14"/>
        </w:rPr>
        <w:t> </w:t>
      </w:r>
      <w:r>
        <w:rPr/>
        <w:t>de</w:t>
      </w:r>
      <w:r>
        <w:rPr>
          <w:spacing w:val="-11"/>
        </w:rPr>
        <w:t> </w:t>
      </w:r>
      <w:r>
        <w:rPr/>
        <w:t>política</w:t>
      </w:r>
      <w:r>
        <w:rPr>
          <w:spacing w:val="-11"/>
        </w:rPr>
        <w:t> </w:t>
      </w:r>
      <w:r>
        <w:rPr/>
        <w:t>social.</w:t>
      </w:r>
      <w:r>
        <w:rPr>
          <w:spacing w:val="-11"/>
        </w:rPr>
        <w:t> </w:t>
      </w:r>
      <w:r>
        <w:rPr/>
        <w:t>El</w:t>
      </w:r>
      <w:r>
        <w:rPr>
          <w:spacing w:val="-12"/>
        </w:rPr>
        <w:t> </w:t>
      </w:r>
      <w:r>
        <w:rPr/>
        <w:t>tradicional</w:t>
      </w:r>
      <w:r>
        <w:rPr>
          <w:spacing w:val="-12"/>
        </w:rPr>
        <w:t> </w:t>
      </w:r>
      <w:r>
        <w:rPr/>
        <w:t>y</w:t>
      </w:r>
      <w:r>
        <w:rPr>
          <w:spacing w:val="-12"/>
        </w:rPr>
        <w:t> </w:t>
      </w:r>
      <w:r>
        <w:rPr/>
        <w:t>el</w:t>
      </w:r>
      <w:r>
        <w:rPr>
          <w:spacing w:val="-12"/>
        </w:rPr>
        <w:t> </w:t>
      </w:r>
      <w:r>
        <w:rPr/>
        <w:t>emergente.</w:t>
      </w:r>
      <w:r>
        <w:rPr>
          <w:spacing w:val="-11"/>
        </w:rPr>
        <w:t> </w:t>
      </w:r>
      <w:r>
        <w:rPr/>
        <w:t>En</w:t>
      </w:r>
      <w:r>
        <w:rPr>
          <w:spacing w:val="-11"/>
        </w:rPr>
        <w:t> </w:t>
      </w:r>
      <w:r>
        <w:rPr/>
        <w:t>el</w:t>
      </w:r>
      <w:r>
        <w:rPr>
          <w:spacing w:val="-12"/>
        </w:rPr>
        <w:t> </w:t>
      </w:r>
      <w:r>
        <w:rPr/>
        <w:t>primero,</w:t>
      </w:r>
      <w:r>
        <w:rPr>
          <w:spacing w:val="-13"/>
        </w:rPr>
        <w:t> </w:t>
      </w:r>
      <w:r>
        <w:rPr/>
        <w:t>el</w:t>
      </w:r>
      <w:r>
        <w:rPr>
          <w:spacing w:val="-12"/>
        </w:rPr>
        <w:t> </w:t>
      </w:r>
      <w:r>
        <w:rPr/>
        <w:t>Estado financiaba una provisión de servicios que era igual para todos los beneficiarios, sin considerar peculiaridades de grupos y personas, con la cual el usuario no tenía muchas opciones: aceptaba la oferta o carecía de solución a su problema. Los recursos provenían del presupuesto nacional. Por otro, lado el emergente, postulaba</w:t>
      </w:r>
      <w:r>
        <w:rPr>
          <w:spacing w:val="-17"/>
        </w:rPr>
        <w:t> </w:t>
      </w:r>
      <w:r>
        <w:rPr/>
        <w:t>que</w:t>
      </w:r>
      <w:r>
        <w:rPr>
          <w:spacing w:val="-19"/>
        </w:rPr>
        <w:t> </w:t>
      </w:r>
      <w:r>
        <w:rPr/>
        <w:t>era</w:t>
      </w:r>
      <w:r>
        <w:rPr>
          <w:spacing w:val="-17"/>
        </w:rPr>
        <w:t> </w:t>
      </w:r>
      <w:r>
        <w:rPr/>
        <w:t>la</w:t>
      </w:r>
      <w:r>
        <w:rPr>
          <w:spacing w:val="-17"/>
        </w:rPr>
        <w:t> </w:t>
      </w:r>
      <w:r>
        <w:rPr/>
        <w:t>sociedad</w:t>
      </w:r>
      <w:r>
        <w:rPr>
          <w:spacing w:val="-17"/>
        </w:rPr>
        <w:t> </w:t>
      </w:r>
      <w:r>
        <w:rPr/>
        <w:t>quien</w:t>
      </w:r>
      <w:r>
        <w:rPr>
          <w:spacing w:val="-13"/>
        </w:rPr>
        <w:t> </w:t>
      </w:r>
      <w:r>
        <w:rPr/>
        <w:t>conocía</w:t>
      </w:r>
      <w:r>
        <w:rPr>
          <w:spacing w:val="-17"/>
        </w:rPr>
        <w:t> </w:t>
      </w:r>
      <w:r>
        <w:rPr/>
        <w:t>mejor</w:t>
      </w:r>
      <w:r>
        <w:rPr>
          <w:spacing w:val="-18"/>
        </w:rPr>
        <w:t> </w:t>
      </w:r>
      <w:r>
        <w:rPr/>
        <w:t>sus</w:t>
      </w:r>
      <w:r>
        <w:rPr>
          <w:spacing w:val="-20"/>
        </w:rPr>
        <w:t> </w:t>
      </w:r>
      <w:r>
        <w:rPr/>
        <w:t>necesidades,</w:t>
      </w:r>
      <w:r>
        <w:rPr>
          <w:spacing w:val="-17"/>
        </w:rPr>
        <w:t> </w:t>
      </w:r>
      <w:r>
        <w:rPr/>
        <w:t>así</w:t>
      </w:r>
      <w:r>
        <w:rPr>
          <w:spacing w:val="-19"/>
        </w:rPr>
        <w:t> </w:t>
      </w:r>
      <w:r>
        <w:rPr/>
        <w:t>que,</w:t>
      </w:r>
      <w:r>
        <w:rPr>
          <w:spacing w:val="-17"/>
        </w:rPr>
        <w:t> </w:t>
      </w:r>
      <w:r>
        <w:rPr/>
        <w:t>tenían la</w:t>
      </w:r>
      <w:r>
        <w:rPr>
          <w:spacing w:val="29"/>
        </w:rPr>
        <w:t> </w:t>
      </w:r>
      <w:r>
        <w:rPr/>
        <w:t>capacidad</w:t>
      </w:r>
      <w:r>
        <w:rPr>
          <w:spacing w:val="32"/>
        </w:rPr>
        <w:t> </w:t>
      </w:r>
      <w:r>
        <w:rPr/>
        <w:t>e</w:t>
      </w:r>
      <w:r>
        <w:rPr>
          <w:spacing w:val="30"/>
        </w:rPr>
        <w:t> </w:t>
      </w:r>
      <w:r>
        <w:rPr/>
        <w:t>innovación</w:t>
      </w:r>
      <w:r>
        <w:rPr>
          <w:spacing w:val="30"/>
        </w:rPr>
        <w:t> </w:t>
      </w:r>
      <w:r>
        <w:rPr/>
        <w:t>y</w:t>
      </w:r>
      <w:r>
        <w:rPr>
          <w:spacing w:val="27"/>
        </w:rPr>
        <w:t> </w:t>
      </w:r>
      <w:r>
        <w:rPr/>
        <w:t>de</w:t>
      </w:r>
      <w:r>
        <w:rPr>
          <w:spacing w:val="30"/>
        </w:rPr>
        <w:t> </w:t>
      </w:r>
      <w:r>
        <w:rPr/>
        <w:t>resolución</w:t>
      </w:r>
      <w:r>
        <w:rPr>
          <w:spacing w:val="30"/>
        </w:rPr>
        <w:t> </w:t>
      </w:r>
      <w:r>
        <w:rPr/>
        <w:t>de</w:t>
      </w:r>
      <w:r>
        <w:rPr>
          <w:spacing w:val="30"/>
        </w:rPr>
        <w:t> </w:t>
      </w:r>
      <w:r>
        <w:rPr/>
        <w:t>problemas,</w:t>
      </w:r>
      <w:r>
        <w:rPr>
          <w:spacing w:val="29"/>
        </w:rPr>
        <w:t> </w:t>
      </w:r>
      <w:r>
        <w:rPr/>
        <w:t>por</w:t>
      </w:r>
      <w:r>
        <w:rPr>
          <w:spacing w:val="28"/>
        </w:rPr>
        <w:t> </w:t>
      </w:r>
      <w:r>
        <w:rPr/>
        <w:t>ello,</w:t>
      </w:r>
      <w:r>
        <w:rPr>
          <w:spacing w:val="27"/>
        </w:rPr>
        <w:t> </w:t>
      </w:r>
      <w:r>
        <w:rPr/>
        <w:t>recomendaba</w:t>
      </w:r>
    </w:p>
    <w:p>
      <w:pPr>
        <w:spacing w:after="0" w:line="360" w:lineRule="auto"/>
        <w:jc w:val="both"/>
        <w:sectPr>
          <w:pgSz w:w="12240" w:h="15840"/>
          <w:pgMar w:header="0" w:footer="992" w:top="1360" w:bottom="1180" w:left="1600" w:right="1580"/>
        </w:sectPr>
      </w:pPr>
    </w:p>
    <w:p>
      <w:pPr>
        <w:pStyle w:val="BodyText"/>
        <w:spacing w:line="362" w:lineRule="auto" w:before="54"/>
        <w:ind w:left="102" w:right="118"/>
        <w:jc w:val="both"/>
      </w:pPr>
      <w:r>
        <w:rPr/>
        <w:t>mecanismos que aflorarán esa capacidad. Por lo que, son los propios interesados quienes deciden, que es lo que les conviene.</w:t>
      </w:r>
    </w:p>
    <w:p>
      <w:pPr>
        <w:pStyle w:val="BodyText"/>
        <w:spacing w:line="360" w:lineRule="auto" w:before="201"/>
        <w:ind w:left="102" w:right="123"/>
        <w:jc w:val="both"/>
      </w:pPr>
      <w:r>
        <w:rPr/>
        <w:t>Las</w:t>
      </w:r>
      <w:r>
        <w:rPr>
          <w:spacing w:val="-10"/>
        </w:rPr>
        <w:t> </w:t>
      </w:r>
      <w:r>
        <w:rPr/>
        <w:t>políticas</w:t>
      </w:r>
      <w:r>
        <w:rPr>
          <w:spacing w:val="-8"/>
        </w:rPr>
        <w:t> </w:t>
      </w:r>
      <w:r>
        <w:rPr/>
        <w:t>sociales</w:t>
      </w:r>
      <w:r>
        <w:rPr>
          <w:spacing w:val="-10"/>
        </w:rPr>
        <w:t> </w:t>
      </w:r>
      <w:r>
        <w:rPr/>
        <w:t>en</w:t>
      </w:r>
      <w:r>
        <w:rPr>
          <w:spacing w:val="-7"/>
        </w:rPr>
        <w:t> </w:t>
      </w:r>
      <w:r>
        <w:rPr/>
        <w:t>nuestro</w:t>
      </w:r>
      <w:r>
        <w:rPr>
          <w:spacing w:val="-9"/>
        </w:rPr>
        <w:t> </w:t>
      </w:r>
      <w:r>
        <w:rPr/>
        <w:t>país</w:t>
      </w:r>
      <w:r>
        <w:rPr>
          <w:spacing w:val="-8"/>
        </w:rPr>
        <w:t> </w:t>
      </w:r>
      <w:r>
        <w:rPr/>
        <w:t>tienen</w:t>
      </w:r>
      <w:r>
        <w:rPr>
          <w:spacing w:val="-12"/>
        </w:rPr>
        <w:t> </w:t>
      </w:r>
      <w:r>
        <w:rPr/>
        <w:t>formalmente</w:t>
      </w:r>
      <w:r>
        <w:rPr>
          <w:spacing w:val="-9"/>
        </w:rPr>
        <w:t> </w:t>
      </w:r>
      <w:r>
        <w:rPr/>
        <w:t>su</w:t>
      </w:r>
      <w:r>
        <w:rPr>
          <w:spacing w:val="-9"/>
        </w:rPr>
        <w:t> </w:t>
      </w:r>
      <w:r>
        <w:rPr/>
        <w:t>origen</w:t>
      </w:r>
      <w:r>
        <w:rPr>
          <w:spacing w:val="-9"/>
        </w:rPr>
        <w:t> </w:t>
      </w:r>
      <w:r>
        <w:rPr/>
        <w:t>y</w:t>
      </w:r>
      <w:r>
        <w:rPr>
          <w:spacing w:val="-10"/>
        </w:rPr>
        <w:t> </w:t>
      </w:r>
      <w:r>
        <w:rPr/>
        <w:t>sustento</w:t>
      </w:r>
      <w:r>
        <w:rPr>
          <w:spacing w:val="-7"/>
        </w:rPr>
        <w:t> </w:t>
      </w:r>
      <w:r>
        <w:rPr/>
        <w:t>en</w:t>
      </w:r>
      <w:r>
        <w:rPr>
          <w:spacing w:val="-7"/>
        </w:rPr>
        <w:t> </w:t>
      </w:r>
      <w:r>
        <w:rPr/>
        <w:t>la Constitución de 1917. En ese documento se establecieron por vez</w:t>
      </w:r>
      <w:r>
        <w:rPr>
          <w:spacing w:val="-27"/>
        </w:rPr>
        <w:t> </w:t>
      </w:r>
      <w:r>
        <w:rPr/>
        <w:t>primera:</w:t>
      </w:r>
    </w:p>
    <w:p>
      <w:pPr>
        <w:pStyle w:val="ListParagraph"/>
        <w:numPr>
          <w:ilvl w:val="1"/>
          <w:numId w:val="21"/>
        </w:numPr>
        <w:tabs>
          <w:tab w:pos="954" w:val="left" w:leader="none"/>
        </w:tabs>
        <w:spacing w:line="252" w:lineRule="exact" w:before="204" w:after="0"/>
        <w:ind w:left="954" w:right="0" w:hanging="360"/>
        <w:jc w:val="left"/>
        <w:rPr>
          <w:sz w:val="22"/>
        </w:rPr>
      </w:pPr>
      <w:r>
        <w:rPr>
          <w:sz w:val="22"/>
        </w:rPr>
        <w:t>Los derechos sociales a la educación (artículo</w:t>
      </w:r>
      <w:r>
        <w:rPr>
          <w:spacing w:val="-10"/>
          <w:sz w:val="22"/>
        </w:rPr>
        <w:t> </w:t>
      </w:r>
      <w:r>
        <w:rPr>
          <w:sz w:val="22"/>
        </w:rPr>
        <w:t>3)</w:t>
      </w:r>
    </w:p>
    <w:p>
      <w:pPr>
        <w:pStyle w:val="ListParagraph"/>
        <w:numPr>
          <w:ilvl w:val="1"/>
          <w:numId w:val="21"/>
        </w:numPr>
        <w:tabs>
          <w:tab w:pos="954" w:val="left" w:leader="none"/>
        </w:tabs>
        <w:spacing w:line="252" w:lineRule="exact" w:before="0" w:after="0"/>
        <w:ind w:left="954" w:right="0" w:hanging="360"/>
        <w:jc w:val="left"/>
        <w:rPr>
          <w:sz w:val="22"/>
        </w:rPr>
      </w:pPr>
      <w:r>
        <w:rPr>
          <w:sz w:val="22"/>
        </w:rPr>
        <w:t>La protección laboral (artículo 123) y el acceso a la tierra (artículo</w:t>
      </w:r>
      <w:r>
        <w:rPr>
          <w:spacing w:val="-18"/>
          <w:sz w:val="22"/>
        </w:rPr>
        <w:t> </w:t>
      </w:r>
      <w:r>
        <w:rPr>
          <w:sz w:val="22"/>
        </w:rPr>
        <w:t>27)</w:t>
      </w:r>
    </w:p>
    <w:p>
      <w:pPr>
        <w:pStyle w:val="ListParagraph"/>
        <w:numPr>
          <w:ilvl w:val="1"/>
          <w:numId w:val="21"/>
        </w:numPr>
        <w:tabs>
          <w:tab w:pos="954" w:val="left" w:leader="none"/>
        </w:tabs>
        <w:spacing w:line="252" w:lineRule="exact" w:before="1" w:after="0"/>
        <w:ind w:left="954" w:right="0" w:hanging="360"/>
        <w:jc w:val="left"/>
        <w:rPr>
          <w:sz w:val="22"/>
        </w:rPr>
      </w:pPr>
      <w:r>
        <w:rPr>
          <w:sz w:val="22"/>
        </w:rPr>
        <w:t>En</w:t>
      </w:r>
      <w:r>
        <w:rPr>
          <w:spacing w:val="-10"/>
          <w:sz w:val="22"/>
        </w:rPr>
        <w:t> </w:t>
      </w:r>
      <w:r>
        <w:rPr>
          <w:sz w:val="22"/>
        </w:rPr>
        <w:t>1983</w:t>
      </w:r>
      <w:r>
        <w:rPr>
          <w:spacing w:val="-10"/>
          <w:sz w:val="22"/>
        </w:rPr>
        <w:t> </w:t>
      </w:r>
      <w:r>
        <w:rPr>
          <w:sz w:val="22"/>
        </w:rPr>
        <w:t>se</w:t>
      </w:r>
      <w:r>
        <w:rPr>
          <w:spacing w:val="-13"/>
          <w:sz w:val="22"/>
        </w:rPr>
        <w:t> </w:t>
      </w:r>
      <w:r>
        <w:rPr>
          <w:sz w:val="22"/>
        </w:rPr>
        <w:t>decretaron</w:t>
      </w:r>
      <w:r>
        <w:rPr>
          <w:spacing w:val="-10"/>
          <w:sz w:val="22"/>
        </w:rPr>
        <w:t> </w:t>
      </w:r>
      <w:r>
        <w:rPr>
          <w:sz w:val="22"/>
        </w:rPr>
        <w:t>otros</w:t>
      </w:r>
      <w:r>
        <w:rPr>
          <w:spacing w:val="-10"/>
          <w:sz w:val="22"/>
        </w:rPr>
        <w:t> </w:t>
      </w:r>
      <w:r>
        <w:rPr>
          <w:sz w:val="22"/>
        </w:rPr>
        <w:t>derechos</w:t>
      </w:r>
      <w:r>
        <w:rPr>
          <w:spacing w:val="-13"/>
          <w:sz w:val="22"/>
        </w:rPr>
        <w:t> </w:t>
      </w:r>
      <w:r>
        <w:rPr>
          <w:sz w:val="22"/>
        </w:rPr>
        <w:t>como</w:t>
      </w:r>
      <w:r>
        <w:rPr>
          <w:spacing w:val="-10"/>
          <w:sz w:val="22"/>
        </w:rPr>
        <w:t> </w:t>
      </w:r>
      <w:r>
        <w:rPr>
          <w:sz w:val="22"/>
        </w:rPr>
        <w:t>el</w:t>
      </w:r>
      <w:r>
        <w:rPr>
          <w:spacing w:val="-14"/>
          <w:sz w:val="22"/>
        </w:rPr>
        <w:t> </w:t>
      </w:r>
      <w:r>
        <w:rPr>
          <w:sz w:val="22"/>
        </w:rPr>
        <w:t>de</w:t>
      </w:r>
      <w:r>
        <w:rPr>
          <w:spacing w:val="-13"/>
          <w:sz w:val="22"/>
        </w:rPr>
        <w:t> </w:t>
      </w:r>
      <w:r>
        <w:rPr>
          <w:sz w:val="22"/>
        </w:rPr>
        <w:t>la</w:t>
      </w:r>
      <w:r>
        <w:rPr>
          <w:spacing w:val="-10"/>
          <w:sz w:val="22"/>
        </w:rPr>
        <w:t> </w:t>
      </w:r>
      <w:r>
        <w:rPr>
          <w:sz w:val="22"/>
        </w:rPr>
        <w:t>salud</w:t>
      </w:r>
      <w:r>
        <w:rPr>
          <w:spacing w:val="-10"/>
          <w:sz w:val="22"/>
        </w:rPr>
        <w:t> </w:t>
      </w:r>
      <w:r>
        <w:rPr>
          <w:sz w:val="22"/>
        </w:rPr>
        <w:t>y</w:t>
      </w:r>
      <w:r>
        <w:rPr>
          <w:spacing w:val="-12"/>
          <w:sz w:val="22"/>
        </w:rPr>
        <w:t> </w:t>
      </w:r>
      <w:r>
        <w:rPr>
          <w:sz w:val="22"/>
        </w:rPr>
        <w:t>el</w:t>
      </w:r>
      <w:r>
        <w:rPr>
          <w:spacing w:val="-11"/>
          <w:sz w:val="22"/>
        </w:rPr>
        <w:t> </w:t>
      </w:r>
      <w:r>
        <w:rPr>
          <w:sz w:val="22"/>
        </w:rPr>
        <w:t>acceso</w:t>
      </w:r>
      <w:r>
        <w:rPr>
          <w:spacing w:val="-13"/>
          <w:sz w:val="22"/>
        </w:rPr>
        <w:t> </w:t>
      </w:r>
      <w:r>
        <w:rPr>
          <w:sz w:val="22"/>
        </w:rPr>
        <w:t>a</w:t>
      </w:r>
      <w:r>
        <w:rPr>
          <w:spacing w:val="-13"/>
          <w:sz w:val="22"/>
        </w:rPr>
        <w:t> </w:t>
      </w:r>
      <w:r>
        <w:rPr>
          <w:sz w:val="22"/>
        </w:rPr>
        <w:t>la</w:t>
      </w:r>
      <w:r>
        <w:rPr>
          <w:spacing w:val="-10"/>
          <w:sz w:val="22"/>
        </w:rPr>
        <w:t> </w:t>
      </w:r>
      <w:r>
        <w:rPr>
          <w:sz w:val="22"/>
        </w:rPr>
        <w:t>vivienda</w:t>
      </w:r>
    </w:p>
    <w:p>
      <w:pPr>
        <w:pStyle w:val="ListParagraph"/>
        <w:numPr>
          <w:ilvl w:val="1"/>
          <w:numId w:val="21"/>
        </w:numPr>
        <w:tabs>
          <w:tab w:pos="954" w:val="left" w:leader="none"/>
        </w:tabs>
        <w:spacing w:line="240" w:lineRule="auto" w:before="0" w:after="0"/>
        <w:ind w:left="954" w:right="116" w:hanging="360"/>
        <w:jc w:val="both"/>
        <w:rPr>
          <w:sz w:val="22"/>
        </w:rPr>
      </w:pPr>
      <w:r>
        <w:rPr>
          <w:sz w:val="22"/>
        </w:rPr>
        <w:t>En materia educativa fueron los gobiernos posrevolucionarios los que establecieron no solo la gratitud sino la obligatoriedad. Destacan los esfuerzos de José</w:t>
      </w:r>
      <w:r>
        <w:rPr>
          <w:spacing w:val="-17"/>
          <w:sz w:val="22"/>
        </w:rPr>
        <w:t> </w:t>
      </w:r>
      <w:r>
        <w:rPr>
          <w:sz w:val="22"/>
        </w:rPr>
        <w:t>Vasconcelos</w:t>
      </w:r>
      <w:r>
        <w:rPr>
          <w:spacing w:val="-20"/>
          <w:sz w:val="22"/>
        </w:rPr>
        <w:t> </w:t>
      </w:r>
      <w:r>
        <w:rPr>
          <w:sz w:val="22"/>
        </w:rPr>
        <w:t>(1921),</w:t>
      </w:r>
      <w:r>
        <w:rPr>
          <w:spacing w:val="-16"/>
          <w:sz w:val="22"/>
        </w:rPr>
        <w:t> </w:t>
      </w:r>
      <w:r>
        <w:rPr>
          <w:sz w:val="22"/>
        </w:rPr>
        <w:t>primer</w:t>
      </w:r>
      <w:r>
        <w:rPr>
          <w:spacing w:val="-19"/>
          <w:sz w:val="22"/>
        </w:rPr>
        <w:t> </w:t>
      </w:r>
      <w:r>
        <w:rPr>
          <w:sz w:val="22"/>
        </w:rPr>
        <w:t>secretario</w:t>
      </w:r>
      <w:r>
        <w:rPr>
          <w:spacing w:val="-17"/>
          <w:sz w:val="22"/>
        </w:rPr>
        <w:t> </w:t>
      </w:r>
      <w:r>
        <w:rPr>
          <w:sz w:val="22"/>
        </w:rPr>
        <w:t>de</w:t>
      </w:r>
      <w:r>
        <w:rPr>
          <w:spacing w:val="-20"/>
          <w:sz w:val="22"/>
        </w:rPr>
        <w:t> </w:t>
      </w:r>
      <w:r>
        <w:rPr>
          <w:sz w:val="22"/>
        </w:rPr>
        <w:t>Educación</w:t>
      </w:r>
      <w:r>
        <w:rPr>
          <w:spacing w:val="-14"/>
          <w:sz w:val="22"/>
        </w:rPr>
        <w:t> </w:t>
      </w:r>
      <w:r>
        <w:rPr>
          <w:sz w:val="22"/>
        </w:rPr>
        <w:t>Pública;</w:t>
      </w:r>
      <w:r>
        <w:rPr>
          <w:spacing w:val="-16"/>
          <w:sz w:val="22"/>
        </w:rPr>
        <w:t> </w:t>
      </w:r>
      <w:r>
        <w:rPr>
          <w:sz w:val="22"/>
        </w:rPr>
        <w:t>Narciso</w:t>
      </w:r>
      <w:r>
        <w:rPr>
          <w:spacing w:val="-19"/>
          <w:sz w:val="22"/>
        </w:rPr>
        <w:t> </w:t>
      </w:r>
      <w:r>
        <w:rPr>
          <w:sz w:val="22"/>
        </w:rPr>
        <w:t>Bassols (1931) y de Jaime Torres Bodet</w:t>
      </w:r>
      <w:r>
        <w:rPr>
          <w:spacing w:val="-10"/>
          <w:sz w:val="22"/>
        </w:rPr>
        <w:t> </w:t>
      </w:r>
      <w:r>
        <w:rPr>
          <w:sz w:val="22"/>
        </w:rPr>
        <w:t>(1958).</w:t>
      </w:r>
    </w:p>
    <w:p>
      <w:pPr>
        <w:pStyle w:val="ListParagraph"/>
        <w:numPr>
          <w:ilvl w:val="1"/>
          <w:numId w:val="21"/>
        </w:numPr>
        <w:tabs>
          <w:tab w:pos="954" w:val="left" w:leader="none"/>
        </w:tabs>
        <w:spacing w:line="240" w:lineRule="auto" w:before="1" w:after="0"/>
        <w:ind w:left="954" w:right="117" w:hanging="360"/>
        <w:jc w:val="both"/>
        <w:rPr>
          <w:sz w:val="22"/>
        </w:rPr>
      </w:pPr>
      <w:r>
        <w:rPr>
          <w:sz w:val="22"/>
        </w:rPr>
        <w:t>Otros esfuerzos importantes en materia social fueron las grandes reparticiones</w:t>
      </w:r>
      <w:r>
        <w:rPr>
          <w:spacing w:val="-35"/>
          <w:sz w:val="22"/>
        </w:rPr>
        <w:t> </w:t>
      </w:r>
      <w:r>
        <w:rPr>
          <w:sz w:val="22"/>
        </w:rPr>
        <w:t>de tierras iniciadas por Lázaro Cárdenas y el establecimiento de las leyes laborales que establecieron las jornadas máximas de trabajo y prestaciones de servicios (Velázquez,</w:t>
      </w:r>
      <w:r>
        <w:rPr>
          <w:spacing w:val="-4"/>
          <w:sz w:val="22"/>
        </w:rPr>
        <w:t> </w:t>
      </w:r>
      <w:r>
        <w:rPr>
          <w:sz w:val="22"/>
        </w:rPr>
        <w:t>2012:17).</w:t>
      </w:r>
    </w:p>
    <w:p>
      <w:pPr>
        <w:pStyle w:val="BodyText"/>
        <w:rPr>
          <w:sz w:val="22"/>
        </w:rPr>
      </w:pPr>
    </w:p>
    <w:p>
      <w:pPr>
        <w:pStyle w:val="BodyText"/>
        <w:spacing w:before="8"/>
        <w:rPr>
          <w:sz w:val="19"/>
        </w:rPr>
      </w:pPr>
    </w:p>
    <w:p>
      <w:pPr>
        <w:pStyle w:val="Heading1"/>
        <w:numPr>
          <w:ilvl w:val="2"/>
          <w:numId w:val="22"/>
        </w:numPr>
        <w:tabs>
          <w:tab w:pos="3729" w:val="left" w:leader="none"/>
        </w:tabs>
        <w:spacing w:line="240" w:lineRule="auto" w:before="1" w:after="0"/>
        <w:ind w:left="3820" w:right="0" w:hanging="795"/>
        <w:jc w:val="left"/>
      </w:pPr>
      <w:bookmarkStart w:name="_TOC_250029" w:id="23"/>
      <w:r>
        <w:rPr/>
        <w:t>Desarrollo</w:t>
      </w:r>
      <w:r>
        <w:rPr>
          <w:spacing w:val="-11"/>
        </w:rPr>
        <w:t> </w:t>
      </w:r>
      <w:bookmarkEnd w:id="23"/>
      <w:r>
        <w:rPr/>
        <w:t>Social</w:t>
      </w:r>
    </w:p>
    <w:p>
      <w:pPr>
        <w:pStyle w:val="BodyText"/>
        <w:rPr>
          <w:b/>
          <w:sz w:val="28"/>
        </w:rPr>
      </w:pPr>
    </w:p>
    <w:p>
      <w:pPr>
        <w:pStyle w:val="BodyText"/>
        <w:rPr>
          <w:b/>
          <w:sz w:val="28"/>
        </w:rPr>
      </w:pPr>
    </w:p>
    <w:p>
      <w:pPr>
        <w:pStyle w:val="BodyText"/>
        <w:spacing w:before="5"/>
        <w:rPr>
          <w:b/>
          <w:sz w:val="30"/>
        </w:rPr>
      </w:pPr>
    </w:p>
    <w:p>
      <w:pPr>
        <w:pStyle w:val="BodyText"/>
        <w:spacing w:line="360" w:lineRule="auto" w:before="1"/>
        <w:ind w:left="102" w:right="123"/>
        <w:jc w:val="both"/>
      </w:pPr>
      <w:r>
        <w:rPr/>
        <w:t>El propósito del desarrollo social es la creación de oportunidades para el desempeño de capacidades humanas, colectivas e individuales. La superación de la</w:t>
      </w:r>
      <w:r>
        <w:rPr>
          <w:spacing w:val="-10"/>
        </w:rPr>
        <w:t> </w:t>
      </w:r>
      <w:r>
        <w:rPr/>
        <w:t>pobreza</w:t>
      </w:r>
      <w:r>
        <w:rPr>
          <w:spacing w:val="-9"/>
        </w:rPr>
        <w:t> </w:t>
      </w:r>
      <w:r>
        <w:rPr/>
        <w:t>es</w:t>
      </w:r>
      <w:r>
        <w:rPr>
          <w:spacing w:val="-10"/>
        </w:rPr>
        <w:t> </w:t>
      </w:r>
      <w:r>
        <w:rPr/>
        <w:t>la</w:t>
      </w:r>
      <w:r>
        <w:rPr>
          <w:spacing w:val="-10"/>
        </w:rPr>
        <w:t> </w:t>
      </w:r>
      <w:r>
        <w:rPr/>
        <w:t>consecuencia</w:t>
      </w:r>
      <w:r>
        <w:rPr>
          <w:spacing w:val="-10"/>
        </w:rPr>
        <w:t> </w:t>
      </w:r>
      <w:r>
        <w:rPr/>
        <w:t>lógica</w:t>
      </w:r>
      <w:r>
        <w:rPr>
          <w:spacing w:val="-10"/>
        </w:rPr>
        <w:t> </w:t>
      </w:r>
      <w:r>
        <w:rPr/>
        <w:t>de</w:t>
      </w:r>
      <w:r>
        <w:rPr>
          <w:spacing w:val="-9"/>
        </w:rPr>
        <w:t> </w:t>
      </w:r>
      <w:r>
        <w:rPr/>
        <w:t>un</w:t>
      </w:r>
      <w:r>
        <w:rPr>
          <w:spacing w:val="-9"/>
        </w:rPr>
        <w:t> </w:t>
      </w:r>
      <w:r>
        <w:rPr/>
        <w:t>programa</w:t>
      </w:r>
      <w:r>
        <w:rPr>
          <w:spacing w:val="-9"/>
        </w:rPr>
        <w:t> </w:t>
      </w:r>
      <w:r>
        <w:rPr/>
        <w:t>de</w:t>
      </w:r>
      <w:r>
        <w:rPr>
          <w:spacing w:val="-9"/>
        </w:rPr>
        <w:t> </w:t>
      </w:r>
      <w:r>
        <w:rPr/>
        <w:t>desarrollo</w:t>
      </w:r>
      <w:r>
        <w:rPr>
          <w:spacing w:val="-9"/>
        </w:rPr>
        <w:t> </w:t>
      </w:r>
      <w:r>
        <w:rPr/>
        <w:t>social</w:t>
      </w:r>
      <w:r>
        <w:rPr>
          <w:spacing w:val="-10"/>
        </w:rPr>
        <w:t> </w:t>
      </w:r>
      <w:r>
        <w:rPr/>
        <w:t>donde</w:t>
      </w:r>
      <w:r>
        <w:rPr>
          <w:spacing w:val="-9"/>
        </w:rPr>
        <w:t> </w:t>
      </w:r>
      <w:r>
        <w:rPr/>
        <w:t>los mecanismos de movilidad social actúan de manera</w:t>
      </w:r>
      <w:r>
        <w:rPr>
          <w:spacing w:val="-23"/>
        </w:rPr>
        <w:t> </w:t>
      </w:r>
      <w:r>
        <w:rPr/>
        <w:t>interactiva.</w:t>
      </w:r>
    </w:p>
    <w:p>
      <w:pPr>
        <w:spacing w:before="204"/>
        <w:ind w:left="954" w:right="116" w:firstLine="0"/>
        <w:jc w:val="both"/>
        <w:rPr>
          <w:sz w:val="22"/>
        </w:rPr>
      </w:pPr>
      <w:r>
        <w:rPr>
          <w:sz w:val="22"/>
        </w:rPr>
        <w:t>Al desarrollo social se le define como el conjunto de acciones y condiciones que permiten,</w:t>
      </w:r>
      <w:r>
        <w:rPr>
          <w:spacing w:val="-17"/>
          <w:sz w:val="22"/>
        </w:rPr>
        <w:t> </w:t>
      </w:r>
      <w:r>
        <w:rPr>
          <w:sz w:val="22"/>
        </w:rPr>
        <w:t>a</w:t>
      </w:r>
      <w:r>
        <w:rPr>
          <w:spacing w:val="-19"/>
          <w:sz w:val="22"/>
        </w:rPr>
        <w:t> </w:t>
      </w:r>
      <w:r>
        <w:rPr>
          <w:sz w:val="22"/>
        </w:rPr>
        <w:t>una</w:t>
      </w:r>
      <w:r>
        <w:rPr>
          <w:spacing w:val="-19"/>
          <w:sz w:val="22"/>
        </w:rPr>
        <w:t> </w:t>
      </w:r>
      <w:r>
        <w:rPr>
          <w:sz w:val="22"/>
        </w:rPr>
        <w:t>sociedad</w:t>
      </w:r>
      <w:r>
        <w:rPr>
          <w:spacing w:val="-19"/>
          <w:sz w:val="22"/>
        </w:rPr>
        <w:t> </w:t>
      </w:r>
      <w:r>
        <w:rPr>
          <w:sz w:val="22"/>
        </w:rPr>
        <w:t>y</w:t>
      </w:r>
      <w:r>
        <w:rPr>
          <w:spacing w:val="-18"/>
          <w:sz w:val="22"/>
        </w:rPr>
        <w:t> </w:t>
      </w:r>
      <w:r>
        <w:rPr>
          <w:sz w:val="22"/>
        </w:rPr>
        <w:t>a</w:t>
      </w:r>
      <w:r>
        <w:rPr>
          <w:spacing w:val="-19"/>
          <w:sz w:val="22"/>
        </w:rPr>
        <w:t> </w:t>
      </w:r>
      <w:r>
        <w:rPr>
          <w:sz w:val="22"/>
        </w:rPr>
        <w:t>su</w:t>
      </w:r>
      <w:r>
        <w:rPr>
          <w:spacing w:val="-21"/>
          <w:sz w:val="22"/>
        </w:rPr>
        <w:t> </w:t>
      </w:r>
      <w:r>
        <w:rPr>
          <w:sz w:val="22"/>
        </w:rPr>
        <w:t>gobierno,</w:t>
      </w:r>
      <w:r>
        <w:rPr>
          <w:spacing w:val="-15"/>
          <w:sz w:val="22"/>
        </w:rPr>
        <w:t> </w:t>
      </w:r>
      <w:r>
        <w:rPr>
          <w:sz w:val="22"/>
        </w:rPr>
        <w:t>brindar</w:t>
      </w:r>
      <w:r>
        <w:rPr>
          <w:spacing w:val="-20"/>
          <w:sz w:val="22"/>
        </w:rPr>
        <w:t> </w:t>
      </w:r>
      <w:r>
        <w:rPr>
          <w:sz w:val="22"/>
        </w:rPr>
        <w:t>mayor</w:t>
      </w:r>
      <w:r>
        <w:rPr>
          <w:spacing w:val="-15"/>
          <w:sz w:val="22"/>
        </w:rPr>
        <w:t> </w:t>
      </w:r>
      <w:r>
        <w:rPr>
          <w:sz w:val="22"/>
        </w:rPr>
        <w:t>igualdad</w:t>
      </w:r>
      <w:r>
        <w:rPr>
          <w:spacing w:val="-16"/>
          <w:sz w:val="22"/>
        </w:rPr>
        <w:t> </w:t>
      </w:r>
      <w:r>
        <w:rPr>
          <w:sz w:val="22"/>
        </w:rPr>
        <w:t>de</w:t>
      </w:r>
      <w:r>
        <w:rPr>
          <w:spacing w:val="-19"/>
          <w:sz w:val="22"/>
        </w:rPr>
        <w:t> </w:t>
      </w:r>
      <w:r>
        <w:rPr>
          <w:sz w:val="22"/>
        </w:rPr>
        <w:t>oportunidades a cada individuo. Por lo tanto, el país requiere de una política social activa y, a la vez, redistributiva, es decir tener un proceso donde se mantenga la estabilidad económica y admitir que ésta por si sola no resuelve los problemas que a la par tendría que ir acompañada de una estabilidad social (Carrillo,</w:t>
      </w:r>
      <w:r>
        <w:rPr>
          <w:spacing w:val="-17"/>
          <w:sz w:val="22"/>
        </w:rPr>
        <w:t> </w:t>
      </w:r>
      <w:r>
        <w:rPr>
          <w:sz w:val="22"/>
        </w:rPr>
        <w:t>2007:11).</w:t>
      </w:r>
    </w:p>
    <w:p>
      <w:pPr>
        <w:pStyle w:val="BodyText"/>
        <w:rPr>
          <w:sz w:val="22"/>
        </w:rPr>
      </w:pPr>
    </w:p>
    <w:p>
      <w:pPr>
        <w:pStyle w:val="BodyText"/>
        <w:rPr>
          <w:sz w:val="22"/>
        </w:rPr>
      </w:pPr>
    </w:p>
    <w:p>
      <w:pPr>
        <w:pStyle w:val="BodyText"/>
        <w:spacing w:line="360" w:lineRule="auto" w:before="147"/>
        <w:ind w:left="102" w:right="114"/>
        <w:jc w:val="both"/>
      </w:pPr>
      <w:r>
        <w:rPr/>
        <w:t>Para Sojo (2004) el desarrollo social alude a un ámbito de políticas (públicas y privadas) y de intervenciones institucionales dirigidas a crear condiciones y oportunidades para que los individuos realicen sus capacidades de vivir una vida saludable, larga y digna. Lo saludable alude a la calidad de vida, asegurada por el acceso a la nutrición, vivienda, educación, ambiente, cultura; la longevidad hace</w:t>
      </w:r>
    </w:p>
    <w:p>
      <w:pPr>
        <w:spacing w:after="0" w:line="360" w:lineRule="auto"/>
        <w:jc w:val="both"/>
        <w:sectPr>
          <w:pgSz w:w="12240" w:h="15840"/>
          <w:pgMar w:header="0" w:footer="992" w:top="1360" w:bottom="1180" w:left="1600" w:right="1580"/>
        </w:sectPr>
      </w:pPr>
    </w:p>
    <w:p>
      <w:pPr>
        <w:pStyle w:val="BodyText"/>
        <w:spacing w:line="360" w:lineRule="auto" w:before="54"/>
        <w:ind w:left="102" w:right="118"/>
        <w:jc w:val="both"/>
      </w:pPr>
      <w:r>
        <w:rPr/>
        <w:t>referencia</w:t>
      </w:r>
      <w:r>
        <w:rPr>
          <w:spacing w:val="-13"/>
        </w:rPr>
        <w:t> </w:t>
      </w:r>
      <w:r>
        <w:rPr/>
        <w:t>a</w:t>
      </w:r>
      <w:r>
        <w:rPr>
          <w:spacing w:val="-11"/>
        </w:rPr>
        <w:t> </w:t>
      </w:r>
      <w:r>
        <w:rPr/>
        <w:t>la</w:t>
      </w:r>
      <w:r>
        <w:rPr>
          <w:spacing w:val="-13"/>
        </w:rPr>
        <w:t> </w:t>
      </w:r>
      <w:r>
        <w:rPr/>
        <w:t>disposición</w:t>
      </w:r>
      <w:r>
        <w:rPr>
          <w:spacing w:val="-8"/>
        </w:rPr>
        <w:t> </w:t>
      </w:r>
      <w:r>
        <w:rPr/>
        <w:t>de</w:t>
      </w:r>
      <w:r>
        <w:rPr>
          <w:spacing w:val="-13"/>
        </w:rPr>
        <w:t> </w:t>
      </w:r>
      <w:r>
        <w:rPr/>
        <w:t>esos</w:t>
      </w:r>
      <w:r>
        <w:rPr>
          <w:spacing w:val="-12"/>
        </w:rPr>
        <w:t> </w:t>
      </w:r>
      <w:r>
        <w:rPr/>
        <w:t>recursos</w:t>
      </w:r>
      <w:r>
        <w:rPr>
          <w:spacing w:val="-11"/>
        </w:rPr>
        <w:t> </w:t>
      </w:r>
      <w:r>
        <w:rPr/>
        <w:t>en</w:t>
      </w:r>
      <w:r>
        <w:rPr>
          <w:spacing w:val="-11"/>
        </w:rPr>
        <w:t> </w:t>
      </w:r>
      <w:r>
        <w:rPr/>
        <w:t>el</w:t>
      </w:r>
      <w:r>
        <w:rPr>
          <w:spacing w:val="-12"/>
        </w:rPr>
        <w:t> </w:t>
      </w:r>
      <w:r>
        <w:rPr/>
        <w:t>largo</w:t>
      </w:r>
      <w:r>
        <w:rPr>
          <w:spacing w:val="-9"/>
        </w:rPr>
        <w:t> </w:t>
      </w:r>
      <w:r>
        <w:rPr/>
        <w:t>plazo</w:t>
      </w:r>
      <w:r>
        <w:rPr>
          <w:spacing w:val="-11"/>
        </w:rPr>
        <w:t> </w:t>
      </w:r>
      <w:r>
        <w:rPr/>
        <w:t>y</w:t>
      </w:r>
      <w:r>
        <w:rPr>
          <w:spacing w:val="-14"/>
        </w:rPr>
        <w:t> </w:t>
      </w:r>
      <w:r>
        <w:rPr/>
        <w:t>la</w:t>
      </w:r>
      <w:r>
        <w:rPr>
          <w:spacing w:val="-11"/>
        </w:rPr>
        <w:t> </w:t>
      </w:r>
      <w:r>
        <w:rPr/>
        <w:t>dignidad</w:t>
      </w:r>
      <w:r>
        <w:rPr>
          <w:spacing w:val="-11"/>
        </w:rPr>
        <w:t> </w:t>
      </w:r>
      <w:r>
        <w:rPr/>
        <w:t>se</w:t>
      </w:r>
      <w:r>
        <w:rPr>
          <w:spacing w:val="-11"/>
        </w:rPr>
        <w:t> </w:t>
      </w:r>
      <w:r>
        <w:rPr/>
        <w:t>refiere a</w:t>
      </w:r>
      <w:r>
        <w:rPr>
          <w:spacing w:val="-14"/>
        </w:rPr>
        <w:t> </w:t>
      </w:r>
      <w:r>
        <w:rPr/>
        <w:t>la</w:t>
      </w:r>
      <w:r>
        <w:rPr>
          <w:spacing w:val="-14"/>
        </w:rPr>
        <w:t> </w:t>
      </w:r>
      <w:r>
        <w:rPr/>
        <w:t>disposición</w:t>
      </w:r>
      <w:r>
        <w:rPr>
          <w:spacing w:val="-17"/>
        </w:rPr>
        <w:t> </w:t>
      </w:r>
      <w:r>
        <w:rPr/>
        <w:t>de</w:t>
      </w:r>
      <w:r>
        <w:rPr>
          <w:spacing w:val="-14"/>
        </w:rPr>
        <w:t> </w:t>
      </w:r>
      <w:r>
        <w:rPr/>
        <w:t>derechos</w:t>
      </w:r>
      <w:r>
        <w:rPr>
          <w:spacing w:val="-15"/>
        </w:rPr>
        <w:t> </w:t>
      </w:r>
      <w:r>
        <w:rPr/>
        <w:t>(ciudadanos</w:t>
      </w:r>
      <w:r>
        <w:rPr>
          <w:spacing w:val="-14"/>
        </w:rPr>
        <w:t> </w:t>
      </w:r>
      <w:r>
        <w:rPr/>
        <w:t>o</w:t>
      </w:r>
      <w:r>
        <w:rPr>
          <w:spacing w:val="-14"/>
        </w:rPr>
        <w:t> </w:t>
      </w:r>
      <w:r>
        <w:rPr/>
        <w:t>humanos)</w:t>
      </w:r>
      <w:r>
        <w:rPr>
          <w:spacing w:val="-16"/>
        </w:rPr>
        <w:t> </w:t>
      </w:r>
      <w:r>
        <w:rPr/>
        <w:t>que</w:t>
      </w:r>
      <w:r>
        <w:rPr>
          <w:spacing w:val="-17"/>
        </w:rPr>
        <w:t> </w:t>
      </w:r>
      <w:r>
        <w:rPr/>
        <w:t>orientan</w:t>
      </w:r>
      <w:r>
        <w:rPr>
          <w:spacing w:val="-14"/>
        </w:rPr>
        <w:t> </w:t>
      </w:r>
      <w:r>
        <w:rPr/>
        <w:t>la</w:t>
      </w:r>
      <w:r>
        <w:rPr>
          <w:spacing w:val="-14"/>
        </w:rPr>
        <w:t> </w:t>
      </w:r>
      <w:r>
        <w:rPr/>
        <w:t>acción</w:t>
      </w:r>
      <w:r>
        <w:rPr>
          <w:spacing w:val="-16"/>
        </w:rPr>
        <w:t> </w:t>
      </w:r>
      <w:r>
        <w:rPr/>
        <w:t>pública y la demanda</w:t>
      </w:r>
      <w:r>
        <w:rPr>
          <w:spacing w:val="-5"/>
        </w:rPr>
        <w:t> </w:t>
      </w:r>
      <w:r>
        <w:rPr/>
        <w:t>social.</w:t>
      </w:r>
    </w:p>
    <w:p>
      <w:pPr>
        <w:pStyle w:val="BodyText"/>
        <w:spacing w:line="360" w:lineRule="auto" w:before="204"/>
        <w:ind w:left="102" w:right="115"/>
        <w:jc w:val="both"/>
      </w:pPr>
      <w:r>
        <w:rPr/>
        <w:t>El proceso de descentralización que se dio durante los años noventa, fue de gran impacto en las políticas públicas, pero ha sido en las políticas sociales donde más se</w:t>
      </w:r>
      <w:r>
        <w:rPr>
          <w:spacing w:val="-9"/>
        </w:rPr>
        <w:t> </w:t>
      </w:r>
      <w:r>
        <w:rPr/>
        <w:t>ha</w:t>
      </w:r>
      <w:r>
        <w:rPr>
          <w:spacing w:val="-9"/>
        </w:rPr>
        <w:t> </w:t>
      </w:r>
      <w:r>
        <w:rPr/>
        <w:t>invertido</w:t>
      </w:r>
      <w:r>
        <w:rPr>
          <w:spacing w:val="-9"/>
        </w:rPr>
        <w:t> </w:t>
      </w:r>
      <w:r>
        <w:rPr/>
        <w:t>tiempo</w:t>
      </w:r>
      <w:r>
        <w:rPr>
          <w:spacing w:val="-11"/>
        </w:rPr>
        <w:t> </w:t>
      </w:r>
      <w:r>
        <w:rPr/>
        <w:t>y</w:t>
      </w:r>
      <w:r>
        <w:rPr>
          <w:spacing w:val="-12"/>
        </w:rPr>
        <w:t> </w:t>
      </w:r>
      <w:r>
        <w:rPr/>
        <w:t>recurso;</w:t>
      </w:r>
      <w:r>
        <w:rPr>
          <w:spacing w:val="-9"/>
        </w:rPr>
        <w:t> </w:t>
      </w:r>
      <w:r>
        <w:rPr/>
        <w:t>los</w:t>
      </w:r>
      <w:r>
        <w:rPr>
          <w:spacing w:val="-10"/>
        </w:rPr>
        <w:t> </w:t>
      </w:r>
      <w:r>
        <w:rPr/>
        <w:t>gobiernos</w:t>
      </w:r>
      <w:r>
        <w:rPr>
          <w:spacing w:val="-10"/>
        </w:rPr>
        <w:t> </w:t>
      </w:r>
      <w:r>
        <w:rPr/>
        <w:t>nacionales</w:t>
      </w:r>
      <w:r>
        <w:rPr>
          <w:spacing w:val="-10"/>
        </w:rPr>
        <w:t> </w:t>
      </w:r>
      <w:r>
        <w:rPr/>
        <w:t>han</w:t>
      </w:r>
      <w:r>
        <w:rPr>
          <w:spacing w:val="-9"/>
        </w:rPr>
        <w:t> </w:t>
      </w:r>
      <w:r>
        <w:rPr/>
        <w:t>descentralizado</w:t>
      </w:r>
      <w:r>
        <w:rPr>
          <w:spacing w:val="-5"/>
        </w:rPr>
        <w:t> </w:t>
      </w:r>
      <w:r>
        <w:rPr/>
        <w:t>más rápidamente</w:t>
      </w:r>
      <w:r>
        <w:rPr>
          <w:spacing w:val="-7"/>
        </w:rPr>
        <w:t> </w:t>
      </w:r>
      <w:r>
        <w:rPr/>
        <w:t>este</w:t>
      </w:r>
      <w:r>
        <w:rPr>
          <w:spacing w:val="-7"/>
        </w:rPr>
        <w:t> </w:t>
      </w:r>
      <w:r>
        <w:rPr/>
        <w:t>rubro</w:t>
      </w:r>
      <w:r>
        <w:rPr>
          <w:spacing w:val="-8"/>
        </w:rPr>
        <w:t> </w:t>
      </w:r>
      <w:r>
        <w:rPr/>
        <w:t>hacia</w:t>
      </w:r>
      <w:r>
        <w:rPr>
          <w:spacing w:val="-7"/>
        </w:rPr>
        <w:t> </w:t>
      </w:r>
      <w:r>
        <w:rPr/>
        <w:t>los</w:t>
      </w:r>
      <w:r>
        <w:rPr>
          <w:spacing w:val="-10"/>
        </w:rPr>
        <w:t> </w:t>
      </w:r>
      <w:r>
        <w:rPr/>
        <w:t>gobiernos</w:t>
      </w:r>
      <w:r>
        <w:rPr>
          <w:spacing w:val="-8"/>
        </w:rPr>
        <w:t> </w:t>
      </w:r>
      <w:r>
        <w:rPr/>
        <w:t>locales,</w:t>
      </w:r>
      <w:r>
        <w:rPr>
          <w:spacing w:val="-7"/>
        </w:rPr>
        <w:t> </w:t>
      </w:r>
      <w:r>
        <w:rPr/>
        <w:t>siendo</w:t>
      </w:r>
      <w:r>
        <w:rPr>
          <w:spacing w:val="-7"/>
        </w:rPr>
        <w:t> </w:t>
      </w:r>
      <w:r>
        <w:rPr/>
        <w:t>que</w:t>
      </w:r>
      <w:r>
        <w:rPr>
          <w:spacing w:val="-7"/>
        </w:rPr>
        <w:t> </w:t>
      </w:r>
      <w:r>
        <w:rPr/>
        <w:t>los</w:t>
      </w:r>
      <w:r>
        <w:rPr>
          <w:spacing w:val="-10"/>
        </w:rPr>
        <w:t> </w:t>
      </w:r>
      <w:r>
        <w:rPr/>
        <w:t>gobiernos</w:t>
      </w:r>
      <w:r>
        <w:rPr>
          <w:spacing w:val="-8"/>
        </w:rPr>
        <w:t> </w:t>
      </w:r>
      <w:r>
        <w:rPr/>
        <w:t>están en el supuesto de que las políticas sociales que son descentralizadas generan mejoras de bienestar</w:t>
      </w:r>
      <w:r>
        <w:rPr>
          <w:spacing w:val="-7"/>
        </w:rPr>
        <w:t> </w:t>
      </w:r>
      <w:r>
        <w:rPr/>
        <w:t>social.</w:t>
      </w:r>
    </w:p>
    <w:p>
      <w:pPr>
        <w:pStyle w:val="BodyText"/>
        <w:spacing w:line="360" w:lineRule="auto" w:before="202"/>
        <w:ind w:left="102" w:right="115"/>
        <w:jc w:val="both"/>
        <w:rPr>
          <w:sz w:val="22"/>
        </w:rPr>
      </w:pPr>
      <w:r>
        <w:rPr/>
        <w:t>En México la descentralización ha sido un proceso que ha tenido avances significativos, sin embargo no hay que dejar de lado que prevalece aún un centralismo fuerte; centralismo que se encuentra instalado desde las raíces, desde que</w:t>
      </w:r>
      <w:r>
        <w:rPr>
          <w:spacing w:val="-13"/>
        </w:rPr>
        <w:t> </w:t>
      </w:r>
      <w:r>
        <w:rPr/>
        <w:t>inicio</w:t>
      </w:r>
      <w:r>
        <w:rPr>
          <w:spacing w:val="-14"/>
        </w:rPr>
        <w:t> </w:t>
      </w:r>
      <w:r>
        <w:rPr/>
        <w:t>la</w:t>
      </w:r>
      <w:r>
        <w:rPr>
          <w:spacing w:val="-13"/>
        </w:rPr>
        <w:t> </w:t>
      </w:r>
      <w:r>
        <w:rPr/>
        <w:t>vida</w:t>
      </w:r>
      <w:r>
        <w:rPr>
          <w:spacing w:val="-14"/>
        </w:rPr>
        <w:t> </w:t>
      </w:r>
      <w:r>
        <w:rPr/>
        <w:t>de</w:t>
      </w:r>
      <w:r>
        <w:rPr>
          <w:spacing w:val="-14"/>
        </w:rPr>
        <w:t> </w:t>
      </w:r>
      <w:r>
        <w:rPr/>
        <w:t>esta</w:t>
      </w:r>
      <w:r>
        <w:rPr>
          <w:spacing w:val="-13"/>
        </w:rPr>
        <w:t> </w:t>
      </w:r>
      <w:r>
        <w:rPr/>
        <w:t>nación,</w:t>
      </w:r>
      <w:r>
        <w:rPr>
          <w:spacing w:val="-14"/>
        </w:rPr>
        <w:t> </w:t>
      </w:r>
      <w:r>
        <w:rPr/>
        <w:t>empezando</w:t>
      </w:r>
      <w:r>
        <w:rPr>
          <w:spacing w:val="-14"/>
        </w:rPr>
        <w:t> </w:t>
      </w:r>
      <w:r>
        <w:rPr/>
        <w:t>en</w:t>
      </w:r>
      <w:r>
        <w:rPr>
          <w:spacing w:val="-13"/>
        </w:rPr>
        <w:t> </w:t>
      </w:r>
      <w:r>
        <w:rPr/>
        <w:t>la</w:t>
      </w:r>
      <w:r>
        <w:rPr>
          <w:spacing w:val="-14"/>
        </w:rPr>
        <w:t> </w:t>
      </w:r>
      <w:r>
        <w:rPr/>
        <w:t>época</w:t>
      </w:r>
      <w:r>
        <w:rPr>
          <w:spacing w:val="-14"/>
        </w:rPr>
        <w:t> </w:t>
      </w:r>
      <w:r>
        <w:rPr/>
        <w:t>prehispánica,</w:t>
      </w:r>
      <w:r>
        <w:rPr>
          <w:spacing w:val="-13"/>
        </w:rPr>
        <w:t> </w:t>
      </w:r>
      <w:r>
        <w:rPr/>
        <w:t>continuando por la conquista, la independencia y la revolución. La revolución mexicana de la década de 1910, permitió terminar con una dictadura de treinta años, pero también permitió la dispersión de grupos dentro del territorio, dificultando el control y la consolidación</w:t>
      </w:r>
      <w:r>
        <w:rPr>
          <w:spacing w:val="-6"/>
        </w:rPr>
        <w:t> </w:t>
      </w:r>
      <w:r>
        <w:rPr/>
        <w:t>del</w:t>
      </w:r>
      <w:r>
        <w:rPr>
          <w:spacing w:val="-7"/>
        </w:rPr>
        <w:t> </w:t>
      </w:r>
      <w:r>
        <w:rPr/>
        <w:t>nuevo</w:t>
      </w:r>
      <w:r>
        <w:rPr>
          <w:spacing w:val="-6"/>
        </w:rPr>
        <w:t> </w:t>
      </w:r>
      <w:r>
        <w:rPr/>
        <w:t>modelo</w:t>
      </w:r>
      <w:r>
        <w:rPr>
          <w:spacing w:val="-9"/>
        </w:rPr>
        <w:t> </w:t>
      </w:r>
      <w:r>
        <w:rPr/>
        <w:t>de</w:t>
      </w:r>
      <w:r>
        <w:rPr>
          <w:spacing w:val="-6"/>
        </w:rPr>
        <w:t> </w:t>
      </w:r>
      <w:r>
        <w:rPr/>
        <w:t>gobierno.</w:t>
      </w:r>
      <w:r>
        <w:rPr>
          <w:spacing w:val="-9"/>
        </w:rPr>
        <w:t> </w:t>
      </w:r>
      <w:r>
        <w:rPr/>
        <w:t>Después</w:t>
      </w:r>
      <w:r>
        <w:rPr>
          <w:spacing w:val="-9"/>
        </w:rPr>
        <w:t> </w:t>
      </w:r>
      <w:r>
        <w:rPr/>
        <w:t>de</w:t>
      </w:r>
      <w:r>
        <w:rPr>
          <w:spacing w:val="-6"/>
        </w:rPr>
        <w:t> </w:t>
      </w:r>
      <w:r>
        <w:rPr/>
        <w:t>la</w:t>
      </w:r>
      <w:r>
        <w:rPr>
          <w:spacing w:val="-6"/>
        </w:rPr>
        <w:t> </w:t>
      </w:r>
      <w:r>
        <w:rPr/>
        <w:t>época</w:t>
      </w:r>
      <w:r>
        <w:rPr>
          <w:spacing w:val="-8"/>
        </w:rPr>
        <w:t> </w:t>
      </w:r>
      <w:r>
        <w:rPr/>
        <w:t>de</w:t>
      </w:r>
      <w:r>
        <w:rPr>
          <w:spacing w:val="-6"/>
        </w:rPr>
        <w:t> </w:t>
      </w:r>
      <w:r>
        <w:rPr/>
        <w:t>la</w:t>
      </w:r>
      <w:r>
        <w:rPr>
          <w:spacing w:val="-6"/>
        </w:rPr>
        <w:t> </w:t>
      </w:r>
      <w:r>
        <w:rPr/>
        <w:t>revolución se necesitaron varios años para construir un Estado-nación, relativamente estable, pero ese fantasma del centralismo aun sigue predominando en la actualidad, la concentración del poder en el centro del país, la represión hacia los gobiernos subnacionales y a la existencia aún de lideres y caudillos de esa época, no han consentido que se cimente el régimen federal por el cual se efectuaron episodios violentos</w:t>
      </w:r>
      <w:r>
        <w:rPr>
          <w:spacing w:val="-5"/>
        </w:rPr>
        <w:t> </w:t>
      </w:r>
      <w:r>
        <w:rPr/>
        <w:t>en</w:t>
      </w:r>
      <w:r>
        <w:rPr>
          <w:spacing w:val="-7"/>
        </w:rPr>
        <w:t> </w:t>
      </w:r>
      <w:r>
        <w:rPr/>
        <w:t>la</w:t>
      </w:r>
      <w:r>
        <w:rPr>
          <w:spacing w:val="-7"/>
        </w:rPr>
        <w:t> </w:t>
      </w:r>
      <w:r>
        <w:rPr/>
        <w:t>historia,</w:t>
      </w:r>
      <w:r>
        <w:rPr>
          <w:spacing w:val="-7"/>
        </w:rPr>
        <w:t> </w:t>
      </w:r>
      <w:r>
        <w:rPr/>
        <w:t>tal</w:t>
      </w:r>
      <w:r>
        <w:rPr>
          <w:spacing w:val="-8"/>
        </w:rPr>
        <w:t> </w:t>
      </w:r>
      <w:r>
        <w:rPr/>
        <w:t>parece</w:t>
      </w:r>
      <w:r>
        <w:rPr>
          <w:spacing w:val="-7"/>
        </w:rPr>
        <w:t> </w:t>
      </w:r>
      <w:r>
        <w:rPr/>
        <w:t>que</w:t>
      </w:r>
      <w:r>
        <w:rPr>
          <w:spacing w:val="-5"/>
        </w:rPr>
        <w:t> </w:t>
      </w:r>
      <w:r>
        <w:rPr/>
        <w:t>se</w:t>
      </w:r>
      <w:r>
        <w:rPr>
          <w:spacing w:val="-5"/>
        </w:rPr>
        <w:t> </w:t>
      </w:r>
      <w:r>
        <w:rPr/>
        <w:t>instauró</w:t>
      </w:r>
      <w:r>
        <w:rPr>
          <w:spacing w:val="-8"/>
        </w:rPr>
        <w:t> </w:t>
      </w:r>
      <w:r>
        <w:rPr/>
        <w:t>un</w:t>
      </w:r>
      <w:r>
        <w:rPr>
          <w:spacing w:val="-5"/>
        </w:rPr>
        <w:t> </w:t>
      </w:r>
      <w:r>
        <w:rPr/>
        <w:t>régimen</w:t>
      </w:r>
      <w:r>
        <w:rPr>
          <w:spacing w:val="-5"/>
        </w:rPr>
        <w:t> </w:t>
      </w:r>
      <w:r>
        <w:rPr/>
        <w:t>centralista</w:t>
      </w:r>
      <w:r>
        <w:rPr>
          <w:spacing w:val="-4"/>
        </w:rPr>
        <w:t> </w:t>
      </w:r>
      <w:r>
        <w:rPr/>
        <w:t>disfrazado de</w:t>
      </w:r>
      <w:r>
        <w:rPr>
          <w:spacing w:val="-5"/>
        </w:rPr>
        <w:t> </w:t>
      </w:r>
      <w:r>
        <w:rPr/>
        <w:t>federalismo</w:t>
      </w:r>
      <w:r>
        <w:rPr>
          <w:sz w:val="22"/>
        </w:rPr>
        <w:t>.</w:t>
      </w:r>
    </w:p>
    <w:p>
      <w:pPr>
        <w:pStyle w:val="BodyText"/>
        <w:spacing w:line="360" w:lineRule="auto" w:before="205"/>
        <w:ind w:left="102" w:right="115"/>
        <w:jc w:val="both"/>
      </w:pPr>
      <w:r>
        <w:rPr/>
        <w:t>La</w:t>
      </w:r>
      <w:r>
        <w:rPr>
          <w:spacing w:val="-13"/>
        </w:rPr>
        <w:t> </w:t>
      </w:r>
      <w:r>
        <w:rPr/>
        <w:t>política</w:t>
      </w:r>
      <w:r>
        <w:rPr>
          <w:spacing w:val="-13"/>
        </w:rPr>
        <w:t> </w:t>
      </w:r>
      <w:r>
        <w:rPr/>
        <w:t>social,</w:t>
      </w:r>
      <w:r>
        <w:rPr>
          <w:spacing w:val="-13"/>
        </w:rPr>
        <w:t> </w:t>
      </w:r>
      <w:r>
        <w:rPr/>
        <w:t>requiere</w:t>
      </w:r>
      <w:r>
        <w:rPr>
          <w:spacing w:val="-13"/>
        </w:rPr>
        <w:t> </w:t>
      </w:r>
      <w:r>
        <w:rPr/>
        <w:t>mayor</w:t>
      </w:r>
      <w:r>
        <w:rPr>
          <w:spacing w:val="-15"/>
        </w:rPr>
        <w:t> </w:t>
      </w:r>
      <w:r>
        <w:rPr/>
        <w:t>coordinación</w:t>
      </w:r>
      <w:r>
        <w:rPr>
          <w:spacing w:val="-13"/>
        </w:rPr>
        <w:t> </w:t>
      </w:r>
      <w:r>
        <w:rPr/>
        <w:t>entre</w:t>
      </w:r>
      <w:r>
        <w:rPr>
          <w:spacing w:val="-16"/>
        </w:rPr>
        <w:t> </w:t>
      </w:r>
      <w:r>
        <w:rPr/>
        <w:t>autoridades</w:t>
      </w:r>
      <w:r>
        <w:rPr>
          <w:spacing w:val="-14"/>
        </w:rPr>
        <w:t> </w:t>
      </w:r>
      <w:r>
        <w:rPr/>
        <w:t>de</w:t>
      </w:r>
      <w:r>
        <w:rPr>
          <w:spacing w:val="-16"/>
        </w:rPr>
        <w:t> </w:t>
      </w:r>
      <w:r>
        <w:rPr/>
        <w:t>los</w:t>
      </w:r>
      <w:r>
        <w:rPr>
          <w:spacing w:val="-13"/>
        </w:rPr>
        <w:t> </w:t>
      </w:r>
      <w:r>
        <w:rPr/>
        <w:t>tres</w:t>
      </w:r>
      <w:r>
        <w:rPr>
          <w:spacing w:val="-14"/>
        </w:rPr>
        <w:t> </w:t>
      </w:r>
      <w:r>
        <w:rPr/>
        <w:t>ámbitos de gobierno, instrumentos de focalización eficientes, enfoque espacial y consistencia con una política económica, que busque ser capaz de promover el crecimiento garantizando la eficiencia y la equidad en la</w:t>
      </w:r>
      <w:r>
        <w:rPr>
          <w:spacing w:val="-22"/>
        </w:rPr>
        <w:t> </w:t>
      </w:r>
      <w:r>
        <w:rPr/>
        <w:t>redistribución.</w:t>
      </w:r>
    </w:p>
    <w:p>
      <w:pPr>
        <w:spacing w:after="0" w:line="360" w:lineRule="auto"/>
        <w:jc w:val="both"/>
        <w:sectPr>
          <w:pgSz w:w="12240" w:h="15840"/>
          <w:pgMar w:header="0" w:footer="992" w:top="1360" w:bottom="1180" w:left="1600" w:right="1580"/>
        </w:sectPr>
      </w:pPr>
    </w:p>
    <w:p>
      <w:pPr>
        <w:pStyle w:val="Heading1"/>
        <w:numPr>
          <w:ilvl w:val="2"/>
          <w:numId w:val="22"/>
        </w:numPr>
        <w:tabs>
          <w:tab w:pos="1403" w:val="left" w:leader="none"/>
        </w:tabs>
        <w:spacing w:line="242" w:lineRule="auto" w:before="52" w:after="0"/>
        <w:ind w:left="3820" w:right="641" w:hanging="3198"/>
        <w:jc w:val="left"/>
      </w:pPr>
      <w:bookmarkStart w:name="_TOC_250028" w:id="24"/>
      <w:r>
        <w:rPr/>
        <w:t>Razones de la Descentralización de la Política</w:t>
      </w:r>
      <w:r>
        <w:rPr>
          <w:spacing w:val="-28"/>
        </w:rPr>
        <w:t> </w:t>
      </w:r>
      <w:bookmarkEnd w:id="24"/>
      <w:r>
        <w:rPr/>
        <w:t>Social (Contexto)</w:t>
      </w:r>
    </w:p>
    <w:p>
      <w:pPr>
        <w:pStyle w:val="BodyText"/>
        <w:rPr>
          <w:b/>
          <w:sz w:val="28"/>
        </w:rPr>
      </w:pPr>
    </w:p>
    <w:p>
      <w:pPr>
        <w:pStyle w:val="BodyText"/>
        <w:rPr>
          <w:b/>
          <w:sz w:val="28"/>
        </w:rPr>
      </w:pPr>
    </w:p>
    <w:p>
      <w:pPr>
        <w:pStyle w:val="BodyText"/>
        <w:spacing w:before="2"/>
        <w:rPr>
          <w:b/>
          <w:sz w:val="30"/>
        </w:rPr>
      </w:pPr>
    </w:p>
    <w:p>
      <w:pPr>
        <w:pStyle w:val="BodyText"/>
        <w:spacing w:line="360" w:lineRule="auto"/>
        <w:ind w:left="102" w:right="122"/>
        <w:jc w:val="both"/>
      </w:pPr>
      <w:r>
        <w:rPr/>
        <w:t>En la década de los cuarenta se inició un proceso de desarrollo de la industria a costa del campo. Los costos fueron altos para la población rural, que pronto se vio empobrecida</w:t>
      </w:r>
      <w:r>
        <w:rPr>
          <w:spacing w:val="-14"/>
        </w:rPr>
        <w:t> </w:t>
      </w:r>
      <w:r>
        <w:rPr/>
        <w:t>y</w:t>
      </w:r>
      <w:r>
        <w:rPr>
          <w:spacing w:val="-16"/>
        </w:rPr>
        <w:t> </w:t>
      </w:r>
      <w:r>
        <w:rPr/>
        <w:t>obligada</w:t>
      </w:r>
      <w:r>
        <w:rPr>
          <w:spacing w:val="-14"/>
        </w:rPr>
        <w:t> </w:t>
      </w:r>
      <w:r>
        <w:rPr/>
        <w:t>a</w:t>
      </w:r>
      <w:r>
        <w:rPr>
          <w:spacing w:val="-14"/>
        </w:rPr>
        <w:t> </w:t>
      </w:r>
      <w:r>
        <w:rPr/>
        <w:t>emigrar</w:t>
      </w:r>
      <w:r>
        <w:rPr>
          <w:spacing w:val="-15"/>
        </w:rPr>
        <w:t> </w:t>
      </w:r>
      <w:r>
        <w:rPr/>
        <w:t>a</w:t>
      </w:r>
      <w:r>
        <w:rPr>
          <w:spacing w:val="-14"/>
        </w:rPr>
        <w:t> </w:t>
      </w:r>
      <w:r>
        <w:rPr/>
        <w:t>las</w:t>
      </w:r>
      <w:r>
        <w:rPr>
          <w:spacing w:val="-14"/>
        </w:rPr>
        <w:t> </w:t>
      </w:r>
      <w:r>
        <w:rPr/>
        <w:t>ciudades</w:t>
      </w:r>
      <w:r>
        <w:rPr>
          <w:spacing w:val="-15"/>
        </w:rPr>
        <w:t> </w:t>
      </w:r>
      <w:r>
        <w:rPr/>
        <w:t>para</w:t>
      </w:r>
      <w:r>
        <w:rPr>
          <w:spacing w:val="-15"/>
        </w:rPr>
        <w:t> </w:t>
      </w:r>
      <w:r>
        <w:rPr/>
        <w:t>obtener</w:t>
      </w:r>
      <w:r>
        <w:rPr>
          <w:spacing w:val="-15"/>
        </w:rPr>
        <w:t> </w:t>
      </w:r>
      <w:r>
        <w:rPr/>
        <w:t>trabajo</w:t>
      </w:r>
      <w:r>
        <w:rPr>
          <w:spacing w:val="-14"/>
        </w:rPr>
        <w:t> </w:t>
      </w:r>
      <w:r>
        <w:rPr/>
        <w:t>y</w:t>
      </w:r>
      <w:r>
        <w:rPr>
          <w:spacing w:val="-16"/>
        </w:rPr>
        <w:t> </w:t>
      </w:r>
      <w:r>
        <w:rPr/>
        <w:t>los</w:t>
      </w:r>
      <w:r>
        <w:rPr>
          <w:spacing w:val="-14"/>
        </w:rPr>
        <w:t> </w:t>
      </w:r>
      <w:r>
        <w:rPr/>
        <w:t>ingresos suficientes para</w:t>
      </w:r>
      <w:r>
        <w:rPr>
          <w:spacing w:val="-15"/>
        </w:rPr>
        <w:t> </w:t>
      </w:r>
      <w:r>
        <w:rPr/>
        <w:t>sobrevivir.</w:t>
      </w:r>
    </w:p>
    <w:p>
      <w:pPr>
        <w:pStyle w:val="BodyText"/>
        <w:spacing w:line="360" w:lineRule="auto" w:before="205"/>
        <w:ind w:left="102" w:right="116"/>
        <w:jc w:val="both"/>
      </w:pPr>
      <w:r>
        <w:rPr/>
        <w:t>Con el modelo de sustitución de importaciones se tuvieron altas tasas de crecimiento económico, pero por otro lado las consecuencias terminaron en una crisis del modelo que durante los años sesenta y setenta se dió un fenómeno de migración del campo a la ciudad de México. Dicha crisis presento sus manifestaciones</w:t>
      </w:r>
      <w:r>
        <w:rPr>
          <w:spacing w:val="-20"/>
        </w:rPr>
        <w:t> </w:t>
      </w:r>
      <w:r>
        <w:rPr/>
        <w:t>en</w:t>
      </w:r>
      <w:r>
        <w:rPr>
          <w:spacing w:val="-17"/>
        </w:rPr>
        <w:t> </w:t>
      </w:r>
      <w:r>
        <w:rPr/>
        <w:t>los</w:t>
      </w:r>
      <w:r>
        <w:rPr>
          <w:spacing w:val="-20"/>
        </w:rPr>
        <w:t> </w:t>
      </w:r>
      <w:r>
        <w:rPr/>
        <w:t>movimientos</w:t>
      </w:r>
      <w:r>
        <w:rPr>
          <w:spacing w:val="-18"/>
        </w:rPr>
        <w:t> </w:t>
      </w:r>
      <w:r>
        <w:rPr/>
        <w:t>de</w:t>
      </w:r>
      <w:r>
        <w:rPr>
          <w:spacing w:val="-17"/>
        </w:rPr>
        <w:t> </w:t>
      </w:r>
      <w:r>
        <w:rPr/>
        <w:t>los</w:t>
      </w:r>
      <w:r>
        <w:rPr>
          <w:spacing w:val="-20"/>
        </w:rPr>
        <w:t> </w:t>
      </w:r>
      <w:r>
        <w:rPr/>
        <w:t>ferrocarrileros</w:t>
      </w:r>
      <w:r>
        <w:rPr>
          <w:spacing w:val="-18"/>
        </w:rPr>
        <w:t> </w:t>
      </w:r>
      <w:r>
        <w:rPr/>
        <w:t>en</w:t>
      </w:r>
      <w:r>
        <w:rPr>
          <w:spacing w:val="-17"/>
        </w:rPr>
        <w:t> </w:t>
      </w:r>
      <w:r>
        <w:rPr/>
        <w:t>1959,</w:t>
      </w:r>
      <w:r>
        <w:rPr>
          <w:spacing w:val="-17"/>
        </w:rPr>
        <w:t> </w:t>
      </w:r>
      <w:r>
        <w:rPr/>
        <w:t>el</w:t>
      </w:r>
      <w:r>
        <w:rPr>
          <w:spacing w:val="-21"/>
        </w:rPr>
        <w:t> </w:t>
      </w:r>
      <w:r>
        <w:rPr/>
        <w:t>de</w:t>
      </w:r>
      <w:r>
        <w:rPr>
          <w:spacing w:val="-17"/>
        </w:rPr>
        <w:t> </w:t>
      </w:r>
      <w:r>
        <w:rPr/>
        <w:t>los</w:t>
      </w:r>
      <w:r>
        <w:rPr>
          <w:spacing w:val="-17"/>
        </w:rPr>
        <w:t> </w:t>
      </w:r>
      <w:r>
        <w:rPr/>
        <w:t>médicos en 1965 y el estudiantil en 1968. Hasta ese entonces la política social tenía solo</w:t>
      </w:r>
      <w:r>
        <w:rPr>
          <w:spacing w:val="-30"/>
        </w:rPr>
        <w:t> </w:t>
      </w:r>
      <w:r>
        <w:rPr/>
        <w:t>un papel secundario, se daba por entendido que debido al desarrollo económico se tenía ya como resultado natural el bienestar social de la población, pero este crecimiento económico no trajo consigo ese</w:t>
      </w:r>
      <w:r>
        <w:rPr>
          <w:spacing w:val="-13"/>
        </w:rPr>
        <w:t> </w:t>
      </w:r>
      <w:r>
        <w:rPr/>
        <w:t>bienestar.</w:t>
      </w:r>
    </w:p>
    <w:p>
      <w:pPr>
        <w:pStyle w:val="BodyText"/>
        <w:spacing w:line="360" w:lineRule="auto" w:before="204"/>
        <w:ind w:left="102" w:right="120"/>
        <w:jc w:val="both"/>
      </w:pPr>
      <w:r>
        <w:rPr/>
        <w:t>Colateralmente se buscaba el desarrollo social de la regiones, es por ello que se tuvo que aplicar políticas sociales más agresivas con la intención de redistribuir el ingreso y ampliar los servicios sociales básicos, como la educación, la salud, el acceso a la vivienda y a los servicios básicos como el agua, el drenaje y la electricidad.</w:t>
      </w:r>
      <w:r>
        <w:rPr>
          <w:spacing w:val="-17"/>
        </w:rPr>
        <w:t> </w:t>
      </w:r>
      <w:r>
        <w:rPr/>
        <w:t>Por</w:t>
      </w:r>
      <w:r>
        <w:rPr>
          <w:spacing w:val="-16"/>
        </w:rPr>
        <w:t> </w:t>
      </w:r>
      <w:r>
        <w:rPr/>
        <w:t>lo</w:t>
      </w:r>
      <w:r>
        <w:rPr>
          <w:spacing w:val="-17"/>
        </w:rPr>
        <w:t> </w:t>
      </w:r>
      <w:r>
        <w:rPr/>
        <w:t>tanto,</w:t>
      </w:r>
      <w:r>
        <w:rPr>
          <w:spacing w:val="-17"/>
        </w:rPr>
        <w:t> </w:t>
      </w:r>
      <w:r>
        <w:rPr/>
        <w:t>en</w:t>
      </w:r>
      <w:r>
        <w:rPr>
          <w:spacing w:val="-14"/>
        </w:rPr>
        <w:t> </w:t>
      </w:r>
      <w:r>
        <w:rPr/>
        <w:t>el</w:t>
      </w:r>
      <w:r>
        <w:rPr>
          <w:spacing w:val="-15"/>
        </w:rPr>
        <w:t> </w:t>
      </w:r>
      <w:r>
        <w:rPr/>
        <w:t>gobierno</w:t>
      </w:r>
      <w:r>
        <w:rPr>
          <w:spacing w:val="-16"/>
        </w:rPr>
        <w:t> </w:t>
      </w:r>
      <w:r>
        <w:rPr/>
        <w:t>de</w:t>
      </w:r>
      <w:r>
        <w:rPr>
          <w:spacing w:val="-16"/>
        </w:rPr>
        <w:t> </w:t>
      </w:r>
      <w:r>
        <w:rPr/>
        <w:t>Luis</w:t>
      </w:r>
      <w:r>
        <w:rPr>
          <w:spacing w:val="-15"/>
        </w:rPr>
        <w:t> </w:t>
      </w:r>
      <w:r>
        <w:rPr/>
        <w:t>Echeverría</w:t>
      </w:r>
      <w:r>
        <w:rPr>
          <w:spacing w:val="-14"/>
        </w:rPr>
        <w:t> </w:t>
      </w:r>
      <w:r>
        <w:rPr/>
        <w:t>se</w:t>
      </w:r>
      <w:r>
        <w:rPr>
          <w:spacing w:val="-14"/>
        </w:rPr>
        <w:t> </w:t>
      </w:r>
      <w:r>
        <w:rPr/>
        <w:t>dio</w:t>
      </w:r>
      <w:r>
        <w:rPr>
          <w:spacing w:val="-17"/>
        </w:rPr>
        <w:t> </w:t>
      </w:r>
      <w:r>
        <w:rPr/>
        <w:t>un</w:t>
      </w:r>
      <w:r>
        <w:rPr>
          <w:spacing w:val="-19"/>
        </w:rPr>
        <w:t> </w:t>
      </w:r>
      <w:r>
        <w:rPr/>
        <w:t>cambio</w:t>
      </w:r>
      <w:r>
        <w:rPr>
          <w:spacing w:val="-14"/>
        </w:rPr>
        <w:t> </w:t>
      </w:r>
      <w:r>
        <w:rPr/>
        <w:t>radical, para soslayar esta crisis, y decidió tomar recursos financieros internacionales para impulsar el crecimiento económico y el desarrollo con políticas sociales mas agresivas. De esto el resultado</w:t>
      </w:r>
      <w:r>
        <w:rPr>
          <w:spacing w:val="-10"/>
        </w:rPr>
        <w:t> </w:t>
      </w:r>
      <w:r>
        <w:rPr/>
        <w:t>fue:</w:t>
      </w:r>
    </w:p>
    <w:p>
      <w:pPr>
        <w:pStyle w:val="ListParagraph"/>
        <w:numPr>
          <w:ilvl w:val="0"/>
          <w:numId w:val="23"/>
        </w:numPr>
        <w:tabs>
          <w:tab w:pos="822" w:val="left" w:leader="none"/>
        </w:tabs>
        <w:spacing w:line="240" w:lineRule="auto" w:before="204" w:after="0"/>
        <w:ind w:left="822" w:right="0" w:hanging="360"/>
        <w:jc w:val="left"/>
        <w:rPr>
          <w:rFonts w:ascii="Wingdings" w:hAnsi="Wingdings"/>
          <w:sz w:val="24"/>
        </w:rPr>
      </w:pPr>
      <w:r>
        <w:rPr>
          <w:sz w:val="24"/>
        </w:rPr>
        <w:t>Derechos laborales (creación del INFONAVIT  y del</w:t>
      </w:r>
      <w:r>
        <w:rPr>
          <w:spacing w:val="-6"/>
          <w:sz w:val="24"/>
        </w:rPr>
        <w:t> </w:t>
      </w:r>
      <w:r>
        <w:rPr>
          <w:sz w:val="24"/>
        </w:rPr>
        <w:t>FONACOT).</w:t>
      </w:r>
    </w:p>
    <w:p>
      <w:pPr>
        <w:pStyle w:val="ListParagraph"/>
        <w:numPr>
          <w:ilvl w:val="0"/>
          <w:numId w:val="23"/>
        </w:numPr>
        <w:tabs>
          <w:tab w:pos="822" w:val="left" w:leader="none"/>
        </w:tabs>
        <w:spacing w:line="240" w:lineRule="auto" w:before="137" w:after="0"/>
        <w:ind w:left="822" w:right="0" w:hanging="360"/>
        <w:jc w:val="left"/>
        <w:rPr>
          <w:rFonts w:ascii="Wingdings" w:hAnsi="Wingdings"/>
          <w:sz w:val="24"/>
        </w:rPr>
      </w:pPr>
      <w:r>
        <w:rPr>
          <w:sz w:val="24"/>
        </w:rPr>
        <w:t>Creación del Fondo Nacional de Fomento Ejidal-</w:t>
      </w:r>
      <w:r>
        <w:rPr>
          <w:spacing w:val="-17"/>
          <w:sz w:val="24"/>
        </w:rPr>
        <w:t> </w:t>
      </w:r>
      <w:r>
        <w:rPr>
          <w:sz w:val="24"/>
        </w:rPr>
        <w:t>Fonafe.</w:t>
      </w:r>
    </w:p>
    <w:p>
      <w:pPr>
        <w:pStyle w:val="ListParagraph"/>
        <w:numPr>
          <w:ilvl w:val="0"/>
          <w:numId w:val="23"/>
        </w:numPr>
        <w:tabs>
          <w:tab w:pos="822" w:val="left" w:leader="none"/>
        </w:tabs>
        <w:spacing w:line="240" w:lineRule="auto" w:before="139" w:after="0"/>
        <w:ind w:left="822" w:right="0" w:hanging="360"/>
        <w:jc w:val="left"/>
        <w:rPr>
          <w:rFonts w:ascii="Wingdings"/>
          <w:sz w:val="24"/>
        </w:rPr>
      </w:pPr>
      <w:r>
        <w:rPr>
          <w:sz w:val="24"/>
        </w:rPr>
        <w:t>Establecimiento de los programas integrales de Desarrollo Rural en</w:t>
      </w:r>
      <w:r>
        <w:rPr>
          <w:spacing w:val="-15"/>
          <w:sz w:val="24"/>
        </w:rPr>
        <w:t> </w:t>
      </w:r>
      <w:r>
        <w:rPr>
          <w:sz w:val="24"/>
        </w:rPr>
        <w:t>1973.</w:t>
      </w:r>
    </w:p>
    <w:p>
      <w:pPr>
        <w:pStyle w:val="ListParagraph"/>
        <w:numPr>
          <w:ilvl w:val="0"/>
          <w:numId w:val="23"/>
        </w:numPr>
        <w:tabs>
          <w:tab w:pos="822" w:val="left" w:leader="none"/>
        </w:tabs>
        <w:spacing w:line="240" w:lineRule="auto" w:before="137" w:after="0"/>
        <w:ind w:left="822" w:right="0" w:hanging="360"/>
        <w:jc w:val="left"/>
        <w:rPr>
          <w:rFonts w:ascii="Wingdings"/>
          <w:sz w:val="22"/>
        </w:rPr>
      </w:pPr>
      <w:r>
        <w:rPr>
          <w:sz w:val="24"/>
        </w:rPr>
        <w:t>Aumento considerable de la deuda</w:t>
      </w:r>
      <w:r>
        <w:rPr>
          <w:spacing w:val="-11"/>
          <w:sz w:val="24"/>
        </w:rPr>
        <w:t> </w:t>
      </w:r>
      <w:r>
        <w:rPr>
          <w:sz w:val="24"/>
        </w:rPr>
        <w:t>externa.</w:t>
      </w:r>
    </w:p>
    <w:p>
      <w:pPr>
        <w:spacing w:after="0" w:line="240" w:lineRule="auto"/>
        <w:jc w:val="left"/>
        <w:rPr>
          <w:rFonts w:ascii="Wingdings"/>
          <w:sz w:val="22"/>
        </w:rPr>
        <w:sectPr>
          <w:pgSz w:w="12240" w:h="15840"/>
          <w:pgMar w:header="0" w:footer="992" w:top="1360" w:bottom="1180" w:left="1600" w:right="1580"/>
        </w:sectPr>
      </w:pPr>
    </w:p>
    <w:p>
      <w:pPr>
        <w:pStyle w:val="Heading1"/>
        <w:numPr>
          <w:ilvl w:val="2"/>
          <w:numId w:val="22"/>
        </w:numPr>
        <w:tabs>
          <w:tab w:pos="4658" w:val="left" w:leader="none"/>
        </w:tabs>
        <w:spacing w:line="240" w:lineRule="auto" w:before="52" w:after="0"/>
        <w:ind w:left="4657" w:right="0" w:hanging="720"/>
        <w:jc w:val="left"/>
      </w:pPr>
      <w:bookmarkStart w:name="_TOC_250027" w:id="25"/>
      <w:r>
        <w:rPr/>
        <w:t>Ramo</w:t>
      </w:r>
      <w:r>
        <w:rPr>
          <w:spacing w:val="-1"/>
        </w:rPr>
        <w:t> </w:t>
      </w:r>
      <w:bookmarkEnd w:id="25"/>
      <w:r>
        <w:rPr/>
        <w:t>33</w:t>
      </w:r>
    </w:p>
    <w:p>
      <w:pPr>
        <w:pStyle w:val="BodyText"/>
        <w:rPr>
          <w:b/>
          <w:sz w:val="28"/>
        </w:rPr>
      </w:pPr>
    </w:p>
    <w:p>
      <w:pPr>
        <w:pStyle w:val="BodyText"/>
        <w:rPr>
          <w:b/>
          <w:sz w:val="28"/>
        </w:rPr>
      </w:pPr>
    </w:p>
    <w:p>
      <w:pPr>
        <w:pStyle w:val="BodyText"/>
        <w:rPr>
          <w:b/>
          <w:sz w:val="28"/>
        </w:rPr>
      </w:pPr>
    </w:p>
    <w:p>
      <w:pPr>
        <w:pStyle w:val="BodyText"/>
        <w:spacing w:line="360" w:lineRule="auto" w:before="190"/>
        <w:ind w:left="102" w:right="118"/>
        <w:jc w:val="both"/>
      </w:pPr>
      <w:r>
        <w:rPr/>
        <w:t>El Ramo 33 contribuye al federalismo al transferir a las entidades federativas y municipios</w:t>
      </w:r>
      <w:r>
        <w:rPr>
          <w:spacing w:val="-5"/>
        </w:rPr>
        <w:t> </w:t>
      </w:r>
      <w:r>
        <w:rPr/>
        <w:t>recursos</w:t>
      </w:r>
      <w:r>
        <w:rPr>
          <w:spacing w:val="-5"/>
        </w:rPr>
        <w:t> </w:t>
      </w:r>
      <w:r>
        <w:rPr/>
        <w:t>que</w:t>
      </w:r>
      <w:r>
        <w:rPr>
          <w:spacing w:val="-5"/>
        </w:rPr>
        <w:t> </w:t>
      </w:r>
      <w:r>
        <w:rPr/>
        <w:t>les</w:t>
      </w:r>
      <w:r>
        <w:rPr>
          <w:spacing w:val="-7"/>
        </w:rPr>
        <w:t> </w:t>
      </w:r>
      <w:r>
        <w:rPr/>
        <w:t>permitan</w:t>
      </w:r>
      <w:r>
        <w:rPr>
          <w:spacing w:val="-9"/>
        </w:rPr>
        <w:t> </w:t>
      </w:r>
      <w:r>
        <w:rPr/>
        <w:t>fortalecer</w:t>
      </w:r>
      <w:r>
        <w:rPr>
          <w:spacing w:val="-6"/>
        </w:rPr>
        <w:t> </w:t>
      </w:r>
      <w:r>
        <w:rPr/>
        <w:t>su</w:t>
      </w:r>
      <w:r>
        <w:rPr>
          <w:spacing w:val="-1"/>
        </w:rPr>
        <w:t> </w:t>
      </w:r>
      <w:r>
        <w:rPr/>
        <w:t>capacidad</w:t>
      </w:r>
      <w:r>
        <w:rPr>
          <w:spacing w:val="-7"/>
        </w:rPr>
        <w:t> </w:t>
      </w:r>
      <w:r>
        <w:rPr/>
        <w:t>de</w:t>
      </w:r>
      <w:r>
        <w:rPr>
          <w:spacing w:val="-5"/>
        </w:rPr>
        <w:t> </w:t>
      </w:r>
      <w:r>
        <w:rPr/>
        <w:t>respuesta</w:t>
      </w:r>
      <w:r>
        <w:rPr>
          <w:spacing w:val="-7"/>
        </w:rPr>
        <w:t> </w:t>
      </w:r>
      <w:r>
        <w:rPr/>
        <w:t>ante</w:t>
      </w:r>
      <w:r>
        <w:rPr>
          <w:spacing w:val="-5"/>
        </w:rPr>
        <w:t> </w:t>
      </w:r>
      <w:r>
        <w:rPr/>
        <w:t>las necesidades de la población en los aspectos de educación, salud, infraestructura básica, fortalecimiento financiero y seguridad pública, programas alimenticios y de asistencia</w:t>
      </w:r>
      <w:r>
        <w:rPr>
          <w:spacing w:val="-19"/>
        </w:rPr>
        <w:t> </w:t>
      </w:r>
      <w:r>
        <w:rPr/>
        <w:t>social</w:t>
      </w:r>
      <w:r>
        <w:rPr>
          <w:spacing w:val="-20"/>
        </w:rPr>
        <w:t> </w:t>
      </w:r>
      <w:r>
        <w:rPr/>
        <w:t>e</w:t>
      </w:r>
      <w:r>
        <w:rPr>
          <w:spacing w:val="-19"/>
        </w:rPr>
        <w:t> </w:t>
      </w:r>
      <w:r>
        <w:rPr/>
        <w:t>infraestructura</w:t>
      </w:r>
      <w:r>
        <w:rPr>
          <w:spacing w:val="-22"/>
        </w:rPr>
        <w:t> </w:t>
      </w:r>
      <w:r>
        <w:rPr/>
        <w:t>educativa.</w:t>
      </w:r>
      <w:r>
        <w:rPr>
          <w:spacing w:val="-19"/>
        </w:rPr>
        <w:t> </w:t>
      </w:r>
      <w:r>
        <w:rPr/>
        <w:t>La</w:t>
      </w:r>
      <w:r>
        <w:rPr>
          <w:spacing w:val="-19"/>
        </w:rPr>
        <w:t> </w:t>
      </w:r>
      <w:r>
        <w:rPr/>
        <w:t>operación</w:t>
      </w:r>
      <w:r>
        <w:rPr>
          <w:spacing w:val="-21"/>
        </w:rPr>
        <w:t> </w:t>
      </w:r>
      <w:r>
        <w:rPr/>
        <w:t>del</w:t>
      </w:r>
      <w:r>
        <w:rPr>
          <w:spacing w:val="-20"/>
        </w:rPr>
        <w:t> </w:t>
      </w:r>
      <w:r>
        <w:rPr/>
        <w:t>Ramo</w:t>
      </w:r>
      <w:r>
        <w:rPr>
          <w:spacing w:val="-21"/>
        </w:rPr>
        <w:t> </w:t>
      </w:r>
      <w:r>
        <w:rPr/>
        <w:t>33</w:t>
      </w:r>
      <w:r>
        <w:rPr>
          <w:spacing w:val="-19"/>
        </w:rPr>
        <w:t> </w:t>
      </w:r>
      <w:r>
        <w:rPr/>
        <w:t>está</w:t>
      </w:r>
      <w:r>
        <w:rPr>
          <w:spacing w:val="-19"/>
        </w:rPr>
        <w:t> </w:t>
      </w:r>
      <w:r>
        <w:rPr/>
        <w:t>elevada a mandato legal en el capítulo V de la Ley de Coordinación Fiscal, en el que se establece las aportaciones</w:t>
      </w:r>
      <w:r>
        <w:rPr>
          <w:spacing w:val="-9"/>
        </w:rPr>
        <w:t> </w:t>
      </w:r>
      <w:r>
        <w:rPr/>
        <w:t>federales.</w:t>
      </w:r>
    </w:p>
    <w:p>
      <w:pPr>
        <w:pStyle w:val="BodyText"/>
        <w:spacing w:before="7"/>
      </w:pPr>
    </w:p>
    <w:p>
      <w:pPr>
        <w:spacing w:before="0"/>
        <w:ind w:left="954" w:right="116" w:firstLine="0"/>
        <w:jc w:val="both"/>
        <w:rPr>
          <w:sz w:val="22"/>
        </w:rPr>
      </w:pPr>
      <w:r>
        <w:rPr>
          <w:sz w:val="22"/>
        </w:rPr>
        <w:t>Durante el gobierno de Ernesto Zedillo, se efectuó un nuevo replanteamiento de fondo de la política social. Los nuevos ejes de la política social serian la descentralización hacia estados y municipios y la búsqueda de una mayor focalización o concentración de políticas sociales en las familias más pobres de</w:t>
      </w:r>
      <w:r>
        <w:rPr>
          <w:spacing w:val="-33"/>
          <w:sz w:val="22"/>
        </w:rPr>
        <w:t> </w:t>
      </w:r>
      <w:r>
        <w:rPr>
          <w:sz w:val="22"/>
        </w:rPr>
        <w:t>la población,</w:t>
      </w:r>
      <w:r>
        <w:rPr>
          <w:spacing w:val="-11"/>
          <w:sz w:val="22"/>
        </w:rPr>
        <w:t> </w:t>
      </w:r>
      <w:r>
        <w:rPr>
          <w:sz w:val="22"/>
        </w:rPr>
        <w:t>aún</w:t>
      </w:r>
      <w:r>
        <w:rPr>
          <w:spacing w:val="-14"/>
          <w:sz w:val="22"/>
        </w:rPr>
        <w:t> </w:t>
      </w:r>
      <w:r>
        <w:rPr>
          <w:sz w:val="22"/>
        </w:rPr>
        <w:t>a</w:t>
      </w:r>
      <w:r>
        <w:rPr>
          <w:spacing w:val="-14"/>
          <w:sz w:val="22"/>
        </w:rPr>
        <w:t> </w:t>
      </w:r>
      <w:r>
        <w:rPr>
          <w:sz w:val="22"/>
        </w:rPr>
        <w:t>costa</w:t>
      </w:r>
      <w:r>
        <w:rPr>
          <w:spacing w:val="-11"/>
          <w:sz w:val="22"/>
        </w:rPr>
        <w:t> </w:t>
      </w:r>
      <w:r>
        <w:rPr>
          <w:sz w:val="22"/>
        </w:rPr>
        <w:t>de</w:t>
      </w:r>
      <w:r>
        <w:rPr>
          <w:spacing w:val="-11"/>
          <w:sz w:val="22"/>
        </w:rPr>
        <w:t> </w:t>
      </w:r>
      <w:r>
        <w:rPr>
          <w:sz w:val="22"/>
        </w:rPr>
        <w:t>las</w:t>
      </w:r>
      <w:r>
        <w:rPr>
          <w:spacing w:val="-14"/>
          <w:sz w:val="22"/>
        </w:rPr>
        <w:t> </w:t>
      </w:r>
      <w:r>
        <w:rPr>
          <w:sz w:val="22"/>
        </w:rPr>
        <w:t>políticas</w:t>
      </w:r>
      <w:r>
        <w:rPr>
          <w:spacing w:val="-11"/>
          <w:sz w:val="22"/>
        </w:rPr>
        <w:t> </w:t>
      </w:r>
      <w:r>
        <w:rPr>
          <w:sz w:val="22"/>
        </w:rPr>
        <w:t>amplias</w:t>
      </w:r>
      <w:r>
        <w:rPr>
          <w:spacing w:val="-11"/>
          <w:sz w:val="22"/>
        </w:rPr>
        <w:t> </w:t>
      </w:r>
      <w:r>
        <w:rPr>
          <w:sz w:val="22"/>
        </w:rPr>
        <w:t>como</w:t>
      </w:r>
      <w:r>
        <w:rPr>
          <w:spacing w:val="-14"/>
          <w:sz w:val="22"/>
        </w:rPr>
        <w:t> </w:t>
      </w:r>
      <w:r>
        <w:rPr>
          <w:sz w:val="22"/>
        </w:rPr>
        <w:t>las</w:t>
      </w:r>
      <w:r>
        <w:rPr>
          <w:spacing w:val="-11"/>
          <w:sz w:val="22"/>
        </w:rPr>
        <w:t> </w:t>
      </w:r>
      <w:r>
        <w:rPr>
          <w:sz w:val="22"/>
        </w:rPr>
        <w:t>educativas</w:t>
      </w:r>
      <w:r>
        <w:rPr>
          <w:spacing w:val="-11"/>
          <w:sz w:val="22"/>
        </w:rPr>
        <w:t> </w:t>
      </w:r>
      <w:r>
        <w:rPr>
          <w:sz w:val="22"/>
        </w:rPr>
        <w:t>y</w:t>
      </w:r>
      <w:r>
        <w:rPr>
          <w:spacing w:val="-13"/>
          <w:sz w:val="22"/>
        </w:rPr>
        <w:t> </w:t>
      </w:r>
      <w:r>
        <w:rPr>
          <w:sz w:val="22"/>
        </w:rPr>
        <w:t>de</w:t>
      </w:r>
      <w:r>
        <w:rPr>
          <w:spacing w:val="-14"/>
          <w:sz w:val="22"/>
        </w:rPr>
        <w:t> </w:t>
      </w:r>
      <w:r>
        <w:rPr>
          <w:sz w:val="22"/>
        </w:rPr>
        <w:t>salud.</w:t>
      </w:r>
      <w:r>
        <w:rPr>
          <w:spacing w:val="-11"/>
          <w:sz w:val="22"/>
        </w:rPr>
        <w:t> </w:t>
      </w:r>
      <w:r>
        <w:rPr>
          <w:sz w:val="22"/>
        </w:rPr>
        <w:t>Los principales instrumentos fueron conocidos como ramo 33 del presupuesto</w:t>
      </w:r>
      <w:r>
        <w:rPr>
          <w:spacing w:val="-30"/>
          <w:sz w:val="22"/>
        </w:rPr>
        <w:t> </w:t>
      </w:r>
      <w:r>
        <w:rPr>
          <w:sz w:val="22"/>
        </w:rPr>
        <w:t>federal, mediante el cual se canalizan recursos a los estados y municipios (Velázquez, 2012:22).</w:t>
      </w:r>
    </w:p>
    <w:p>
      <w:pPr>
        <w:pStyle w:val="BodyText"/>
        <w:rPr>
          <w:sz w:val="22"/>
        </w:rPr>
      </w:pPr>
    </w:p>
    <w:p>
      <w:pPr>
        <w:pStyle w:val="BodyText"/>
        <w:rPr>
          <w:sz w:val="22"/>
        </w:rPr>
      </w:pPr>
    </w:p>
    <w:p>
      <w:pPr>
        <w:pStyle w:val="BodyText"/>
        <w:spacing w:line="360" w:lineRule="auto" w:before="146"/>
        <w:ind w:left="102" w:right="116"/>
        <w:jc w:val="both"/>
      </w:pPr>
      <w:r>
        <w:rPr/>
        <w:t>En 1998 se creó el ramo 33 aportaciones federales a estados y municipios, institucionalizando recursos dispersos en el presupuesto de la federación, que son las transferencias para su ejercicio directo a las entidades federativas y a los municipios del país.</w:t>
      </w:r>
    </w:p>
    <w:p>
      <w:pPr>
        <w:spacing w:before="204"/>
        <w:ind w:left="954" w:right="116" w:firstLine="0"/>
        <w:jc w:val="both"/>
        <w:rPr>
          <w:sz w:val="22"/>
        </w:rPr>
      </w:pPr>
      <w:r>
        <w:rPr>
          <w:sz w:val="22"/>
        </w:rPr>
        <w:t>Inicialmente la creación del ramo 33 se planteó con tres fondos de aportaciones: para</w:t>
      </w:r>
      <w:r>
        <w:rPr>
          <w:spacing w:val="-5"/>
          <w:sz w:val="22"/>
        </w:rPr>
        <w:t> </w:t>
      </w:r>
      <w:r>
        <w:rPr>
          <w:sz w:val="22"/>
        </w:rPr>
        <w:t>la</w:t>
      </w:r>
      <w:r>
        <w:rPr>
          <w:spacing w:val="-5"/>
          <w:sz w:val="22"/>
        </w:rPr>
        <w:t> </w:t>
      </w:r>
      <w:r>
        <w:rPr>
          <w:sz w:val="22"/>
        </w:rPr>
        <w:t>Educación</w:t>
      </w:r>
      <w:r>
        <w:rPr>
          <w:spacing w:val="-6"/>
          <w:sz w:val="22"/>
        </w:rPr>
        <w:t> </w:t>
      </w:r>
      <w:r>
        <w:rPr>
          <w:sz w:val="22"/>
        </w:rPr>
        <w:t>Básica</w:t>
      </w:r>
      <w:r>
        <w:rPr>
          <w:spacing w:val="-5"/>
          <w:sz w:val="22"/>
        </w:rPr>
        <w:t> </w:t>
      </w:r>
      <w:r>
        <w:rPr>
          <w:sz w:val="22"/>
        </w:rPr>
        <w:t>y</w:t>
      </w:r>
      <w:r>
        <w:rPr>
          <w:spacing w:val="-7"/>
          <w:sz w:val="22"/>
        </w:rPr>
        <w:t> </w:t>
      </w:r>
      <w:r>
        <w:rPr>
          <w:sz w:val="22"/>
        </w:rPr>
        <w:t>Normal,</w:t>
      </w:r>
      <w:r>
        <w:rPr>
          <w:spacing w:val="-4"/>
          <w:sz w:val="22"/>
        </w:rPr>
        <w:t> </w:t>
      </w:r>
      <w:r>
        <w:rPr>
          <w:sz w:val="22"/>
        </w:rPr>
        <w:t>para</w:t>
      </w:r>
      <w:r>
        <w:rPr>
          <w:spacing w:val="-8"/>
          <w:sz w:val="22"/>
        </w:rPr>
        <w:t> </w:t>
      </w:r>
      <w:r>
        <w:rPr>
          <w:sz w:val="22"/>
        </w:rPr>
        <w:t>los</w:t>
      </w:r>
      <w:r>
        <w:rPr>
          <w:spacing w:val="-5"/>
          <w:sz w:val="22"/>
        </w:rPr>
        <w:t> </w:t>
      </w:r>
      <w:r>
        <w:rPr>
          <w:sz w:val="22"/>
        </w:rPr>
        <w:t>Servicios</w:t>
      </w:r>
      <w:r>
        <w:rPr>
          <w:spacing w:val="-5"/>
          <w:sz w:val="22"/>
        </w:rPr>
        <w:t> </w:t>
      </w:r>
      <w:r>
        <w:rPr>
          <w:sz w:val="22"/>
        </w:rPr>
        <w:t>de</w:t>
      </w:r>
      <w:r>
        <w:rPr>
          <w:spacing w:val="-6"/>
          <w:sz w:val="22"/>
        </w:rPr>
        <w:t> </w:t>
      </w:r>
      <w:r>
        <w:rPr>
          <w:sz w:val="22"/>
        </w:rPr>
        <w:t>Salud</w:t>
      </w:r>
      <w:r>
        <w:rPr>
          <w:spacing w:val="-3"/>
          <w:sz w:val="22"/>
        </w:rPr>
        <w:t> </w:t>
      </w:r>
      <w:r>
        <w:rPr>
          <w:sz w:val="22"/>
        </w:rPr>
        <w:t>y</w:t>
      </w:r>
      <w:r>
        <w:rPr>
          <w:spacing w:val="-7"/>
          <w:sz w:val="22"/>
        </w:rPr>
        <w:t> </w:t>
      </w:r>
      <w:r>
        <w:rPr>
          <w:sz w:val="22"/>
        </w:rPr>
        <w:t>el</w:t>
      </w:r>
      <w:r>
        <w:rPr>
          <w:spacing w:val="-6"/>
          <w:sz w:val="22"/>
        </w:rPr>
        <w:t> </w:t>
      </w:r>
      <w:r>
        <w:rPr>
          <w:sz w:val="22"/>
        </w:rPr>
        <w:t>destinado</w:t>
      </w:r>
      <w:r>
        <w:rPr>
          <w:spacing w:val="-6"/>
          <w:sz w:val="22"/>
        </w:rPr>
        <w:t> </w:t>
      </w:r>
      <w:r>
        <w:rPr>
          <w:sz w:val="22"/>
        </w:rPr>
        <w:t>a</w:t>
      </w:r>
      <w:r>
        <w:rPr>
          <w:spacing w:val="-5"/>
          <w:sz w:val="22"/>
        </w:rPr>
        <w:t> </w:t>
      </w:r>
      <w:r>
        <w:rPr>
          <w:sz w:val="22"/>
        </w:rPr>
        <w:t>la Infraestructura</w:t>
      </w:r>
      <w:r>
        <w:rPr>
          <w:spacing w:val="-5"/>
          <w:sz w:val="22"/>
        </w:rPr>
        <w:t> </w:t>
      </w:r>
      <w:r>
        <w:rPr>
          <w:sz w:val="22"/>
        </w:rPr>
        <w:t>Social</w:t>
      </w:r>
      <w:r>
        <w:rPr>
          <w:spacing w:val="-6"/>
          <w:sz w:val="22"/>
        </w:rPr>
        <w:t> </w:t>
      </w:r>
      <w:r>
        <w:rPr>
          <w:sz w:val="22"/>
        </w:rPr>
        <w:t>en</w:t>
      </w:r>
      <w:r>
        <w:rPr>
          <w:spacing w:val="-8"/>
          <w:sz w:val="22"/>
        </w:rPr>
        <w:t> </w:t>
      </w:r>
      <w:r>
        <w:rPr>
          <w:sz w:val="22"/>
        </w:rPr>
        <w:t>dos</w:t>
      </w:r>
      <w:r>
        <w:rPr>
          <w:spacing w:val="-5"/>
          <w:sz w:val="22"/>
        </w:rPr>
        <w:t> </w:t>
      </w:r>
      <w:r>
        <w:rPr>
          <w:sz w:val="22"/>
        </w:rPr>
        <w:t>líneas</w:t>
      </w:r>
      <w:r>
        <w:rPr>
          <w:spacing w:val="-5"/>
          <w:sz w:val="22"/>
        </w:rPr>
        <w:t> </w:t>
      </w:r>
      <w:r>
        <w:rPr>
          <w:sz w:val="22"/>
        </w:rPr>
        <w:t>una</w:t>
      </w:r>
      <w:r>
        <w:rPr>
          <w:spacing w:val="-5"/>
          <w:sz w:val="22"/>
        </w:rPr>
        <w:t> </w:t>
      </w:r>
      <w:r>
        <w:rPr>
          <w:sz w:val="22"/>
        </w:rPr>
        <w:t>en</w:t>
      </w:r>
      <w:r>
        <w:rPr>
          <w:spacing w:val="-6"/>
          <w:sz w:val="22"/>
        </w:rPr>
        <w:t> </w:t>
      </w:r>
      <w:r>
        <w:rPr>
          <w:sz w:val="22"/>
        </w:rPr>
        <w:t>el</w:t>
      </w:r>
      <w:r>
        <w:rPr>
          <w:spacing w:val="-6"/>
          <w:sz w:val="22"/>
        </w:rPr>
        <w:t> </w:t>
      </w:r>
      <w:r>
        <w:rPr>
          <w:sz w:val="22"/>
        </w:rPr>
        <w:t>ámbito</w:t>
      </w:r>
      <w:r>
        <w:rPr>
          <w:spacing w:val="-5"/>
          <w:sz w:val="22"/>
        </w:rPr>
        <w:t> </w:t>
      </w:r>
      <w:r>
        <w:rPr>
          <w:sz w:val="22"/>
        </w:rPr>
        <w:t>estatal</w:t>
      </w:r>
      <w:r>
        <w:rPr>
          <w:spacing w:val="-6"/>
          <w:sz w:val="22"/>
        </w:rPr>
        <w:t> </w:t>
      </w:r>
      <w:r>
        <w:rPr>
          <w:sz w:val="22"/>
        </w:rPr>
        <w:t>y</w:t>
      </w:r>
      <w:r>
        <w:rPr>
          <w:spacing w:val="-7"/>
          <w:sz w:val="22"/>
        </w:rPr>
        <w:t> </w:t>
      </w:r>
      <w:r>
        <w:rPr>
          <w:sz w:val="22"/>
        </w:rPr>
        <w:t>otro</w:t>
      </w:r>
      <w:r>
        <w:rPr>
          <w:spacing w:val="-8"/>
          <w:sz w:val="22"/>
        </w:rPr>
        <w:t> </w:t>
      </w:r>
      <w:r>
        <w:rPr>
          <w:sz w:val="22"/>
        </w:rPr>
        <w:t>en</w:t>
      </w:r>
      <w:r>
        <w:rPr>
          <w:spacing w:val="-6"/>
          <w:sz w:val="22"/>
        </w:rPr>
        <w:t> </w:t>
      </w:r>
      <w:r>
        <w:rPr>
          <w:sz w:val="22"/>
        </w:rPr>
        <w:t>el</w:t>
      </w:r>
      <w:r>
        <w:rPr>
          <w:spacing w:val="-6"/>
          <w:sz w:val="22"/>
        </w:rPr>
        <w:t> </w:t>
      </w:r>
      <w:r>
        <w:rPr>
          <w:sz w:val="22"/>
        </w:rPr>
        <w:t>municipal. Estos fondos realmente no representan ingresos adicionales para las entidades, ya los percibían por conducto de otros ramos del presupuesto de la federación y solo</w:t>
      </w:r>
      <w:r>
        <w:rPr>
          <w:spacing w:val="-13"/>
          <w:sz w:val="22"/>
        </w:rPr>
        <w:t> </w:t>
      </w:r>
      <w:r>
        <w:rPr>
          <w:sz w:val="22"/>
        </w:rPr>
        <w:t>faltaba</w:t>
      </w:r>
      <w:r>
        <w:rPr>
          <w:spacing w:val="-16"/>
          <w:sz w:val="22"/>
        </w:rPr>
        <w:t> </w:t>
      </w:r>
      <w:r>
        <w:rPr>
          <w:sz w:val="22"/>
        </w:rPr>
        <w:t>que</w:t>
      </w:r>
      <w:r>
        <w:rPr>
          <w:spacing w:val="-14"/>
          <w:sz w:val="22"/>
        </w:rPr>
        <w:t> </w:t>
      </w:r>
      <w:r>
        <w:rPr>
          <w:sz w:val="22"/>
        </w:rPr>
        <w:t>fueran</w:t>
      </w:r>
      <w:r>
        <w:rPr>
          <w:spacing w:val="-14"/>
          <w:sz w:val="22"/>
        </w:rPr>
        <w:t> </w:t>
      </w:r>
      <w:r>
        <w:rPr>
          <w:sz w:val="22"/>
        </w:rPr>
        <w:t>institucionalizados</w:t>
      </w:r>
      <w:r>
        <w:rPr>
          <w:spacing w:val="-11"/>
          <w:sz w:val="22"/>
        </w:rPr>
        <w:t> </w:t>
      </w:r>
      <w:r>
        <w:rPr>
          <w:sz w:val="22"/>
        </w:rPr>
        <w:t>por</w:t>
      </w:r>
      <w:r>
        <w:rPr>
          <w:spacing w:val="-10"/>
          <w:sz w:val="22"/>
        </w:rPr>
        <w:t> </w:t>
      </w:r>
      <w:r>
        <w:rPr>
          <w:sz w:val="22"/>
        </w:rPr>
        <w:t>la</w:t>
      </w:r>
      <w:r>
        <w:rPr>
          <w:spacing w:val="-11"/>
          <w:sz w:val="22"/>
        </w:rPr>
        <w:t> </w:t>
      </w:r>
      <w:r>
        <w:rPr>
          <w:sz w:val="22"/>
        </w:rPr>
        <w:t>ley,</w:t>
      </w:r>
      <w:r>
        <w:rPr>
          <w:spacing w:val="-10"/>
          <w:sz w:val="22"/>
        </w:rPr>
        <w:t> </w:t>
      </w:r>
      <w:r>
        <w:rPr>
          <w:sz w:val="22"/>
        </w:rPr>
        <w:t>incorporando</w:t>
      </w:r>
      <w:r>
        <w:rPr>
          <w:spacing w:val="-14"/>
          <w:sz w:val="22"/>
        </w:rPr>
        <w:t> </w:t>
      </w:r>
      <w:r>
        <w:rPr>
          <w:sz w:val="22"/>
        </w:rPr>
        <w:t>los</w:t>
      </w:r>
      <w:r>
        <w:rPr>
          <w:spacing w:val="-13"/>
          <w:sz w:val="22"/>
        </w:rPr>
        <w:t> </w:t>
      </w:r>
      <w:r>
        <w:rPr>
          <w:sz w:val="22"/>
        </w:rPr>
        <w:t>mecanismos de distribución que venían operando con base en los convenios celebrados entre la</w:t>
      </w:r>
      <w:r>
        <w:rPr>
          <w:spacing w:val="-11"/>
          <w:sz w:val="22"/>
        </w:rPr>
        <w:t> </w:t>
      </w:r>
      <w:r>
        <w:rPr>
          <w:sz w:val="22"/>
        </w:rPr>
        <w:t>Federación</w:t>
      </w:r>
      <w:r>
        <w:rPr>
          <w:spacing w:val="-11"/>
          <w:sz w:val="22"/>
        </w:rPr>
        <w:t> </w:t>
      </w:r>
      <w:r>
        <w:rPr>
          <w:sz w:val="22"/>
        </w:rPr>
        <w:t>y</w:t>
      </w:r>
      <w:r>
        <w:rPr>
          <w:spacing w:val="-13"/>
          <w:sz w:val="22"/>
        </w:rPr>
        <w:t> </w:t>
      </w:r>
      <w:r>
        <w:rPr>
          <w:sz w:val="22"/>
        </w:rPr>
        <w:t>las</w:t>
      </w:r>
      <w:r>
        <w:rPr>
          <w:spacing w:val="-11"/>
          <w:sz w:val="22"/>
        </w:rPr>
        <w:t> </w:t>
      </w:r>
      <w:r>
        <w:rPr>
          <w:sz w:val="22"/>
        </w:rPr>
        <w:t>entidades,</w:t>
      </w:r>
      <w:r>
        <w:rPr>
          <w:spacing w:val="-10"/>
          <w:sz w:val="22"/>
        </w:rPr>
        <w:t> </w:t>
      </w:r>
      <w:r>
        <w:rPr>
          <w:sz w:val="22"/>
        </w:rPr>
        <w:t>correspondientes</w:t>
      </w:r>
      <w:r>
        <w:rPr>
          <w:spacing w:val="-11"/>
          <w:sz w:val="22"/>
        </w:rPr>
        <w:t> </w:t>
      </w:r>
      <w:r>
        <w:rPr>
          <w:sz w:val="22"/>
        </w:rPr>
        <w:t>a</w:t>
      </w:r>
      <w:r>
        <w:rPr>
          <w:spacing w:val="-14"/>
          <w:sz w:val="22"/>
        </w:rPr>
        <w:t> </w:t>
      </w:r>
      <w:r>
        <w:rPr>
          <w:sz w:val="22"/>
        </w:rPr>
        <w:t>los</w:t>
      </w:r>
      <w:r>
        <w:rPr>
          <w:spacing w:val="-11"/>
          <w:sz w:val="22"/>
        </w:rPr>
        <w:t> </w:t>
      </w:r>
      <w:r>
        <w:rPr>
          <w:sz w:val="22"/>
        </w:rPr>
        <w:t>ramos</w:t>
      </w:r>
      <w:r>
        <w:rPr>
          <w:spacing w:val="-13"/>
          <w:sz w:val="22"/>
        </w:rPr>
        <w:t> </w:t>
      </w:r>
      <w:r>
        <w:rPr>
          <w:sz w:val="22"/>
        </w:rPr>
        <w:t>involucrados</w:t>
      </w:r>
      <w:r>
        <w:rPr>
          <w:spacing w:val="42"/>
          <w:sz w:val="22"/>
        </w:rPr>
        <w:t> </w:t>
      </w:r>
      <w:r>
        <w:rPr>
          <w:sz w:val="22"/>
        </w:rPr>
        <w:t>(García, 2007:224).</w:t>
      </w:r>
    </w:p>
    <w:p>
      <w:pPr>
        <w:pStyle w:val="BodyText"/>
        <w:spacing w:before="5"/>
        <w:rPr>
          <w:sz w:val="17"/>
        </w:rPr>
      </w:pPr>
    </w:p>
    <w:p>
      <w:pPr>
        <w:pStyle w:val="BodyText"/>
        <w:spacing w:line="360" w:lineRule="auto"/>
        <w:ind w:left="102" w:right="116"/>
        <w:jc w:val="both"/>
      </w:pPr>
      <w:r>
        <w:rPr/>
        <w:t>El ramo 33 aportaciones federales para entidades federativas y municipales surge de la integración de programas y recursos que anteriormente se ejercían a través de los ramos 12, 25 y 26, derivado de una serie de reformas y acciones con el</w:t>
      </w:r>
    </w:p>
    <w:p>
      <w:pPr>
        <w:spacing w:after="0" w:line="360" w:lineRule="auto"/>
        <w:jc w:val="both"/>
        <w:sectPr>
          <w:pgSz w:w="12240" w:h="15840"/>
          <w:pgMar w:header="0" w:footer="992" w:top="1360" w:bottom="1180" w:left="1600" w:right="1580"/>
        </w:sectPr>
      </w:pPr>
    </w:p>
    <w:p>
      <w:pPr>
        <w:pStyle w:val="BodyText"/>
        <w:spacing w:line="360" w:lineRule="auto" w:before="54"/>
        <w:ind w:left="102" w:right="119"/>
        <w:jc w:val="both"/>
      </w:pPr>
      <w:r>
        <w:rPr/>
        <w:t>objetivo</w:t>
      </w:r>
      <w:r>
        <w:rPr>
          <w:spacing w:val="-14"/>
        </w:rPr>
        <w:t> </w:t>
      </w:r>
      <w:r>
        <w:rPr/>
        <w:t>de</w:t>
      </w:r>
      <w:r>
        <w:rPr>
          <w:spacing w:val="-14"/>
        </w:rPr>
        <w:t> </w:t>
      </w:r>
      <w:r>
        <w:rPr/>
        <w:t>descentralizar</w:t>
      </w:r>
      <w:r>
        <w:rPr>
          <w:spacing w:val="-15"/>
        </w:rPr>
        <w:t> </w:t>
      </w:r>
      <w:r>
        <w:rPr/>
        <w:t>las</w:t>
      </w:r>
      <w:r>
        <w:rPr>
          <w:spacing w:val="-14"/>
        </w:rPr>
        <w:t> </w:t>
      </w:r>
      <w:r>
        <w:rPr/>
        <w:t>responsabilidades</w:t>
      </w:r>
      <w:r>
        <w:rPr>
          <w:spacing w:val="-15"/>
        </w:rPr>
        <w:t> </w:t>
      </w:r>
      <w:r>
        <w:rPr/>
        <w:t>y</w:t>
      </w:r>
      <w:r>
        <w:rPr>
          <w:spacing w:val="-16"/>
        </w:rPr>
        <w:t> </w:t>
      </w:r>
      <w:r>
        <w:rPr/>
        <w:t>los</w:t>
      </w:r>
      <w:r>
        <w:rPr>
          <w:spacing w:val="-14"/>
        </w:rPr>
        <w:t> </w:t>
      </w:r>
      <w:r>
        <w:rPr/>
        <w:t>recursos</w:t>
      </w:r>
      <w:r>
        <w:rPr>
          <w:spacing w:val="-15"/>
        </w:rPr>
        <w:t> </w:t>
      </w:r>
      <w:r>
        <w:rPr/>
        <w:t>humanos,</w:t>
      </w:r>
      <w:r>
        <w:rPr>
          <w:spacing w:val="-16"/>
        </w:rPr>
        <w:t> </w:t>
      </w:r>
      <w:r>
        <w:rPr/>
        <w:t>materiales y financieros, por lo tanto a continuación se enuncian una serie de hechos que dieron pie a la creación del ramo</w:t>
      </w:r>
      <w:r>
        <w:rPr>
          <w:spacing w:val="-11"/>
        </w:rPr>
        <w:t> </w:t>
      </w:r>
      <w:r>
        <w:rPr/>
        <w:t>33.</w:t>
      </w:r>
    </w:p>
    <w:p>
      <w:pPr>
        <w:pStyle w:val="BodyText"/>
        <w:spacing w:line="360" w:lineRule="auto" w:before="204"/>
        <w:ind w:left="102" w:right="120"/>
        <w:jc w:val="both"/>
        <w:rPr>
          <w:sz w:val="22"/>
        </w:rPr>
      </w:pPr>
      <w:r>
        <w:rPr/>
        <w:t>Primero en 1992 se creó la Secretaría de Desarrollo Social (SEDESOL) con la finalidad de instrumentar la política social del Gobierno Federal y de coordinar las acciones que se convinieran con los gobiernos estatales y locales para superar las condiciones de marginación y pobreza en las diferentes regiones del país, estas acciones se realizaban con recursos presupuestados en el Ramo 26, Solidaridad y Desarrollo Regional</w:t>
      </w:r>
      <w:r>
        <w:rPr>
          <w:sz w:val="22"/>
        </w:rPr>
        <w:t>.</w:t>
      </w:r>
    </w:p>
    <w:p>
      <w:pPr>
        <w:pStyle w:val="BodyText"/>
        <w:spacing w:before="1"/>
        <w:rPr>
          <w:sz w:val="21"/>
        </w:rPr>
      </w:pPr>
    </w:p>
    <w:p>
      <w:pPr>
        <w:pStyle w:val="BodyText"/>
        <w:spacing w:line="360" w:lineRule="auto"/>
        <w:ind w:left="102" w:right="125"/>
        <w:jc w:val="both"/>
      </w:pPr>
      <w:r>
        <w:rPr/>
        <w:t>El 18 de mayo de 1992 se firmó el Acuerdo Nacional para la Modernización de la Educación Básica, entre el Ejecutivo Federal, los gobiernos estatales y el</w:t>
      </w:r>
      <w:r>
        <w:rPr>
          <w:spacing w:val="-37"/>
        </w:rPr>
        <w:t> </w:t>
      </w:r>
      <w:r>
        <w:rPr/>
        <w:t>Sindicato Nacional de Trabajadores de la</w:t>
      </w:r>
      <w:r>
        <w:rPr>
          <w:spacing w:val="-14"/>
        </w:rPr>
        <w:t> </w:t>
      </w:r>
      <w:r>
        <w:rPr/>
        <w:t>Educación.</w:t>
      </w:r>
    </w:p>
    <w:p>
      <w:pPr>
        <w:pStyle w:val="BodyText"/>
        <w:spacing w:before="3"/>
        <w:rPr>
          <w:sz w:val="21"/>
        </w:rPr>
      </w:pPr>
    </w:p>
    <w:p>
      <w:pPr>
        <w:pStyle w:val="BodyText"/>
        <w:spacing w:line="360" w:lineRule="auto"/>
        <w:ind w:left="102" w:right="115"/>
        <w:jc w:val="both"/>
      </w:pPr>
      <w:r>
        <w:rPr/>
        <w:t>Derivado de lo anterior, en el Presupuesto de Egresos de la Federación </w:t>
      </w:r>
      <w:r>
        <w:rPr>
          <w:spacing w:val="2"/>
        </w:rPr>
        <w:t>para </w:t>
      </w:r>
      <w:r>
        <w:rPr/>
        <w:t>el ejercicio</w:t>
      </w:r>
      <w:r>
        <w:rPr>
          <w:spacing w:val="-14"/>
        </w:rPr>
        <w:t> </w:t>
      </w:r>
      <w:r>
        <w:rPr/>
        <w:t>1993</w:t>
      </w:r>
      <w:r>
        <w:rPr>
          <w:spacing w:val="-16"/>
        </w:rPr>
        <w:t> </w:t>
      </w:r>
      <w:r>
        <w:rPr/>
        <w:t>se</w:t>
      </w:r>
      <w:r>
        <w:rPr>
          <w:spacing w:val="-16"/>
        </w:rPr>
        <w:t> </w:t>
      </w:r>
      <w:r>
        <w:rPr/>
        <w:t>creó</w:t>
      </w:r>
      <w:r>
        <w:rPr>
          <w:spacing w:val="-19"/>
        </w:rPr>
        <w:t> </w:t>
      </w:r>
      <w:r>
        <w:rPr/>
        <w:t>el</w:t>
      </w:r>
      <w:r>
        <w:rPr>
          <w:spacing w:val="-15"/>
        </w:rPr>
        <w:t> </w:t>
      </w:r>
      <w:r>
        <w:rPr/>
        <w:t>ramo</w:t>
      </w:r>
      <w:r>
        <w:rPr>
          <w:spacing w:val="-17"/>
        </w:rPr>
        <w:t> </w:t>
      </w:r>
      <w:r>
        <w:rPr/>
        <w:t>25,</w:t>
      </w:r>
      <w:r>
        <w:rPr>
          <w:spacing w:val="-17"/>
        </w:rPr>
        <w:t> </w:t>
      </w:r>
      <w:r>
        <w:rPr/>
        <w:t>denominado</w:t>
      </w:r>
      <w:r>
        <w:rPr>
          <w:spacing w:val="-14"/>
        </w:rPr>
        <w:t> </w:t>
      </w:r>
      <w:r>
        <w:rPr/>
        <w:t>Aportaciones</w:t>
      </w:r>
      <w:r>
        <w:rPr>
          <w:spacing w:val="-17"/>
        </w:rPr>
        <w:t> </w:t>
      </w:r>
      <w:r>
        <w:rPr/>
        <w:t>para</w:t>
      </w:r>
      <w:r>
        <w:rPr>
          <w:spacing w:val="-14"/>
        </w:rPr>
        <w:t> </w:t>
      </w:r>
      <w:r>
        <w:rPr/>
        <w:t>Educación</w:t>
      </w:r>
      <w:r>
        <w:rPr>
          <w:spacing w:val="-17"/>
        </w:rPr>
        <w:t> </w:t>
      </w:r>
      <w:r>
        <w:rPr/>
        <w:t>Básica en</w:t>
      </w:r>
      <w:r>
        <w:rPr>
          <w:spacing w:val="-10"/>
        </w:rPr>
        <w:t> </w:t>
      </w:r>
      <w:r>
        <w:rPr/>
        <w:t>los</w:t>
      </w:r>
      <w:r>
        <w:rPr>
          <w:spacing w:val="-12"/>
        </w:rPr>
        <w:t> </w:t>
      </w:r>
      <w:r>
        <w:rPr/>
        <w:t>Estados,</w:t>
      </w:r>
      <w:r>
        <w:rPr>
          <w:spacing w:val="-10"/>
        </w:rPr>
        <w:t> </w:t>
      </w:r>
      <w:r>
        <w:rPr/>
        <w:t>con</w:t>
      </w:r>
      <w:r>
        <w:rPr>
          <w:spacing w:val="-10"/>
        </w:rPr>
        <w:t> </w:t>
      </w:r>
      <w:r>
        <w:rPr/>
        <w:t>la</w:t>
      </w:r>
      <w:r>
        <w:rPr>
          <w:spacing w:val="-15"/>
        </w:rPr>
        <w:t> </w:t>
      </w:r>
      <w:r>
        <w:rPr/>
        <w:t>finalidad</w:t>
      </w:r>
      <w:r>
        <w:rPr>
          <w:spacing w:val="-12"/>
        </w:rPr>
        <w:t> </w:t>
      </w:r>
      <w:r>
        <w:rPr/>
        <w:t>de</w:t>
      </w:r>
      <w:r>
        <w:rPr>
          <w:spacing w:val="-12"/>
        </w:rPr>
        <w:t> </w:t>
      </w:r>
      <w:r>
        <w:rPr/>
        <w:t>dotar</w:t>
      </w:r>
      <w:r>
        <w:rPr>
          <w:spacing w:val="-14"/>
        </w:rPr>
        <w:t> </w:t>
      </w:r>
      <w:r>
        <w:rPr/>
        <w:t>a</w:t>
      </w:r>
      <w:r>
        <w:rPr>
          <w:spacing w:val="-10"/>
        </w:rPr>
        <w:t> </w:t>
      </w:r>
      <w:r>
        <w:rPr/>
        <w:t>las</w:t>
      </w:r>
      <w:r>
        <w:rPr>
          <w:spacing w:val="-15"/>
        </w:rPr>
        <w:t> </w:t>
      </w:r>
      <w:r>
        <w:rPr/>
        <w:t>Entidades</w:t>
      </w:r>
      <w:r>
        <w:rPr>
          <w:spacing w:val="-13"/>
        </w:rPr>
        <w:t> </w:t>
      </w:r>
      <w:r>
        <w:rPr/>
        <w:t>Federativas</w:t>
      </w:r>
      <w:r>
        <w:rPr>
          <w:spacing w:val="-11"/>
        </w:rPr>
        <w:t> </w:t>
      </w:r>
      <w:r>
        <w:rPr/>
        <w:t>de</w:t>
      </w:r>
      <w:r>
        <w:rPr>
          <w:spacing w:val="-10"/>
        </w:rPr>
        <w:t> </w:t>
      </w:r>
      <w:r>
        <w:rPr/>
        <w:t>los</w:t>
      </w:r>
      <w:r>
        <w:rPr>
          <w:spacing w:val="-12"/>
        </w:rPr>
        <w:t> </w:t>
      </w:r>
      <w:r>
        <w:rPr/>
        <w:t>recursos requeridos en el proceso de descentralización del sector</w:t>
      </w:r>
      <w:r>
        <w:rPr>
          <w:spacing w:val="-27"/>
        </w:rPr>
        <w:t> </w:t>
      </w:r>
      <w:r>
        <w:rPr/>
        <w:t>educativo.</w:t>
      </w:r>
    </w:p>
    <w:p>
      <w:pPr>
        <w:pStyle w:val="BodyText"/>
        <w:spacing w:before="3"/>
        <w:rPr>
          <w:sz w:val="21"/>
        </w:rPr>
      </w:pPr>
    </w:p>
    <w:p>
      <w:pPr>
        <w:pStyle w:val="BodyText"/>
        <w:spacing w:line="360" w:lineRule="auto"/>
        <w:ind w:left="102" w:right="124"/>
        <w:jc w:val="both"/>
      </w:pPr>
      <w:r>
        <w:rPr/>
        <w:t>Las acciones emprendidas en materia de descentralización del sector salud son diversas,</w:t>
      </w:r>
      <w:r>
        <w:rPr>
          <w:spacing w:val="-5"/>
        </w:rPr>
        <w:t> </w:t>
      </w:r>
      <w:r>
        <w:rPr/>
        <w:t>sin</w:t>
      </w:r>
      <w:r>
        <w:rPr>
          <w:spacing w:val="-5"/>
        </w:rPr>
        <w:t> </w:t>
      </w:r>
      <w:r>
        <w:rPr/>
        <w:t>embargo,</w:t>
      </w:r>
      <w:r>
        <w:rPr>
          <w:spacing w:val="-5"/>
        </w:rPr>
        <w:t> </w:t>
      </w:r>
      <w:r>
        <w:rPr/>
        <w:t>el</w:t>
      </w:r>
      <w:r>
        <w:rPr>
          <w:spacing w:val="-6"/>
        </w:rPr>
        <w:t> </w:t>
      </w:r>
      <w:r>
        <w:rPr/>
        <w:t>hecho</w:t>
      </w:r>
      <w:r>
        <w:rPr>
          <w:spacing w:val="-9"/>
        </w:rPr>
        <w:t> </w:t>
      </w:r>
      <w:r>
        <w:rPr/>
        <w:t>más</w:t>
      </w:r>
      <w:r>
        <w:rPr>
          <w:spacing w:val="-5"/>
        </w:rPr>
        <w:t> </w:t>
      </w:r>
      <w:r>
        <w:rPr/>
        <w:t>relevante</w:t>
      </w:r>
      <w:r>
        <w:rPr>
          <w:spacing w:val="-4"/>
        </w:rPr>
        <w:t> </w:t>
      </w:r>
      <w:r>
        <w:rPr/>
        <w:t>que</w:t>
      </w:r>
      <w:r>
        <w:rPr>
          <w:spacing w:val="-5"/>
        </w:rPr>
        <w:t> </w:t>
      </w:r>
      <w:r>
        <w:rPr/>
        <w:t>consolida</w:t>
      </w:r>
      <w:r>
        <w:rPr>
          <w:spacing w:val="-5"/>
        </w:rPr>
        <w:t> </w:t>
      </w:r>
      <w:r>
        <w:rPr/>
        <w:t>todas</w:t>
      </w:r>
      <w:r>
        <w:rPr>
          <w:spacing w:val="-8"/>
        </w:rPr>
        <w:t> </w:t>
      </w:r>
      <w:r>
        <w:rPr/>
        <w:t>las</w:t>
      </w:r>
      <w:r>
        <w:rPr>
          <w:spacing w:val="-5"/>
        </w:rPr>
        <w:t> </w:t>
      </w:r>
      <w:r>
        <w:rPr/>
        <w:t>acciones</w:t>
      </w:r>
      <w:r>
        <w:rPr>
          <w:spacing w:val="-8"/>
        </w:rPr>
        <w:t> </w:t>
      </w:r>
      <w:r>
        <w:rPr/>
        <w:t>se registra</w:t>
      </w:r>
      <w:r>
        <w:rPr>
          <w:spacing w:val="-13"/>
        </w:rPr>
        <w:t> </w:t>
      </w:r>
      <w:r>
        <w:rPr/>
        <w:t>el</w:t>
      </w:r>
      <w:r>
        <w:rPr>
          <w:spacing w:val="-14"/>
        </w:rPr>
        <w:t> </w:t>
      </w:r>
      <w:r>
        <w:rPr/>
        <w:t>27</w:t>
      </w:r>
      <w:r>
        <w:rPr>
          <w:spacing w:val="-13"/>
        </w:rPr>
        <w:t> </w:t>
      </w:r>
      <w:r>
        <w:rPr/>
        <w:t>de</w:t>
      </w:r>
      <w:r>
        <w:rPr>
          <w:spacing w:val="-13"/>
        </w:rPr>
        <w:t> </w:t>
      </w:r>
      <w:r>
        <w:rPr/>
        <w:t>enero</w:t>
      </w:r>
      <w:r>
        <w:rPr>
          <w:spacing w:val="-16"/>
        </w:rPr>
        <w:t> </w:t>
      </w:r>
      <w:r>
        <w:rPr/>
        <w:t>de</w:t>
      </w:r>
      <w:r>
        <w:rPr>
          <w:spacing w:val="-13"/>
        </w:rPr>
        <w:t> </w:t>
      </w:r>
      <w:r>
        <w:rPr/>
        <w:t>1995</w:t>
      </w:r>
      <w:r>
        <w:rPr>
          <w:spacing w:val="-13"/>
        </w:rPr>
        <w:t> </w:t>
      </w:r>
      <w:r>
        <w:rPr/>
        <w:t>mediante</w:t>
      </w:r>
      <w:r>
        <w:rPr>
          <w:spacing w:val="-13"/>
        </w:rPr>
        <w:t> </w:t>
      </w:r>
      <w:r>
        <w:rPr/>
        <w:t>la</w:t>
      </w:r>
      <w:r>
        <w:rPr>
          <w:spacing w:val="-13"/>
        </w:rPr>
        <w:t> </w:t>
      </w:r>
      <w:r>
        <w:rPr/>
        <w:t>publicación</w:t>
      </w:r>
      <w:r>
        <w:rPr>
          <w:spacing w:val="-13"/>
        </w:rPr>
        <w:t> </w:t>
      </w:r>
      <w:r>
        <w:rPr/>
        <w:t>del</w:t>
      </w:r>
      <w:r>
        <w:rPr>
          <w:spacing w:val="-14"/>
        </w:rPr>
        <w:t> </w:t>
      </w:r>
      <w:r>
        <w:rPr/>
        <w:t>decreto</w:t>
      </w:r>
      <w:r>
        <w:rPr>
          <w:spacing w:val="-13"/>
        </w:rPr>
        <w:t> </w:t>
      </w:r>
      <w:r>
        <w:rPr/>
        <w:t>presidencial</w:t>
      </w:r>
      <w:r>
        <w:rPr>
          <w:spacing w:val="-14"/>
        </w:rPr>
        <w:t> </w:t>
      </w:r>
      <w:r>
        <w:rPr/>
        <w:t>que establece la integración y objetivos del Consejo Nacional de Salud como instancia de coordinación para la programación, presupuestación y evaluación de la salud pública.</w:t>
      </w:r>
    </w:p>
    <w:p>
      <w:pPr>
        <w:pStyle w:val="BodyText"/>
        <w:spacing w:before="1"/>
        <w:rPr>
          <w:sz w:val="21"/>
        </w:rPr>
      </w:pPr>
    </w:p>
    <w:p>
      <w:pPr>
        <w:pStyle w:val="BodyText"/>
        <w:spacing w:line="360" w:lineRule="auto" w:before="1"/>
        <w:ind w:left="102" w:right="124"/>
        <w:jc w:val="both"/>
      </w:pPr>
      <w:r>
        <w:rPr/>
        <w:t>Las acciones emprendidas en materia de descentralización del sector salud son diversas,</w:t>
      </w:r>
      <w:r>
        <w:rPr>
          <w:spacing w:val="-5"/>
        </w:rPr>
        <w:t> </w:t>
      </w:r>
      <w:r>
        <w:rPr/>
        <w:t>sin</w:t>
      </w:r>
      <w:r>
        <w:rPr>
          <w:spacing w:val="-5"/>
        </w:rPr>
        <w:t> </w:t>
      </w:r>
      <w:r>
        <w:rPr/>
        <w:t>embargo,</w:t>
      </w:r>
      <w:r>
        <w:rPr>
          <w:spacing w:val="-5"/>
        </w:rPr>
        <w:t> </w:t>
      </w:r>
      <w:r>
        <w:rPr/>
        <w:t>el</w:t>
      </w:r>
      <w:r>
        <w:rPr>
          <w:spacing w:val="-6"/>
        </w:rPr>
        <w:t> </w:t>
      </w:r>
      <w:r>
        <w:rPr/>
        <w:t>hecho</w:t>
      </w:r>
      <w:r>
        <w:rPr>
          <w:spacing w:val="-9"/>
        </w:rPr>
        <w:t> </w:t>
      </w:r>
      <w:r>
        <w:rPr/>
        <w:t>más</w:t>
      </w:r>
      <w:r>
        <w:rPr>
          <w:spacing w:val="-5"/>
        </w:rPr>
        <w:t> </w:t>
      </w:r>
      <w:r>
        <w:rPr/>
        <w:t>relevante</w:t>
      </w:r>
      <w:r>
        <w:rPr>
          <w:spacing w:val="-4"/>
        </w:rPr>
        <w:t> </w:t>
      </w:r>
      <w:r>
        <w:rPr/>
        <w:t>que</w:t>
      </w:r>
      <w:r>
        <w:rPr>
          <w:spacing w:val="-5"/>
        </w:rPr>
        <w:t> </w:t>
      </w:r>
      <w:r>
        <w:rPr/>
        <w:t>consolida</w:t>
      </w:r>
      <w:r>
        <w:rPr>
          <w:spacing w:val="-5"/>
        </w:rPr>
        <w:t> </w:t>
      </w:r>
      <w:r>
        <w:rPr/>
        <w:t>todas</w:t>
      </w:r>
      <w:r>
        <w:rPr>
          <w:spacing w:val="-8"/>
        </w:rPr>
        <w:t> </w:t>
      </w:r>
      <w:r>
        <w:rPr/>
        <w:t>las</w:t>
      </w:r>
      <w:r>
        <w:rPr>
          <w:spacing w:val="-5"/>
        </w:rPr>
        <w:t> </w:t>
      </w:r>
      <w:r>
        <w:rPr/>
        <w:t>acciones</w:t>
      </w:r>
      <w:r>
        <w:rPr>
          <w:spacing w:val="-8"/>
        </w:rPr>
        <w:t> </w:t>
      </w:r>
      <w:r>
        <w:rPr/>
        <w:t>se registra</w:t>
      </w:r>
      <w:r>
        <w:rPr>
          <w:spacing w:val="-14"/>
        </w:rPr>
        <w:t> </w:t>
      </w:r>
      <w:r>
        <w:rPr/>
        <w:t>el</w:t>
      </w:r>
      <w:r>
        <w:rPr>
          <w:spacing w:val="-14"/>
        </w:rPr>
        <w:t> </w:t>
      </w:r>
      <w:r>
        <w:rPr/>
        <w:t>27</w:t>
      </w:r>
      <w:r>
        <w:rPr>
          <w:spacing w:val="-13"/>
        </w:rPr>
        <w:t> </w:t>
      </w:r>
      <w:r>
        <w:rPr/>
        <w:t>de</w:t>
      </w:r>
      <w:r>
        <w:rPr>
          <w:spacing w:val="-13"/>
        </w:rPr>
        <w:t> </w:t>
      </w:r>
      <w:r>
        <w:rPr/>
        <w:t>enero</w:t>
      </w:r>
      <w:r>
        <w:rPr>
          <w:spacing w:val="-16"/>
        </w:rPr>
        <w:t> </w:t>
      </w:r>
      <w:r>
        <w:rPr/>
        <w:t>de</w:t>
      </w:r>
      <w:r>
        <w:rPr>
          <w:spacing w:val="-13"/>
        </w:rPr>
        <w:t> </w:t>
      </w:r>
      <w:r>
        <w:rPr/>
        <w:t>1995</w:t>
      </w:r>
      <w:r>
        <w:rPr>
          <w:spacing w:val="-13"/>
        </w:rPr>
        <w:t> </w:t>
      </w:r>
      <w:r>
        <w:rPr/>
        <w:t>mediante</w:t>
      </w:r>
      <w:r>
        <w:rPr>
          <w:spacing w:val="-13"/>
        </w:rPr>
        <w:t> </w:t>
      </w:r>
      <w:r>
        <w:rPr/>
        <w:t>la</w:t>
      </w:r>
      <w:r>
        <w:rPr>
          <w:spacing w:val="-13"/>
        </w:rPr>
        <w:t> </w:t>
      </w:r>
      <w:r>
        <w:rPr/>
        <w:t>publicación</w:t>
      </w:r>
      <w:r>
        <w:rPr>
          <w:spacing w:val="-13"/>
        </w:rPr>
        <w:t> </w:t>
      </w:r>
      <w:r>
        <w:rPr/>
        <w:t>del</w:t>
      </w:r>
      <w:r>
        <w:rPr>
          <w:spacing w:val="-14"/>
        </w:rPr>
        <w:t> </w:t>
      </w:r>
      <w:r>
        <w:rPr/>
        <w:t>decreto</w:t>
      </w:r>
      <w:r>
        <w:rPr>
          <w:spacing w:val="-13"/>
        </w:rPr>
        <w:t> </w:t>
      </w:r>
      <w:r>
        <w:rPr/>
        <w:t>presidencial</w:t>
      </w:r>
      <w:r>
        <w:rPr>
          <w:spacing w:val="-14"/>
        </w:rPr>
        <w:t> </w:t>
      </w:r>
      <w:r>
        <w:rPr/>
        <w:t>que establece la integración y objetivos del Consejo Nacional de Salud como instancia de coordinación para la programación, presupuestación y evaluación de la salud pública.</w:t>
      </w:r>
    </w:p>
    <w:p>
      <w:pPr>
        <w:spacing w:after="0" w:line="360" w:lineRule="auto"/>
        <w:jc w:val="both"/>
        <w:sectPr>
          <w:pgSz w:w="12240" w:h="15840"/>
          <w:pgMar w:header="0" w:footer="992" w:top="1360" w:bottom="1180" w:left="1600" w:right="1580"/>
        </w:sectPr>
      </w:pPr>
    </w:p>
    <w:p>
      <w:pPr>
        <w:pStyle w:val="BodyText"/>
        <w:spacing w:line="360" w:lineRule="auto" w:before="54"/>
        <w:ind w:left="102" w:right="117"/>
        <w:jc w:val="both"/>
      </w:pPr>
      <w:r>
        <w:rPr/>
        <w:t>En</w:t>
      </w:r>
      <w:r>
        <w:rPr>
          <w:spacing w:val="-4"/>
        </w:rPr>
        <w:t> </w:t>
      </w:r>
      <w:r>
        <w:rPr/>
        <w:t>1996,</w:t>
      </w:r>
      <w:r>
        <w:rPr>
          <w:spacing w:val="-6"/>
        </w:rPr>
        <w:t> </w:t>
      </w:r>
      <w:r>
        <w:rPr/>
        <w:t>el</w:t>
      </w:r>
      <w:r>
        <w:rPr>
          <w:spacing w:val="-5"/>
        </w:rPr>
        <w:t> </w:t>
      </w:r>
      <w:r>
        <w:rPr/>
        <w:t>ramo</w:t>
      </w:r>
      <w:r>
        <w:rPr>
          <w:spacing w:val="-4"/>
        </w:rPr>
        <w:t> </w:t>
      </w:r>
      <w:r>
        <w:rPr/>
        <w:t>26</w:t>
      </w:r>
      <w:r>
        <w:rPr>
          <w:spacing w:val="-2"/>
        </w:rPr>
        <w:t> </w:t>
      </w:r>
      <w:r>
        <w:rPr/>
        <w:t>cambió</w:t>
      </w:r>
      <w:r>
        <w:rPr>
          <w:spacing w:val="-4"/>
        </w:rPr>
        <w:t> </w:t>
      </w:r>
      <w:r>
        <w:rPr/>
        <w:t>de</w:t>
      </w:r>
      <w:r>
        <w:rPr>
          <w:spacing w:val="-6"/>
        </w:rPr>
        <w:t> </w:t>
      </w:r>
      <w:r>
        <w:rPr/>
        <w:t>denominación</w:t>
      </w:r>
      <w:r>
        <w:rPr>
          <w:spacing w:val="-4"/>
        </w:rPr>
        <w:t> </w:t>
      </w:r>
      <w:r>
        <w:rPr/>
        <w:t>de</w:t>
      </w:r>
      <w:r>
        <w:rPr>
          <w:spacing w:val="-1"/>
        </w:rPr>
        <w:t> </w:t>
      </w:r>
      <w:r>
        <w:rPr/>
        <w:t>Solidaridad</w:t>
      </w:r>
      <w:r>
        <w:rPr>
          <w:spacing w:val="-4"/>
        </w:rPr>
        <w:t> </w:t>
      </w:r>
      <w:r>
        <w:rPr/>
        <w:t>y</w:t>
      </w:r>
      <w:r>
        <w:rPr>
          <w:spacing w:val="-7"/>
        </w:rPr>
        <w:t> </w:t>
      </w:r>
      <w:r>
        <w:rPr/>
        <w:t>Desarrollo</w:t>
      </w:r>
      <w:r>
        <w:rPr>
          <w:spacing w:val="-4"/>
        </w:rPr>
        <w:t> </w:t>
      </w:r>
      <w:r>
        <w:rPr/>
        <w:t>Regional a Superación de la Pobreza. Hasta el ejercicio presupuestal del año 1997 la orientación del gasto del Ramo 26 se daba a través dos</w:t>
      </w:r>
      <w:r>
        <w:rPr>
          <w:spacing w:val="-23"/>
        </w:rPr>
        <w:t> </w:t>
      </w:r>
      <w:r>
        <w:rPr/>
        <w:t>Fondos:</w:t>
      </w:r>
    </w:p>
    <w:p>
      <w:pPr>
        <w:pStyle w:val="BodyText"/>
        <w:spacing w:before="3"/>
        <w:rPr>
          <w:sz w:val="21"/>
        </w:rPr>
      </w:pPr>
    </w:p>
    <w:p>
      <w:pPr>
        <w:pStyle w:val="ListParagraph"/>
        <w:numPr>
          <w:ilvl w:val="0"/>
          <w:numId w:val="24"/>
        </w:numPr>
        <w:tabs>
          <w:tab w:pos="397" w:val="left" w:leader="none"/>
        </w:tabs>
        <w:spacing w:line="360" w:lineRule="auto" w:before="0" w:after="0"/>
        <w:ind w:left="102" w:right="117" w:firstLine="0"/>
        <w:jc w:val="both"/>
        <w:rPr>
          <w:sz w:val="24"/>
        </w:rPr>
      </w:pPr>
      <w:r>
        <w:rPr>
          <w:sz w:val="24"/>
        </w:rPr>
        <w:t>Fondo de Desarrollo Social Municipal: Los recursos se destinaban a obras de atención</w:t>
      </w:r>
      <w:r>
        <w:rPr>
          <w:spacing w:val="-15"/>
          <w:sz w:val="24"/>
        </w:rPr>
        <w:t> </w:t>
      </w:r>
      <w:r>
        <w:rPr>
          <w:sz w:val="24"/>
        </w:rPr>
        <w:t>a</w:t>
      </w:r>
      <w:r>
        <w:rPr>
          <w:spacing w:val="-13"/>
          <w:sz w:val="24"/>
        </w:rPr>
        <w:t> </w:t>
      </w:r>
      <w:r>
        <w:rPr>
          <w:sz w:val="24"/>
        </w:rPr>
        <w:t>la</w:t>
      </w:r>
      <w:r>
        <w:rPr>
          <w:spacing w:val="-15"/>
          <w:sz w:val="24"/>
        </w:rPr>
        <w:t> </w:t>
      </w:r>
      <w:r>
        <w:rPr>
          <w:sz w:val="24"/>
        </w:rPr>
        <w:t>pobreza</w:t>
      </w:r>
      <w:r>
        <w:rPr>
          <w:spacing w:val="-13"/>
          <w:sz w:val="24"/>
        </w:rPr>
        <w:t> </w:t>
      </w:r>
      <w:r>
        <w:rPr>
          <w:sz w:val="24"/>
        </w:rPr>
        <w:t>con</w:t>
      </w:r>
      <w:r>
        <w:rPr>
          <w:spacing w:val="-13"/>
          <w:sz w:val="24"/>
        </w:rPr>
        <w:t> </w:t>
      </w:r>
      <w:r>
        <w:rPr>
          <w:sz w:val="24"/>
        </w:rPr>
        <w:t>un</w:t>
      </w:r>
      <w:r>
        <w:rPr>
          <w:spacing w:val="-13"/>
          <w:sz w:val="24"/>
        </w:rPr>
        <w:t> </w:t>
      </w:r>
      <w:r>
        <w:rPr>
          <w:sz w:val="24"/>
        </w:rPr>
        <w:t>impacto</w:t>
      </w:r>
      <w:r>
        <w:rPr>
          <w:spacing w:val="-15"/>
          <w:sz w:val="24"/>
        </w:rPr>
        <w:t> </w:t>
      </w:r>
      <w:r>
        <w:rPr>
          <w:sz w:val="24"/>
        </w:rPr>
        <w:t>municipal,</w:t>
      </w:r>
      <w:r>
        <w:rPr>
          <w:spacing w:val="-14"/>
          <w:sz w:val="24"/>
        </w:rPr>
        <w:t> </w:t>
      </w:r>
      <w:r>
        <w:rPr>
          <w:sz w:val="24"/>
        </w:rPr>
        <w:t>proporcionando</w:t>
      </w:r>
      <w:r>
        <w:rPr>
          <w:spacing w:val="-15"/>
          <w:sz w:val="24"/>
        </w:rPr>
        <w:t> </w:t>
      </w:r>
      <w:r>
        <w:rPr>
          <w:sz w:val="24"/>
        </w:rPr>
        <w:t>fundamentalmente servicios básicos, como agua potable, alcantarillado, drenaje, electrificación, mejoramiento de la infraestructura, educación básica, de salud, construcción de caminos rurales, vivienda, abasto, proyectos productivos, así como proyectos para el desarrollo</w:t>
      </w:r>
      <w:r>
        <w:rPr>
          <w:spacing w:val="-8"/>
          <w:sz w:val="24"/>
        </w:rPr>
        <w:t> </w:t>
      </w:r>
      <w:r>
        <w:rPr>
          <w:sz w:val="24"/>
        </w:rPr>
        <w:t>municipal.</w:t>
      </w:r>
    </w:p>
    <w:p>
      <w:pPr>
        <w:pStyle w:val="BodyText"/>
        <w:spacing w:before="3"/>
        <w:rPr>
          <w:sz w:val="21"/>
        </w:rPr>
      </w:pPr>
    </w:p>
    <w:p>
      <w:pPr>
        <w:pStyle w:val="ListParagraph"/>
        <w:numPr>
          <w:ilvl w:val="0"/>
          <w:numId w:val="24"/>
        </w:numPr>
        <w:tabs>
          <w:tab w:pos="380" w:val="left" w:leader="none"/>
        </w:tabs>
        <w:spacing w:line="360" w:lineRule="auto" w:before="0" w:after="0"/>
        <w:ind w:left="102" w:right="117" w:firstLine="0"/>
        <w:jc w:val="both"/>
        <w:rPr>
          <w:sz w:val="24"/>
        </w:rPr>
      </w:pPr>
      <w:r>
        <w:rPr>
          <w:sz w:val="24"/>
        </w:rPr>
        <w:t>Fondo para el Desarrollo Regional y el Empleo: Los recursos se utilizaban para financiar la construcción de obras en proceso; para acciones prioritarias del desarrollo de los Estados; constitución, asistencia y capacitación a empresas regionales;</w:t>
      </w:r>
      <w:r>
        <w:rPr>
          <w:spacing w:val="-9"/>
          <w:sz w:val="24"/>
        </w:rPr>
        <w:t> </w:t>
      </w:r>
      <w:r>
        <w:rPr>
          <w:sz w:val="24"/>
        </w:rPr>
        <w:t>apoyos</w:t>
      </w:r>
      <w:r>
        <w:rPr>
          <w:spacing w:val="-8"/>
          <w:sz w:val="24"/>
        </w:rPr>
        <w:t> </w:t>
      </w:r>
      <w:r>
        <w:rPr>
          <w:sz w:val="24"/>
        </w:rPr>
        <w:t>a</w:t>
      </w:r>
      <w:r>
        <w:rPr>
          <w:spacing w:val="-9"/>
          <w:sz w:val="24"/>
        </w:rPr>
        <w:t> </w:t>
      </w:r>
      <w:r>
        <w:rPr>
          <w:sz w:val="24"/>
        </w:rPr>
        <w:t>grupos</w:t>
      </w:r>
      <w:r>
        <w:rPr>
          <w:spacing w:val="-8"/>
          <w:sz w:val="24"/>
        </w:rPr>
        <w:t> </w:t>
      </w:r>
      <w:r>
        <w:rPr>
          <w:sz w:val="24"/>
        </w:rPr>
        <w:t>sociales</w:t>
      </w:r>
      <w:r>
        <w:rPr>
          <w:spacing w:val="-10"/>
          <w:sz w:val="24"/>
        </w:rPr>
        <w:t> </w:t>
      </w:r>
      <w:r>
        <w:rPr>
          <w:sz w:val="24"/>
        </w:rPr>
        <w:t>en</w:t>
      </w:r>
      <w:r>
        <w:rPr>
          <w:spacing w:val="-9"/>
          <w:sz w:val="24"/>
        </w:rPr>
        <w:t> </w:t>
      </w:r>
      <w:r>
        <w:rPr>
          <w:sz w:val="24"/>
        </w:rPr>
        <w:t>diversas</w:t>
      </w:r>
      <w:r>
        <w:rPr>
          <w:spacing w:val="-8"/>
          <w:sz w:val="24"/>
        </w:rPr>
        <w:t> </w:t>
      </w:r>
      <w:r>
        <w:rPr>
          <w:sz w:val="24"/>
        </w:rPr>
        <w:t>actividades</w:t>
      </w:r>
      <w:r>
        <w:rPr>
          <w:spacing w:val="-10"/>
          <w:sz w:val="24"/>
        </w:rPr>
        <w:t> </w:t>
      </w:r>
      <w:r>
        <w:rPr>
          <w:sz w:val="24"/>
        </w:rPr>
        <w:t>productivas;</w:t>
      </w:r>
      <w:r>
        <w:rPr>
          <w:spacing w:val="-7"/>
          <w:sz w:val="24"/>
        </w:rPr>
        <w:t> </w:t>
      </w:r>
      <w:r>
        <w:rPr>
          <w:sz w:val="24"/>
        </w:rPr>
        <w:t>acciones de vivienda; y para proyectos de desarrollo comunitario orientados a mujeres en condiciones de pobreza. Los programas de este Fondo eran: Empleo Temporal; Crédito a la Palabra; Empresas Sociales y Cajas de Ahorro; Atención a Zonas Áridas; Jornaleros Agrícolas; Apoyos a Mujeres y Servicio</w:t>
      </w:r>
      <w:r>
        <w:rPr>
          <w:spacing w:val="-24"/>
          <w:sz w:val="24"/>
        </w:rPr>
        <w:t> </w:t>
      </w:r>
      <w:r>
        <w:rPr>
          <w:sz w:val="24"/>
        </w:rPr>
        <w:t>Social.</w:t>
      </w:r>
    </w:p>
    <w:p>
      <w:pPr>
        <w:pStyle w:val="BodyText"/>
        <w:spacing w:before="3"/>
        <w:rPr>
          <w:sz w:val="21"/>
        </w:rPr>
      </w:pPr>
    </w:p>
    <w:p>
      <w:pPr>
        <w:pStyle w:val="BodyText"/>
        <w:spacing w:line="360" w:lineRule="auto"/>
        <w:ind w:left="102" w:right="120"/>
        <w:jc w:val="both"/>
      </w:pPr>
      <w:r>
        <w:rPr/>
        <w:t>Los dos fondos antes referidos desaparecen en 1997. En el Presupuesto de Egresos</w:t>
      </w:r>
      <w:r>
        <w:rPr>
          <w:spacing w:val="-9"/>
        </w:rPr>
        <w:t> </w:t>
      </w:r>
      <w:r>
        <w:rPr/>
        <w:t>de</w:t>
      </w:r>
      <w:r>
        <w:rPr>
          <w:spacing w:val="-8"/>
        </w:rPr>
        <w:t> </w:t>
      </w:r>
      <w:r>
        <w:rPr/>
        <w:t>la</w:t>
      </w:r>
      <w:r>
        <w:rPr>
          <w:spacing w:val="-11"/>
        </w:rPr>
        <w:t> </w:t>
      </w:r>
      <w:r>
        <w:rPr/>
        <w:t>Federación</w:t>
      </w:r>
      <w:r>
        <w:rPr>
          <w:spacing w:val="-8"/>
        </w:rPr>
        <w:t> </w:t>
      </w:r>
      <w:r>
        <w:rPr/>
        <w:t>para</w:t>
      </w:r>
      <w:r>
        <w:rPr>
          <w:spacing w:val="-9"/>
        </w:rPr>
        <w:t> </w:t>
      </w:r>
      <w:r>
        <w:rPr/>
        <w:t>el</w:t>
      </w:r>
      <w:r>
        <w:rPr>
          <w:spacing w:val="-12"/>
        </w:rPr>
        <w:t> </w:t>
      </w:r>
      <w:r>
        <w:rPr/>
        <w:t>ejercicio</w:t>
      </w:r>
      <w:r>
        <w:rPr>
          <w:spacing w:val="-8"/>
        </w:rPr>
        <w:t> </w:t>
      </w:r>
      <w:r>
        <w:rPr/>
        <w:t>fiscal</w:t>
      </w:r>
      <w:r>
        <w:rPr>
          <w:spacing w:val="-10"/>
        </w:rPr>
        <w:t> </w:t>
      </w:r>
      <w:r>
        <w:rPr/>
        <w:t>de</w:t>
      </w:r>
      <w:r>
        <w:rPr>
          <w:spacing w:val="-11"/>
        </w:rPr>
        <w:t> </w:t>
      </w:r>
      <w:r>
        <w:rPr/>
        <w:t>1998,</w:t>
      </w:r>
      <w:r>
        <w:rPr>
          <w:spacing w:val="-9"/>
        </w:rPr>
        <w:t> </w:t>
      </w:r>
      <w:r>
        <w:rPr/>
        <w:t>se</w:t>
      </w:r>
      <w:r>
        <w:rPr>
          <w:spacing w:val="-8"/>
        </w:rPr>
        <w:t> </w:t>
      </w:r>
      <w:r>
        <w:rPr/>
        <w:t>establece</w:t>
      </w:r>
      <w:r>
        <w:rPr>
          <w:spacing w:val="-8"/>
        </w:rPr>
        <w:t> </w:t>
      </w:r>
      <w:r>
        <w:rPr/>
        <w:t>que</w:t>
      </w:r>
      <w:r>
        <w:rPr>
          <w:spacing w:val="-8"/>
        </w:rPr>
        <w:t> </w:t>
      </w:r>
      <w:r>
        <w:rPr/>
        <w:t>el</w:t>
      </w:r>
      <w:r>
        <w:rPr>
          <w:spacing w:val="-10"/>
        </w:rPr>
        <w:t> </w:t>
      </w:r>
      <w:r>
        <w:rPr/>
        <w:t>Ramo 26</w:t>
      </w:r>
      <w:r>
        <w:rPr>
          <w:spacing w:val="-4"/>
        </w:rPr>
        <w:t> </w:t>
      </w:r>
      <w:r>
        <w:rPr/>
        <w:t>“Superación</w:t>
      </w:r>
      <w:r>
        <w:rPr>
          <w:spacing w:val="-6"/>
        </w:rPr>
        <w:t> </w:t>
      </w:r>
      <w:r>
        <w:rPr/>
        <w:t>de</w:t>
      </w:r>
      <w:r>
        <w:rPr>
          <w:spacing w:val="-4"/>
        </w:rPr>
        <w:t> </w:t>
      </w:r>
      <w:r>
        <w:rPr/>
        <w:t>la</w:t>
      </w:r>
      <w:r>
        <w:rPr>
          <w:spacing w:val="-4"/>
        </w:rPr>
        <w:t> </w:t>
      </w:r>
      <w:r>
        <w:rPr/>
        <w:t>Pobreza”</w:t>
      </w:r>
      <w:r>
        <w:rPr>
          <w:spacing w:val="-5"/>
        </w:rPr>
        <w:t> </w:t>
      </w:r>
      <w:r>
        <w:rPr/>
        <w:t>cambia</w:t>
      </w:r>
      <w:r>
        <w:rPr>
          <w:spacing w:val="-6"/>
        </w:rPr>
        <w:t> </w:t>
      </w:r>
      <w:r>
        <w:rPr/>
        <w:t>de</w:t>
      </w:r>
      <w:r>
        <w:rPr>
          <w:spacing w:val="-4"/>
        </w:rPr>
        <w:t> </w:t>
      </w:r>
      <w:r>
        <w:rPr/>
        <w:t>nombre</w:t>
      </w:r>
      <w:r>
        <w:rPr>
          <w:spacing w:val="-4"/>
        </w:rPr>
        <w:t> </w:t>
      </w:r>
      <w:r>
        <w:rPr/>
        <w:t>a</w:t>
      </w:r>
      <w:r>
        <w:rPr>
          <w:spacing w:val="-4"/>
        </w:rPr>
        <w:t> </w:t>
      </w:r>
      <w:r>
        <w:rPr/>
        <w:t>“Desarrollo</w:t>
      </w:r>
      <w:r>
        <w:rPr>
          <w:spacing w:val="-4"/>
        </w:rPr>
        <w:t> </w:t>
      </w:r>
      <w:r>
        <w:rPr/>
        <w:t>Social</w:t>
      </w:r>
      <w:r>
        <w:rPr>
          <w:spacing w:val="-4"/>
        </w:rPr>
        <w:t> </w:t>
      </w:r>
      <w:r>
        <w:rPr/>
        <w:t>y</w:t>
      </w:r>
      <w:r>
        <w:rPr>
          <w:spacing w:val="-7"/>
        </w:rPr>
        <w:t> </w:t>
      </w:r>
      <w:r>
        <w:rPr/>
        <w:t>Productivo en Regiones de Pobreza” reestructuración cuatro</w:t>
      </w:r>
      <w:r>
        <w:rPr>
          <w:spacing w:val="-22"/>
        </w:rPr>
        <w:t> </w:t>
      </w:r>
      <w:r>
        <w:rPr/>
        <w:t>fondos</w:t>
      </w:r>
    </w:p>
    <w:p>
      <w:pPr>
        <w:pStyle w:val="BodyText"/>
        <w:spacing w:before="3"/>
        <w:rPr>
          <w:sz w:val="21"/>
        </w:rPr>
      </w:pPr>
    </w:p>
    <w:p>
      <w:pPr>
        <w:pStyle w:val="ListParagraph"/>
        <w:numPr>
          <w:ilvl w:val="0"/>
          <w:numId w:val="25"/>
        </w:numPr>
        <w:tabs>
          <w:tab w:pos="419" w:val="left" w:leader="none"/>
        </w:tabs>
        <w:spacing w:line="360" w:lineRule="auto" w:before="0" w:after="0"/>
        <w:ind w:left="102" w:right="123" w:firstLine="0"/>
        <w:jc w:val="both"/>
        <w:rPr>
          <w:sz w:val="24"/>
        </w:rPr>
      </w:pPr>
      <w:r>
        <w:rPr>
          <w:sz w:val="24"/>
        </w:rPr>
        <w:t>Fondo para el Desarrollo Productivo: Para acciones generadoras de empleo temporal, de crédito, y de promoción de proyectos productivos. El Fondo se constituía</w:t>
      </w:r>
      <w:r>
        <w:rPr>
          <w:spacing w:val="-6"/>
          <w:sz w:val="24"/>
        </w:rPr>
        <w:t> </w:t>
      </w:r>
      <w:r>
        <w:rPr>
          <w:sz w:val="24"/>
        </w:rPr>
        <w:t>por</w:t>
      </w:r>
      <w:r>
        <w:rPr>
          <w:spacing w:val="-5"/>
          <w:sz w:val="24"/>
        </w:rPr>
        <w:t> </w:t>
      </w:r>
      <w:r>
        <w:rPr>
          <w:sz w:val="24"/>
        </w:rPr>
        <w:t>los</w:t>
      </w:r>
      <w:r>
        <w:rPr>
          <w:spacing w:val="-6"/>
          <w:sz w:val="24"/>
        </w:rPr>
        <w:t> </w:t>
      </w:r>
      <w:r>
        <w:rPr>
          <w:sz w:val="24"/>
        </w:rPr>
        <w:t>programas</w:t>
      </w:r>
      <w:r>
        <w:rPr>
          <w:spacing w:val="-7"/>
          <w:sz w:val="24"/>
        </w:rPr>
        <w:t> </w:t>
      </w:r>
      <w:r>
        <w:rPr>
          <w:sz w:val="24"/>
        </w:rPr>
        <w:t>de</w:t>
      </w:r>
      <w:r>
        <w:rPr>
          <w:spacing w:val="-4"/>
          <w:sz w:val="24"/>
        </w:rPr>
        <w:t> </w:t>
      </w:r>
      <w:r>
        <w:rPr>
          <w:sz w:val="24"/>
        </w:rPr>
        <w:t>Empleo</w:t>
      </w:r>
      <w:r>
        <w:rPr>
          <w:spacing w:val="-6"/>
          <w:sz w:val="24"/>
        </w:rPr>
        <w:t> </w:t>
      </w:r>
      <w:r>
        <w:rPr>
          <w:sz w:val="24"/>
        </w:rPr>
        <w:t>Temporal,</w:t>
      </w:r>
      <w:r>
        <w:rPr>
          <w:spacing w:val="-7"/>
          <w:sz w:val="24"/>
        </w:rPr>
        <w:t> </w:t>
      </w:r>
      <w:r>
        <w:rPr>
          <w:sz w:val="24"/>
        </w:rPr>
        <w:t>Empresas</w:t>
      </w:r>
      <w:r>
        <w:rPr>
          <w:spacing w:val="-7"/>
          <w:sz w:val="24"/>
        </w:rPr>
        <w:t> </w:t>
      </w:r>
      <w:r>
        <w:rPr>
          <w:sz w:val="24"/>
        </w:rPr>
        <w:t>Sociales,</w:t>
      </w:r>
      <w:r>
        <w:rPr>
          <w:spacing w:val="-4"/>
          <w:sz w:val="24"/>
        </w:rPr>
        <w:t> </w:t>
      </w:r>
      <w:r>
        <w:rPr>
          <w:sz w:val="24"/>
        </w:rPr>
        <w:t>Crédito</w:t>
      </w:r>
      <w:r>
        <w:rPr>
          <w:spacing w:val="-6"/>
          <w:sz w:val="24"/>
        </w:rPr>
        <w:t> </w:t>
      </w:r>
      <w:r>
        <w:rPr>
          <w:sz w:val="24"/>
        </w:rPr>
        <w:t>a</w:t>
      </w:r>
      <w:r>
        <w:rPr>
          <w:spacing w:val="-8"/>
          <w:sz w:val="24"/>
        </w:rPr>
        <w:t> </w:t>
      </w:r>
      <w:r>
        <w:rPr>
          <w:sz w:val="24"/>
        </w:rPr>
        <w:t>la Palabra y Desarrollo Productivo de la</w:t>
      </w:r>
      <w:r>
        <w:rPr>
          <w:spacing w:val="-13"/>
          <w:sz w:val="24"/>
        </w:rPr>
        <w:t> </w:t>
      </w:r>
      <w:r>
        <w:rPr>
          <w:sz w:val="24"/>
        </w:rPr>
        <w:t>Mujer.</w:t>
      </w:r>
    </w:p>
    <w:p>
      <w:pPr>
        <w:pStyle w:val="BodyText"/>
        <w:spacing w:before="3"/>
        <w:rPr>
          <w:sz w:val="21"/>
        </w:rPr>
      </w:pPr>
    </w:p>
    <w:p>
      <w:pPr>
        <w:pStyle w:val="ListParagraph"/>
        <w:numPr>
          <w:ilvl w:val="0"/>
          <w:numId w:val="25"/>
        </w:numPr>
        <w:tabs>
          <w:tab w:pos="397" w:val="left" w:leader="none"/>
        </w:tabs>
        <w:spacing w:line="360" w:lineRule="auto" w:before="0" w:after="0"/>
        <w:ind w:left="102" w:right="115" w:firstLine="0"/>
        <w:jc w:val="both"/>
        <w:rPr>
          <w:sz w:val="24"/>
        </w:rPr>
      </w:pPr>
      <w:r>
        <w:rPr>
          <w:sz w:val="24"/>
        </w:rPr>
        <w:t>Fondo para Impulsar el Desarrollo Regional Sustentable: Para la planeación y desarrollo de proyectos regionales y micro</w:t>
      </w:r>
      <w:r>
        <w:rPr>
          <w:spacing w:val="-13"/>
          <w:sz w:val="24"/>
        </w:rPr>
        <w:t> </w:t>
      </w:r>
      <w:r>
        <w:rPr>
          <w:sz w:val="24"/>
        </w:rPr>
        <w:t>regionales.</w:t>
      </w:r>
    </w:p>
    <w:p>
      <w:pPr>
        <w:pStyle w:val="BodyText"/>
        <w:spacing w:before="3"/>
        <w:rPr>
          <w:sz w:val="21"/>
        </w:rPr>
      </w:pPr>
    </w:p>
    <w:p>
      <w:pPr>
        <w:pStyle w:val="ListParagraph"/>
        <w:numPr>
          <w:ilvl w:val="0"/>
          <w:numId w:val="25"/>
        </w:numPr>
        <w:tabs>
          <w:tab w:pos="440" w:val="left" w:leader="none"/>
        </w:tabs>
        <w:spacing w:line="240" w:lineRule="auto" w:before="0" w:after="0"/>
        <w:ind w:left="440" w:right="0" w:hanging="338"/>
        <w:jc w:val="both"/>
        <w:rPr>
          <w:sz w:val="24"/>
        </w:rPr>
      </w:pPr>
      <w:r>
        <w:rPr>
          <w:sz w:val="24"/>
        </w:rPr>
        <w:t>Fondo  para  la  Atención  de  Grupos  Prioritarios:  Para  atender  a  grupos</w:t>
      </w:r>
      <w:r>
        <w:rPr>
          <w:spacing w:val="59"/>
          <w:sz w:val="24"/>
        </w:rPr>
        <w:t> </w:t>
      </w:r>
      <w:r>
        <w:rPr>
          <w:sz w:val="24"/>
        </w:rPr>
        <w:t>en</w:t>
      </w:r>
    </w:p>
    <w:p>
      <w:pPr>
        <w:spacing w:after="0" w:line="240" w:lineRule="auto"/>
        <w:jc w:val="both"/>
        <w:rPr>
          <w:sz w:val="24"/>
        </w:rPr>
        <w:sectPr>
          <w:footerReference w:type="default" r:id="rId35"/>
          <w:pgSz w:w="12240" w:h="15840"/>
          <w:pgMar w:footer="992" w:header="0" w:top="1360" w:bottom="1180" w:left="1600" w:right="1580"/>
        </w:sectPr>
      </w:pPr>
    </w:p>
    <w:p>
      <w:pPr>
        <w:pStyle w:val="BodyText"/>
        <w:spacing w:line="362" w:lineRule="auto" w:before="54"/>
        <w:ind w:left="102" w:right="120"/>
        <w:jc w:val="both"/>
      </w:pPr>
      <w:r>
        <w:rPr/>
        <w:t>condiciones</w:t>
      </w:r>
      <w:r>
        <w:rPr>
          <w:spacing w:val="-8"/>
        </w:rPr>
        <w:t> </w:t>
      </w:r>
      <w:r>
        <w:rPr/>
        <w:t>de</w:t>
      </w:r>
      <w:r>
        <w:rPr>
          <w:spacing w:val="-7"/>
        </w:rPr>
        <w:t> </w:t>
      </w:r>
      <w:r>
        <w:rPr/>
        <w:t>inequidad,</w:t>
      </w:r>
      <w:r>
        <w:rPr>
          <w:spacing w:val="-9"/>
        </w:rPr>
        <w:t> </w:t>
      </w:r>
      <w:r>
        <w:rPr/>
        <w:t>marginación</w:t>
      </w:r>
      <w:r>
        <w:rPr>
          <w:spacing w:val="-6"/>
        </w:rPr>
        <w:t> </w:t>
      </w:r>
      <w:r>
        <w:rPr/>
        <w:t>o</w:t>
      </w:r>
      <w:r>
        <w:rPr>
          <w:spacing w:val="-5"/>
        </w:rPr>
        <w:t> </w:t>
      </w:r>
      <w:r>
        <w:rPr/>
        <w:t>vulnerables</w:t>
      </w:r>
      <w:r>
        <w:rPr>
          <w:spacing w:val="-7"/>
        </w:rPr>
        <w:t> </w:t>
      </w:r>
      <w:r>
        <w:rPr/>
        <w:t>como</w:t>
      </w:r>
      <w:r>
        <w:rPr>
          <w:spacing w:val="-7"/>
        </w:rPr>
        <w:t> </w:t>
      </w:r>
      <w:r>
        <w:rPr/>
        <w:t>jornaleros,</w:t>
      </w:r>
      <w:r>
        <w:rPr>
          <w:spacing w:val="-5"/>
        </w:rPr>
        <w:t> </w:t>
      </w:r>
      <w:r>
        <w:rPr/>
        <w:t>personas</w:t>
      </w:r>
      <w:r>
        <w:rPr>
          <w:spacing w:val="-10"/>
        </w:rPr>
        <w:t> </w:t>
      </w:r>
      <w:r>
        <w:rPr/>
        <w:t>de la tercera edad y maestros jubilados;</w:t>
      </w:r>
      <w:r>
        <w:rPr>
          <w:spacing w:val="-10"/>
        </w:rPr>
        <w:t> </w:t>
      </w:r>
      <w:r>
        <w:rPr/>
        <w:t>y</w:t>
      </w:r>
    </w:p>
    <w:p>
      <w:pPr>
        <w:pStyle w:val="BodyText"/>
        <w:spacing w:before="10"/>
        <w:rPr>
          <w:sz w:val="20"/>
        </w:rPr>
      </w:pPr>
    </w:p>
    <w:p>
      <w:pPr>
        <w:pStyle w:val="ListParagraph"/>
        <w:numPr>
          <w:ilvl w:val="0"/>
          <w:numId w:val="25"/>
        </w:numPr>
        <w:tabs>
          <w:tab w:pos="378" w:val="left" w:leader="none"/>
        </w:tabs>
        <w:spacing w:line="360" w:lineRule="auto" w:before="0" w:after="0"/>
        <w:ind w:left="102" w:right="124" w:firstLine="0"/>
        <w:jc w:val="both"/>
        <w:rPr>
          <w:sz w:val="24"/>
        </w:rPr>
      </w:pPr>
      <w:r>
        <w:rPr>
          <w:sz w:val="24"/>
        </w:rPr>
        <w:t>Fondo de Coinversión Social y Desarrollo Comunitario: Para financiar proyectos productivos y promover una cultura de</w:t>
      </w:r>
      <w:r>
        <w:rPr>
          <w:spacing w:val="-21"/>
          <w:sz w:val="24"/>
        </w:rPr>
        <w:t> </w:t>
      </w:r>
      <w:r>
        <w:rPr>
          <w:sz w:val="24"/>
        </w:rPr>
        <w:t>corresponsabilidad.</w:t>
      </w:r>
    </w:p>
    <w:p>
      <w:pPr>
        <w:pStyle w:val="BodyText"/>
        <w:spacing w:before="1"/>
        <w:rPr>
          <w:sz w:val="21"/>
        </w:rPr>
      </w:pPr>
    </w:p>
    <w:p>
      <w:pPr>
        <w:pStyle w:val="BodyText"/>
        <w:spacing w:line="360" w:lineRule="auto"/>
        <w:ind w:left="102" w:right="122"/>
        <w:jc w:val="both"/>
      </w:pPr>
      <w:r>
        <w:rPr/>
        <w:t>El Ramo 26 prevalece con el nombre de Desarrollo Regional y Productivo en Regiones de Pobreza, hasta el ejercicio presupuestal de 1999; para el año 2000, desaparece con motivo de la integración paulatina de algunos fondos y recursos al Ramo 33 surgido en 1998; otros programas, son asimilados al presupuesto de la Secretaría de Desarrollo Social.</w:t>
      </w:r>
    </w:p>
    <w:p>
      <w:pPr>
        <w:pStyle w:val="BodyText"/>
        <w:spacing w:before="3"/>
        <w:rPr>
          <w:sz w:val="21"/>
        </w:rPr>
      </w:pPr>
    </w:p>
    <w:p>
      <w:pPr>
        <w:pStyle w:val="BodyText"/>
        <w:spacing w:line="360" w:lineRule="auto"/>
        <w:ind w:left="102" w:right="118"/>
        <w:jc w:val="both"/>
      </w:pPr>
      <w:r>
        <w:rPr/>
        <w:t>Un paso de trascendental importancia en el proceso de descentralización del</w:t>
      </w:r>
      <w:r>
        <w:rPr>
          <w:spacing w:val="-37"/>
        </w:rPr>
        <w:t> </w:t>
      </w:r>
      <w:r>
        <w:rPr/>
        <w:t>gasto público</w:t>
      </w:r>
      <w:r>
        <w:rPr>
          <w:spacing w:val="-8"/>
        </w:rPr>
        <w:t> </w:t>
      </w:r>
      <w:r>
        <w:rPr/>
        <w:t>federal</w:t>
      </w:r>
      <w:r>
        <w:rPr>
          <w:spacing w:val="-7"/>
        </w:rPr>
        <w:t> </w:t>
      </w:r>
      <w:r>
        <w:rPr/>
        <w:t>tuvo</w:t>
      </w:r>
      <w:r>
        <w:rPr>
          <w:spacing w:val="-4"/>
        </w:rPr>
        <w:t> </w:t>
      </w:r>
      <w:r>
        <w:rPr/>
        <w:t>origen</w:t>
      </w:r>
      <w:r>
        <w:rPr>
          <w:spacing w:val="-4"/>
        </w:rPr>
        <w:t> </w:t>
      </w:r>
      <w:r>
        <w:rPr/>
        <w:t>a</w:t>
      </w:r>
      <w:r>
        <w:rPr>
          <w:spacing w:val="-8"/>
        </w:rPr>
        <w:t> </w:t>
      </w:r>
      <w:r>
        <w:rPr/>
        <w:t>finales</w:t>
      </w:r>
      <w:r>
        <w:rPr>
          <w:spacing w:val="-4"/>
        </w:rPr>
        <w:t> </w:t>
      </w:r>
      <w:r>
        <w:rPr/>
        <w:t>de</w:t>
      </w:r>
      <w:r>
        <w:rPr>
          <w:spacing w:val="-6"/>
        </w:rPr>
        <w:t> </w:t>
      </w:r>
      <w:r>
        <w:rPr/>
        <w:t>1997,</w:t>
      </w:r>
      <w:r>
        <w:rPr>
          <w:spacing w:val="-9"/>
        </w:rPr>
        <w:t> </w:t>
      </w:r>
      <w:r>
        <w:rPr/>
        <w:t>con</w:t>
      </w:r>
      <w:r>
        <w:rPr>
          <w:spacing w:val="-6"/>
        </w:rPr>
        <w:t> </w:t>
      </w:r>
      <w:r>
        <w:rPr/>
        <w:t>motivo</w:t>
      </w:r>
      <w:r>
        <w:rPr>
          <w:spacing w:val="-4"/>
        </w:rPr>
        <w:t> </w:t>
      </w:r>
      <w:r>
        <w:rPr/>
        <w:t>de</w:t>
      </w:r>
      <w:r>
        <w:rPr>
          <w:spacing w:val="-6"/>
        </w:rPr>
        <w:t> </w:t>
      </w:r>
      <w:r>
        <w:rPr/>
        <w:t>la</w:t>
      </w:r>
      <w:r>
        <w:rPr>
          <w:spacing w:val="-4"/>
        </w:rPr>
        <w:t> </w:t>
      </w:r>
      <w:r>
        <w:rPr/>
        <w:t>reforma</w:t>
      </w:r>
      <w:r>
        <w:rPr>
          <w:spacing w:val="-6"/>
        </w:rPr>
        <w:t> </w:t>
      </w:r>
      <w:r>
        <w:rPr/>
        <w:t>y</w:t>
      </w:r>
      <w:r>
        <w:rPr>
          <w:spacing w:val="-7"/>
        </w:rPr>
        <w:t> </w:t>
      </w:r>
      <w:r>
        <w:rPr/>
        <w:t>adición</w:t>
      </w:r>
      <w:r>
        <w:rPr>
          <w:spacing w:val="-6"/>
        </w:rPr>
        <w:t> </w:t>
      </w:r>
      <w:r>
        <w:rPr/>
        <w:t>del Capítulo</w:t>
      </w:r>
      <w:r>
        <w:rPr>
          <w:spacing w:val="-11"/>
        </w:rPr>
        <w:t> </w:t>
      </w:r>
      <w:r>
        <w:rPr/>
        <w:t>V</w:t>
      </w:r>
      <w:r>
        <w:rPr>
          <w:spacing w:val="-13"/>
        </w:rPr>
        <w:t> </w:t>
      </w:r>
      <w:r>
        <w:rPr/>
        <w:t>a</w:t>
      </w:r>
      <w:r>
        <w:rPr>
          <w:spacing w:val="-13"/>
        </w:rPr>
        <w:t> </w:t>
      </w:r>
      <w:r>
        <w:rPr/>
        <w:t>la</w:t>
      </w:r>
      <w:r>
        <w:rPr>
          <w:spacing w:val="-13"/>
        </w:rPr>
        <w:t> </w:t>
      </w:r>
      <w:r>
        <w:rPr/>
        <w:t>Ley</w:t>
      </w:r>
      <w:r>
        <w:rPr>
          <w:spacing w:val="-14"/>
        </w:rPr>
        <w:t> </w:t>
      </w:r>
      <w:r>
        <w:rPr/>
        <w:t>de</w:t>
      </w:r>
      <w:r>
        <w:rPr>
          <w:spacing w:val="-13"/>
        </w:rPr>
        <w:t> </w:t>
      </w:r>
      <w:r>
        <w:rPr/>
        <w:t>Coordinación</w:t>
      </w:r>
      <w:r>
        <w:rPr>
          <w:spacing w:val="-11"/>
        </w:rPr>
        <w:t> </w:t>
      </w:r>
      <w:r>
        <w:rPr/>
        <w:t>Fiscal,</w:t>
      </w:r>
      <w:r>
        <w:rPr>
          <w:spacing w:val="-14"/>
        </w:rPr>
        <w:t> </w:t>
      </w:r>
      <w:r>
        <w:rPr/>
        <w:t>que</w:t>
      </w:r>
      <w:r>
        <w:rPr>
          <w:spacing w:val="-11"/>
        </w:rPr>
        <w:t> </w:t>
      </w:r>
      <w:r>
        <w:rPr/>
        <w:t>se</w:t>
      </w:r>
      <w:r>
        <w:rPr>
          <w:spacing w:val="-11"/>
        </w:rPr>
        <w:t> </w:t>
      </w:r>
      <w:r>
        <w:rPr/>
        <w:t>tradujo</w:t>
      </w:r>
      <w:r>
        <w:rPr>
          <w:spacing w:val="-10"/>
        </w:rPr>
        <w:t> </w:t>
      </w:r>
      <w:r>
        <w:rPr/>
        <w:t>en</w:t>
      </w:r>
      <w:r>
        <w:rPr>
          <w:spacing w:val="-11"/>
        </w:rPr>
        <w:t> </w:t>
      </w:r>
      <w:r>
        <w:rPr/>
        <w:t>la</w:t>
      </w:r>
      <w:r>
        <w:rPr>
          <w:spacing w:val="-11"/>
        </w:rPr>
        <w:t> </w:t>
      </w:r>
      <w:r>
        <w:rPr/>
        <w:t>creación</w:t>
      </w:r>
      <w:r>
        <w:rPr>
          <w:spacing w:val="-11"/>
        </w:rPr>
        <w:t> </w:t>
      </w:r>
      <w:r>
        <w:rPr/>
        <w:t>de</w:t>
      </w:r>
      <w:r>
        <w:rPr>
          <w:spacing w:val="-11"/>
        </w:rPr>
        <w:t> </w:t>
      </w:r>
      <w:r>
        <w:rPr/>
        <w:t>la</w:t>
      </w:r>
      <w:r>
        <w:rPr>
          <w:spacing w:val="-13"/>
        </w:rPr>
        <w:t> </w:t>
      </w:r>
      <w:r>
        <w:rPr/>
        <w:t>figura de aportaciones federales para entidades federativas y municipios, lo cual a su vez dio origen a la creación del Ramo 33, incorporado al Presupuesto de Egresos de</w:t>
      </w:r>
      <w:r>
        <w:rPr>
          <w:spacing w:val="-41"/>
        </w:rPr>
        <w:t> </w:t>
      </w:r>
      <w:r>
        <w:rPr/>
        <w:t>la Federación para el ejercicio fiscal de</w:t>
      </w:r>
      <w:r>
        <w:rPr>
          <w:spacing w:val="-14"/>
        </w:rPr>
        <w:t> </w:t>
      </w:r>
      <w:r>
        <w:rPr/>
        <w:t>1998.</w:t>
      </w:r>
    </w:p>
    <w:p>
      <w:pPr>
        <w:pStyle w:val="BodyText"/>
        <w:spacing w:before="4"/>
        <w:rPr>
          <w:sz w:val="21"/>
        </w:rPr>
      </w:pPr>
    </w:p>
    <w:p>
      <w:pPr>
        <w:pStyle w:val="BodyText"/>
        <w:spacing w:line="360" w:lineRule="auto"/>
        <w:ind w:left="102" w:right="114"/>
        <w:jc w:val="both"/>
      </w:pPr>
      <w:r>
        <w:rPr/>
        <w:t>Originalmente el ramo 33 aportaciones federales para Entidades Federativas y Municipios, estaba constituido por cinco fondos: el Fondo de Aportaciones para la Educación</w:t>
      </w:r>
      <w:r>
        <w:rPr>
          <w:spacing w:val="-11"/>
        </w:rPr>
        <w:t> </w:t>
      </w:r>
      <w:r>
        <w:rPr/>
        <w:t>Básica</w:t>
      </w:r>
      <w:r>
        <w:rPr>
          <w:spacing w:val="-11"/>
        </w:rPr>
        <w:t> </w:t>
      </w:r>
      <w:r>
        <w:rPr/>
        <w:t>y</w:t>
      </w:r>
      <w:r>
        <w:rPr>
          <w:spacing w:val="-14"/>
        </w:rPr>
        <w:t> </w:t>
      </w:r>
      <w:r>
        <w:rPr/>
        <w:t>Normal</w:t>
      </w:r>
      <w:r>
        <w:rPr>
          <w:spacing w:val="-12"/>
        </w:rPr>
        <w:t> </w:t>
      </w:r>
      <w:r>
        <w:rPr/>
        <w:t>(FAEB),</w:t>
      </w:r>
      <w:r>
        <w:rPr>
          <w:spacing w:val="-14"/>
        </w:rPr>
        <w:t> </w:t>
      </w:r>
      <w:r>
        <w:rPr/>
        <w:t>el</w:t>
      </w:r>
      <w:r>
        <w:rPr>
          <w:spacing w:val="-12"/>
        </w:rPr>
        <w:t> </w:t>
      </w:r>
      <w:r>
        <w:rPr/>
        <w:t>Fondo</w:t>
      </w:r>
      <w:r>
        <w:rPr>
          <w:spacing w:val="-13"/>
        </w:rPr>
        <w:t> </w:t>
      </w:r>
      <w:r>
        <w:rPr/>
        <w:t>de</w:t>
      </w:r>
      <w:r>
        <w:rPr>
          <w:spacing w:val="-11"/>
        </w:rPr>
        <w:t> </w:t>
      </w:r>
      <w:r>
        <w:rPr/>
        <w:t>Aportaciones</w:t>
      </w:r>
      <w:r>
        <w:rPr>
          <w:spacing w:val="-14"/>
        </w:rPr>
        <w:t> </w:t>
      </w:r>
      <w:r>
        <w:rPr/>
        <w:t>para</w:t>
      </w:r>
      <w:r>
        <w:rPr>
          <w:spacing w:val="-11"/>
        </w:rPr>
        <w:t> </w:t>
      </w:r>
      <w:r>
        <w:rPr/>
        <w:t>los</w:t>
      </w:r>
      <w:r>
        <w:rPr>
          <w:spacing w:val="-12"/>
        </w:rPr>
        <w:t> </w:t>
      </w:r>
      <w:r>
        <w:rPr/>
        <w:t>Servicios</w:t>
      </w:r>
      <w:r>
        <w:rPr>
          <w:spacing w:val="-12"/>
        </w:rPr>
        <w:t> </w:t>
      </w:r>
      <w:r>
        <w:rPr/>
        <w:t>de Salud (FASSA), Fondo de Aportaciones para la Infraestructura Social </w:t>
      </w:r>
      <w:r>
        <w:rPr>
          <w:spacing w:val="2"/>
        </w:rPr>
        <w:t>que </w:t>
      </w:r>
      <w:r>
        <w:rPr/>
        <w:t>a su vez se divide en el Fondo para las entidades federativas y para los municipios, Fondo de Aportaciones para el Fortalecimiento de los Municipios y de las Demarcaciones Territoriales del Distrito Federal (FORTAMUNDF) y el Fondo de Aportaciones Múltiples.</w:t>
      </w:r>
    </w:p>
    <w:p>
      <w:pPr>
        <w:pStyle w:val="BodyText"/>
        <w:spacing w:before="4"/>
        <w:rPr>
          <w:sz w:val="21"/>
        </w:rPr>
      </w:pPr>
    </w:p>
    <w:p>
      <w:pPr>
        <w:pStyle w:val="BodyText"/>
        <w:spacing w:line="360" w:lineRule="auto"/>
        <w:ind w:left="102" w:right="125"/>
        <w:jc w:val="both"/>
      </w:pPr>
      <w:r>
        <w:rPr/>
        <w:t>Crear las condiciones o en su caso proporcionar los recursos para avanzar en la cobertura de servicios sociales, asegurar el desarrollo y mantenimiento de la infraestructura necesaria, garantizar igual calidad aun cuando se diversifiquen los oferentes de esos servicios, mantener la gratuidad, evitar la discriminación, pero también  por  otra  parte,  asegurar  las  contribuciones  de  la  población  para   su</w:t>
      </w:r>
    </w:p>
    <w:p>
      <w:pPr>
        <w:spacing w:after="0" w:line="360" w:lineRule="auto"/>
        <w:jc w:val="both"/>
        <w:sectPr>
          <w:footerReference w:type="default" r:id="rId36"/>
          <w:pgSz w:w="12240" w:h="15840"/>
          <w:pgMar w:footer="992" w:header="0" w:top="1360" w:bottom="1180" w:left="1600" w:right="1580"/>
          <w:pgNumType w:start="81"/>
        </w:sectPr>
      </w:pPr>
    </w:p>
    <w:p>
      <w:pPr>
        <w:pStyle w:val="BodyText"/>
        <w:spacing w:line="360" w:lineRule="auto" w:before="54"/>
        <w:ind w:left="102" w:right="98"/>
        <w:jc w:val="both"/>
      </w:pPr>
      <w:r>
        <w:rPr/>
        <w:t>financiamiento entre otros no es una tarea nada fácil, algunos de estos aspectos citados</w:t>
      </w:r>
      <w:r>
        <w:rPr>
          <w:spacing w:val="-17"/>
        </w:rPr>
        <w:t> </w:t>
      </w:r>
      <w:r>
        <w:rPr/>
        <w:t>pueden</w:t>
      </w:r>
      <w:r>
        <w:rPr>
          <w:spacing w:val="-14"/>
        </w:rPr>
        <w:t> </w:t>
      </w:r>
      <w:r>
        <w:rPr/>
        <w:t>compartirse</w:t>
      </w:r>
      <w:r>
        <w:rPr>
          <w:spacing w:val="-15"/>
        </w:rPr>
        <w:t> </w:t>
      </w:r>
      <w:r>
        <w:rPr/>
        <w:t>con</w:t>
      </w:r>
      <w:r>
        <w:rPr>
          <w:spacing w:val="-16"/>
        </w:rPr>
        <w:t> </w:t>
      </w:r>
      <w:r>
        <w:rPr/>
        <w:t>Estados</w:t>
      </w:r>
      <w:r>
        <w:rPr>
          <w:spacing w:val="-17"/>
        </w:rPr>
        <w:t> </w:t>
      </w:r>
      <w:r>
        <w:rPr/>
        <w:t>y</w:t>
      </w:r>
      <w:r>
        <w:rPr>
          <w:spacing w:val="-17"/>
        </w:rPr>
        <w:t> </w:t>
      </w:r>
      <w:r>
        <w:rPr/>
        <w:t>Municipios.</w:t>
      </w:r>
      <w:r>
        <w:rPr>
          <w:spacing w:val="-14"/>
        </w:rPr>
        <w:t> </w:t>
      </w:r>
      <w:r>
        <w:rPr/>
        <w:t>“Corresponde</w:t>
      </w:r>
      <w:r>
        <w:rPr>
          <w:spacing w:val="-14"/>
        </w:rPr>
        <w:t> </w:t>
      </w:r>
      <w:r>
        <w:rPr/>
        <w:t>a</w:t>
      </w:r>
      <w:r>
        <w:rPr>
          <w:spacing w:val="-16"/>
        </w:rPr>
        <w:t> </w:t>
      </w:r>
      <w:r>
        <w:rPr/>
        <w:t>la</w:t>
      </w:r>
      <w:r>
        <w:rPr>
          <w:spacing w:val="-17"/>
        </w:rPr>
        <w:t> </w:t>
      </w:r>
      <w:r>
        <w:rPr/>
        <w:t>federación como la representación comprensiva del Estado Nacional, establecer las normas y los</w:t>
      </w:r>
      <w:r>
        <w:rPr>
          <w:spacing w:val="-11"/>
        </w:rPr>
        <w:t> </w:t>
      </w:r>
      <w:r>
        <w:rPr/>
        <w:t>marcos</w:t>
      </w:r>
      <w:r>
        <w:rPr>
          <w:spacing w:val="-11"/>
        </w:rPr>
        <w:t> </w:t>
      </w:r>
      <w:r>
        <w:rPr/>
        <w:t>jurídicos</w:t>
      </w:r>
      <w:r>
        <w:rPr>
          <w:spacing w:val="-11"/>
        </w:rPr>
        <w:t> </w:t>
      </w:r>
      <w:r>
        <w:rPr/>
        <w:t>que</w:t>
      </w:r>
      <w:r>
        <w:rPr>
          <w:spacing w:val="-11"/>
        </w:rPr>
        <w:t> </w:t>
      </w:r>
      <w:r>
        <w:rPr/>
        <w:t>igualen</w:t>
      </w:r>
      <w:r>
        <w:rPr>
          <w:spacing w:val="-13"/>
        </w:rPr>
        <w:t> </w:t>
      </w:r>
      <w:r>
        <w:rPr/>
        <w:t>a</w:t>
      </w:r>
      <w:r>
        <w:rPr>
          <w:spacing w:val="-13"/>
        </w:rPr>
        <w:t> </w:t>
      </w:r>
      <w:r>
        <w:rPr/>
        <w:t>todos</w:t>
      </w:r>
      <w:r>
        <w:rPr>
          <w:spacing w:val="-12"/>
        </w:rPr>
        <w:t> </w:t>
      </w:r>
      <w:r>
        <w:rPr/>
        <w:t>los</w:t>
      </w:r>
      <w:r>
        <w:rPr>
          <w:spacing w:val="-13"/>
        </w:rPr>
        <w:t> </w:t>
      </w:r>
      <w:r>
        <w:rPr/>
        <w:t>mexicanos</w:t>
      </w:r>
      <w:r>
        <w:rPr>
          <w:spacing w:val="-12"/>
        </w:rPr>
        <w:t> </w:t>
      </w:r>
      <w:r>
        <w:rPr/>
        <w:t>en</w:t>
      </w:r>
      <w:r>
        <w:rPr>
          <w:spacing w:val="-13"/>
        </w:rPr>
        <w:t> </w:t>
      </w:r>
      <w:r>
        <w:rPr/>
        <w:t>su</w:t>
      </w:r>
      <w:r>
        <w:rPr>
          <w:spacing w:val="-13"/>
        </w:rPr>
        <w:t> </w:t>
      </w:r>
      <w:r>
        <w:rPr/>
        <w:t>acceso</w:t>
      </w:r>
      <w:r>
        <w:rPr>
          <w:spacing w:val="-13"/>
        </w:rPr>
        <w:t> </w:t>
      </w:r>
      <w:r>
        <w:rPr/>
        <w:t>a</w:t>
      </w:r>
      <w:r>
        <w:rPr>
          <w:spacing w:val="-11"/>
        </w:rPr>
        <w:t> </w:t>
      </w:r>
      <w:r>
        <w:rPr/>
        <w:t>los</w:t>
      </w:r>
      <w:r>
        <w:rPr>
          <w:spacing w:val="-13"/>
        </w:rPr>
        <w:t> </w:t>
      </w:r>
      <w:r>
        <w:rPr/>
        <w:t>derechos sociales</w:t>
      </w:r>
      <w:r>
        <w:rPr>
          <w:spacing w:val="-17"/>
        </w:rPr>
        <w:t> </w:t>
      </w:r>
      <w:r>
        <w:rPr/>
        <w:t>plasmados</w:t>
      </w:r>
      <w:r>
        <w:rPr>
          <w:spacing w:val="-15"/>
        </w:rPr>
        <w:t> </w:t>
      </w:r>
      <w:r>
        <w:rPr/>
        <w:t>en</w:t>
      </w:r>
      <w:r>
        <w:rPr>
          <w:spacing w:val="-16"/>
        </w:rPr>
        <w:t> </w:t>
      </w:r>
      <w:r>
        <w:rPr/>
        <w:t>la</w:t>
      </w:r>
      <w:r>
        <w:rPr>
          <w:spacing w:val="-14"/>
        </w:rPr>
        <w:t> </w:t>
      </w:r>
      <w:r>
        <w:rPr/>
        <w:t>Constitución:</w:t>
      </w:r>
      <w:r>
        <w:rPr>
          <w:spacing w:val="-17"/>
        </w:rPr>
        <w:t> </w:t>
      </w:r>
      <w:r>
        <w:rPr/>
        <w:t>educación,</w:t>
      </w:r>
      <w:r>
        <w:rPr>
          <w:spacing w:val="-14"/>
        </w:rPr>
        <w:t> </w:t>
      </w:r>
      <w:r>
        <w:rPr/>
        <w:t>salud,</w:t>
      </w:r>
      <w:r>
        <w:rPr>
          <w:spacing w:val="-17"/>
        </w:rPr>
        <w:t> </w:t>
      </w:r>
      <w:r>
        <w:rPr/>
        <w:t>seguridad</w:t>
      </w:r>
      <w:r>
        <w:rPr>
          <w:spacing w:val="-17"/>
        </w:rPr>
        <w:t> </w:t>
      </w:r>
      <w:r>
        <w:rPr/>
        <w:t>social,</w:t>
      </w:r>
      <w:r>
        <w:rPr>
          <w:spacing w:val="-14"/>
        </w:rPr>
        <w:t> </w:t>
      </w:r>
      <w:r>
        <w:rPr/>
        <w:t>vivienda, al trabajo y a condiciones adecuadas de trabajo” (Jusidman,</w:t>
      </w:r>
      <w:r>
        <w:rPr>
          <w:spacing w:val="-26"/>
        </w:rPr>
        <w:t> </w:t>
      </w:r>
      <w:r>
        <w:rPr/>
        <w:t>2006:202).</w:t>
      </w:r>
    </w:p>
    <w:p>
      <w:pPr>
        <w:pStyle w:val="BodyText"/>
        <w:spacing w:line="360" w:lineRule="auto" w:before="204"/>
        <w:ind w:left="102" w:right="98"/>
        <w:jc w:val="both"/>
      </w:pPr>
      <w:r>
        <w:rPr/>
        <w:t>El ramo 33 es una asignación prevista en el presupuesto de egresos de la Federación,</w:t>
      </w:r>
      <w:r>
        <w:rPr>
          <w:spacing w:val="-6"/>
        </w:rPr>
        <w:t> </w:t>
      </w:r>
      <w:r>
        <w:rPr/>
        <w:t>que</w:t>
      </w:r>
      <w:r>
        <w:rPr>
          <w:spacing w:val="-6"/>
        </w:rPr>
        <w:t> </w:t>
      </w:r>
      <w:r>
        <w:rPr/>
        <w:t>se</w:t>
      </w:r>
      <w:r>
        <w:rPr>
          <w:spacing w:val="-6"/>
        </w:rPr>
        <w:t> </w:t>
      </w:r>
      <w:r>
        <w:rPr/>
        <w:t>transfiere</w:t>
      </w:r>
      <w:r>
        <w:rPr>
          <w:spacing w:val="-9"/>
        </w:rPr>
        <w:t> </w:t>
      </w:r>
      <w:r>
        <w:rPr/>
        <w:t>a</w:t>
      </w:r>
      <w:r>
        <w:rPr>
          <w:spacing w:val="-6"/>
        </w:rPr>
        <w:t> </w:t>
      </w:r>
      <w:r>
        <w:rPr/>
        <w:t>las</w:t>
      </w:r>
      <w:r>
        <w:rPr>
          <w:spacing w:val="-7"/>
        </w:rPr>
        <w:t> </w:t>
      </w:r>
      <w:r>
        <w:rPr/>
        <w:t>haciendas</w:t>
      </w:r>
      <w:r>
        <w:rPr>
          <w:spacing w:val="-9"/>
        </w:rPr>
        <w:t> </w:t>
      </w:r>
      <w:r>
        <w:rPr/>
        <w:t>de</w:t>
      </w:r>
      <w:r>
        <w:rPr>
          <w:spacing w:val="-8"/>
        </w:rPr>
        <w:t> </w:t>
      </w:r>
      <w:r>
        <w:rPr/>
        <w:t>los</w:t>
      </w:r>
      <w:r>
        <w:rPr>
          <w:spacing w:val="-9"/>
        </w:rPr>
        <w:t> </w:t>
      </w:r>
      <w:r>
        <w:rPr/>
        <w:t>municipios</w:t>
      </w:r>
      <w:r>
        <w:rPr>
          <w:spacing w:val="-9"/>
        </w:rPr>
        <w:t> </w:t>
      </w:r>
      <w:r>
        <w:rPr/>
        <w:t>para</w:t>
      </w:r>
      <w:r>
        <w:rPr>
          <w:spacing w:val="-9"/>
        </w:rPr>
        <w:t> </w:t>
      </w:r>
      <w:r>
        <w:rPr/>
        <w:t>que</w:t>
      </w:r>
      <w:r>
        <w:rPr>
          <w:spacing w:val="-6"/>
        </w:rPr>
        <w:t> </w:t>
      </w:r>
      <w:r>
        <w:rPr/>
        <w:t>se</w:t>
      </w:r>
      <w:r>
        <w:rPr>
          <w:spacing w:val="-8"/>
        </w:rPr>
        <w:t> </w:t>
      </w:r>
      <w:r>
        <w:rPr/>
        <w:t>utilicen en la consecución de los objetivos que fija la Ley de Coordinación Fiscal. Su base constitucional</w:t>
      </w:r>
      <w:r>
        <w:rPr>
          <w:spacing w:val="-16"/>
        </w:rPr>
        <w:t> </w:t>
      </w:r>
      <w:r>
        <w:rPr/>
        <w:t>federal</w:t>
      </w:r>
      <w:r>
        <w:rPr>
          <w:spacing w:val="-13"/>
        </w:rPr>
        <w:t> </w:t>
      </w:r>
      <w:r>
        <w:rPr/>
        <w:t>está</w:t>
      </w:r>
      <w:r>
        <w:rPr>
          <w:spacing w:val="-12"/>
        </w:rPr>
        <w:t> </w:t>
      </w:r>
      <w:r>
        <w:rPr/>
        <w:t>en</w:t>
      </w:r>
      <w:r>
        <w:rPr>
          <w:spacing w:val="-12"/>
        </w:rPr>
        <w:t> </w:t>
      </w:r>
      <w:r>
        <w:rPr/>
        <w:t>los</w:t>
      </w:r>
      <w:r>
        <w:rPr>
          <w:spacing w:val="-12"/>
        </w:rPr>
        <w:t> </w:t>
      </w:r>
      <w:r>
        <w:rPr/>
        <w:t>artículos</w:t>
      </w:r>
      <w:r>
        <w:rPr>
          <w:spacing w:val="-12"/>
        </w:rPr>
        <w:t> </w:t>
      </w:r>
      <w:r>
        <w:rPr/>
        <w:t>25</w:t>
      </w:r>
      <w:r>
        <w:rPr>
          <w:spacing w:val="-15"/>
        </w:rPr>
        <w:t> </w:t>
      </w:r>
      <w:r>
        <w:rPr/>
        <w:t>y</w:t>
      </w:r>
      <w:r>
        <w:rPr>
          <w:spacing w:val="-15"/>
        </w:rPr>
        <w:t> </w:t>
      </w:r>
      <w:r>
        <w:rPr/>
        <w:t>26,</w:t>
      </w:r>
      <w:r>
        <w:rPr>
          <w:spacing w:val="-12"/>
        </w:rPr>
        <w:t> </w:t>
      </w:r>
      <w:r>
        <w:rPr/>
        <w:t>relativos</w:t>
      </w:r>
      <w:r>
        <w:rPr>
          <w:spacing w:val="-13"/>
        </w:rPr>
        <w:t> </w:t>
      </w:r>
      <w:r>
        <w:rPr/>
        <w:t>a</w:t>
      </w:r>
      <w:r>
        <w:rPr>
          <w:spacing w:val="-12"/>
        </w:rPr>
        <w:t> </w:t>
      </w:r>
      <w:r>
        <w:rPr/>
        <w:t>la</w:t>
      </w:r>
      <w:r>
        <w:rPr>
          <w:spacing w:val="-12"/>
        </w:rPr>
        <w:t> </w:t>
      </w:r>
      <w:r>
        <w:rPr/>
        <w:t>planeación</w:t>
      </w:r>
      <w:r>
        <w:rPr>
          <w:spacing w:val="-12"/>
        </w:rPr>
        <w:t> </w:t>
      </w:r>
      <w:r>
        <w:rPr/>
        <w:t>nacional como instrumento rector de la vida económica, social, política y cultural del estado mexicano. Las aportaciones federales del ramo 33 se integran por los fondos siguientes:</w:t>
      </w:r>
    </w:p>
    <w:p>
      <w:pPr>
        <w:pStyle w:val="BodyText"/>
        <w:spacing w:before="1"/>
        <w:rPr>
          <w:sz w:val="21"/>
        </w:rPr>
      </w:pPr>
    </w:p>
    <w:p>
      <w:pPr>
        <w:pStyle w:val="BodyText"/>
        <w:spacing w:line="568" w:lineRule="auto"/>
        <w:ind w:left="102" w:right="1127"/>
      </w:pPr>
      <w:r>
        <w:rPr/>
        <w:t>1.- Fondo de Aportaciones para la Educación Básica y Normal (FAEB). 2.- Fondo de Aportaciones para los Servicios de Salud (FASSA).</w:t>
      </w:r>
    </w:p>
    <w:p>
      <w:pPr>
        <w:pStyle w:val="BodyText"/>
        <w:spacing w:before="10"/>
        <w:ind w:left="169"/>
        <w:jc w:val="both"/>
      </w:pPr>
      <w:r>
        <w:rPr/>
        <w:t>3.- Fondo de Aportaciones para la Infraestructura Social (FAIS).</w:t>
      </w:r>
    </w:p>
    <w:p>
      <w:pPr>
        <w:pStyle w:val="BodyText"/>
        <w:spacing w:before="11"/>
        <w:rPr>
          <w:sz w:val="32"/>
        </w:rPr>
      </w:pPr>
    </w:p>
    <w:p>
      <w:pPr>
        <w:pStyle w:val="ListParagraph"/>
        <w:numPr>
          <w:ilvl w:val="1"/>
          <w:numId w:val="25"/>
        </w:numPr>
        <w:tabs>
          <w:tab w:pos="1542" w:val="left" w:leader="none"/>
        </w:tabs>
        <w:spacing w:line="240" w:lineRule="auto" w:before="0" w:after="0"/>
        <w:ind w:left="1542" w:right="0" w:hanging="360"/>
        <w:jc w:val="left"/>
        <w:rPr>
          <w:sz w:val="24"/>
        </w:rPr>
      </w:pPr>
      <w:r>
        <w:rPr>
          <w:sz w:val="24"/>
        </w:rPr>
        <w:t>Fondo de Aportaciones para la Infraestructura Social Estatal</w:t>
      </w:r>
      <w:r>
        <w:rPr>
          <w:spacing w:val="-23"/>
          <w:sz w:val="24"/>
        </w:rPr>
        <w:t> </w:t>
      </w:r>
      <w:r>
        <w:rPr>
          <w:sz w:val="24"/>
        </w:rPr>
        <w:t>(FISE).</w:t>
      </w:r>
    </w:p>
    <w:p>
      <w:pPr>
        <w:pStyle w:val="ListParagraph"/>
        <w:numPr>
          <w:ilvl w:val="1"/>
          <w:numId w:val="25"/>
        </w:numPr>
        <w:tabs>
          <w:tab w:pos="1542" w:val="left" w:leader="none"/>
        </w:tabs>
        <w:spacing w:line="360" w:lineRule="auto" w:before="137" w:after="0"/>
        <w:ind w:left="1542" w:right="101" w:hanging="360"/>
        <w:jc w:val="left"/>
        <w:rPr>
          <w:sz w:val="24"/>
        </w:rPr>
      </w:pPr>
      <w:r>
        <w:rPr>
          <w:sz w:val="24"/>
        </w:rPr>
        <w:t>Fondo de Aportaciones para la Infraestructura Social Municipal (FISM).</w:t>
      </w:r>
    </w:p>
    <w:p>
      <w:pPr>
        <w:pStyle w:val="BodyText"/>
        <w:spacing w:before="3"/>
        <w:rPr>
          <w:sz w:val="21"/>
        </w:rPr>
      </w:pPr>
    </w:p>
    <w:p>
      <w:pPr>
        <w:pStyle w:val="BodyText"/>
        <w:spacing w:line="360" w:lineRule="auto"/>
        <w:ind w:left="102" w:right="98"/>
        <w:jc w:val="both"/>
      </w:pPr>
      <w:r>
        <w:rPr/>
        <w:t>4.- Fondo de Aportaciones para el Fortalecimiento de los Municipios y de las Demarcaciones Territoriales del Distrito Federal (FORTAMUN-DF).</w:t>
      </w:r>
    </w:p>
    <w:p>
      <w:pPr>
        <w:pStyle w:val="BodyText"/>
        <w:spacing w:before="4"/>
        <w:rPr>
          <w:sz w:val="21"/>
        </w:rPr>
      </w:pPr>
    </w:p>
    <w:p>
      <w:pPr>
        <w:pStyle w:val="BodyText"/>
        <w:ind w:left="102"/>
        <w:jc w:val="both"/>
      </w:pPr>
      <w:r>
        <w:rPr/>
        <w:t>5.- Fondo de Aportaciones Múltiples (FAM): a) Asistencia Social.</w:t>
      </w:r>
    </w:p>
    <w:p>
      <w:pPr>
        <w:pStyle w:val="BodyText"/>
        <w:spacing w:before="8"/>
        <w:rPr>
          <w:sz w:val="32"/>
        </w:rPr>
      </w:pPr>
    </w:p>
    <w:p>
      <w:pPr>
        <w:pStyle w:val="BodyText"/>
        <w:spacing w:before="1"/>
        <w:ind w:left="102"/>
        <w:jc w:val="both"/>
      </w:pPr>
      <w:r>
        <w:rPr/>
        <w:t>6.- Fondo de Aportaciones para la Educación Tecnológica y de Adultos (FAETA):</w:t>
      </w:r>
    </w:p>
    <w:p>
      <w:pPr>
        <w:pStyle w:val="BodyText"/>
        <w:spacing w:before="11"/>
        <w:rPr>
          <w:sz w:val="32"/>
        </w:rPr>
      </w:pPr>
    </w:p>
    <w:p>
      <w:pPr>
        <w:pStyle w:val="BodyText"/>
        <w:spacing w:line="360" w:lineRule="auto"/>
        <w:ind w:left="102" w:right="103"/>
        <w:jc w:val="both"/>
      </w:pPr>
      <w:r>
        <w:rPr/>
        <w:t>7.- Fondo de Aportaciones para la Seguridad Pública de los Estados y del Distrito Federal (FASP).</w:t>
      </w:r>
    </w:p>
    <w:p>
      <w:pPr>
        <w:pStyle w:val="BodyText"/>
        <w:spacing w:before="3"/>
        <w:rPr>
          <w:sz w:val="21"/>
        </w:rPr>
      </w:pPr>
    </w:p>
    <w:p>
      <w:pPr>
        <w:pStyle w:val="BodyText"/>
        <w:ind w:left="102"/>
        <w:jc w:val="both"/>
      </w:pPr>
      <w:r>
        <w:rPr/>
        <w:t>8.- Fondo de Aportaciones para el Fortalecimiento de las Entidades Federativas</w:t>
      </w:r>
    </w:p>
    <w:p>
      <w:pPr>
        <w:spacing w:after="0"/>
        <w:jc w:val="both"/>
        <w:sectPr>
          <w:pgSz w:w="12240" w:h="15840"/>
          <w:pgMar w:header="0" w:footer="992" w:top="1360" w:bottom="1180" w:left="1600" w:right="1600"/>
        </w:sectPr>
      </w:pPr>
    </w:p>
    <w:p>
      <w:pPr>
        <w:pStyle w:val="BodyText"/>
        <w:spacing w:before="54"/>
        <w:ind w:left="102"/>
        <w:jc w:val="both"/>
      </w:pPr>
      <w:r>
        <w:rPr/>
        <w:t>(FAFEF).</w:t>
      </w:r>
    </w:p>
    <w:p>
      <w:pPr>
        <w:pStyle w:val="BodyText"/>
        <w:rPr>
          <w:sz w:val="33"/>
        </w:rPr>
      </w:pPr>
    </w:p>
    <w:p>
      <w:pPr>
        <w:pStyle w:val="BodyText"/>
        <w:spacing w:line="360" w:lineRule="auto"/>
        <w:ind w:left="102" w:right="100"/>
        <w:jc w:val="both"/>
      </w:pPr>
      <w:r>
        <w:rPr/>
        <w:t>Los fondos I, II, III, V, VI, VII y VIII son administrados directamente por las dependencias del Ejecutivo Estatal. Los fondos III y IV son distribuidos por la Federación a los Estados, y por éstos a los municipios quienes los administran y ejercen conforme a sus propias leyes, y se destinan específicamente a los fines establecidos en la Ley de Coordinación Fiscal.</w:t>
      </w:r>
    </w:p>
    <w:p>
      <w:pPr>
        <w:spacing w:after="0" w:line="360" w:lineRule="auto"/>
        <w:jc w:val="both"/>
        <w:sectPr>
          <w:pgSz w:w="12240" w:h="15840"/>
          <w:pgMar w:header="0" w:footer="992" w:top="1360" w:bottom="1180" w:left="1600" w:right="1600"/>
        </w:sectPr>
      </w:pPr>
    </w:p>
    <w:p>
      <w:pPr>
        <w:pStyle w:val="Heading1"/>
        <w:spacing w:before="52"/>
        <w:ind w:right="747"/>
        <w:jc w:val="center"/>
      </w:pPr>
      <w:bookmarkStart w:name="_TOC_250026" w:id="26"/>
      <w:bookmarkEnd w:id="26"/>
      <w:r>
        <w:rPr/>
        <w:t>Capítulo III</w:t>
      </w:r>
    </w:p>
    <w:p>
      <w:pPr>
        <w:pStyle w:val="BodyText"/>
        <w:spacing w:before="10"/>
        <w:rPr>
          <w:b/>
          <w:sz w:val="41"/>
        </w:rPr>
      </w:pPr>
    </w:p>
    <w:p>
      <w:pPr>
        <w:pStyle w:val="Heading1"/>
        <w:spacing w:before="1"/>
        <w:ind w:right="755"/>
        <w:jc w:val="center"/>
      </w:pPr>
      <w:bookmarkStart w:name="_TOC_250025" w:id="27"/>
      <w:bookmarkEnd w:id="27"/>
      <w:r>
        <w:rPr/>
        <w:t>El Municipio base de un Federalismo y de Política Social</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line="360" w:lineRule="auto" w:before="229"/>
        <w:ind w:left="102" w:right="116"/>
        <w:jc w:val="both"/>
      </w:pPr>
      <w:r>
        <w:rPr/>
        <w:t>Al</w:t>
      </w:r>
      <w:r>
        <w:rPr>
          <w:spacing w:val="-19"/>
        </w:rPr>
        <w:t> </w:t>
      </w:r>
      <w:r>
        <w:rPr/>
        <w:t>tratar</w:t>
      </w:r>
      <w:r>
        <w:rPr>
          <w:spacing w:val="-19"/>
        </w:rPr>
        <w:t> </w:t>
      </w:r>
      <w:r>
        <w:rPr/>
        <w:t>el</w:t>
      </w:r>
      <w:r>
        <w:rPr>
          <w:spacing w:val="-19"/>
        </w:rPr>
        <w:t> </w:t>
      </w:r>
      <w:r>
        <w:rPr/>
        <w:t>tema</w:t>
      </w:r>
      <w:r>
        <w:rPr>
          <w:spacing w:val="-18"/>
        </w:rPr>
        <w:t> </w:t>
      </w:r>
      <w:r>
        <w:rPr/>
        <w:t>de</w:t>
      </w:r>
      <w:r>
        <w:rPr>
          <w:spacing w:val="-18"/>
        </w:rPr>
        <w:t> </w:t>
      </w:r>
      <w:r>
        <w:rPr/>
        <w:t>política</w:t>
      </w:r>
      <w:r>
        <w:rPr>
          <w:spacing w:val="-18"/>
        </w:rPr>
        <w:t> </w:t>
      </w:r>
      <w:r>
        <w:rPr/>
        <w:t>social</w:t>
      </w:r>
      <w:r>
        <w:rPr>
          <w:spacing w:val="-19"/>
        </w:rPr>
        <w:t> </w:t>
      </w:r>
      <w:r>
        <w:rPr/>
        <w:t>se</w:t>
      </w:r>
      <w:r>
        <w:rPr>
          <w:spacing w:val="-18"/>
        </w:rPr>
        <w:t> </w:t>
      </w:r>
      <w:r>
        <w:rPr/>
        <w:t>deben</w:t>
      </w:r>
      <w:r>
        <w:rPr>
          <w:spacing w:val="-18"/>
        </w:rPr>
        <w:t> </w:t>
      </w:r>
      <w:r>
        <w:rPr/>
        <w:t>tocar</w:t>
      </w:r>
      <w:r>
        <w:rPr>
          <w:spacing w:val="-19"/>
        </w:rPr>
        <w:t> </w:t>
      </w:r>
      <w:r>
        <w:rPr/>
        <w:t>tres</w:t>
      </w:r>
      <w:r>
        <w:rPr>
          <w:spacing w:val="-19"/>
        </w:rPr>
        <w:t> </w:t>
      </w:r>
      <w:r>
        <w:rPr/>
        <w:t>aspectos</w:t>
      </w:r>
      <w:r>
        <w:rPr>
          <w:spacing w:val="-19"/>
        </w:rPr>
        <w:t> </w:t>
      </w:r>
      <w:r>
        <w:rPr/>
        <w:t>que</w:t>
      </w:r>
      <w:r>
        <w:rPr>
          <w:spacing w:val="-18"/>
        </w:rPr>
        <w:t> </w:t>
      </w:r>
      <w:r>
        <w:rPr/>
        <w:t>retoma</w:t>
      </w:r>
      <w:r>
        <w:rPr>
          <w:spacing w:val="-18"/>
        </w:rPr>
        <w:t> </w:t>
      </w:r>
      <w:r>
        <w:rPr/>
        <w:t>Jusidman (2006)</w:t>
      </w:r>
      <w:r>
        <w:rPr>
          <w:spacing w:val="-10"/>
        </w:rPr>
        <w:t> </w:t>
      </w:r>
      <w:r>
        <w:rPr/>
        <w:t>primero</w:t>
      </w:r>
      <w:r>
        <w:rPr>
          <w:spacing w:val="-9"/>
        </w:rPr>
        <w:t> </w:t>
      </w:r>
      <w:r>
        <w:rPr/>
        <w:t>hay</w:t>
      </w:r>
      <w:r>
        <w:rPr>
          <w:spacing w:val="-9"/>
        </w:rPr>
        <w:t> </w:t>
      </w:r>
      <w:r>
        <w:rPr/>
        <w:t>que</w:t>
      </w:r>
      <w:r>
        <w:rPr>
          <w:spacing w:val="-6"/>
        </w:rPr>
        <w:t> </w:t>
      </w:r>
      <w:r>
        <w:rPr/>
        <w:t>ver</w:t>
      </w:r>
      <w:r>
        <w:rPr>
          <w:spacing w:val="-7"/>
        </w:rPr>
        <w:t> </w:t>
      </w:r>
      <w:r>
        <w:rPr/>
        <w:t>a</w:t>
      </w:r>
      <w:r>
        <w:rPr>
          <w:spacing w:val="-8"/>
        </w:rPr>
        <w:t> </w:t>
      </w:r>
      <w:r>
        <w:rPr/>
        <w:t>la</w:t>
      </w:r>
      <w:r>
        <w:rPr>
          <w:spacing w:val="-9"/>
        </w:rPr>
        <w:t> </w:t>
      </w:r>
      <w:r>
        <w:rPr/>
        <w:t>política</w:t>
      </w:r>
      <w:r>
        <w:rPr>
          <w:spacing w:val="-6"/>
        </w:rPr>
        <w:t> </w:t>
      </w:r>
      <w:r>
        <w:rPr/>
        <w:t>social</w:t>
      </w:r>
      <w:r>
        <w:rPr>
          <w:spacing w:val="-7"/>
        </w:rPr>
        <w:t> </w:t>
      </w:r>
      <w:r>
        <w:rPr/>
        <w:t>como</w:t>
      </w:r>
      <w:r>
        <w:rPr>
          <w:spacing w:val="-6"/>
        </w:rPr>
        <w:t> </w:t>
      </w:r>
      <w:r>
        <w:rPr/>
        <w:t>instrumento</w:t>
      </w:r>
      <w:r>
        <w:rPr>
          <w:spacing w:val="-8"/>
        </w:rPr>
        <w:t> </w:t>
      </w:r>
      <w:r>
        <w:rPr/>
        <w:t>de</w:t>
      </w:r>
      <w:r>
        <w:rPr>
          <w:spacing w:val="-11"/>
        </w:rPr>
        <w:t> </w:t>
      </w:r>
      <w:r>
        <w:rPr/>
        <w:t>construcción</w:t>
      </w:r>
      <w:r>
        <w:rPr>
          <w:spacing w:val="-8"/>
        </w:rPr>
        <w:t> </w:t>
      </w:r>
      <w:r>
        <w:rPr/>
        <w:t>de ciudadanía social, segundo como programas de combate a la pobreza y</w:t>
      </w:r>
      <w:r>
        <w:rPr>
          <w:spacing w:val="-35"/>
        </w:rPr>
        <w:t> </w:t>
      </w:r>
      <w:r>
        <w:rPr/>
        <w:t>finalmente como</w:t>
      </w:r>
      <w:r>
        <w:rPr>
          <w:spacing w:val="-18"/>
        </w:rPr>
        <w:t> </w:t>
      </w:r>
      <w:r>
        <w:rPr/>
        <w:t>política</w:t>
      </w:r>
      <w:r>
        <w:rPr>
          <w:spacing w:val="-16"/>
        </w:rPr>
        <w:t> </w:t>
      </w:r>
      <w:r>
        <w:rPr/>
        <w:t>social</w:t>
      </w:r>
      <w:r>
        <w:rPr>
          <w:spacing w:val="-16"/>
        </w:rPr>
        <w:t> </w:t>
      </w:r>
      <w:r>
        <w:rPr/>
        <w:t>al</w:t>
      </w:r>
      <w:r>
        <w:rPr>
          <w:spacing w:val="-19"/>
        </w:rPr>
        <w:t> </w:t>
      </w:r>
      <w:r>
        <w:rPr/>
        <w:t>nivel</w:t>
      </w:r>
      <w:r>
        <w:rPr>
          <w:spacing w:val="-17"/>
        </w:rPr>
        <w:t> </w:t>
      </w:r>
      <w:r>
        <w:rPr/>
        <w:t>municipal.</w:t>
      </w:r>
      <w:r>
        <w:rPr>
          <w:spacing w:val="-19"/>
        </w:rPr>
        <w:t> </w:t>
      </w:r>
      <w:r>
        <w:rPr/>
        <w:t>Al</w:t>
      </w:r>
      <w:r>
        <w:rPr>
          <w:spacing w:val="-17"/>
        </w:rPr>
        <w:t> </w:t>
      </w:r>
      <w:r>
        <w:rPr/>
        <w:t>tratar</w:t>
      </w:r>
      <w:r>
        <w:rPr>
          <w:spacing w:val="-17"/>
        </w:rPr>
        <w:t> </w:t>
      </w:r>
      <w:r>
        <w:rPr/>
        <w:t>de</w:t>
      </w:r>
      <w:r>
        <w:rPr>
          <w:spacing w:val="-18"/>
        </w:rPr>
        <w:t> </w:t>
      </w:r>
      <w:r>
        <w:rPr/>
        <w:t>dirimir</w:t>
      </w:r>
      <w:r>
        <w:rPr>
          <w:spacing w:val="-18"/>
        </w:rPr>
        <w:t> </w:t>
      </w:r>
      <w:r>
        <w:rPr/>
        <w:t>qué</w:t>
      </w:r>
      <w:r>
        <w:rPr>
          <w:spacing w:val="-16"/>
        </w:rPr>
        <w:t> </w:t>
      </w:r>
      <w:r>
        <w:rPr/>
        <w:t>ámbitos</w:t>
      </w:r>
      <w:r>
        <w:rPr>
          <w:spacing w:val="-19"/>
        </w:rPr>
        <w:t> </w:t>
      </w:r>
      <w:r>
        <w:rPr/>
        <w:t>de</w:t>
      </w:r>
      <w:r>
        <w:rPr>
          <w:spacing w:val="-16"/>
        </w:rPr>
        <w:t> </w:t>
      </w:r>
      <w:r>
        <w:rPr/>
        <w:t>las</w:t>
      </w:r>
      <w:r>
        <w:rPr>
          <w:spacing w:val="-16"/>
        </w:rPr>
        <w:t> </w:t>
      </w:r>
      <w:r>
        <w:rPr/>
        <w:t>políticas sociales deberían ser responsabilidad federal, estatal o municipal es importante establecer una diferencia cuando se parte de una concepción de políticas sociales dirigidas</w:t>
      </w:r>
      <w:r>
        <w:rPr>
          <w:spacing w:val="-4"/>
        </w:rPr>
        <w:t> </w:t>
      </w:r>
      <w:r>
        <w:rPr/>
        <w:t>a</w:t>
      </w:r>
      <w:r>
        <w:rPr>
          <w:spacing w:val="-4"/>
        </w:rPr>
        <w:t> </w:t>
      </w:r>
      <w:r>
        <w:rPr/>
        <w:t>los</w:t>
      </w:r>
      <w:r>
        <w:rPr>
          <w:spacing w:val="-4"/>
        </w:rPr>
        <w:t> </w:t>
      </w:r>
      <w:r>
        <w:rPr/>
        <w:t>derechos</w:t>
      </w:r>
      <w:r>
        <w:rPr>
          <w:spacing w:val="-4"/>
        </w:rPr>
        <w:t> </w:t>
      </w:r>
      <w:r>
        <w:rPr/>
        <w:t>sociales</w:t>
      </w:r>
      <w:r>
        <w:rPr>
          <w:spacing w:val="-4"/>
        </w:rPr>
        <w:t> </w:t>
      </w:r>
      <w:r>
        <w:rPr/>
        <w:t>de</w:t>
      </w:r>
      <w:r>
        <w:rPr>
          <w:spacing w:val="-4"/>
        </w:rPr>
        <w:t> </w:t>
      </w:r>
      <w:r>
        <w:rPr/>
        <w:t>la</w:t>
      </w:r>
      <w:r>
        <w:rPr>
          <w:spacing w:val="-4"/>
        </w:rPr>
        <w:t> </w:t>
      </w:r>
      <w:r>
        <w:rPr/>
        <w:t>población</w:t>
      </w:r>
      <w:r>
        <w:rPr>
          <w:spacing w:val="-3"/>
        </w:rPr>
        <w:t> </w:t>
      </w:r>
      <w:r>
        <w:rPr/>
        <w:t>o</w:t>
      </w:r>
      <w:r>
        <w:rPr>
          <w:spacing w:val="-4"/>
        </w:rPr>
        <w:t> </w:t>
      </w:r>
      <w:r>
        <w:rPr/>
        <w:t>bien</w:t>
      </w:r>
      <w:r>
        <w:rPr>
          <w:spacing w:val="-4"/>
        </w:rPr>
        <w:t> </w:t>
      </w:r>
      <w:r>
        <w:rPr/>
        <w:t>cuando</w:t>
      </w:r>
      <w:r>
        <w:rPr>
          <w:spacing w:val="-4"/>
        </w:rPr>
        <w:t> </w:t>
      </w:r>
      <w:r>
        <w:rPr/>
        <w:t>se</w:t>
      </w:r>
      <w:r>
        <w:rPr>
          <w:spacing w:val="-4"/>
        </w:rPr>
        <w:t> </w:t>
      </w:r>
      <w:r>
        <w:rPr/>
        <w:t>plantean</w:t>
      </w:r>
      <w:r>
        <w:rPr>
          <w:spacing w:val="-4"/>
        </w:rPr>
        <w:t> </w:t>
      </w:r>
      <w:r>
        <w:rPr/>
        <w:t>a</w:t>
      </w:r>
      <w:r>
        <w:rPr>
          <w:spacing w:val="-4"/>
        </w:rPr>
        <w:t> </w:t>
      </w:r>
      <w:r>
        <w:rPr/>
        <w:t>estas para</w:t>
      </w:r>
      <w:r>
        <w:rPr>
          <w:spacing w:val="-17"/>
        </w:rPr>
        <w:t> </w:t>
      </w:r>
      <w:r>
        <w:rPr/>
        <w:t>superar</w:t>
      </w:r>
      <w:r>
        <w:rPr>
          <w:spacing w:val="-18"/>
        </w:rPr>
        <w:t> </w:t>
      </w:r>
      <w:r>
        <w:rPr/>
        <w:t>problemáticas</w:t>
      </w:r>
      <w:r>
        <w:rPr>
          <w:spacing w:val="-17"/>
        </w:rPr>
        <w:t> </w:t>
      </w:r>
      <w:r>
        <w:rPr/>
        <w:t>de</w:t>
      </w:r>
      <w:r>
        <w:rPr>
          <w:spacing w:val="-19"/>
        </w:rPr>
        <w:t> </w:t>
      </w:r>
      <w:r>
        <w:rPr/>
        <w:t>determinados</w:t>
      </w:r>
      <w:r>
        <w:rPr>
          <w:spacing w:val="-20"/>
        </w:rPr>
        <w:t> </w:t>
      </w:r>
      <w:r>
        <w:rPr/>
        <w:t>grupos,</w:t>
      </w:r>
      <w:r>
        <w:rPr>
          <w:spacing w:val="-17"/>
        </w:rPr>
        <w:t> </w:t>
      </w:r>
      <w:r>
        <w:rPr/>
        <w:t>como</w:t>
      </w:r>
      <w:r>
        <w:rPr>
          <w:spacing w:val="-17"/>
        </w:rPr>
        <w:t> </w:t>
      </w:r>
      <w:r>
        <w:rPr/>
        <w:t>el</w:t>
      </w:r>
      <w:r>
        <w:rPr>
          <w:spacing w:val="-18"/>
        </w:rPr>
        <w:t> </w:t>
      </w:r>
      <w:r>
        <w:rPr/>
        <w:t>combate</w:t>
      </w:r>
      <w:r>
        <w:rPr>
          <w:spacing w:val="-16"/>
        </w:rPr>
        <w:t> </w:t>
      </w:r>
      <w:r>
        <w:rPr/>
        <w:t>a</w:t>
      </w:r>
      <w:r>
        <w:rPr>
          <w:spacing w:val="-17"/>
        </w:rPr>
        <w:t> </w:t>
      </w:r>
      <w:r>
        <w:rPr/>
        <w:t>la</w:t>
      </w:r>
      <w:r>
        <w:rPr>
          <w:spacing w:val="-19"/>
        </w:rPr>
        <w:t> </w:t>
      </w:r>
      <w:r>
        <w:rPr/>
        <w:t>pobreza.</w:t>
      </w:r>
    </w:p>
    <w:p>
      <w:pPr>
        <w:pStyle w:val="BodyText"/>
        <w:spacing w:line="360" w:lineRule="auto" w:before="204"/>
        <w:ind w:left="102" w:right="117"/>
        <w:jc w:val="both"/>
      </w:pPr>
      <w:r>
        <w:rPr/>
        <w:t>Las intervenciones sociales se concretan en el espacio del municipio, que de los tres ámbitos de gobierno es el más débil para diseñar y aplicar políticas sociales, por varias razones entre las cuales se encuentra, la brevedad de la gestión municipal,</w:t>
      </w:r>
      <w:r>
        <w:rPr>
          <w:spacing w:val="-8"/>
        </w:rPr>
        <w:t> </w:t>
      </w:r>
      <w:r>
        <w:rPr/>
        <w:t>en</w:t>
      </w:r>
      <w:r>
        <w:rPr>
          <w:spacing w:val="-8"/>
        </w:rPr>
        <w:t> </w:t>
      </w:r>
      <w:r>
        <w:rPr/>
        <w:t>algunos</w:t>
      </w:r>
      <w:r>
        <w:rPr>
          <w:spacing w:val="-12"/>
        </w:rPr>
        <w:t> </w:t>
      </w:r>
      <w:r>
        <w:rPr/>
        <w:t>casos</w:t>
      </w:r>
      <w:r>
        <w:rPr>
          <w:spacing w:val="-9"/>
        </w:rPr>
        <w:t> </w:t>
      </w:r>
      <w:r>
        <w:rPr/>
        <w:t>sino</w:t>
      </w:r>
      <w:r>
        <w:rPr>
          <w:spacing w:val="-9"/>
        </w:rPr>
        <w:t> </w:t>
      </w:r>
      <w:r>
        <w:rPr/>
        <w:t>que</w:t>
      </w:r>
      <w:r>
        <w:rPr>
          <w:spacing w:val="-8"/>
        </w:rPr>
        <w:t> </w:t>
      </w:r>
      <w:r>
        <w:rPr/>
        <w:t>en</w:t>
      </w:r>
      <w:r>
        <w:rPr>
          <w:spacing w:val="-8"/>
        </w:rPr>
        <w:t> </w:t>
      </w:r>
      <w:r>
        <w:rPr/>
        <w:t>la</w:t>
      </w:r>
      <w:r>
        <w:rPr>
          <w:spacing w:val="-11"/>
        </w:rPr>
        <w:t> </w:t>
      </w:r>
      <w:r>
        <w:rPr/>
        <w:t>mayoría</w:t>
      </w:r>
      <w:r>
        <w:rPr>
          <w:spacing w:val="-8"/>
        </w:rPr>
        <w:t> </w:t>
      </w:r>
      <w:r>
        <w:rPr/>
        <w:t>el</w:t>
      </w:r>
      <w:r>
        <w:rPr>
          <w:spacing w:val="-10"/>
        </w:rPr>
        <w:t> </w:t>
      </w:r>
      <w:r>
        <w:rPr/>
        <w:t>mandato</w:t>
      </w:r>
      <w:r>
        <w:rPr>
          <w:spacing w:val="-10"/>
        </w:rPr>
        <w:t> </w:t>
      </w:r>
      <w:r>
        <w:rPr/>
        <w:t>sólo</w:t>
      </w:r>
      <w:r>
        <w:rPr>
          <w:spacing w:val="-11"/>
        </w:rPr>
        <w:t> </w:t>
      </w:r>
      <w:r>
        <w:rPr/>
        <w:t>dura</w:t>
      </w:r>
      <w:r>
        <w:rPr>
          <w:spacing w:val="-9"/>
        </w:rPr>
        <w:t> </w:t>
      </w:r>
      <w:r>
        <w:rPr/>
        <w:t>tres</w:t>
      </w:r>
      <w:r>
        <w:rPr>
          <w:spacing w:val="-9"/>
        </w:rPr>
        <w:t> </w:t>
      </w:r>
      <w:r>
        <w:rPr/>
        <w:t>años; la ausencia de servicio civil de carrera; el bajo nivel educativo de los funcionarios municipales;</w:t>
      </w:r>
      <w:r>
        <w:rPr>
          <w:spacing w:val="-4"/>
        </w:rPr>
        <w:t> </w:t>
      </w:r>
      <w:r>
        <w:rPr/>
        <w:t>bajos</w:t>
      </w:r>
      <w:r>
        <w:rPr>
          <w:spacing w:val="-4"/>
        </w:rPr>
        <w:t> </w:t>
      </w:r>
      <w:r>
        <w:rPr/>
        <w:t>sueldos</w:t>
      </w:r>
      <w:r>
        <w:rPr>
          <w:spacing w:val="-4"/>
        </w:rPr>
        <w:t> </w:t>
      </w:r>
      <w:r>
        <w:rPr/>
        <w:t>y</w:t>
      </w:r>
      <w:r>
        <w:rPr>
          <w:spacing w:val="-7"/>
        </w:rPr>
        <w:t> </w:t>
      </w:r>
      <w:r>
        <w:rPr/>
        <w:t>malas</w:t>
      </w:r>
      <w:r>
        <w:rPr>
          <w:spacing w:val="-4"/>
        </w:rPr>
        <w:t> </w:t>
      </w:r>
      <w:r>
        <w:rPr/>
        <w:t>condiciones</w:t>
      </w:r>
      <w:r>
        <w:rPr>
          <w:spacing w:val="-4"/>
        </w:rPr>
        <w:t> </w:t>
      </w:r>
      <w:r>
        <w:rPr/>
        <w:t>de</w:t>
      </w:r>
      <w:r>
        <w:rPr>
          <w:spacing w:val="-4"/>
        </w:rPr>
        <w:t> </w:t>
      </w:r>
      <w:r>
        <w:rPr/>
        <w:t>trabajo;</w:t>
      </w:r>
      <w:r>
        <w:rPr>
          <w:spacing w:val="-4"/>
        </w:rPr>
        <w:t> </w:t>
      </w:r>
      <w:r>
        <w:rPr/>
        <w:t>la</w:t>
      </w:r>
      <w:r>
        <w:rPr>
          <w:spacing w:val="-6"/>
        </w:rPr>
        <w:t> </w:t>
      </w:r>
      <w:r>
        <w:rPr/>
        <w:t>falta</w:t>
      </w:r>
      <w:r>
        <w:rPr>
          <w:spacing w:val="-6"/>
        </w:rPr>
        <w:t> </w:t>
      </w:r>
      <w:r>
        <w:rPr/>
        <w:t>de</w:t>
      </w:r>
      <w:r>
        <w:rPr>
          <w:spacing w:val="-4"/>
        </w:rPr>
        <w:t> </w:t>
      </w:r>
      <w:r>
        <w:rPr/>
        <w:t>desarrollo</w:t>
      </w:r>
      <w:r>
        <w:rPr>
          <w:spacing w:val="-4"/>
        </w:rPr>
        <w:t> </w:t>
      </w:r>
      <w:r>
        <w:rPr/>
        <w:t>de instrumentos de política social al nivel municipal, sólo por mencionar algunas condiciones, que debilitan el diseño institucional del</w:t>
      </w:r>
      <w:r>
        <w:rPr>
          <w:spacing w:val="-22"/>
        </w:rPr>
        <w:t> </w:t>
      </w:r>
      <w:r>
        <w:rPr/>
        <w:t>municipio.</w:t>
      </w:r>
    </w:p>
    <w:p>
      <w:pPr>
        <w:pStyle w:val="BodyText"/>
        <w:spacing w:line="360" w:lineRule="auto" w:before="205"/>
        <w:ind w:left="102" w:right="118"/>
        <w:jc w:val="both"/>
      </w:pPr>
      <w:r>
        <w:rPr/>
        <w:t>Los niveles de calidad que demanda el desarrollo de políticas sociales realmente pertinentes</w:t>
      </w:r>
      <w:r>
        <w:rPr>
          <w:spacing w:val="-19"/>
        </w:rPr>
        <w:t> </w:t>
      </w:r>
      <w:r>
        <w:rPr/>
        <w:t>a</w:t>
      </w:r>
      <w:r>
        <w:rPr>
          <w:spacing w:val="-16"/>
        </w:rPr>
        <w:t> </w:t>
      </w:r>
      <w:r>
        <w:rPr/>
        <w:t>la</w:t>
      </w:r>
      <w:r>
        <w:rPr>
          <w:spacing w:val="-16"/>
        </w:rPr>
        <w:t> </w:t>
      </w:r>
      <w:r>
        <w:rPr/>
        <w:t>complejidad</w:t>
      </w:r>
      <w:r>
        <w:rPr>
          <w:spacing w:val="-16"/>
        </w:rPr>
        <w:t> </w:t>
      </w:r>
      <w:r>
        <w:rPr/>
        <w:t>y</w:t>
      </w:r>
      <w:r>
        <w:rPr>
          <w:spacing w:val="-19"/>
        </w:rPr>
        <w:t> </w:t>
      </w:r>
      <w:r>
        <w:rPr/>
        <w:t>diversidad</w:t>
      </w:r>
      <w:r>
        <w:rPr>
          <w:spacing w:val="-16"/>
        </w:rPr>
        <w:t> </w:t>
      </w:r>
      <w:r>
        <w:rPr/>
        <w:t>de</w:t>
      </w:r>
      <w:r>
        <w:rPr>
          <w:spacing w:val="-12"/>
        </w:rPr>
        <w:t> </w:t>
      </w:r>
      <w:r>
        <w:rPr/>
        <w:t>la</w:t>
      </w:r>
      <w:r>
        <w:rPr>
          <w:spacing w:val="-18"/>
        </w:rPr>
        <w:t> </w:t>
      </w:r>
      <w:r>
        <w:rPr/>
        <w:t>problemática</w:t>
      </w:r>
      <w:r>
        <w:rPr>
          <w:spacing w:val="-16"/>
        </w:rPr>
        <w:t> </w:t>
      </w:r>
      <w:r>
        <w:rPr/>
        <w:t>social</w:t>
      </w:r>
      <w:r>
        <w:rPr>
          <w:spacing w:val="-16"/>
        </w:rPr>
        <w:t> </w:t>
      </w:r>
      <w:r>
        <w:rPr/>
        <w:t>del</w:t>
      </w:r>
      <w:r>
        <w:rPr>
          <w:spacing w:val="-17"/>
        </w:rPr>
        <w:t> </w:t>
      </w:r>
      <w:r>
        <w:rPr/>
        <w:t>mundo</w:t>
      </w:r>
      <w:r>
        <w:rPr>
          <w:spacing w:val="-18"/>
        </w:rPr>
        <w:t> </w:t>
      </w:r>
      <w:r>
        <w:rPr/>
        <w:t>actual, difícilmente pueden ser asumidas por administraciones municipales que en la mayoría de los casos no cuenta ni con los recursos, con los cuadros, ni con el tiempo, o con el interés por</w:t>
      </w:r>
      <w:r>
        <w:rPr>
          <w:spacing w:val="-13"/>
        </w:rPr>
        <w:t> </w:t>
      </w:r>
      <w:r>
        <w:rPr/>
        <w:t>desarrollarlas.</w:t>
      </w:r>
    </w:p>
    <w:p>
      <w:pPr>
        <w:spacing w:after="0" w:line="360" w:lineRule="auto"/>
        <w:jc w:val="both"/>
        <w:sectPr>
          <w:pgSz w:w="12240" w:h="15840"/>
          <w:pgMar w:header="0" w:footer="992" w:top="1360" w:bottom="1180" w:left="1600" w:right="1580"/>
        </w:sectPr>
      </w:pPr>
    </w:p>
    <w:p>
      <w:pPr>
        <w:pStyle w:val="BodyText"/>
        <w:spacing w:line="360" w:lineRule="auto" w:before="54"/>
        <w:ind w:left="102" w:right="119"/>
        <w:jc w:val="both"/>
      </w:pPr>
      <w:r>
        <w:rPr/>
        <w:t>Los marcos legales que rige a los municipios en México, no son favorables para implementar o impulsar políticas públicas, los municipios no cuentan con la capacidad de intervención social, así como la capacidad técnica y administrativa, y esto suele ser hasta irónico, debido a que es precisamente en el ámbito municipal donde se conocen las verdaderas necesidades de la población. Materias, tales como prevención y atención a las adicciones, redes vecinales, acciones concretas como la discriminación de género, abandono familiar, entre otros resultan difíciles de operar a través de programas federales o en su caso estatales, debido a que la cercanía con la población para atender adecuadamente sus necesidades, no la tienen los ámbitos  de gobierno que anteceden al municipio.</w:t>
      </w:r>
    </w:p>
    <w:p>
      <w:pPr>
        <w:pStyle w:val="BodyText"/>
        <w:spacing w:line="360" w:lineRule="auto" w:before="204"/>
        <w:ind w:left="102" w:right="116"/>
        <w:jc w:val="both"/>
      </w:pPr>
      <w:r>
        <w:rPr/>
        <w:t>Los sistemas federalistas como México, tienen la obligación de atender una serie de necesidades de la población, sin embargo un enunciado tan sencillo no es siempre fácil de poner en práctica. En México por la estructura política con la que comenzó</w:t>
      </w:r>
      <w:r>
        <w:rPr>
          <w:spacing w:val="-6"/>
        </w:rPr>
        <w:t> </w:t>
      </w:r>
      <w:r>
        <w:rPr/>
        <w:t>su</w:t>
      </w:r>
      <w:r>
        <w:rPr>
          <w:spacing w:val="-6"/>
        </w:rPr>
        <w:t> </w:t>
      </w:r>
      <w:r>
        <w:rPr/>
        <w:t>vida</w:t>
      </w:r>
      <w:r>
        <w:rPr>
          <w:spacing w:val="-5"/>
        </w:rPr>
        <w:t> </w:t>
      </w:r>
      <w:r>
        <w:rPr/>
        <w:t>nacional,</w:t>
      </w:r>
      <w:r>
        <w:rPr>
          <w:spacing w:val="-7"/>
        </w:rPr>
        <w:t> </w:t>
      </w:r>
      <w:r>
        <w:rPr/>
        <w:t>ha</w:t>
      </w:r>
      <w:r>
        <w:rPr>
          <w:spacing w:val="-6"/>
        </w:rPr>
        <w:t> </w:t>
      </w:r>
      <w:r>
        <w:rPr/>
        <w:t>sido</w:t>
      </w:r>
      <w:r>
        <w:rPr>
          <w:spacing w:val="-6"/>
        </w:rPr>
        <w:t> </w:t>
      </w:r>
      <w:r>
        <w:rPr/>
        <w:t>complicado</w:t>
      </w:r>
      <w:r>
        <w:rPr>
          <w:spacing w:val="-6"/>
        </w:rPr>
        <w:t> </w:t>
      </w:r>
      <w:r>
        <w:rPr/>
        <w:t>implementar</w:t>
      </w:r>
      <w:r>
        <w:rPr>
          <w:spacing w:val="-7"/>
        </w:rPr>
        <w:t> </w:t>
      </w:r>
      <w:r>
        <w:rPr/>
        <w:t>acciones</w:t>
      </w:r>
      <w:r>
        <w:rPr>
          <w:spacing w:val="-7"/>
        </w:rPr>
        <w:t> </w:t>
      </w:r>
      <w:r>
        <w:rPr/>
        <w:t>en</w:t>
      </w:r>
      <w:r>
        <w:rPr>
          <w:spacing w:val="-6"/>
        </w:rPr>
        <w:t> </w:t>
      </w:r>
      <w:r>
        <w:rPr/>
        <w:t>materia</w:t>
      </w:r>
      <w:r>
        <w:rPr>
          <w:spacing w:val="-8"/>
        </w:rPr>
        <w:t> </w:t>
      </w:r>
      <w:r>
        <w:rPr/>
        <w:t>de política social, en su totalidad son regidas por el gobierno federal, y aunque se han hecho avances con las reformas de 1983 y la descentralización que comenzara durante</w:t>
      </w:r>
      <w:r>
        <w:rPr>
          <w:spacing w:val="-11"/>
        </w:rPr>
        <w:t> </w:t>
      </w:r>
      <w:r>
        <w:rPr/>
        <w:t>el</w:t>
      </w:r>
      <w:r>
        <w:rPr>
          <w:spacing w:val="-12"/>
        </w:rPr>
        <w:t> </w:t>
      </w:r>
      <w:r>
        <w:rPr/>
        <w:t>mandato</w:t>
      </w:r>
      <w:r>
        <w:rPr>
          <w:spacing w:val="-11"/>
        </w:rPr>
        <w:t> </w:t>
      </w:r>
      <w:r>
        <w:rPr/>
        <w:t>de</w:t>
      </w:r>
      <w:r>
        <w:rPr>
          <w:spacing w:val="-13"/>
        </w:rPr>
        <w:t> </w:t>
      </w:r>
      <w:r>
        <w:rPr/>
        <w:t>Miguel</w:t>
      </w:r>
      <w:r>
        <w:rPr>
          <w:spacing w:val="-9"/>
        </w:rPr>
        <w:t> </w:t>
      </w:r>
      <w:r>
        <w:rPr/>
        <w:t>de</w:t>
      </w:r>
      <w:r>
        <w:rPr>
          <w:spacing w:val="-11"/>
        </w:rPr>
        <w:t> </w:t>
      </w:r>
      <w:r>
        <w:rPr/>
        <w:t>la</w:t>
      </w:r>
      <w:r>
        <w:rPr>
          <w:spacing w:val="-11"/>
        </w:rPr>
        <w:t> </w:t>
      </w:r>
      <w:r>
        <w:rPr/>
        <w:t>Madrid,</w:t>
      </w:r>
      <w:r>
        <w:rPr>
          <w:spacing w:val="-11"/>
        </w:rPr>
        <w:t> </w:t>
      </w:r>
      <w:r>
        <w:rPr/>
        <w:t>se</w:t>
      </w:r>
      <w:r>
        <w:rPr>
          <w:spacing w:val="-13"/>
        </w:rPr>
        <w:t> </w:t>
      </w:r>
      <w:r>
        <w:rPr/>
        <w:t>han</w:t>
      </w:r>
      <w:r>
        <w:rPr>
          <w:spacing w:val="-11"/>
        </w:rPr>
        <w:t> </w:t>
      </w:r>
      <w:r>
        <w:rPr/>
        <w:t>logrado</w:t>
      </w:r>
      <w:r>
        <w:rPr>
          <w:spacing w:val="-13"/>
        </w:rPr>
        <w:t> </w:t>
      </w:r>
      <w:r>
        <w:rPr/>
        <w:t>algunos</w:t>
      </w:r>
      <w:r>
        <w:rPr>
          <w:spacing w:val="-12"/>
        </w:rPr>
        <w:t> </w:t>
      </w:r>
      <w:r>
        <w:rPr/>
        <w:t>cambios,</w:t>
      </w:r>
      <w:r>
        <w:rPr>
          <w:spacing w:val="-11"/>
        </w:rPr>
        <w:t> </w:t>
      </w:r>
      <w:r>
        <w:rPr/>
        <w:t>dando actuación a los gobiernos estatales y municipales permitiendo que sean participe de la política</w:t>
      </w:r>
      <w:r>
        <w:rPr>
          <w:spacing w:val="-5"/>
        </w:rPr>
        <w:t> </w:t>
      </w:r>
      <w:r>
        <w:rPr/>
        <w:t>social.</w:t>
      </w:r>
    </w:p>
    <w:p>
      <w:pPr>
        <w:pStyle w:val="BodyText"/>
        <w:spacing w:line="360" w:lineRule="auto" w:before="204"/>
        <w:ind w:left="102" w:right="115"/>
        <w:jc w:val="both"/>
      </w:pPr>
      <w:r>
        <w:rPr/>
        <w:t>La pobreza en México y la falta de desarrollo social requieren de una serie de políticas públicas que le hagan frente. Al existir en el sistema federal tres ámbitos de gobierno, debierá ser fácil identificar el tipo de intervención que cada gobierno tiene dentro de la política social del país, la combinación articulada del gobierno federal, estatal y municipal tendría que generar un impacto multiplicador, a diferencia de aquel, en que cada uno de manera individual realizará de forma independiente.</w:t>
      </w:r>
    </w:p>
    <w:p>
      <w:pPr>
        <w:spacing w:before="204"/>
        <w:ind w:left="954" w:right="115" w:firstLine="0"/>
        <w:jc w:val="both"/>
        <w:rPr>
          <w:sz w:val="22"/>
        </w:rPr>
      </w:pPr>
      <w:r>
        <w:rPr>
          <w:sz w:val="22"/>
        </w:rPr>
        <w:t>La descentralización o federalización de las políticas públicas deberían ser un medio – no un objetivo en sí mismo- para lograr un fin determinado, y su éxito dependería</w:t>
      </w:r>
      <w:r>
        <w:rPr>
          <w:spacing w:val="-18"/>
          <w:sz w:val="22"/>
        </w:rPr>
        <w:t> </w:t>
      </w:r>
      <w:r>
        <w:rPr>
          <w:sz w:val="22"/>
        </w:rPr>
        <w:t>de</w:t>
      </w:r>
      <w:r>
        <w:rPr>
          <w:spacing w:val="-18"/>
          <w:sz w:val="22"/>
        </w:rPr>
        <w:t> </w:t>
      </w:r>
      <w:r>
        <w:rPr>
          <w:sz w:val="22"/>
        </w:rPr>
        <w:t>las</w:t>
      </w:r>
      <w:r>
        <w:rPr>
          <w:spacing w:val="-21"/>
          <w:sz w:val="22"/>
        </w:rPr>
        <w:t> </w:t>
      </w:r>
      <w:r>
        <w:rPr>
          <w:sz w:val="22"/>
        </w:rPr>
        <w:t>características</w:t>
      </w:r>
      <w:r>
        <w:rPr>
          <w:spacing w:val="-18"/>
          <w:sz w:val="22"/>
        </w:rPr>
        <w:t> </w:t>
      </w:r>
      <w:r>
        <w:rPr>
          <w:sz w:val="22"/>
        </w:rPr>
        <w:t>de</w:t>
      </w:r>
      <w:r>
        <w:rPr>
          <w:spacing w:val="-18"/>
          <w:sz w:val="22"/>
        </w:rPr>
        <w:t> </w:t>
      </w:r>
      <w:r>
        <w:rPr>
          <w:sz w:val="22"/>
        </w:rPr>
        <w:t>los</w:t>
      </w:r>
      <w:r>
        <w:rPr>
          <w:spacing w:val="-21"/>
          <w:sz w:val="22"/>
        </w:rPr>
        <w:t> </w:t>
      </w:r>
      <w:r>
        <w:rPr>
          <w:sz w:val="22"/>
        </w:rPr>
        <w:t>problemas</w:t>
      </w:r>
      <w:r>
        <w:rPr>
          <w:spacing w:val="-18"/>
          <w:sz w:val="22"/>
        </w:rPr>
        <w:t> </w:t>
      </w:r>
      <w:r>
        <w:rPr>
          <w:sz w:val="22"/>
        </w:rPr>
        <w:t>a</w:t>
      </w:r>
      <w:r>
        <w:rPr>
          <w:spacing w:val="-20"/>
          <w:sz w:val="22"/>
        </w:rPr>
        <w:t> </w:t>
      </w:r>
      <w:r>
        <w:rPr>
          <w:sz w:val="22"/>
        </w:rPr>
        <w:t>atender,</w:t>
      </w:r>
      <w:r>
        <w:rPr>
          <w:spacing w:val="-19"/>
          <w:sz w:val="22"/>
        </w:rPr>
        <w:t> </w:t>
      </w:r>
      <w:r>
        <w:rPr>
          <w:sz w:val="22"/>
        </w:rPr>
        <w:t>y</w:t>
      </w:r>
      <w:r>
        <w:rPr>
          <w:spacing w:val="-20"/>
          <w:sz w:val="22"/>
        </w:rPr>
        <w:t> </w:t>
      </w:r>
      <w:r>
        <w:rPr>
          <w:sz w:val="22"/>
        </w:rPr>
        <w:t>de</w:t>
      </w:r>
      <w:r>
        <w:rPr>
          <w:spacing w:val="-20"/>
          <w:sz w:val="22"/>
        </w:rPr>
        <w:t> </w:t>
      </w:r>
      <w:r>
        <w:rPr>
          <w:sz w:val="22"/>
        </w:rPr>
        <w:t>los</w:t>
      </w:r>
      <w:r>
        <w:rPr>
          <w:spacing w:val="-21"/>
          <w:sz w:val="22"/>
        </w:rPr>
        <w:t> </w:t>
      </w:r>
      <w:r>
        <w:rPr>
          <w:sz w:val="22"/>
        </w:rPr>
        <w:t>instrumentos de intervención requeridos. El objetivo final de la federalización en materia de política social sería mejorar la eficacia, la eficiencia y el impacto de las acciones y programas específicos. La  coordinación  entre órdenes  de gobierno es </w:t>
      </w:r>
      <w:r>
        <w:rPr>
          <w:spacing w:val="24"/>
          <w:sz w:val="22"/>
        </w:rPr>
        <w:t> </w:t>
      </w:r>
      <w:r>
        <w:rPr>
          <w:sz w:val="22"/>
        </w:rPr>
        <w:t>esencial</w:t>
      </w:r>
    </w:p>
    <w:p>
      <w:pPr>
        <w:spacing w:after="0"/>
        <w:jc w:val="both"/>
        <w:rPr>
          <w:sz w:val="22"/>
        </w:rPr>
        <w:sectPr>
          <w:pgSz w:w="12240" w:h="15840"/>
          <w:pgMar w:header="0" w:footer="992" w:top="1360" w:bottom="1180" w:left="1600" w:right="1580"/>
        </w:sectPr>
      </w:pPr>
    </w:p>
    <w:p>
      <w:pPr>
        <w:spacing w:before="53"/>
        <w:ind w:left="954" w:right="116" w:firstLine="0"/>
        <w:jc w:val="both"/>
        <w:rPr>
          <w:sz w:val="22"/>
        </w:rPr>
      </w:pPr>
      <w:r>
        <w:rPr>
          <w:sz w:val="22"/>
        </w:rPr>
        <w:t>para generar los resultados esperados, y la planeación coordinada y la definición clara de las responsabilidades de cada orden de gobierno son las condiciones necesarias para la instrumentación eficaz de una política social federalista (Székely, 2006:209).</w:t>
      </w:r>
    </w:p>
    <w:p>
      <w:pPr>
        <w:pStyle w:val="BodyText"/>
        <w:rPr>
          <w:sz w:val="22"/>
        </w:rPr>
      </w:pPr>
    </w:p>
    <w:p>
      <w:pPr>
        <w:pStyle w:val="BodyText"/>
        <w:rPr>
          <w:sz w:val="22"/>
        </w:rPr>
      </w:pPr>
    </w:p>
    <w:p>
      <w:pPr>
        <w:pStyle w:val="BodyText"/>
        <w:spacing w:before="8"/>
        <w:rPr>
          <w:sz w:val="26"/>
        </w:rPr>
      </w:pPr>
    </w:p>
    <w:p>
      <w:pPr>
        <w:pStyle w:val="BodyText"/>
        <w:spacing w:line="360" w:lineRule="auto"/>
        <w:ind w:left="102" w:right="118"/>
        <w:jc w:val="both"/>
      </w:pPr>
      <w:r>
        <w:rPr/>
        <w:t>En</w:t>
      </w:r>
      <w:r>
        <w:rPr>
          <w:spacing w:val="-11"/>
        </w:rPr>
        <w:t> </w:t>
      </w:r>
      <w:r>
        <w:rPr/>
        <w:t>México</w:t>
      </w:r>
      <w:r>
        <w:rPr>
          <w:spacing w:val="-11"/>
        </w:rPr>
        <w:t> </w:t>
      </w:r>
      <w:r>
        <w:rPr/>
        <w:t>aún</w:t>
      </w:r>
      <w:r>
        <w:rPr>
          <w:spacing w:val="-12"/>
        </w:rPr>
        <w:t> </w:t>
      </w:r>
      <w:r>
        <w:rPr/>
        <w:t>no</w:t>
      </w:r>
      <w:r>
        <w:rPr>
          <w:spacing w:val="-11"/>
        </w:rPr>
        <w:t> </w:t>
      </w:r>
      <w:r>
        <w:rPr/>
        <w:t>se</w:t>
      </w:r>
      <w:r>
        <w:rPr>
          <w:spacing w:val="-11"/>
        </w:rPr>
        <w:t> </w:t>
      </w:r>
      <w:r>
        <w:rPr/>
        <w:t>ha</w:t>
      </w:r>
      <w:r>
        <w:rPr>
          <w:spacing w:val="-11"/>
        </w:rPr>
        <w:t> </w:t>
      </w:r>
      <w:r>
        <w:rPr/>
        <w:t>podido</w:t>
      </w:r>
      <w:r>
        <w:rPr>
          <w:spacing w:val="-11"/>
        </w:rPr>
        <w:t> </w:t>
      </w:r>
      <w:r>
        <w:rPr/>
        <w:t>hablar</w:t>
      </w:r>
      <w:r>
        <w:rPr>
          <w:spacing w:val="-12"/>
        </w:rPr>
        <w:t> </w:t>
      </w:r>
      <w:r>
        <w:rPr/>
        <w:t>de</w:t>
      </w:r>
      <w:r>
        <w:rPr>
          <w:spacing w:val="-12"/>
        </w:rPr>
        <w:t> </w:t>
      </w:r>
      <w:r>
        <w:rPr/>
        <w:t>un</w:t>
      </w:r>
      <w:r>
        <w:rPr>
          <w:spacing w:val="-11"/>
        </w:rPr>
        <w:t> </w:t>
      </w:r>
      <w:r>
        <w:rPr/>
        <w:t>total</w:t>
      </w:r>
      <w:r>
        <w:rPr>
          <w:spacing w:val="-14"/>
        </w:rPr>
        <w:t> </w:t>
      </w:r>
      <w:r>
        <w:rPr/>
        <w:t>federalismo,</w:t>
      </w:r>
      <w:r>
        <w:rPr>
          <w:spacing w:val="-13"/>
        </w:rPr>
        <w:t> </w:t>
      </w:r>
      <w:r>
        <w:rPr/>
        <w:t>por</w:t>
      </w:r>
      <w:r>
        <w:rPr>
          <w:spacing w:val="-12"/>
        </w:rPr>
        <w:t> </w:t>
      </w:r>
      <w:r>
        <w:rPr/>
        <w:t>lo</w:t>
      </w:r>
      <w:r>
        <w:rPr>
          <w:spacing w:val="-13"/>
        </w:rPr>
        <w:t> </w:t>
      </w:r>
      <w:r>
        <w:rPr/>
        <w:t>tanto</w:t>
      </w:r>
      <w:r>
        <w:rPr>
          <w:spacing w:val="-11"/>
        </w:rPr>
        <w:t> </w:t>
      </w:r>
      <w:r>
        <w:rPr/>
        <w:t>potenciar los recursos destinados para el desarrollo social, aprovechando las fortalezas de cada orden de gobierno, se encuentra todavía lejano, no está todavía claramente delimitado el ámbito de acción de cada nivel de gobierno en el tema de la política social, además los mecanismos de coordinación que existen no han sido adecuados, dando pie a acciones desfasadas, duplicadas y sobre todo no se ha logrado potenciar la gestión pública complementándose y haciendo la sinergia que un sistema federalista debería</w:t>
      </w:r>
      <w:r>
        <w:rPr>
          <w:spacing w:val="-12"/>
        </w:rPr>
        <w:t> </w:t>
      </w:r>
      <w:r>
        <w:rPr/>
        <w:t>propiciar.</w:t>
      </w:r>
    </w:p>
    <w:p>
      <w:pPr>
        <w:pStyle w:val="BodyText"/>
        <w:spacing w:line="360" w:lineRule="auto" w:before="202"/>
        <w:ind w:left="102" w:right="116"/>
        <w:jc w:val="both"/>
      </w:pPr>
      <w:r>
        <w:rPr/>
        <w:t>La falta de coordinación entre los ámbitos de gobierno en materia de política social ha generado una enorme dispersión de recursos, y hasta ahora, el proceso de descentralización</w:t>
      </w:r>
      <w:r>
        <w:rPr>
          <w:spacing w:val="-5"/>
        </w:rPr>
        <w:t> </w:t>
      </w:r>
      <w:r>
        <w:rPr/>
        <w:t>que</w:t>
      </w:r>
      <w:r>
        <w:rPr>
          <w:spacing w:val="-5"/>
        </w:rPr>
        <w:t> </w:t>
      </w:r>
      <w:r>
        <w:rPr/>
        <w:t>se</w:t>
      </w:r>
      <w:r>
        <w:rPr>
          <w:spacing w:val="-5"/>
        </w:rPr>
        <w:t> </w:t>
      </w:r>
      <w:r>
        <w:rPr/>
        <w:t>ha</w:t>
      </w:r>
      <w:r>
        <w:rPr>
          <w:spacing w:val="-7"/>
        </w:rPr>
        <w:t> </w:t>
      </w:r>
      <w:r>
        <w:rPr/>
        <w:t>observado</w:t>
      </w:r>
      <w:r>
        <w:rPr>
          <w:spacing w:val="-7"/>
        </w:rPr>
        <w:t> </w:t>
      </w:r>
      <w:r>
        <w:rPr/>
        <w:t>en</w:t>
      </w:r>
      <w:r>
        <w:rPr>
          <w:spacing w:val="-5"/>
        </w:rPr>
        <w:t> </w:t>
      </w:r>
      <w:r>
        <w:rPr/>
        <w:t>el</w:t>
      </w:r>
      <w:r>
        <w:rPr>
          <w:spacing w:val="-8"/>
        </w:rPr>
        <w:t> </w:t>
      </w:r>
      <w:r>
        <w:rPr/>
        <w:t>país,</w:t>
      </w:r>
      <w:r>
        <w:rPr>
          <w:spacing w:val="-5"/>
        </w:rPr>
        <w:t> </w:t>
      </w:r>
      <w:r>
        <w:rPr/>
        <w:t>no</w:t>
      </w:r>
      <w:r>
        <w:rPr>
          <w:spacing w:val="-5"/>
        </w:rPr>
        <w:t> </w:t>
      </w:r>
      <w:r>
        <w:rPr/>
        <w:t>necesariamente</w:t>
      </w:r>
      <w:r>
        <w:rPr>
          <w:spacing w:val="-4"/>
        </w:rPr>
        <w:t> </w:t>
      </w:r>
      <w:r>
        <w:rPr/>
        <w:t>ha</w:t>
      </w:r>
      <w:r>
        <w:rPr>
          <w:spacing w:val="-5"/>
        </w:rPr>
        <w:t> </w:t>
      </w:r>
      <w:r>
        <w:rPr/>
        <w:t>generado mejores resultados e incluso con las reformas a la Ley de coordinación Fiscal de 2013, se ha notado que algunos aspectos se centralizaron. En esencia la descentralización y la federalización de las políticas públicas debiera ser un medio no</w:t>
      </w:r>
      <w:r>
        <w:rPr>
          <w:spacing w:val="-5"/>
        </w:rPr>
        <w:t> </w:t>
      </w:r>
      <w:r>
        <w:rPr/>
        <w:t>un</w:t>
      </w:r>
      <w:r>
        <w:rPr>
          <w:spacing w:val="-7"/>
        </w:rPr>
        <w:t> </w:t>
      </w:r>
      <w:r>
        <w:rPr/>
        <w:t>objetivo</w:t>
      </w:r>
      <w:r>
        <w:rPr>
          <w:spacing w:val="-5"/>
        </w:rPr>
        <w:t> </w:t>
      </w:r>
      <w:r>
        <w:rPr/>
        <w:t>en</w:t>
      </w:r>
      <w:r>
        <w:rPr>
          <w:spacing w:val="-5"/>
        </w:rPr>
        <w:t> </w:t>
      </w:r>
      <w:r>
        <w:rPr/>
        <w:t>sí</w:t>
      </w:r>
      <w:r>
        <w:rPr>
          <w:spacing w:val="-8"/>
        </w:rPr>
        <w:t> </w:t>
      </w:r>
      <w:r>
        <w:rPr/>
        <w:t>mismo</w:t>
      </w:r>
      <w:r>
        <w:rPr>
          <w:spacing w:val="-5"/>
        </w:rPr>
        <w:t> </w:t>
      </w:r>
      <w:r>
        <w:rPr/>
        <w:t>para</w:t>
      </w:r>
      <w:r>
        <w:rPr>
          <w:spacing w:val="-6"/>
        </w:rPr>
        <w:t> </w:t>
      </w:r>
      <w:r>
        <w:rPr/>
        <w:t>lograr</w:t>
      </w:r>
      <w:r>
        <w:rPr>
          <w:spacing w:val="-6"/>
        </w:rPr>
        <w:t> </w:t>
      </w:r>
      <w:r>
        <w:rPr/>
        <w:t>un</w:t>
      </w:r>
      <w:r>
        <w:rPr>
          <w:spacing w:val="-7"/>
        </w:rPr>
        <w:t> </w:t>
      </w:r>
      <w:r>
        <w:rPr/>
        <w:t>fin</w:t>
      </w:r>
      <w:r>
        <w:rPr>
          <w:spacing w:val="-8"/>
        </w:rPr>
        <w:t> </w:t>
      </w:r>
      <w:r>
        <w:rPr/>
        <w:t>determinado,</w:t>
      </w:r>
      <w:r>
        <w:rPr>
          <w:spacing w:val="-5"/>
        </w:rPr>
        <w:t> </w:t>
      </w:r>
      <w:r>
        <w:rPr/>
        <w:t>y</w:t>
      </w:r>
      <w:r>
        <w:rPr>
          <w:spacing w:val="-8"/>
        </w:rPr>
        <w:t> </w:t>
      </w:r>
      <w:r>
        <w:rPr/>
        <w:t>su</w:t>
      </w:r>
      <w:r>
        <w:rPr>
          <w:spacing w:val="-5"/>
        </w:rPr>
        <w:t> </w:t>
      </w:r>
      <w:r>
        <w:rPr/>
        <w:t>éxito</w:t>
      </w:r>
      <w:r>
        <w:rPr>
          <w:spacing w:val="-5"/>
        </w:rPr>
        <w:t> </w:t>
      </w:r>
      <w:r>
        <w:rPr/>
        <w:t>dependería</w:t>
      </w:r>
      <w:r>
        <w:rPr>
          <w:spacing w:val="-5"/>
        </w:rPr>
        <w:t> </w:t>
      </w:r>
      <w:r>
        <w:rPr/>
        <w:t>de las</w:t>
      </w:r>
      <w:r>
        <w:rPr>
          <w:spacing w:val="-13"/>
        </w:rPr>
        <w:t> </w:t>
      </w:r>
      <w:r>
        <w:rPr/>
        <w:t>características</w:t>
      </w:r>
      <w:r>
        <w:rPr>
          <w:spacing w:val="-14"/>
        </w:rPr>
        <w:t> </w:t>
      </w:r>
      <w:r>
        <w:rPr/>
        <w:t>de</w:t>
      </w:r>
      <w:r>
        <w:rPr>
          <w:spacing w:val="-15"/>
        </w:rPr>
        <w:t> </w:t>
      </w:r>
      <w:r>
        <w:rPr/>
        <w:t>los</w:t>
      </w:r>
      <w:r>
        <w:rPr>
          <w:spacing w:val="-14"/>
        </w:rPr>
        <w:t> </w:t>
      </w:r>
      <w:r>
        <w:rPr/>
        <w:t>problemas</w:t>
      </w:r>
      <w:r>
        <w:rPr>
          <w:spacing w:val="-16"/>
        </w:rPr>
        <w:t> </w:t>
      </w:r>
      <w:r>
        <w:rPr/>
        <w:t>a</w:t>
      </w:r>
      <w:r>
        <w:rPr>
          <w:spacing w:val="-16"/>
        </w:rPr>
        <w:t> </w:t>
      </w:r>
      <w:r>
        <w:rPr/>
        <w:t>atender,</w:t>
      </w:r>
      <w:r>
        <w:rPr>
          <w:spacing w:val="-14"/>
        </w:rPr>
        <w:t> </w:t>
      </w:r>
      <w:r>
        <w:rPr/>
        <w:t>y</w:t>
      </w:r>
      <w:r>
        <w:rPr>
          <w:spacing w:val="-16"/>
        </w:rPr>
        <w:t> </w:t>
      </w:r>
      <w:r>
        <w:rPr/>
        <w:t>de</w:t>
      </w:r>
      <w:r>
        <w:rPr>
          <w:spacing w:val="-13"/>
        </w:rPr>
        <w:t> </w:t>
      </w:r>
      <w:r>
        <w:rPr/>
        <w:t>los</w:t>
      </w:r>
      <w:r>
        <w:rPr>
          <w:spacing w:val="-16"/>
        </w:rPr>
        <w:t> </w:t>
      </w:r>
      <w:r>
        <w:rPr/>
        <w:t>instrumentos</w:t>
      </w:r>
      <w:r>
        <w:rPr>
          <w:spacing w:val="-16"/>
        </w:rPr>
        <w:t> </w:t>
      </w:r>
      <w:r>
        <w:rPr/>
        <w:t>de</w:t>
      </w:r>
      <w:r>
        <w:rPr>
          <w:spacing w:val="-15"/>
        </w:rPr>
        <w:t> </w:t>
      </w:r>
      <w:r>
        <w:rPr/>
        <w:t>intervención requeridos.</w:t>
      </w:r>
    </w:p>
    <w:p>
      <w:pPr>
        <w:pStyle w:val="BodyText"/>
        <w:spacing w:line="360" w:lineRule="auto" w:before="204"/>
        <w:ind w:left="102" w:right="117"/>
        <w:jc w:val="both"/>
      </w:pPr>
      <w:r>
        <w:rPr/>
        <w:t>El objetivo final de la descentralización sería la coordinación entre ámbitos de gobierno;</w:t>
      </w:r>
      <w:r>
        <w:rPr>
          <w:spacing w:val="-17"/>
        </w:rPr>
        <w:t> </w:t>
      </w:r>
      <w:r>
        <w:rPr/>
        <w:t>esta</w:t>
      </w:r>
      <w:r>
        <w:rPr>
          <w:spacing w:val="-16"/>
        </w:rPr>
        <w:t> </w:t>
      </w:r>
      <w:r>
        <w:rPr/>
        <w:t>coordinación</w:t>
      </w:r>
      <w:r>
        <w:rPr>
          <w:spacing w:val="-14"/>
        </w:rPr>
        <w:t> </w:t>
      </w:r>
      <w:r>
        <w:rPr/>
        <w:t>es</w:t>
      </w:r>
      <w:r>
        <w:rPr>
          <w:spacing w:val="-17"/>
        </w:rPr>
        <w:t> </w:t>
      </w:r>
      <w:r>
        <w:rPr/>
        <w:t>esencial</w:t>
      </w:r>
      <w:r>
        <w:rPr>
          <w:spacing w:val="-15"/>
        </w:rPr>
        <w:t> </w:t>
      </w:r>
      <w:r>
        <w:rPr/>
        <w:t>para</w:t>
      </w:r>
      <w:r>
        <w:rPr>
          <w:spacing w:val="-17"/>
        </w:rPr>
        <w:t> </w:t>
      </w:r>
      <w:r>
        <w:rPr/>
        <w:t>generar</w:t>
      </w:r>
      <w:r>
        <w:rPr>
          <w:spacing w:val="-15"/>
        </w:rPr>
        <w:t> </w:t>
      </w:r>
      <w:r>
        <w:rPr/>
        <w:t>resultados</w:t>
      </w:r>
      <w:r>
        <w:rPr>
          <w:spacing w:val="-17"/>
        </w:rPr>
        <w:t> </w:t>
      </w:r>
      <w:r>
        <w:rPr/>
        <w:t>esperados,</w:t>
      </w:r>
      <w:r>
        <w:rPr>
          <w:spacing w:val="-17"/>
        </w:rPr>
        <w:t> </w:t>
      </w:r>
      <w:r>
        <w:rPr/>
        <w:t>planear y definir las responsabilidades de cada esfera de gobierno son las condiciones necesarias para instrumentar políticas sociales eficaces y</w:t>
      </w:r>
      <w:r>
        <w:rPr>
          <w:spacing w:val="-24"/>
        </w:rPr>
        <w:t> </w:t>
      </w:r>
      <w:r>
        <w:rPr/>
        <w:t>eficientes.</w:t>
      </w:r>
    </w:p>
    <w:p>
      <w:pPr>
        <w:pStyle w:val="BodyText"/>
        <w:spacing w:line="360" w:lineRule="auto" w:before="202"/>
        <w:ind w:left="102" w:right="117"/>
        <w:jc w:val="both"/>
      </w:pPr>
      <w:r>
        <w:rPr/>
        <w:t>En esta lógica, los gobiernos municipales, por su cercanía con la población, son el ámbito de gobierno apto para detectar con detalle las carencias y necesidades de sus habitantes, y por tanto cuenta con ventajas para proveer infraestructura básica local de acuerdo con las necesidades específicas del entorno inmediato.</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Es, imperativo que exista una relación entre los tres ámbitos de gobierno involucrándose cada uno, en la planeación, diseño y ejecución de la política social, de acuerdo a Székely (2006) alude en que, en el caso del gobierno federal éste puede</w:t>
      </w:r>
      <w:r>
        <w:rPr>
          <w:spacing w:val="-6"/>
        </w:rPr>
        <w:t> </w:t>
      </w:r>
      <w:r>
        <w:rPr/>
        <w:t>concentrarse</w:t>
      </w:r>
      <w:r>
        <w:rPr>
          <w:spacing w:val="-7"/>
        </w:rPr>
        <w:t> </w:t>
      </w:r>
      <w:r>
        <w:rPr/>
        <w:t>en</w:t>
      </w:r>
      <w:r>
        <w:rPr>
          <w:spacing w:val="-8"/>
        </w:rPr>
        <w:t> </w:t>
      </w:r>
      <w:r>
        <w:rPr/>
        <w:t>los</w:t>
      </w:r>
      <w:r>
        <w:rPr>
          <w:spacing w:val="-6"/>
        </w:rPr>
        <w:t> </w:t>
      </w:r>
      <w:r>
        <w:rPr/>
        <w:t>aspectos</w:t>
      </w:r>
      <w:r>
        <w:rPr>
          <w:spacing w:val="-9"/>
        </w:rPr>
        <w:t> </w:t>
      </w:r>
      <w:r>
        <w:rPr/>
        <w:t>normativos</w:t>
      </w:r>
      <w:r>
        <w:rPr>
          <w:spacing w:val="-7"/>
        </w:rPr>
        <w:t> </w:t>
      </w:r>
      <w:r>
        <w:rPr/>
        <w:t>derivado</w:t>
      </w:r>
      <w:r>
        <w:rPr>
          <w:spacing w:val="-6"/>
        </w:rPr>
        <w:t> </w:t>
      </w:r>
      <w:r>
        <w:rPr/>
        <w:t>a</w:t>
      </w:r>
      <w:r>
        <w:rPr>
          <w:spacing w:val="-8"/>
        </w:rPr>
        <w:t> </w:t>
      </w:r>
      <w:r>
        <w:rPr/>
        <w:t>que</w:t>
      </w:r>
      <w:r>
        <w:rPr>
          <w:spacing w:val="-6"/>
        </w:rPr>
        <w:t> </w:t>
      </w:r>
      <w:r>
        <w:rPr/>
        <w:t>es</w:t>
      </w:r>
      <w:r>
        <w:rPr>
          <w:spacing w:val="-9"/>
        </w:rPr>
        <w:t> </w:t>
      </w:r>
      <w:r>
        <w:rPr/>
        <w:t>éste</w:t>
      </w:r>
      <w:r>
        <w:rPr>
          <w:spacing w:val="-6"/>
        </w:rPr>
        <w:t> </w:t>
      </w:r>
      <w:r>
        <w:rPr/>
        <w:t>el</w:t>
      </w:r>
      <w:r>
        <w:rPr>
          <w:spacing w:val="-7"/>
        </w:rPr>
        <w:t> </w:t>
      </w:r>
      <w:r>
        <w:rPr/>
        <w:t>que</w:t>
      </w:r>
      <w:r>
        <w:rPr>
          <w:spacing w:val="-8"/>
        </w:rPr>
        <w:t> </w:t>
      </w:r>
      <w:r>
        <w:rPr/>
        <w:t>tiene un</w:t>
      </w:r>
      <w:r>
        <w:rPr>
          <w:spacing w:val="-4"/>
        </w:rPr>
        <w:t> </w:t>
      </w:r>
      <w:r>
        <w:rPr/>
        <w:t>visión</w:t>
      </w:r>
      <w:r>
        <w:rPr>
          <w:spacing w:val="-4"/>
        </w:rPr>
        <w:t> </w:t>
      </w:r>
      <w:r>
        <w:rPr/>
        <w:t>y</w:t>
      </w:r>
      <w:r>
        <w:rPr>
          <w:spacing w:val="-7"/>
        </w:rPr>
        <w:t> </w:t>
      </w:r>
      <w:r>
        <w:rPr/>
        <w:t>un</w:t>
      </w:r>
      <w:r>
        <w:rPr>
          <w:spacing w:val="-4"/>
        </w:rPr>
        <w:t> </w:t>
      </w:r>
      <w:r>
        <w:rPr/>
        <w:t>enfoque</w:t>
      </w:r>
      <w:r>
        <w:rPr>
          <w:spacing w:val="-8"/>
        </w:rPr>
        <w:t> </w:t>
      </w:r>
      <w:r>
        <w:rPr/>
        <w:t>general</w:t>
      </w:r>
      <w:r>
        <w:rPr>
          <w:spacing w:val="-5"/>
        </w:rPr>
        <w:t> </w:t>
      </w:r>
      <w:r>
        <w:rPr/>
        <w:t>sobre</w:t>
      </w:r>
      <w:r>
        <w:rPr>
          <w:spacing w:val="-7"/>
        </w:rPr>
        <w:t> </w:t>
      </w:r>
      <w:r>
        <w:rPr/>
        <w:t>el</w:t>
      </w:r>
      <w:r>
        <w:rPr>
          <w:spacing w:val="-5"/>
        </w:rPr>
        <w:t> </w:t>
      </w:r>
      <w:r>
        <w:rPr/>
        <w:t>desarrollo</w:t>
      </w:r>
      <w:r>
        <w:rPr>
          <w:spacing w:val="-4"/>
        </w:rPr>
        <w:t> </w:t>
      </w:r>
      <w:r>
        <w:rPr/>
        <w:t>social;</w:t>
      </w:r>
      <w:r>
        <w:rPr>
          <w:spacing w:val="-4"/>
        </w:rPr>
        <w:t> </w:t>
      </w:r>
      <w:r>
        <w:rPr/>
        <w:t>en</w:t>
      </w:r>
      <w:r>
        <w:rPr>
          <w:spacing w:val="-4"/>
        </w:rPr>
        <w:t> </w:t>
      </w:r>
      <w:r>
        <w:rPr/>
        <w:t>cuanto</w:t>
      </w:r>
      <w:r>
        <w:rPr>
          <w:spacing w:val="-6"/>
        </w:rPr>
        <w:t> </w:t>
      </w:r>
      <w:r>
        <w:rPr/>
        <w:t>a</w:t>
      </w:r>
      <w:r>
        <w:rPr>
          <w:spacing w:val="-4"/>
        </w:rPr>
        <w:t> </w:t>
      </w:r>
      <w:r>
        <w:rPr/>
        <w:t>los</w:t>
      </w:r>
      <w:r>
        <w:rPr>
          <w:spacing w:val="-4"/>
        </w:rPr>
        <w:t> </w:t>
      </w:r>
      <w:r>
        <w:rPr/>
        <w:t>gobiernos estatales podrán jugar un papel normativo de acuerdo a su conocimiento sobre las ventajas comparativas de su estado, además que puede priorizar la asignación de recursos por región y por tipo de acción. Para el caso, de los municipios, el papel que juegan en esta correlación es que esa institución tiene mayor claridad en cuanto a la localización geográfica de las necesidades y podrían direccionar las acciones. Estas son las ventajas de un sistema federalista, para la ejecución y concepción</w:t>
      </w:r>
      <w:r>
        <w:rPr>
          <w:spacing w:val="-16"/>
        </w:rPr>
        <w:t> </w:t>
      </w:r>
      <w:r>
        <w:rPr/>
        <w:t>de</w:t>
      </w:r>
      <w:r>
        <w:rPr>
          <w:spacing w:val="-17"/>
        </w:rPr>
        <w:t> </w:t>
      </w:r>
      <w:r>
        <w:rPr/>
        <w:t>la</w:t>
      </w:r>
      <w:r>
        <w:rPr>
          <w:spacing w:val="-17"/>
        </w:rPr>
        <w:t> </w:t>
      </w:r>
      <w:r>
        <w:rPr/>
        <w:t>política</w:t>
      </w:r>
      <w:r>
        <w:rPr>
          <w:spacing w:val="-17"/>
        </w:rPr>
        <w:t> </w:t>
      </w:r>
      <w:r>
        <w:rPr/>
        <w:t>social;</w:t>
      </w:r>
      <w:r>
        <w:rPr>
          <w:spacing w:val="-17"/>
        </w:rPr>
        <w:t> </w:t>
      </w:r>
      <w:r>
        <w:rPr/>
        <w:t>la</w:t>
      </w:r>
      <w:r>
        <w:rPr>
          <w:spacing w:val="-19"/>
        </w:rPr>
        <w:t> </w:t>
      </w:r>
      <w:r>
        <w:rPr/>
        <w:t>división</w:t>
      </w:r>
      <w:r>
        <w:rPr>
          <w:spacing w:val="-17"/>
        </w:rPr>
        <w:t> </w:t>
      </w:r>
      <w:r>
        <w:rPr/>
        <w:t>de</w:t>
      </w:r>
      <w:r>
        <w:rPr>
          <w:spacing w:val="-19"/>
        </w:rPr>
        <w:t> </w:t>
      </w:r>
      <w:r>
        <w:rPr/>
        <w:t>actividades</w:t>
      </w:r>
      <w:r>
        <w:rPr>
          <w:spacing w:val="-17"/>
        </w:rPr>
        <w:t> </w:t>
      </w:r>
      <w:r>
        <w:rPr/>
        <w:t>coadyuvaría</w:t>
      </w:r>
      <w:r>
        <w:rPr>
          <w:spacing w:val="-17"/>
        </w:rPr>
        <w:t> </w:t>
      </w:r>
      <w:r>
        <w:rPr/>
        <w:t>para</w:t>
      </w:r>
      <w:r>
        <w:rPr>
          <w:spacing w:val="-20"/>
        </w:rPr>
        <w:t> </w:t>
      </w:r>
      <w:r>
        <w:rPr/>
        <w:t>alcanzar el objetivo principal, que es el bienestar de la</w:t>
      </w:r>
      <w:r>
        <w:rPr>
          <w:spacing w:val="-16"/>
        </w:rPr>
        <w:t> </w:t>
      </w:r>
      <w:r>
        <w:rPr/>
        <w:t>sociedad.</w:t>
      </w:r>
    </w:p>
    <w:p>
      <w:pPr>
        <w:pStyle w:val="BodyText"/>
        <w:spacing w:line="360" w:lineRule="auto" w:before="204"/>
        <w:ind w:left="102" w:right="115"/>
        <w:jc w:val="both"/>
      </w:pPr>
      <w:r>
        <w:rPr/>
        <w:t>Es claro que aún en México, falta demasiada coordinación para lograr cimentar el sistema federal, sin embargo a través de las Relaciones Intergubernamentales instrumento</w:t>
      </w:r>
      <w:r>
        <w:rPr>
          <w:spacing w:val="-5"/>
        </w:rPr>
        <w:t> </w:t>
      </w:r>
      <w:r>
        <w:rPr/>
        <w:t>adecuado</w:t>
      </w:r>
      <w:r>
        <w:rPr>
          <w:spacing w:val="-4"/>
        </w:rPr>
        <w:t> </w:t>
      </w:r>
      <w:r>
        <w:rPr/>
        <w:t>entre</w:t>
      </w:r>
      <w:r>
        <w:rPr>
          <w:spacing w:val="-3"/>
        </w:rPr>
        <w:t> </w:t>
      </w:r>
      <w:r>
        <w:rPr/>
        <w:t>los</w:t>
      </w:r>
      <w:r>
        <w:rPr>
          <w:spacing w:val="-4"/>
        </w:rPr>
        <w:t> </w:t>
      </w:r>
      <w:r>
        <w:rPr/>
        <w:t>ámbitos</w:t>
      </w:r>
      <w:r>
        <w:rPr>
          <w:spacing w:val="-7"/>
        </w:rPr>
        <w:t> </w:t>
      </w:r>
      <w:r>
        <w:rPr/>
        <w:t>de</w:t>
      </w:r>
      <w:r>
        <w:rPr>
          <w:spacing w:val="-4"/>
        </w:rPr>
        <w:t> </w:t>
      </w:r>
      <w:r>
        <w:rPr/>
        <w:t>gobierno</w:t>
      </w:r>
      <w:r>
        <w:rPr>
          <w:spacing w:val="-3"/>
        </w:rPr>
        <w:t> </w:t>
      </w:r>
      <w:r>
        <w:rPr/>
        <w:t>se</w:t>
      </w:r>
      <w:r>
        <w:rPr>
          <w:spacing w:val="-6"/>
        </w:rPr>
        <w:t> </w:t>
      </w:r>
      <w:r>
        <w:rPr/>
        <w:t>trata</w:t>
      </w:r>
      <w:r>
        <w:rPr>
          <w:spacing w:val="-5"/>
        </w:rPr>
        <w:t> </w:t>
      </w:r>
      <w:r>
        <w:rPr/>
        <w:t>de</w:t>
      </w:r>
      <w:r>
        <w:rPr>
          <w:spacing w:val="-4"/>
        </w:rPr>
        <w:t> </w:t>
      </w:r>
      <w:r>
        <w:rPr/>
        <w:t>disminuir</w:t>
      </w:r>
      <w:r>
        <w:rPr>
          <w:spacing w:val="-6"/>
        </w:rPr>
        <w:t> </w:t>
      </w:r>
      <w:r>
        <w:rPr/>
        <w:t>esta</w:t>
      </w:r>
      <w:r>
        <w:rPr>
          <w:spacing w:val="-6"/>
        </w:rPr>
        <w:t> </w:t>
      </w:r>
      <w:r>
        <w:rPr/>
        <w:t>falta de coordinación; la descentralización por sí sola no es una solución óptima, ésta debe ir sin duda acompañada de la armonía entre las esferas de gobierno y más allá, como la relación entre los funcionarios, administrativos y servidores públicos de los tres ámbitos de gobierno, para lograr un impacto sólido en el desarrollo social.</w:t>
      </w:r>
    </w:p>
    <w:p>
      <w:pPr>
        <w:pStyle w:val="BodyText"/>
      </w:pPr>
    </w:p>
    <w:p>
      <w:pPr>
        <w:pStyle w:val="Heading1"/>
        <w:numPr>
          <w:ilvl w:val="1"/>
          <w:numId w:val="26"/>
        </w:numPr>
        <w:tabs>
          <w:tab w:pos="1185" w:val="left" w:leader="none"/>
        </w:tabs>
        <w:spacing w:line="240" w:lineRule="auto" w:before="205" w:after="0"/>
        <w:ind w:left="3462" w:right="0" w:hanging="2746"/>
        <w:jc w:val="left"/>
      </w:pPr>
      <w:bookmarkStart w:name="_TOC_250024" w:id="28"/>
      <w:r>
        <w:rPr/>
        <w:t>El Municipio (Origen, Concepto y Naturaleza</w:t>
      </w:r>
      <w:r>
        <w:rPr>
          <w:spacing w:val="-25"/>
        </w:rPr>
        <w:t> </w:t>
      </w:r>
      <w:bookmarkEnd w:id="28"/>
      <w:r>
        <w:rPr/>
        <w:t>Jurídica)</w:t>
      </w:r>
    </w:p>
    <w:p>
      <w:pPr>
        <w:pStyle w:val="BodyText"/>
        <w:rPr>
          <w:b/>
          <w:sz w:val="28"/>
        </w:rPr>
      </w:pPr>
    </w:p>
    <w:p>
      <w:pPr>
        <w:pStyle w:val="BodyText"/>
        <w:rPr>
          <w:b/>
          <w:sz w:val="28"/>
        </w:rPr>
      </w:pPr>
    </w:p>
    <w:p>
      <w:pPr>
        <w:pStyle w:val="BodyText"/>
        <w:rPr>
          <w:b/>
          <w:sz w:val="28"/>
        </w:rPr>
      </w:pPr>
    </w:p>
    <w:p>
      <w:pPr>
        <w:pStyle w:val="Heading2"/>
        <w:numPr>
          <w:ilvl w:val="0"/>
          <w:numId w:val="27"/>
        </w:numPr>
        <w:tabs>
          <w:tab w:pos="822" w:val="left" w:leader="none"/>
        </w:tabs>
        <w:spacing w:line="240" w:lineRule="auto" w:before="197" w:after="0"/>
        <w:ind w:left="822" w:right="0" w:hanging="360"/>
        <w:jc w:val="left"/>
      </w:pPr>
      <w:r>
        <w:rPr/>
        <w:t>Origen</w:t>
      </w:r>
    </w:p>
    <w:p>
      <w:pPr>
        <w:pStyle w:val="BodyText"/>
        <w:rPr>
          <w:b/>
        </w:rPr>
      </w:pPr>
    </w:p>
    <w:p>
      <w:pPr>
        <w:pStyle w:val="BodyText"/>
        <w:rPr>
          <w:b/>
        </w:rPr>
      </w:pPr>
    </w:p>
    <w:p>
      <w:pPr>
        <w:pStyle w:val="BodyText"/>
        <w:spacing w:line="360" w:lineRule="auto"/>
        <w:ind w:left="102" w:right="122"/>
        <w:jc w:val="both"/>
      </w:pPr>
      <w:r>
        <w:rPr/>
        <w:t>El</w:t>
      </w:r>
      <w:r>
        <w:rPr>
          <w:spacing w:val="-10"/>
        </w:rPr>
        <w:t> </w:t>
      </w:r>
      <w:r>
        <w:rPr/>
        <w:t>Municipio</w:t>
      </w:r>
      <w:r>
        <w:rPr>
          <w:spacing w:val="-11"/>
        </w:rPr>
        <w:t> </w:t>
      </w:r>
      <w:r>
        <w:rPr/>
        <w:t>es</w:t>
      </w:r>
      <w:r>
        <w:rPr>
          <w:spacing w:val="-12"/>
        </w:rPr>
        <w:t> </w:t>
      </w:r>
      <w:r>
        <w:rPr/>
        <w:t>una</w:t>
      </w:r>
      <w:r>
        <w:rPr>
          <w:spacing w:val="-11"/>
        </w:rPr>
        <w:t> </w:t>
      </w:r>
      <w:r>
        <w:rPr/>
        <w:t>de</w:t>
      </w:r>
      <w:r>
        <w:rPr>
          <w:spacing w:val="-11"/>
        </w:rPr>
        <w:t> </w:t>
      </w:r>
      <w:r>
        <w:rPr/>
        <w:t>las</w:t>
      </w:r>
      <w:r>
        <w:rPr>
          <w:spacing w:val="-9"/>
        </w:rPr>
        <w:t> </w:t>
      </w:r>
      <w:r>
        <w:rPr/>
        <w:t>instituciones</w:t>
      </w:r>
      <w:r>
        <w:rPr>
          <w:spacing w:val="-12"/>
        </w:rPr>
        <w:t> </w:t>
      </w:r>
      <w:r>
        <w:rPr/>
        <w:t>políticas</w:t>
      </w:r>
      <w:r>
        <w:rPr>
          <w:spacing w:val="-12"/>
        </w:rPr>
        <w:t> </w:t>
      </w:r>
      <w:r>
        <w:rPr/>
        <w:t>más</w:t>
      </w:r>
      <w:r>
        <w:rPr>
          <w:spacing w:val="-12"/>
        </w:rPr>
        <w:t> </w:t>
      </w:r>
      <w:r>
        <w:rPr/>
        <w:t>antiguas</w:t>
      </w:r>
      <w:r>
        <w:rPr>
          <w:spacing w:val="-12"/>
        </w:rPr>
        <w:t> </w:t>
      </w:r>
      <w:r>
        <w:rPr/>
        <w:t>de</w:t>
      </w:r>
      <w:r>
        <w:rPr>
          <w:spacing w:val="-11"/>
        </w:rPr>
        <w:t> </w:t>
      </w:r>
      <w:r>
        <w:rPr/>
        <w:t>la</w:t>
      </w:r>
      <w:r>
        <w:rPr>
          <w:spacing w:val="-11"/>
        </w:rPr>
        <w:t> </w:t>
      </w:r>
      <w:r>
        <w:rPr/>
        <w:t>humanidad,</w:t>
      </w:r>
      <w:r>
        <w:rPr>
          <w:spacing w:val="-11"/>
        </w:rPr>
        <w:t> </w:t>
      </w:r>
      <w:r>
        <w:rPr/>
        <w:t>por lo</w:t>
      </w:r>
      <w:r>
        <w:rPr>
          <w:spacing w:val="-13"/>
        </w:rPr>
        <w:t> </w:t>
      </w:r>
      <w:r>
        <w:rPr/>
        <w:t>que</w:t>
      </w:r>
      <w:r>
        <w:rPr>
          <w:spacing w:val="-13"/>
        </w:rPr>
        <w:t> </w:t>
      </w:r>
      <w:r>
        <w:rPr/>
        <w:t>sus</w:t>
      </w:r>
      <w:r>
        <w:rPr>
          <w:spacing w:val="-14"/>
        </w:rPr>
        <w:t> </w:t>
      </w:r>
      <w:r>
        <w:rPr/>
        <w:t>orígenes</w:t>
      </w:r>
      <w:r>
        <w:rPr>
          <w:spacing w:val="-14"/>
        </w:rPr>
        <w:t> </w:t>
      </w:r>
      <w:r>
        <w:rPr/>
        <w:t>deben</w:t>
      </w:r>
      <w:r>
        <w:rPr>
          <w:spacing w:val="-13"/>
        </w:rPr>
        <w:t> </w:t>
      </w:r>
      <w:r>
        <w:rPr/>
        <w:t>rastrearse</w:t>
      </w:r>
      <w:r>
        <w:rPr>
          <w:spacing w:val="-14"/>
        </w:rPr>
        <w:t> </w:t>
      </w:r>
      <w:r>
        <w:rPr/>
        <w:t>en</w:t>
      </w:r>
      <w:r>
        <w:rPr>
          <w:spacing w:val="-13"/>
        </w:rPr>
        <w:t> </w:t>
      </w:r>
      <w:r>
        <w:rPr/>
        <w:t>la</w:t>
      </w:r>
      <w:r>
        <w:rPr>
          <w:spacing w:val="-13"/>
        </w:rPr>
        <w:t> </w:t>
      </w:r>
      <w:r>
        <w:rPr/>
        <w:t>historia</w:t>
      </w:r>
      <w:r>
        <w:rPr>
          <w:spacing w:val="-13"/>
        </w:rPr>
        <w:t> </w:t>
      </w:r>
      <w:r>
        <w:rPr/>
        <w:t>de</w:t>
      </w:r>
      <w:r>
        <w:rPr>
          <w:spacing w:val="-13"/>
        </w:rPr>
        <w:t> </w:t>
      </w:r>
      <w:r>
        <w:rPr/>
        <w:t>las</w:t>
      </w:r>
      <w:r>
        <w:rPr>
          <w:spacing w:val="-13"/>
        </w:rPr>
        <w:t> </w:t>
      </w:r>
      <w:r>
        <w:rPr/>
        <w:t>grandes</w:t>
      </w:r>
      <w:r>
        <w:rPr>
          <w:spacing w:val="-14"/>
        </w:rPr>
        <w:t> </w:t>
      </w:r>
      <w:r>
        <w:rPr/>
        <w:t>civilizaciones</w:t>
      </w:r>
      <w:r>
        <w:rPr>
          <w:spacing w:val="-14"/>
        </w:rPr>
        <w:t> </w:t>
      </w:r>
      <w:r>
        <w:rPr/>
        <w:t>que generaron  un  elevado  sentido  de  la  concentración  del  poder  político,  el </w:t>
      </w:r>
      <w:r>
        <w:rPr>
          <w:spacing w:val="25"/>
        </w:rPr>
        <w:t> </w:t>
      </w:r>
      <w:r>
        <w:rPr/>
        <w:t>cual</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configuró también una extensa red de instituciones administrativas que controlaron la</w:t>
      </w:r>
      <w:r>
        <w:rPr>
          <w:spacing w:val="-6"/>
        </w:rPr>
        <w:t> </w:t>
      </w:r>
      <w:r>
        <w:rPr/>
        <w:t>marcha</w:t>
      </w:r>
      <w:r>
        <w:rPr>
          <w:spacing w:val="-8"/>
        </w:rPr>
        <w:t> </w:t>
      </w:r>
      <w:r>
        <w:rPr/>
        <w:t>de</w:t>
      </w:r>
      <w:r>
        <w:rPr>
          <w:spacing w:val="-8"/>
        </w:rPr>
        <w:t> </w:t>
      </w:r>
      <w:r>
        <w:rPr/>
        <w:t>la</w:t>
      </w:r>
      <w:r>
        <w:rPr>
          <w:spacing w:val="-9"/>
        </w:rPr>
        <w:t> </w:t>
      </w:r>
      <w:r>
        <w:rPr/>
        <w:t>vida</w:t>
      </w:r>
      <w:r>
        <w:rPr>
          <w:spacing w:val="-6"/>
        </w:rPr>
        <w:t> </w:t>
      </w:r>
      <w:r>
        <w:rPr/>
        <w:t>social</w:t>
      </w:r>
      <w:r>
        <w:rPr>
          <w:spacing w:val="-7"/>
        </w:rPr>
        <w:t> </w:t>
      </w:r>
      <w:r>
        <w:rPr/>
        <w:t>en</w:t>
      </w:r>
      <w:r>
        <w:rPr>
          <w:spacing w:val="-8"/>
        </w:rPr>
        <w:t> </w:t>
      </w:r>
      <w:r>
        <w:rPr/>
        <w:t>todas</w:t>
      </w:r>
      <w:r>
        <w:rPr>
          <w:spacing w:val="-9"/>
        </w:rPr>
        <w:t> </w:t>
      </w:r>
      <w:r>
        <w:rPr/>
        <w:t>sus</w:t>
      </w:r>
      <w:r>
        <w:rPr>
          <w:spacing w:val="-9"/>
        </w:rPr>
        <w:t> </w:t>
      </w:r>
      <w:r>
        <w:rPr/>
        <w:t>esferas.</w:t>
      </w:r>
      <w:r>
        <w:rPr>
          <w:spacing w:val="-6"/>
        </w:rPr>
        <w:t> </w:t>
      </w:r>
      <w:r>
        <w:rPr/>
        <w:t>Fue</w:t>
      </w:r>
      <w:r>
        <w:rPr>
          <w:spacing w:val="-8"/>
        </w:rPr>
        <w:t> </w:t>
      </w:r>
      <w:r>
        <w:rPr/>
        <w:t>en</w:t>
      </w:r>
      <w:r>
        <w:rPr>
          <w:spacing w:val="-6"/>
        </w:rPr>
        <w:t> </w:t>
      </w:r>
      <w:r>
        <w:rPr/>
        <w:t>la</w:t>
      </w:r>
      <w:r>
        <w:rPr>
          <w:spacing w:val="-6"/>
        </w:rPr>
        <w:t> </w:t>
      </w:r>
      <w:r>
        <w:rPr/>
        <w:t>Grecia</w:t>
      </w:r>
      <w:r>
        <w:rPr>
          <w:spacing w:val="-6"/>
        </w:rPr>
        <w:t> </w:t>
      </w:r>
      <w:r>
        <w:rPr/>
        <w:t>antigua</w:t>
      </w:r>
      <w:r>
        <w:rPr>
          <w:spacing w:val="-6"/>
        </w:rPr>
        <w:t> </w:t>
      </w:r>
      <w:r>
        <w:rPr/>
        <w:t>donde</w:t>
      </w:r>
      <w:r>
        <w:rPr>
          <w:spacing w:val="-8"/>
        </w:rPr>
        <w:t> </w:t>
      </w:r>
      <w:r>
        <w:rPr/>
        <w:t>se remonta el origen del municipio, donde la </w:t>
      </w:r>
      <w:r>
        <w:rPr>
          <w:i/>
        </w:rPr>
        <w:t>polis </w:t>
      </w:r>
      <w:r>
        <w:rPr/>
        <w:t>se consideró Ciudad-Estado y la figura del </w:t>
      </w:r>
      <w:r>
        <w:rPr>
          <w:i/>
        </w:rPr>
        <w:t>demos </w:t>
      </w:r>
      <w:r>
        <w:rPr/>
        <w:t>se identificó con el municipio. Sin embargo el auge del municipio se dio en</w:t>
      </w:r>
      <w:r>
        <w:rPr>
          <w:spacing w:val="-5"/>
        </w:rPr>
        <w:t> </w:t>
      </w:r>
      <w:r>
        <w:rPr/>
        <w:t>Roma.</w:t>
      </w:r>
    </w:p>
    <w:p>
      <w:pPr>
        <w:pStyle w:val="BodyText"/>
        <w:spacing w:before="3"/>
        <w:rPr>
          <w:sz w:val="21"/>
        </w:rPr>
      </w:pPr>
    </w:p>
    <w:p>
      <w:pPr>
        <w:pStyle w:val="BodyText"/>
        <w:spacing w:line="360" w:lineRule="auto"/>
        <w:ind w:left="102" w:right="123"/>
        <w:jc w:val="both"/>
      </w:pPr>
      <w:r>
        <w:rPr/>
        <w:t>El municipio como, institución milenaria que ha servido de base esencial a la organización de las colectividades en sus aspectos inmediatos de convivencia, remonta</w:t>
      </w:r>
      <w:r>
        <w:rPr>
          <w:spacing w:val="-4"/>
        </w:rPr>
        <w:t> </w:t>
      </w:r>
      <w:r>
        <w:rPr/>
        <w:t>su</w:t>
      </w:r>
      <w:r>
        <w:rPr>
          <w:spacing w:val="-5"/>
        </w:rPr>
        <w:t> </w:t>
      </w:r>
      <w:r>
        <w:rPr/>
        <w:t>surgimiento</w:t>
      </w:r>
      <w:r>
        <w:rPr>
          <w:spacing w:val="-5"/>
        </w:rPr>
        <w:t> </w:t>
      </w:r>
      <w:r>
        <w:rPr/>
        <w:t>a</w:t>
      </w:r>
      <w:r>
        <w:rPr>
          <w:spacing w:val="-5"/>
        </w:rPr>
        <w:t> </w:t>
      </w:r>
      <w:r>
        <w:rPr/>
        <w:t>la</w:t>
      </w:r>
      <w:r>
        <w:rPr>
          <w:spacing w:val="-5"/>
        </w:rPr>
        <w:t> </w:t>
      </w:r>
      <w:r>
        <w:rPr/>
        <w:t>antigüedad</w:t>
      </w:r>
      <w:r>
        <w:rPr>
          <w:spacing w:val="-5"/>
        </w:rPr>
        <w:t> </w:t>
      </w:r>
      <w:r>
        <w:rPr/>
        <w:t>clásica</w:t>
      </w:r>
      <w:r>
        <w:rPr>
          <w:spacing w:val="-5"/>
        </w:rPr>
        <w:t> </w:t>
      </w:r>
      <w:r>
        <w:rPr/>
        <w:t>del</w:t>
      </w:r>
      <w:r>
        <w:rPr>
          <w:spacing w:val="-6"/>
        </w:rPr>
        <w:t> </w:t>
      </w:r>
      <w:r>
        <w:rPr/>
        <w:t>mundo</w:t>
      </w:r>
      <w:r>
        <w:rPr>
          <w:spacing w:val="-5"/>
        </w:rPr>
        <w:t> </w:t>
      </w:r>
      <w:r>
        <w:rPr/>
        <w:t>romano.</w:t>
      </w:r>
      <w:r>
        <w:rPr>
          <w:spacing w:val="-7"/>
        </w:rPr>
        <w:t> </w:t>
      </w:r>
      <w:r>
        <w:rPr/>
        <w:t>Fue</w:t>
      </w:r>
      <w:r>
        <w:rPr>
          <w:spacing w:val="-5"/>
        </w:rPr>
        <w:t> </w:t>
      </w:r>
      <w:r>
        <w:rPr/>
        <w:t>el</w:t>
      </w:r>
      <w:r>
        <w:rPr>
          <w:spacing w:val="-6"/>
        </w:rPr>
        <w:t> </w:t>
      </w:r>
      <w:r>
        <w:rPr/>
        <w:t>Derecho Público de Roma el creador de esta institución, que habría de llegar a nuestro continente, muchos siglos después, por la influencia de la conquista</w:t>
      </w:r>
      <w:r>
        <w:rPr>
          <w:spacing w:val="-32"/>
        </w:rPr>
        <w:t> </w:t>
      </w:r>
      <w:r>
        <w:rPr/>
        <w:t>española.</w:t>
      </w:r>
    </w:p>
    <w:p>
      <w:pPr>
        <w:spacing w:before="204"/>
        <w:ind w:left="954" w:right="116" w:firstLine="0"/>
        <w:jc w:val="both"/>
        <w:rPr>
          <w:sz w:val="22"/>
        </w:rPr>
      </w:pPr>
      <w:r>
        <w:rPr>
          <w:sz w:val="22"/>
        </w:rPr>
        <w:t>La institución se matizó con algunas características de origen germánico, particularmente</w:t>
      </w:r>
      <w:r>
        <w:rPr>
          <w:spacing w:val="-10"/>
          <w:sz w:val="22"/>
        </w:rPr>
        <w:t> </w:t>
      </w:r>
      <w:r>
        <w:rPr>
          <w:sz w:val="22"/>
        </w:rPr>
        <w:t>visigodas,</w:t>
      </w:r>
      <w:r>
        <w:rPr>
          <w:spacing w:val="-9"/>
          <w:sz w:val="22"/>
        </w:rPr>
        <w:t> </w:t>
      </w:r>
      <w:r>
        <w:rPr>
          <w:sz w:val="22"/>
        </w:rPr>
        <w:t>como</w:t>
      </w:r>
      <w:r>
        <w:rPr>
          <w:spacing w:val="-9"/>
          <w:sz w:val="22"/>
        </w:rPr>
        <w:t> </w:t>
      </w:r>
      <w:r>
        <w:rPr>
          <w:sz w:val="22"/>
        </w:rPr>
        <w:t>el</w:t>
      </w:r>
      <w:r>
        <w:rPr>
          <w:spacing w:val="-6"/>
          <w:sz w:val="22"/>
        </w:rPr>
        <w:t> </w:t>
      </w:r>
      <w:r>
        <w:rPr>
          <w:i/>
          <w:sz w:val="22"/>
        </w:rPr>
        <w:t>conventus</w:t>
      </w:r>
      <w:r>
        <w:rPr>
          <w:i/>
          <w:spacing w:val="-9"/>
          <w:sz w:val="22"/>
        </w:rPr>
        <w:t> </w:t>
      </w:r>
      <w:r>
        <w:rPr>
          <w:i/>
          <w:sz w:val="22"/>
        </w:rPr>
        <w:t>publicus</w:t>
      </w:r>
      <w:r>
        <w:rPr>
          <w:i/>
          <w:spacing w:val="-7"/>
          <w:sz w:val="22"/>
        </w:rPr>
        <w:t> </w:t>
      </w:r>
      <w:r>
        <w:rPr>
          <w:i/>
          <w:sz w:val="22"/>
        </w:rPr>
        <w:t>vicinorum,</w:t>
      </w:r>
      <w:r>
        <w:rPr>
          <w:i/>
          <w:spacing w:val="-7"/>
          <w:sz w:val="22"/>
        </w:rPr>
        <w:t> </w:t>
      </w:r>
      <w:r>
        <w:rPr>
          <w:sz w:val="22"/>
        </w:rPr>
        <w:t>que</w:t>
      </w:r>
      <w:r>
        <w:rPr>
          <w:spacing w:val="-10"/>
          <w:sz w:val="22"/>
        </w:rPr>
        <w:t> </w:t>
      </w:r>
      <w:r>
        <w:rPr>
          <w:sz w:val="22"/>
        </w:rPr>
        <w:t>diera</w:t>
      </w:r>
      <w:r>
        <w:rPr>
          <w:spacing w:val="-7"/>
          <w:sz w:val="22"/>
        </w:rPr>
        <w:t> </w:t>
      </w:r>
      <w:r>
        <w:rPr>
          <w:sz w:val="22"/>
        </w:rPr>
        <w:t>origen a los cabildos abiertos del antiguo derecho español. Igualmente se debe destacar la notable influencia que las formas de organización de los árabes impregnaron a la vida municipal, duran su larga dominación de la península ibérica, con figuras como el alcalde, el alférez, los alamines, los alguaciles, el almotacén o los zalmedinas, cuyas funciones, en gran medida han trascendido hasta nuestro días (Quintanilla,</w:t>
      </w:r>
      <w:r>
        <w:rPr>
          <w:spacing w:val="-7"/>
          <w:sz w:val="22"/>
        </w:rPr>
        <w:t> </w:t>
      </w:r>
      <w:r>
        <w:rPr>
          <w:sz w:val="22"/>
        </w:rPr>
        <w:t>2007:423).</w:t>
      </w:r>
    </w:p>
    <w:p>
      <w:pPr>
        <w:pStyle w:val="BodyText"/>
        <w:rPr>
          <w:sz w:val="22"/>
        </w:rPr>
      </w:pPr>
    </w:p>
    <w:p>
      <w:pPr>
        <w:pStyle w:val="BodyText"/>
        <w:rPr>
          <w:sz w:val="22"/>
        </w:rPr>
      </w:pPr>
    </w:p>
    <w:p>
      <w:pPr>
        <w:pStyle w:val="BodyText"/>
      </w:pPr>
    </w:p>
    <w:p>
      <w:pPr>
        <w:pStyle w:val="Heading2"/>
        <w:numPr>
          <w:ilvl w:val="0"/>
          <w:numId w:val="27"/>
        </w:numPr>
        <w:tabs>
          <w:tab w:pos="822" w:val="left" w:leader="none"/>
        </w:tabs>
        <w:spacing w:line="240" w:lineRule="auto" w:before="0" w:after="0"/>
        <w:ind w:left="822" w:right="0" w:hanging="360"/>
        <w:jc w:val="both"/>
      </w:pPr>
      <w:r>
        <w:rPr/>
        <w:t>Concepto</w:t>
      </w:r>
    </w:p>
    <w:p>
      <w:pPr>
        <w:pStyle w:val="BodyText"/>
        <w:rPr>
          <w:b/>
        </w:rPr>
      </w:pPr>
    </w:p>
    <w:p>
      <w:pPr>
        <w:pStyle w:val="BodyText"/>
        <w:rPr>
          <w:b/>
        </w:rPr>
      </w:pPr>
    </w:p>
    <w:p>
      <w:pPr>
        <w:pStyle w:val="BodyText"/>
        <w:spacing w:line="360" w:lineRule="auto"/>
        <w:ind w:left="461" w:right="117"/>
        <w:jc w:val="both"/>
      </w:pPr>
      <w:r>
        <w:rPr/>
        <w:t>En el Diccionario de Derecho de Pina Vara define al municipio como el</w:t>
      </w:r>
      <w:r>
        <w:rPr>
          <w:spacing w:val="-45"/>
        </w:rPr>
        <w:t> </w:t>
      </w:r>
      <w:r>
        <w:rPr/>
        <w:t>conjunto de habitantes de un mismo término jurisdiccional, regido en sus intereses vecinales por un</w:t>
      </w:r>
      <w:r>
        <w:rPr>
          <w:spacing w:val="-10"/>
        </w:rPr>
        <w:t> </w:t>
      </w:r>
      <w:r>
        <w:rPr/>
        <w:t>Ayuntamiento.</w:t>
      </w:r>
    </w:p>
    <w:p>
      <w:pPr>
        <w:pStyle w:val="BodyText"/>
      </w:pPr>
    </w:p>
    <w:p>
      <w:pPr>
        <w:pStyle w:val="BodyText"/>
        <w:spacing w:before="7"/>
        <w:rPr>
          <w:sz w:val="29"/>
        </w:rPr>
      </w:pPr>
    </w:p>
    <w:p>
      <w:pPr>
        <w:spacing w:before="0"/>
        <w:ind w:left="954" w:right="115" w:firstLine="0"/>
        <w:jc w:val="both"/>
        <w:rPr>
          <w:sz w:val="22"/>
        </w:rPr>
      </w:pPr>
      <w:r>
        <w:rPr>
          <w:sz w:val="22"/>
        </w:rPr>
        <w:t>El vocablo municipio proviene del latín </w:t>
      </w:r>
      <w:r>
        <w:rPr>
          <w:i/>
          <w:sz w:val="22"/>
        </w:rPr>
        <w:t>munus </w:t>
      </w:r>
      <w:r>
        <w:rPr>
          <w:sz w:val="22"/>
        </w:rPr>
        <w:t>–cargas u obligaciones y del verbo </w:t>
      </w:r>
      <w:r>
        <w:rPr>
          <w:i/>
          <w:sz w:val="22"/>
        </w:rPr>
        <w:t>capere </w:t>
      </w:r>
      <w:r>
        <w:rPr>
          <w:sz w:val="22"/>
        </w:rPr>
        <w:t>–tomar, hacerse cargo de algo. De la conjunción de estas dos palabras surgió el término </w:t>
      </w:r>
      <w:r>
        <w:rPr>
          <w:i/>
          <w:sz w:val="22"/>
        </w:rPr>
        <w:t>municipium </w:t>
      </w:r>
      <w:r>
        <w:rPr>
          <w:sz w:val="22"/>
        </w:rPr>
        <w:t>que definió etimológicamente a las poblaciones en las que los ciudadanos tomaban para si las cargas, tanto personales como patrimoniales, necesarias para atender lo relativo a los asuntos y servicios</w:t>
      </w:r>
      <w:r>
        <w:rPr>
          <w:spacing w:val="-32"/>
          <w:sz w:val="22"/>
        </w:rPr>
        <w:t> </w:t>
      </w:r>
      <w:r>
        <w:rPr>
          <w:sz w:val="22"/>
        </w:rPr>
        <w:t>locales de</w:t>
      </w:r>
      <w:r>
        <w:rPr>
          <w:spacing w:val="-3"/>
          <w:sz w:val="22"/>
        </w:rPr>
        <w:t> </w:t>
      </w:r>
      <w:r>
        <w:rPr>
          <w:sz w:val="22"/>
        </w:rPr>
        <w:t>esas</w:t>
      </w:r>
      <w:r>
        <w:rPr>
          <w:spacing w:val="-5"/>
          <w:sz w:val="22"/>
        </w:rPr>
        <w:t> </w:t>
      </w:r>
      <w:r>
        <w:rPr>
          <w:sz w:val="22"/>
        </w:rPr>
        <w:t>comunidades.</w:t>
      </w:r>
      <w:r>
        <w:rPr>
          <w:spacing w:val="-4"/>
          <w:sz w:val="22"/>
        </w:rPr>
        <w:t> </w:t>
      </w:r>
      <w:r>
        <w:rPr>
          <w:sz w:val="22"/>
        </w:rPr>
        <w:t>De</w:t>
      </w:r>
      <w:r>
        <w:rPr>
          <w:spacing w:val="-3"/>
          <w:sz w:val="22"/>
        </w:rPr>
        <w:t> </w:t>
      </w:r>
      <w:r>
        <w:rPr>
          <w:sz w:val="22"/>
        </w:rPr>
        <w:t>ahí</w:t>
      </w:r>
      <w:r>
        <w:rPr>
          <w:spacing w:val="-6"/>
          <w:sz w:val="22"/>
        </w:rPr>
        <w:t> </w:t>
      </w:r>
      <w:r>
        <w:rPr>
          <w:sz w:val="22"/>
        </w:rPr>
        <w:t>deriva</w:t>
      </w:r>
      <w:r>
        <w:rPr>
          <w:spacing w:val="-3"/>
          <w:sz w:val="22"/>
        </w:rPr>
        <w:t> </w:t>
      </w:r>
      <w:r>
        <w:rPr>
          <w:sz w:val="22"/>
        </w:rPr>
        <w:t>el</w:t>
      </w:r>
      <w:r>
        <w:rPr>
          <w:spacing w:val="-4"/>
          <w:sz w:val="22"/>
        </w:rPr>
        <w:t> </w:t>
      </w:r>
      <w:r>
        <w:rPr>
          <w:sz w:val="22"/>
        </w:rPr>
        <w:t>concepto</w:t>
      </w:r>
      <w:r>
        <w:rPr>
          <w:spacing w:val="-7"/>
          <w:sz w:val="22"/>
        </w:rPr>
        <w:t> </w:t>
      </w:r>
      <w:r>
        <w:rPr>
          <w:i/>
          <w:sz w:val="22"/>
        </w:rPr>
        <w:t>munícipe,</w:t>
      </w:r>
      <w:r>
        <w:rPr>
          <w:i/>
          <w:spacing w:val="-4"/>
          <w:sz w:val="22"/>
        </w:rPr>
        <w:t> </w:t>
      </w:r>
      <w:r>
        <w:rPr>
          <w:sz w:val="22"/>
        </w:rPr>
        <w:t>que</w:t>
      </w:r>
      <w:r>
        <w:rPr>
          <w:spacing w:val="-6"/>
          <w:sz w:val="22"/>
        </w:rPr>
        <w:t> </w:t>
      </w:r>
      <w:r>
        <w:rPr>
          <w:sz w:val="22"/>
        </w:rPr>
        <w:t>hace</w:t>
      </w:r>
      <w:r>
        <w:rPr>
          <w:spacing w:val="-5"/>
          <w:sz w:val="22"/>
        </w:rPr>
        <w:t> </w:t>
      </w:r>
      <w:r>
        <w:rPr>
          <w:sz w:val="22"/>
        </w:rPr>
        <w:t>alusión</w:t>
      </w:r>
      <w:r>
        <w:rPr>
          <w:spacing w:val="-3"/>
          <w:sz w:val="22"/>
        </w:rPr>
        <w:t> </w:t>
      </w:r>
      <w:r>
        <w:rPr>
          <w:sz w:val="22"/>
        </w:rPr>
        <w:t>a</w:t>
      </w:r>
      <w:r>
        <w:rPr>
          <w:spacing w:val="-3"/>
          <w:sz w:val="22"/>
        </w:rPr>
        <w:t> los </w:t>
      </w:r>
      <w:r>
        <w:rPr>
          <w:sz w:val="22"/>
        </w:rPr>
        <w:t>propios</w:t>
      </w:r>
      <w:r>
        <w:rPr>
          <w:spacing w:val="-8"/>
          <w:sz w:val="22"/>
        </w:rPr>
        <w:t> </w:t>
      </w:r>
      <w:r>
        <w:rPr>
          <w:sz w:val="22"/>
        </w:rPr>
        <w:t>gobernantes</w:t>
      </w:r>
      <w:r>
        <w:rPr>
          <w:spacing w:val="-8"/>
          <w:sz w:val="22"/>
        </w:rPr>
        <w:t> </w:t>
      </w:r>
      <w:r>
        <w:rPr>
          <w:sz w:val="22"/>
        </w:rPr>
        <w:t>o</w:t>
      </w:r>
      <w:r>
        <w:rPr>
          <w:spacing w:val="-5"/>
          <w:sz w:val="22"/>
        </w:rPr>
        <w:t> </w:t>
      </w:r>
      <w:r>
        <w:rPr>
          <w:sz w:val="22"/>
        </w:rPr>
        <w:t>a</w:t>
      </w:r>
      <w:r>
        <w:rPr>
          <w:spacing w:val="-10"/>
          <w:sz w:val="22"/>
        </w:rPr>
        <w:t> </w:t>
      </w:r>
      <w:r>
        <w:rPr>
          <w:sz w:val="22"/>
        </w:rPr>
        <w:t>los</w:t>
      </w:r>
      <w:r>
        <w:rPr>
          <w:spacing w:val="-5"/>
          <w:sz w:val="22"/>
        </w:rPr>
        <w:t> </w:t>
      </w:r>
      <w:r>
        <w:rPr>
          <w:sz w:val="22"/>
        </w:rPr>
        <w:t>habitantes</w:t>
      </w:r>
      <w:r>
        <w:rPr>
          <w:spacing w:val="-8"/>
          <w:sz w:val="22"/>
        </w:rPr>
        <w:t> </w:t>
      </w:r>
      <w:r>
        <w:rPr>
          <w:sz w:val="22"/>
        </w:rPr>
        <w:t>de</w:t>
      </w:r>
      <w:r>
        <w:rPr>
          <w:spacing w:val="-6"/>
          <w:sz w:val="22"/>
        </w:rPr>
        <w:t> </w:t>
      </w:r>
      <w:r>
        <w:rPr>
          <w:sz w:val="22"/>
        </w:rPr>
        <w:t>las</w:t>
      </w:r>
      <w:r>
        <w:rPr>
          <w:spacing w:val="-7"/>
          <w:sz w:val="22"/>
        </w:rPr>
        <w:t> </w:t>
      </w:r>
      <w:r>
        <w:rPr>
          <w:sz w:val="22"/>
        </w:rPr>
        <w:t>circunscripciones</w:t>
      </w:r>
      <w:r>
        <w:rPr>
          <w:spacing w:val="-8"/>
          <w:sz w:val="22"/>
        </w:rPr>
        <w:t> </w:t>
      </w:r>
      <w:r>
        <w:rPr>
          <w:sz w:val="22"/>
        </w:rPr>
        <w:t>municipales</w:t>
      </w:r>
      <w:r>
        <w:rPr>
          <w:spacing w:val="-4"/>
          <w:sz w:val="22"/>
        </w:rPr>
        <w:t> </w:t>
      </w:r>
      <w:r>
        <w:rPr>
          <w:sz w:val="22"/>
        </w:rPr>
        <w:t>(Mata y Valdés,</w:t>
      </w:r>
      <w:r>
        <w:rPr>
          <w:spacing w:val="-3"/>
          <w:sz w:val="22"/>
        </w:rPr>
        <w:t> </w:t>
      </w:r>
      <w:r>
        <w:rPr>
          <w:sz w:val="22"/>
        </w:rPr>
        <w:t>2003:255).</w:t>
      </w:r>
    </w:p>
    <w:p>
      <w:pPr>
        <w:pStyle w:val="BodyText"/>
        <w:spacing w:before="3"/>
        <w:rPr>
          <w:sz w:val="17"/>
        </w:rPr>
      </w:pPr>
    </w:p>
    <w:p>
      <w:pPr>
        <w:pStyle w:val="BodyText"/>
        <w:spacing w:line="360" w:lineRule="auto"/>
        <w:ind w:left="102" w:right="121"/>
        <w:jc w:val="both"/>
      </w:pPr>
      <w:r>
        <w:rPr/>
        <w:t>Sí, bien es cierto que existe una diversidad de conceptos dentro de la doctrina municipal, sobre esta institución, también es cierto, que no es posible abarcar</w:t>
      </w:r>
      <w:r>
        <w:rPr>
          <w:spacing w:val="-33"/>
        </w:rPr>
        <w:t> </w:t>
      </w:r>
      <w:r>
        <w:rPr/>
        <w:t>cada</w:t>
      </w:r>
    </w:p>
    <w:p>
      <w:pPr>
        <w:spacing w:after="0" w:line="360" w:lineRule="auto"/>
        <w:jc w:val="both"/>
        <w:sectPr>
          <w:pgSz w:w="12240" w:h="15840"/>
          <w:pgMar w:header="0" w:footer="992" w:top="1360" w:bottom="1180" w:left="1600" w:right="1580"/>
        </w:sectPr>
      </w:pPr>
    </w:p>
    <w:p>
      <w:pPr>
        <w:pStyle w:val="BodyText"/>
        <w:spacing w:line="360" w:lineRule="auto" w:before="54"/>
        <w:ind w:left="102" w:right="114"/>
        <w:jc w:val="both"/>
      </w:pPr>
      <w:r>
        <w:rPr/>
        <w:t>una de ellas, es por eso que sólo se partirá de las siguientes: primero para Hernández</w:t>
      </w:r>
      <w:r>
        <w:rPr>
          <w:spacing w:val="-19"/>
        </w:rPr>
        <w:t> </w:t>
      </w:r>
      <w:r>
        <w:rPr/>
        <w:t>(1991)</w:t>
      </w:r>
      <w:r>
        <w:rPr>
          <w:spacing w:val="-19"/>
        </w:rPr>
        <w:t> </w:t>
      </w:r>
      <w:r>
        <w:rPr/>
        <w:t>el</w:t>
      </w:r>
      <w:r>
        <w:rPr>
          <w:spacing w:val="-19"/>
        </w:rPr>
        <w:t> </w:t>
      </w:r>
      <w:r>
        <w:rPr/>
        <w:t>municipio</w:t>
      </w:r>
      <w:r>
        <w:rPr>
          <w:spacing w:val="-18"/>
        </w:rPr>
        <w:t> </w:t>
      </w:r>
      <w:r>
        <w:rPr/>
        <w:t>es</w:t>
      </w:r>
      <w:r>
        <w:rPr>
          <w:spacing w:val="-19"/>
        </w:rPr>
        <w:t> </w:t>
      </w:r>
      <w:r>
        <w:rPr/>
        <w:t>una</w:t>
      </w:r>
      <w:r>
        <w:rPr>
          <w:spacing w:val="-18"/>
        </w:rPr>
        <w:t> </w:t>
      </w:r>
      <w:r>
        <w:rPr/>
        <w:t>persona</w:t>
      </w:r>
      <w:r>
        <w:rPr>
          <w:spacing w:val="-16"/>
        </w:rPr>
        <w:t> </w:t>
      </w:r>
      <w:r>
        <w:rPr/>
        <w:t>de</w:t>
      </w:r>
      <w:r>
        <w:rPr>
          <w:spacing w:val="-18"/>
        </w:rPr>
        <w:t> </w:t>
      </w:r>
      <w:r>
        <w:rPr/>
        <w:t>derecho</w:t>
      </w:r>
      <w:r>
        <w:rPr>
          <w:spacing w:val="-15"/>
        </w:rPr>
        <w:t> </w:t>
      </w:r>
      <w:r>
        <w:rPr/>
        <w:t>público</w:t>
      </w:r>
      <w:r>
        <w:rPr>
          <w:spacing w:val="-17"/>
        </w:rPr>
        <w:t> </w:t>
      </w:r>
      <w:r>
        <w:rPr/>
        <w:t>que</w:t>
      </w:r>
      <w:r>
        <w:rPr>
          <w:spacing w:val="-16"/>
        </w:rPr>
        <w:t> </w:t>
      </w:r>
      <w:r>
        <w:rPr/>
        <w:t>se</w:t>
      </w:r>
      <w:r>
        <w:rPr>
          <w:spacing w:val="-16"/>
        </w:rPr>
        <w:t> </w:t>
      </w:r>
      <w:r>
        <w:rPr/>
        <w:t>constituye por un territorio determinado, que tiene como fin administrar sus propios recursos, pero que depende en mayor o menor medida de una entidad pública superior (entidades federativas). Para el caso de Huerta (1985) municipio es la entidad política jurídica integrada por una población asentada en un espacio geográfico determinado administrativamente, que tiene unidad de gobierno y se rige por normas jurídicas de acuerdo con sus propios</w:t>
      </w:r>
      <w:r>
        <w:rPr>
          <w:spacing w:val="-16"/>
        </w:rPr>
        <w:t> </w:t>
      </w:r>
      <w:r>
        <w:rPr/>
        <w:t>fines.</w:t>
      </w:r>
    </w:p>
    <w:p>
      <w:pPr>
        <w:pStyle w:val="BodyText"/>
        <w:spacing w:line="360" w:lineRule="auto" w:before="205"/>
        <w:ind w:left="102" w:right="115"/>
        <w:jc w:val="both"/>
      </w:pPr>
      <w:r>
        <w:rPr/>
        <w:t>En esta connotación hay dos elementos importantes; elementos que dan la base y el</w:t>
      </w:r>
      <w:r>
        <w:rPr>
          <w:spacing w:val="-18"/>
        </w:rPr>
        <w:t> </w:t>
      </w:r>
      <w:r>
        <w:rPr/>
        <w:t>motivo</w:t>
      </w:r>
      <w:r>
        <w:rPr>
          <w:spacing w:val="-17"/>
        </w:rPr>
        <w:t> </w:t>
      </w:r>
      <w:r>
        <w:rPr/>
        <w:t>del</w:t>
      </w:r>
      <w:r>
        <w:rPr>
          <w:spacing w:val="-18"/>
        </w:rPr>
        <w:t> </w:t>
      </w:r>
      <w:r>
        <w:rPr/>
        <w:t>porque</w:t>
      </w:r>
      <w:r>
        <w:rPr>
          <w:spacing w:val="-17"/>
        </w:rPr>
        <w:t> </w:t>
      </w:r>
      <w:r>
        <w:rPr/>
        <w:t>tantas</w:t>
      </w:r>
      <w:r>
        <w:rPr>
          <w:spacing w:val="-18"/>
        </w:rPr>
        <w:t> </w:t>
      </w:r>
      <w:r>
        <w:rPr/>
        <w:t>tesis</w:t>
      </w:r>
      <w:r>
        <w:rPr>
          <w:spacing w:val="-18"/>
        </w:rPr>
        <w:t> </w:t>
      </w:r>
      <w:r>
        <w:rPr/>
        <w:t>alrededor</w:t>
      </w:r>
      <w:r>
        <w:rPr>
          <w:spacing w:val="-18"/>
        </w:rPr>
        <w:t> </w:t>
      </w:r>
      <w:r>
        <w:rPr/>
        <w:t>de</w:t>
      </w:r>
      <w:r>
        <w:rPr>
          <w:spacing w:val="-19"/>
        </w:rPr>
        <w:t> </w:t>
      </w:r>
      <w:r>
        <w:rPr/>
        <w:t>esté</w:t>
      </w:r>
      <w:r>
        <w:rPr>
          <w:spacing w:val="-17"/>
        </w:rPr>
        <w:t> </w:t>
      </w:r>
      <w:r>
        <w:rPr/>
        <w:t>concepto,</w:t>
      </w:r>
      <w:r>
        <w:rPr>
          <w:spacing w:val="-17"/>
        </w:rPr>
        <w:t> </w:t>
      </w:r>
      <w:r>
        <w:rPr/>
        <w:t>los</w:t>
      </w:r>
      <w:r>
        <w:rPr>
          <w:spacing w:val="-17"/>
        </w:rPr>
        <w:t> </w:t>
      </w:r>
      <w:r>
        <w:rPr/>
        <w:t>cuales</w:t>
      </w:r>
      <w:r>
        <w:rPr>
          <w:spacing w:val="-17"/>
        </w:rPr>
        <w:t> </w:t>
      </w:r>
      <w:r>
        <w:rPr/>
        <w:t>son:</w:t>
      </w:r>
      <w:r>
        <w:rPr>
          <w:spacing w:val="-17"/>
        </w:rPr>
        <w:t> </w:t>
      </w:r>
      <w:r>
        <w:rPr/>
        <w:t>la</w:t>
      </w:r>
      <w:r>
        <w:rPr>
          <w:spacing w:val="-19"/>
        </w:rPr>
        <w:t> </w:t>
      </w:r>
      <w:r>
        <w:rPr/>
        <w:t>figura sociopolítica</w:t>
      </w:r>
      <w:r>
        <w:rPr>
          <w:spacing w:val="-11"/>
        </w:rPr>
        <w:t> </w:t>
      </w:r>
      <w:r>
        <w:rPr/>
        <w:t>y</w:t>
      </w:r>
      <w:r>
        <w:rPr>
          <w:spacing w:val="-13"/>
        </w:rPr>
        <w:t> </w:t>
      </w:r>
      <w:r>
        <w:rPr/>
        <w:t>jurídica.</w:t>
      </w:r>
      <w:r>
        <w:rPr>
          <w:spacing w:val="-10"/>
        </w:rPr>
        <w:t> </w:t>
      </w:r>
      <w:r>
        <w:rPr/>
        <w:t>La</w:t>
      </w:r>
      <w:r>
        <w:rPr>
          <w:spacing w:val="-11"/>
        </w:rPr>
        <w:t> </w:t>
      </w:r>
      <w:r>
        <w:rPr/>
        <w:t>primera</w:t>
      </w:r>
      <w:r>
        <w:rPr>
          <w:spacing w:val="-11"/>
        </w:rPr>
        <w:t> </w:t>
      </w:r>
      <w:r>
        <w:rPr/>
        <w:t>se</w:t>
      </w:r>
      <w:r>
        <w:rPr>
          <w:spacing w:val="-11"/>
        </w:rPr>
        <w:t> </w:t>
      </w:r>
      <w:r>
        <w:rPr/>
        <w:t>deriva</w:t>
      </w:r>
      <w:r>
        <w:rPr>
          <w:spacing w:val="-9"/>
        </w:rPr>
        <w:t> </w:t>
      </w:r>
      <w:r>
        <w:rPr/>
        <w:t>de</w:t>
      </w:r>
      <w:r>
        <w:rPr>
          <w:spacing w:val="-11"/>
        </w:rPr>
        <w:t> </w:t>
      </w:r>
      <w:r>
        <w:rPr/>
        <w:t>la</w:t>
      </w:r>
      <w:r>
        <w:rPr>
          <w:spacing w:val="-11"/>
        </w:rPr>
        <w:t> </w:t>
      </w:r>
      <w:r>
        <w:rPr/>
        <w:t>necesidad</w:t>
      </w:r>
      <w:r>
        <w:rPr>
          <w:spacing w:val="-13"/>
        </w:rPr>
        <w:t> </w:t>
      </w:r>
      <w:r>
        <w:rPr/>
        <w:t>del</w:t>
      </w:r>
      <w:r>
        <w:rPr>
          <w:spacing w:val="-12"/>
        </w:rPr>
        <w:t> </w:t>
      </w:r>
      <w:r>
        <w:rPr/>
        <w:t>hombre</w:t>
      </w:r>
      <w:r>
        <w:rPr>
          <w:spacing w:val="-11"/>
        </w:rPr>
        <w:t> </w:t>
      </w:r>
      <w:r>
        <w:rPr/>
        <w:t>de</w:t>
      </w:r>
      <w:r>
        <w:rPr>
          <w:spacing w:val="-11"/>
        </w:rPr>
        <w:t> </w:t>
      </w:r>
      <w:r>
        <w:rPr/>
        <w:t>reunirse en</w:t>
      </w:r>
      <w:r>
        <w:rPr>
          <w:spacing w:val="-5"/>
        </w:rPr>
        <w:t> </w:t>
      </w:r>
      <w:r>
        <w:rPr/>
        <w:t>grupos,</w:t>
      </w:r>
      <w:r>
        <w:rPr>
          <w:spacing w:val="-7"/>
        </w:rPr>
        <w:t> </w:t>
      </w:r>
      <w:r>
        <w:rPr/>
        <w:t>con</w:t>
      </w:r>
      <w:r>
        <w:rPr>
          <w:spacing w:val="-5"/>
        </w:rPr>
        <w:t> </w:t>
      </w:r>
      <w:r>
        <w:rPr/>
        <w:t>un</w:t>
      </w:r>
      <w:r>
        <w:rPr>
          <w:spacing w:val="-5"/>
        </w:rPr>
        <w:t> </w:t>
      </w:r>
      <w:r>
        <w:rPr/>
        <w:t>determinado</w:t>
      </w:r>
      <w:r>
        <w:rPr>
          <w:spacing w:val="-5"/>
        </w:rPr>
        <w:t> </w:t>
      </w:r>
      <w:r>
        <w:rPr/>
        <w:t>territorio,</w:t>
      </w:r>
      <w:r>
        <w:rPr>
          <w:spacing w:val="-5"/>
        </w:rPr>
        <w:t> </w:t>
      </w:r>
      <w:r>
        <w:rPr/>
        <w:t>para</w:t>
      </w:r>
      <w:r>
        <w:rPr>
          <w:spacing w:val="-8"/>
        </w:rPr>
        <w:t> </w:t>
      </w:r>
      <w:r>
        <w:rPr/>
        <w:t>hacer</w:t>
      </w:r>
      <w:r>
        <w:rPr>
          <w:spacing w:val="-8"/>
        </w:rPr>
        <w:t> </w:t>
      </w:r>
      <w:r>
        <w:rPr/>
        <w:t>frente</w:t>
      </w:r>
      <w:r>
        <w:rPr>
          <w:spacing w:val="-5"/>
        </w:rPr>
        <w:t> </w:t>
      </w:r>
      <w:r>
        <w:rPr/>
        <w:t>a</w:t>
      </w:r>
      <w:r>
        <w:rPr>
          <w:spacing w:val="-7"/>
        </w:rPr>
        <w:t> </w:t>
      </w:r>
      <w:r>
        <w:rPr/>
        <w:t>las</w:t>
      </w:r>
      <w:r>
        <w:rPr>
          <w:spacing w:val="-7"/>
        </w:rPr>
        <w:t> </w:t>
      </w:r>
      <w:r>
        <w:rPr/>
        <w:t>necesidades</w:t>
      </w:r>
      <w:r>
        <w:rPr>
          <w:spacing w:val="-5"/>
        </w:rPr>
        <w:t> </w:t>
      </w:r>
      <w:r>
        <w:rPr/>
        <w:t>de</w:t>
      </w:r>
      <w:r>
        <w:rPr>
          <w:spacing w:val="-5"/>
        </w:rPr>
        <w:t> </w:t>
      </w:r>
      <w:r>
        <w:rPr/>
        <w:t>su grupo;</w:t>
      </w:r>
      <w:r>
        <w:rPr>
          <w:spacing w:val="-7"/>
        </w:rPr>
        <w:t> </w:t>
      </w:r>
      <w:r>
        <w:rPr/>
        <w:t>el</w:t>
      </w:r>
      <w:r>
        <w:rPr>
          <w:spacing w:val="-8"/>
        </w:rPr>
        <w:t> </w:t>
      </w:r>
      <w:r>
        <w:rPr/>
        <w:t>municipio,</w:t>
      </w:r>
      <w:r>
        <w:rPr>
          <w:spacing w:val="-7"/>
        </w:rPr>
        <w:t> </w:t>
      </w:r>
      <w:r>
        <w:rPr/>
        <w:t>en</w:t>
      </w:r>
      <w:r>
        <w:rPr>
          <w:spacing w:val="-9"/>
        </w:rPr>
        <w:t> </w:t>
      </w:r>
      <w:r>
        <w:rPr/>
        <w:t>esta</w:t>
      </w:r>
      <w:r>
        <w:rPr>
          <w:spacing w:val="-7"/>
        </w:rPr>
        <w:t> </w:t>
      </w:r>
      <w:r>
        <w:rPr/>
        <w:t>perspectiva,</w:t>
      </w:r>
      <w:r>
        <w:rPr>
          <w:spacing w:val="-7"/>
        </w:rPr>
        <w:t> </w:t>
      </w:r>
      <w:r>
        <w:rPr/>
        <w:t>es</w:t>
      </w:r>
      <w:r>
        <w:rPr>
          <w:spacing w:val="-8"/>
        </w:rPr>
        <w:t> </w:t>
      </w:r>
      <w:r>
        <w:rPr/>
        <w:t>una</w:t>
      </w:r>
      <w:r>
        <w:rPr>
          <w:spacing w:val="-7"/>
        </w:rPr>
        <w:t> </w:t>
      </w:r>
      <w:r>
        <w:rPr/>
        <w:t>institución</w:t>
      </w:r>
      <w:r>
        <w:rPr>
          <w:spacing w:val="-7"/>
        </w:rPr>
        <w:t> </w:t>
      </w:r>
      <w:r>
        <w:rPr/>
        <w:t>producto</w:t>
      </w:r>
      <w:r>
        <w:rPr>
          <w:spacing w:val="-9"/>
        </w:rPr>
        <w:t> </w:t>
      </w:r>
      <w:r>
        <w:rPr/>
        <w:t>de</w:t>
      </w:r>
      <w:r>
        <w:rPr>
          <w:spacing w:val="-7"/>
        </w:rPr>
        <w:t> </w:t>
      </w:r>
      <w:r>
        <w:rPr/>
        <w:t>la</w:t>
      </w:r>
      <w:r>
        <w:rPr>
          <w:spacing w:val="-7"/>
        </w:rPr>
        <w:t> </w:t>
      </w:r>
      <w:r>
        <w:rPr/>
        <w:t>evolución social. Esta figura sociopolítica también suele llamarse como una corriente naturalista.</w:t>
      </w:r>
      <w:r>
        <w:rPr>
          <w:spacing w:val="-4"/>
        </w:rPr>
        <w:t> </w:t>
      </w:r>
      <w:r>
        <w:rPr/>
        <w:t>Por</w:t>
      </w:r>
      <w:r>
        <w:rPr>
          <w:spacing w:val="-5"/>
        </w:rPr>
        <w:t> </w:t>
      </w:r>
      <w:r>
        <w:rPr/>
        <w:t>otra</w:t>
      </w:r>
      <w:r>
        <w:rPr>
          <w:spacing w:val="-6"/>
        </w:rPr>
        <w:t> </w:t>
      </w:r>
      <w:r>
        <w:rPr/>
        <w:t>parte,</w:t>
      </w:r>
      <w:r>
        <w:rPr>
          <w:spacing w:val="-4"/>
        </w:rPr>
        <w:t> </w:t>
      </w:r>
      <w:r>
        <w:rPr/>
        <w:t>la</w:t>
      </w:r>
      <w:r>
        <w:rPr>
          <w:spacing w:val="-6"/>
        </w:rPr>
        <w:t> </w:t>
      </w:r>
      <w:r>
        <w:rPr/>
        <w:t>figura</w:t>
      </w:r>
      <w:r>
        <w:rPr>
          <w:spacing w:val="-4"/>
        </w:rPr>
        <w:t> </w:t>
      </w:r>
      <w:r>
        <w:rPr/>
        <w:t>jurídica</w:t>
      </w:r>
      <w:r>
        <w:rPr>
          <w:spacing w:val="-6"/>
        </w:rPr>
        <w:t> </w:t>
      </w:r>
      <w:r>
        <w:rPr/>
        <w:t>o</w:t>
      </w:r>
      <w:r>
        <w:rPr>
          <w:spacing w:val="-4"/>
        </w:rPr>
        <w:t> </w:t>
      </w:r>
      <w:r>
        <w:rPr/>
        <w:t>también</w:t>
      </w:r>
      <w:r>
        <w:rPr>
          <w:spacing w:val="-4"/>
        </w:rPr>
        <w:t> </w:t>
      </w:r>
      <w:r>
        <w:rPr/>
        <w:t>llamada</w:t>
      </w:r>
      <w:r>
        <w:rPr>
          <w:spacing w:val="-6"/>
        </w:rPr>
        <w:t> </w:t>
      </w:r>
      <w:r>
        <w:rPr/>
        <w:t>tesis</w:t>
      </w:r>
      <w:r>
        <w:rPr>
          <w:spacing w:val="-7"/>
        </w:rPr>
        <w:t> </w:t>
      </w:r>
      <w:r>
        <w:rPr/>
        <w:t>formalista,</w:t>
      </w:r>
      <w:r>
        <w:rPr>
          <w:spacing w:val="-4"/>
        </w:rPr>
        <w:t> </w:t>
      </w:r>
      <w:r>
        <w:rPr/>
        <w:t>es</w:t>
      </w:r>
      <w:r>
        <w:rPr>
          <w:spacing w:val="-7"/>
        </w:rPr>
        <w:t> </w:t>
      </w:r>
      <w:r>
        <w:rPr/>
        <w:t>el resultado de leyes expedidas por el Estado ya organizado, es decir el Estado dota de un marco normativo a esta</w:t>
      </w:r>
      <w:r>
        <w:rPr>
          <w:spacing w:val="-12"/>
        </w:rPr>
        <w:t> </w:t>
      </w:r>
      <w:r>
        <w:rPr/>
        <w:t>institución</w:t>
      </w:r>
    </w:p>
    <w:p>
      <w:pPr>
        <w:pStyle w:val="BodyText"/>
        <w:spacing w:line="360" w:lineRule="auto" w:before="202"/>
        <w:ind w:left="102" w:right="115"/>
        <w:jc w:val="both"/>
      </w:pPr>
      <w:r>
        <w:rPr/>
        <w:t>El municipio es entonces, dado los conceptos anteriores, una institución jurídica reconocida por el Estado, que tiene como elementos estructurales población, territorio y gobierno. Por lo tanto, el municipio mexicano es el ámbito de gobierno reconocido constitucionalmente  bajo la tutela del derecho público.</w:t>
      </w:r>
    </w:p>
    <w:p>
      <w:pPr>
        <w:pStyle w:val="BodyText"/>
        <w:spacing w:line="360" w:lineRule="auto" w:before="204"/>
        <w:ind w:left="102" w:right="117" w:firstLine="67"/>
        <w:jc w:val="both"/>
      </w:pPr>
      <w:r>
        <w:rPr/>
        <w:t>En Robles (1987) su concepto propio del municipio señala que éste es una institución</w:t>
      </w:r>
      <w:r>
        <w:rPr>
          <w:spacing w:val="-9"/>
        </w:rPr>
        <w:t> </w:t>
      </w:r>
      <w:r>
        <w:rPr/>
        <w:t>jurídica</w:t>
      </w:r>
      <w:r>
        <w:rPr>
          <w:spacing w:val="-7"/>
        </w:rPr>
        <w:t> </w:t>
      </w:r>
      <w:r>
        <w:rPr/>
        <w:t>reconocida</w:t>
      </w:r>
      <w:r>
        <w:rPr>
          <w:spacing w:val="-9"/>
        </w:rPr>
        <w:t> </w:t>
      </w:r>
      <w:r>
        <w:rPr/>
        <w:t>por</w:t>
      </w:r>
      <w:r>
        <w:rPr>
          <w:spacing w:val="-10"/>
        </w:rPr>
        <w:t> </w:t>
      </w:r>
      <w:r>
        <w:rPr/>
        <w:t>el</w:t>
      </w:r>
      <w:r>
        <w:rPr>
          <w:spacing w:val="-8"/>
        </w:rPr>
        <w:t> </w:t>
      </w:r>
      <w:r>
        <w:rPr/>
        <w:t>Estado,</w:t>
      </w:r>
      <w:r>
        <w:rPr>
          <w:spacing w:val="-7"/>
        </w:rPr>
        <w:t> </w:t>
      </w:r>
      <w:r>
        <w:rPr/>
        <w:t>que</w:t>
      </w:r>
      <w:r>
        <w:rPr>
          <w:spacing w:val="-7"/>
        </w:rPr>
        <w:t> </w:t>
      </w:r>
      <w:r>
        <w:rPr/>
        <w:t>por</w:t>
      </w:r>
      <w:r>
        <w:rPr>
          <w:spacing w:val="-8"/>
        </w:rPr>
        <w:t> </w:t>
      </w:r>
      <w:r>
        <w:rPr/>
        <w:t>ende</w:t>
      </w:r>
      <w:r>
        <w:rPr>
          <w:spacing w:val="-9"/>
        </w:rPr>
        <w:t> </w:t>
      </w:r>
      <w:r>
        <w:rPr/>
        <w:t>debe</w:t>
      </w:r>
      <w:r>
        <w:rPr>
          <w:spacing w:val="-9"/>
        </w:rPr>
        <w:t> </w:t>
      </w:r>
      <w:r>
        <w:rPr/>
        <w:t>llenar</w:t>
      </w:r>
      <w:r>
        <w:rPr>
          <w:spacing w:val="-8"/>
        </w:rPr>
        <w:t> </w:t>
      </w:r>
      <w:r>
        <w:rPr/>
        <w:t>los</w:t>
      </w:r>
      <w:r>
        <w:rPr>
          <w:spacing w:val="-7"/>
        </w:rPr>
        <w:t> </w:t>
      </w:r>
      <w:r>
        <w:rPr/>
        <w:t>requisitos que</w:t>
      </w:r>
      <w:r>
        <w:rPr>
          <w:spacing w:val="-10"/>
        </w:rPr>
        <w:t> </w:t>
      </w:r>
      <w:r>
        <w:rPr/>
        <w:t>éste</w:t>
      </w:r>
      <w:r>
        <w:rPr>
          <w:spacing w:val="-11"/>
        </w:rPr>
        <w:t> </w:t>
      </w:r>
      <w:r>
        <w:rPr/>
        <w:t>le</w:t>
      </w:r>
      <w:r>
        <w:rPr>
          <w:spacing w:val="-11"/>
        </w:rPr>
        <w:t> </w:t>
      </w:r>
      <w:r>
        <w:rPr/>
        <w:t>imponga,</w:t>
      </w:r>
      <w:r>
        <w:rPr>
          <w:spacing w:val="-11"/>
        </w:rPr>
        <w:t> </w:t>
      </w:r>
      <w:r>
        <w:rPr/>
        <w:t>él</w:t>
      </w:r>
      <w:r>
        <w:rPr>
          <w:spacing w:val="-14"/>
        </w:rPr>
        <w:t> </w:t>
      </w:r>
      <w:r>
        <w:rPr/>
        <w:t>autor</w:t>
      </w:r>
      <w:r>
        <w:rPr>
          <w:spacing w:val="-12"/>
        </w:rPr>
        <w:t> </w:t>
      </w:r>
      <w:r>
        <w:rPr/>
        <w:t>considera</w:t>
      </w:r>
      <w:r>
        <w:rPr>
          <w:spacing w:val="-14"/>
        </w:rPr>
        <w:t> </w:t>
      </w:r>
      <w:r>
        <w:rPr/>
        <w:t>que</w:t>
      </w:r>
      <w:r>
        <w:rPr>
          <w:spacing w:val="-11"/>
        </w:rPr>
        <w:t> </w:t>
      </w:r>
      <w:r>
        <w:rPr/>
        <w:t>el</w:t>
      </w:r>
      <w:r>
        <w:rPr>
          <w:spacing w:val="-14"/>
        </w:rPr>
        <w:t> </w:t>
      </w:r>
      <w:r>
        <w:rPr/>
        <w:t>municipio</w:t>
      </w:r>
      <w:r>
        <w:rPr>
          <w:spacing w:val="-13"/>
        </w:rPr>
        <w:t> </w:t>
      </w:r>
      <w:r>
        <w:rPr/>
        <w:t>mexicano</w:t>
      </w:r>
      <w:r>
        <w:rPr>
          <w:spacing w:val="-13"/>
        </w:rPr>
        <w:t> </w:t>
      </w:r>
      <w:r>
        <w:rPr/>
        <w:t>es</w:t>
      </w:r>
      <w:r>
        <w:rPr>
          <w:spacing w:val="-12"/>
        </w:rPr>
        <w:t> </w:t>
      </w:r>
      <w:r>
        <w:rPr/>
        <w:t>el</w:t>
      </w:r>
      <w:r>
        <w:rPr>
          <w:spacing w:val="-12"/>
        </w:rPr>
        <w:t> </w:t>
      </w:r>
      <w:r>
        <w:rPr/>
        <w:t>primer</w:t>
      </w:r>
      <w:r>
        <w:rPr>
          <w:spacing w:val="-12"/>
        </w:rPr>
        <w:t> </w:t>
      </w:r>
      <w:r>
        <w:rPr/>
        <w:t>nivel de gobierno, con capacidad jurídica, política y económica para alcanzar sus fines, conformado por asociación de vecindad asentada en determinado territorio que sirve de base para la integración de la entidad</w:t>
      </w:r>
      <w:r>
        <w:rPr>
          <w:spacing w:val="-26"/>
        </w:rPr>
        <w:t> </w:t>
      </w:r>
      <w:r>
        <w:rPr/>
        <w:t>federativa.</w:t>
      </w:r>
    </w:p>
    <w:p>
      <w:pPr>
        <w:pStyle w:val="Heading2"/>
        <w:numPr>
          <w:ilvl w:val="0"/>
          <w:numId w:val="27"/>
        </w:numPr>
        <w:tabs>
          <w:tab w:pos="421" w:val="left" w:leader="none"/>
        </w:tabs>
        <w:spacing w:line="240" w:lineRule="auto" w:before="204" w:after="0"/>
        <w:ind w:left="420" w:right="0" w:hanging="318"/>
        <w:jc w:val="both"/>
      </w:pPr>
      <w:r>
        <w:rPr/>
        <w:t>Naturaleza Jurídica (Enfoques</w:t>
      </w:r>
      <w:r>
        <w:rPr>
          <w:spacing w:val="-3"/>
        </w:rPr>
        <w:t> </w:t>
      </w:r>
      <w:r>
        <w:rPr/>
        <w:t>doctrinarios)</w:t>
      </w:r>
    </w:p>
    <w:p>
      <w:pPr>
        <w:spacing w:after="0" w:line="240" w:lineRule="auto"/>
        <w:jc w:val="both"/>
        <w:sectPr>
          <w:pgSz w:w="12240" w:h="15840"/>
          <w:pgMar w:header="0" w:footer="992" w:top="1360" w:bottom="1180" w:left="1600" w:right="1580"/>
        </w:sectPr>
      </w:pPr>
    </w:p>
    <w:p>
      <w:pPr>
        <w:pStyle w:val="BodyText"/>
        <w:spacing w:line="360" w:lineRule="auto" w:before="54"/>
        <w:ind w:left="102" w:right="116"/>
        <w:jc w:val="both"/>
      </w:pPr>
      <w:r>
        <w:rPr/>
        <w:t>Existen</w:t>
      </w:r>
      <w:r>
        <w:rPr>
          <w:spacing w:val="-5"/>
        </w:rPr>
        <w:t> </w:t>
      </w:r>
      <w:r>
        <w:rPr/>
        <w:t>una</w:t>
      </w:r>
      <w:r>
        <w:rPr>
          <w:spacing w:val="-5"/>
        </w:rPr>
        <w:t> </w:t>
      </w:r>
      <w:r>
        <w:rPr/>
        <w:t>gran</w:t>
      </w:r>
      <w:r>
        <w:rPr>
          <w:spacing w:val="-4"/>
        </w:rPr>
        <w:t> </w:t>
      </w:r>
      <w:r>
        <w:rPr/>
        <w:t>variedad</w:t>
      </w:r>
      <w:r>
        <w:rPr>
          <w:spacing w:val="-5"/>
        </w:rPr>
        <w:t> </w:t>
      </w:r>
      <w:r>
        <w:rPr/>
        <w:t>de</w:t>
      </w:r>
      <w:r>
        <w:rPr>
          <w:spacing w:val="-5"/>
        </w:rPr>
        <w:t> </w:t>
      </w:r>
      <w:r>
        <w:rPr/>
        <w:t>autores</w:t>
      </w:r>
      <w:r>
        <w:rPr>
          <w:spacing w:val="-5"/>
        </w:rPr>
        <w:t> </w:t>
      </w:r>
      <w:r>
        <w:rPr/>
        <w:t>que</w:t>
      </w:r>
      <w:r>
        <w:rPr>
          <w:spacing w:val="-5"/>
        </w:rPr>
        <w:t> </w:t>
      </w:r>
      <w:r>
        <w:rPr/>
        <w:t>tratan</w:t>
      </w:r>
      <w:r>
        <w:rPr>
          <w:spacing w:val="-5"/>
        </w:rPr>
        <w:t> </w:t>
      </w:r>
      <w:r>
        <w:rPr/>
        <w:t>de</w:t>
      </w:r>
      <w:r>
        <w:rPr>
          <w:spacing w:val="-5"/>
        </w:rPr>
        <w:t> </w:t>
      </w:r>
      <w:r>
        <w:rPr/>
        <w:t>definir</w:t>
      </w:r>
      <w:r>
        <w:rPr>
          <w:spacing w:val="-6"/>
        </w:rPr>
        <w:t> </w:t>
      </w:r>
      <w:r>
        <w:rPr/>
        <w:t>al</w:t>
      </w:r>
      <w:r>
        <w:rPr>
          <w:spacing w:val="-6"/>
        </w:rPr>
        <w:t> </w:t>
      </w:r>
      <w:r>
        <w:rPr/>
        <w:t>municipio</w:t>
      </w:r>
      <w:r>
        <w:rPr>
          <w:spacing w:val="-5"/>
        </w:rPr>
        <w:t> </w:t>
      </w:r>
      <w:r>
        <w:rPr/>
        <w:t>dentro</w:t>
      </w:r>
      <w:r>
        <w:rPr>
          <w:spacing w:val="-5"/>
        </w:rPr>
        <w:t> </w:t>
      </w:r>
      <w:r>
        <w:rPr/>
        <w:t>de</w:t>
      </w:r>
      <w:r>
        <w:rPr>
          <w:spacing w:val="5"/>
        </w:rPr>
        <w:t> </w:t>
      </w:r>
      <w:r>
        <w:rPr/>
        <w:t>la doctrina del derecho municipal, sin embargo como ya se mencionaba con anterioridad existen dos connotaciones que tratan de explicar la existencia del municipio.</w:t>
      </w:r>
    </w:p>
    <w:p>
      <w:pPr>
        <w:pStyle w:val="BodyText"/>
        <w:spacing w:line="360" w:lineRule="auto" w:before="204"/>
        <w:ind w:left="102" w:right="116"/>
        <w:jc w:val="both"/>
      </w:pPr>
      <w:r>
        <w:rPr/>
        <w:t>La</w:t>
      </w:r>
      <w:r>
        <w:rPr>
          <w:spacing w:val="-8"/>
        </w:rPr>
        <w:t> </w:t>
      </w:r>
      <w:r>
        <w:rPr/>
        <w:t>teoría</w:t>
      </w:r>
      <w:r>
        <w:rPr>
          <w:spacing w:val="-6"/>
        </w:rPr>
        <w:t> </w:t>
      </w:r>
      <w:r>
        <w:rPr/>
        <w:t>sociológica</w:t>
      </w:r>
      <w:r>
        <w:rPr>
          <w:spacing w:val="-4"/>
        </w:rPr>
        <w:t> </w:t>
      </w:r>
      <w:r>
        <w:rPr/>
        <w:t>o</w:t>
      </w:r>
      <w:r>
        <w:rPr>
          <w:spacing w:val="-11"/>
        </w:rPr>
        <w:t> </w:t>
      </w:r>
      <w:r>
        <w:rPr/>
        <w:t>iusnaturalista</w:t>
      </w:r>
      <w:r>
        <w:rPr>
          <w:spacing w:val="-6"/>
        </w:rPr>
        <w:t> </w:t>
      </w:r>
      <w:r>
        <w:rPr/>
        <w:t>que</w:t>
      </w:r>
      <w:r>
        <w:rPr>
          <w:spacing w:val="-8"/>
        </w:rPr>
        <w:t> </w:t>
      </w:r>
      <w:r>
        <w:rPr/>
        <w:t>cita,</w:t>
      </w:r>
      <w:r>
        <w:rPr>
          <w:spacing w:val="-9"/>
        </w:rPr>
        <w:t> </w:t>
      </w:r>
      <w:r>
        <w:rPr/>
        <w:t>que</w:t>
      </w:r>
      <w:r>
        <w:rPr>
          <w:spacing w:val="-6"/>
        </w:rPr>
        <w:t> </w:t>
      </w:r>
      <w:r>
        <w:rPr/>
        <w:t>el</w:t>
      </w:r>
      <w:r>
        <w:rPr>
          <w:spacing w:val="-10"/>
        </w:rPr>
        <w:t> </w:t>
      </w:r>
      <w:r>
        <w:rPr/>
        <w:t>municipio</w:t>
      </w:r>
      <w:r>
        <w:rPr>
          <w:spacing w:val="-9"/>
        </w:rPr>
        <w:t> </w:t>
      </w:r>
      <w:r>
        <w:rPr/>
        <w:t>es</w:t>
      </w:r>
      <w:r>
        <w:rPr>
          <w:spacing w:val="-9"/>
        </w:rPr>
        <w:t> </w:t>
      </w:r>
      <w:r>
        <w:rPr/>
        <w:t>una</w:t>
      </w:r>
      <w:r>
        <w:rPr>
          <w:spacing w:val="-6"/>
        </w:rPr>
        <w:t> </w:t>
      </w:r>
      <w:r>
        <w:rPr/>
        <w:t>institución</w:t>
      </w:r>
      <w:r>
        <w:rPr>
          <w:spacing w:val="-10"/>
        </w:rPr>
        <w:t> </w:t>
      </w:r>
      <w:r>
        <w:rPr/>
        <w:t>de derecho natural, impuesta por necesidades urgentes de la vida humana de la sociedad, asentada en una localidad, se dice que es reconocer un principio de solidaridad humana para la seguridad y bienestar del grupo, los vínculos que unen a</w:t>
      </w:r>
      <w:r>
        <w:rPr>
          <w:spacing w:val="-7"/>
        </w:rPr>
        <w:t> </w:t>
      </w:r>
      <w:r>
        <w:rPr/>
        <w:t>los</w:t>
      </w:r>
      <w:r>
        <w:rPr>
          <w:spacing w:val="-10"/>
        </w:rPr>
        <w:t> </w:t>
      </w:r>
      <w:r>
        <w:rPr/>
        <w:t>elementos</w:t>
      </w:r>
      <w:r>
        <w:rPr>
          <w:spacing w:val="-10"/>
        </w:rPr>
        <w:t> </w:t>
      </w:r>
      <w:r>
        <w:rPr/>
        <w:t>de</w:t>
      </w:r>
      <w:r>
        <w:rPr>
          <w:spacing w:val="-9"/>
        </w:rPr>
        <w:t> </w:t>
      </w:r>
      <w:r>
        <w:rPr/>
        <w:t>una</w:t>
      </w:r>
      <w:r>
        <w:rPr>
          <w:spacing w:val="-7"/>
        </w:rPr>
        <w:t> </w:t>
      </w:r>
      <w:r>
        <w:rPr/>
        <w:t>comunidad</w:t>
      </w:r>
      <w:r>
        <w:rPr>
          <w:spacing w:val="-9"/>
        </w:rPr>
        <w:t> </w:t>
      </w:r>
      <w:r>
        <w:rPr/>
        <w:t>derivan</w:t>
      </w:r>
      <w:r>
        <w:rPr>
          <w:spacing w:val="-7"/>
        </w:rPr>
        <w:t> </w:t>
      </w:r>
      <w:r>
        <w:rPr/>
        <w:t>fundamentalmente</w:t>
      </w:r>
      <w:r>
        <w:rPr>
          <w:spacing w:val="-9"/>
        </w:rPr>
        <w:t> </w:t>
      </w:r>
      <w:r>
        <w:rPr/>
        <w:t>de</w:t>
      </w:r>
      <w:r>
        <w:rPr>
          <w:spacing w:val="-7"/>
        </w:rPr>
        <w:t> </w:t>
      </w:r>
      <w:r>
        <w:rPr/>
        <w:t>la</w:t>
      </w:r>
      <w:r>
        <w:rPr>
          <w:spacing w:val="-7"/>
        </w:rPr>
        <w:t> </w:t>
      </w:r>
      <w:r>
        <w:rPr/>
        <w:t>vecindad,</w:t>
      </w:r>
      <w:r>
        <w:rPr>
          <w:spacing w:val="-7"/>
        </w:rPr>
        <w:t> </w:t>
      </w:r>
      <w:r>
        <w:rPr/>
        <w:t>de</w:t>
      </w:r>
      <w:r>
        <w:rPr>
          <w:spacing w:val="-7"/>
        </w:rPr>
        <w:t> </w:t>
      </w:r>
      <w:r>
        <w:rPr/>
        <w:t>la habitación continua, de la ubicación de un núcleo primario de individuos que viven en un pueblo o en una ciudad y que tienen necesidades económicas, sociales, jurídicas o de naturaleza similar. En esta teoria el municipio, nace espontáneamente, no lo crea el Estado, sino que es solamente reconocido su existencia.</w:t>
      </w:r>
    </w:p>
    <w:p>
      <w:pPr>
        <w:spacing w:before="204"/>
        <w:ind w:left="954" w:right="114" w:firstLine="0"/>
        <w:jc w:val="both"/>
        <w:rPr>
          <w:sz w:val="22"/>
        </w:rPr>
      </w:pPr>
      <w:r>
        <w:rPr>
          <w:sz w:val="22"/>
        </w:rPr>
        <w:t>En cuanto a la teoría legalista, el municipio se convierte en un mero criterio</w:t>
      </w:r>
      <w:r>
        <w:rPr>
          <w:spacing w:val="-37"/>
          <w:sz w:val="22"/>
        </w:rPr>
        <w:t> </w:t>
      </w:r>
      <w:r>
        <w:rPr>
          <w:sz w:val="22"/>
        </w:rPr>
        <w:t>formal para llevar a cabo la división de un territorio dado, así como para materializar la división política y administrativa de la organización de dicho Estado; para esta doctrina el municipio es un mero concepto formalista, es un fenómeno que sirve para descentralizar el poder estatal, es decir el municipio es una circunscripción política y administrativa del territorio de un Estado, creada por dicho Estado, atendiendo a razones políticas, económicas y sociales de orden general,</w:t>
      </w:r>
      <w:r>
        <w:rPr>
          <w:spacing w:val="-40"/>
          <w:sz w:val="22"/>
        </w:rPr>
        <w:t> </w:t>
      </w:r>
      <w:r>
        <w:rPr>
          <w:sz w:val="22"/>
        </w:rPr>
        <w:t>tomando o no en cuenta los caracteres peculiares de las regiones y de las poblaciones afectables  (Cabrera, 2009:19)</w:t>
      </w:r>
      <w:r>
        <w:rPr>
          <w:spacing w:val="-8"/>
          <w:sz w:val="22"/>
        </w:rPr>
        <w:t> </w:t>
      </w:r>
      <w:r>
        <w:rPr>
          <w:sz w:val="22"/>
        </w:rPr>
        <w:t>.</w:t>
      </w:r>
    </w:p>
    <w:p>
      <w:pPr>
        <w:pStyle w:val="BodyText"/>
        <w:rPr>
          <w:sz w:val="22"/>
        </w:rPr>
      </w:pPr>
    </w:p>
    <w:p>
      <w:pPr>
        <w:pStyle w:val="BodyText"/>
        <w:rPr>
          <w:sz w:val="22"/>
        </w:rPr>
      </w:pPr>
    </w:p>
    <w:p>
      <w:pPr>
        <w:pStyle w:val="BodyText"/>
        <w:rPr>
          <w:sz w:val="22"/>
        </w:rPr>
      </w:pPr>
    </w:p>
    <w:p>
      <w:pPr>
        <w:pStyle w:val="Heading1"/>
        <w:numPr>
          <w:ilvl w:val="1"/>
          <w:numId w:val="26"/>
        </w:numPr>
        <w:tabs>
          <w:tab w:pos="1945" w:val="left" w:leader="none"/>
        </w:tabs>
        <w:spacing w:line="240" w:lineRule="auto" w:before="172" w:after="0"/>
        <w:ind w:left="1944" w:right="0" w:hanging="467"/>
        <w:jc w:val="left"/>
      </w:pPr>
      <w:bookmarkStart w:name="_TOC_250023" w:id="29"/>
      <w:r>
        <w:rPr/>
        <w:t>El Municipio en México (Reseña</w:t>
      </w:r>
      <w:r>
        <w:rPr>
          <w:spacing w:val="-16"/>
        </w:rPr>
        <w:t> </w:t>
      </w:r>
      <w:bookmarkEnd w:id="29"/>
      <w:r>
        <w:rPr/>
        <w:t>Histórica)</w:t>
      </w:r>
    </w:p>
    <w:p>
      <w:pPr>
        <w:pStyle w:val="BodyText"/>
        <w:rPr>
          <w:b/>
          <w:sz w:val="28"/>
        </w:rPr>
      </w:pPr>
    </w:p>
    <w:p>
      <w:pPr>
        <w:pStyle w:val="BodyText"/>
        <w:rPr>
          <w:b/>
          <w:sz w:val="28"/>
        </w:rPr>
      </w:pPr>
    </w:p>
    <w:p>
      <w:pPr>
        <w:pStyle w:val="BodyText"/>
        <w:rPr>
          <w:b/>
          <w:sz w:val="28"/>
        </w:rPr>
      </w:pPr>
    </w:p>
    <w:p>
      <w:pPr>
        <w:pStyle w:val="BodyText"/>
        <w:spacing w:line="360" w:lineRule="auto" w:before="195"/>
        <w:ind w:left="102" w:right="116"/>
        <w:jc w:val="both"/>
      </w:pPr>
      <w:r>
        <w:rPr/>
        <w:t>La figura del municipio en México se ve reflejada durante la época de los aztecas, que es el </w:t>
      </w:r>
      <w:r>
        <w:rPr>
          <w:i/>
        </w:rPr>
        <w:t>calpulli. </w:t>
      </w:r>
      <w:r>
        <w:rPr/>
        <w:t>El </w:t>
      </w:r>
      <w:r>
        <w:rPr>
          <w:i/>
        </w:rPr>
        <w:t>calpulli </w:t>
      </w:r>
      <w:r>
        <w:rPr/>
        <w:t>era una organización social y territorial autosuficiente, las familias integrantes producían bienes necesarios y suficientes para su subsistencia cuya organización recaía en las siguientes figuras de acuerdo con De la Torre (2010) : a) el </w:t>
      </w:r>
      <w:r>
        <w:rPr>
          <w:i/>
        </w:rPr>
        <w:t>tecuhtli, </w:t>
      </w:r>
      <w:r>
        <w:rPr/>
        <w:t>quien era responsable de la milicia, adiestraba a  los</w:t>
      </w:r>
    </w:p>
    <w:p>
      <w:pPr>
        <w:spacing w:after="0" w:line="360" w:lineRule="auto"/>
        <w:jc w:val="both"/>
        <w:sectPr>
          <w:footerReference w:type="default" r:id="rId37"/>
          <w:pgSz w:w="12240" w:h="15840"/>
          <w:pgMar w:footer="992" w:header="0" w:top="1360" w:bottom="1180" w:left="1600" w:right="1580"/>
        </w:sectPr>
      </w:pPr>
    </w:p>
    <w:p>
      <w:pPr>
        <w:pStyle w:val="BodyText"/>
        <w:spacing w:line="360" w:lineRule="auto" w:before="51"/>
        <w:ind w:left="102" w:right="117"/>
        <w:jc w:val="both"/>
      </w:pPr>
      <w:r>
        <w:rPr/>
        <w:t>jóvenes y dirigía las tropas en caso de guerra; b) los </w:t>
      </w:r>
      <w:r>
        <w:rPr>
          <w:i/>
        </w:rPr>
        <w:t>tequitlatos, </w:t>
      </w:r>
      <w:r>
        <w:rPr/>
        <w:t>que eran los encargados</w:t>
      </w:r>
      <w:r>
        <w:rPr>
          <w:spacing w:val="-20"/>
        </w:rPr>
        <w:t> </w:t>
      </w:r>
      <w:r>
        <w:rPr/>
        <w:t>de</w:t>
      </w:r>
      <w:r>
        <w:rPr>
          <w:spacing w:val="-19"/>
        </w:rPr>
        <w:t> </w:t>
      </w:r>
      <w:r>
        <w:rPr/>
        <w:t>dirigir</w:t>
      </w:r>
      <w:r>
        <w:rPr>
          <w:spacing w:val="-19"/>
        </w:rPr>
        <w:t> </w:t>
      </w:r>
      <w:r>
        <w:rPr/>
        <w:t>los</w:t>
      </w:r>
      <w:r>
        <w:rPr>
          <w:spacing w:val="-17"/>
        </w:rPr>
        <w:t> </w:t>
      </w:r>
      <w:r>
        <w:rPr/>
        <w:t>trabajos</w:t>
      </w:r>
      <w:r>
        <w:rPr>
          <w:spacing w:val="-17"/>
        </w:rPr>
        <w:t> </w:t>
      </w:r>
      <w:r>
        <w:rPr/>
        <w:t>comunales;</w:t>
      </w:r>
      <w:r>
        <w:rPr>
          <w:spacing w:val="-19"/>
        </w:rPr>
        <w:t> </w:t>
      </w:r>
      <w:r>
        <w:rPr/>
        <w:t>c)</w:t>
      </w:r>
      <w:r>
        <w:rPr>
          <w:spacing w:val="-18"/>
        </w:rPr>
        <w:t> </w:t>
      </w:r>
      <w:r>
        <w:rPr/>
        <w:t>los</w:t>
      </w:r>
      <w:r>
        <w:rPr>
          <w:spacing w:val="-12"/>
        </w:rPr>
        <w:t> </w:t>
      </w:r>
      <w:r>
        <w:rPr>
          <w:i/>
        </w:rPr>
        <w:t>calpizquez</w:t>
      </w:r>
      <w:r>
        <w:rPr/>
        <w:t>,</w:t>
      </w:r>
      <w:r>
        <w:rPr>
          <w:spacing w:val="-14"/>
        </w:rPr>
        <w:t> </w:t>
      </w:r>
      <w:r>
        <w:rPr/>
        <w:t>quienes</w:t>
      </w:r>
      <w:r>
        <w:rPr>
          <w:spacing w:val="-17"/>
        </w:rPr>
        <w:t> </w:t>
      </w:r>
      <w:r>
        <w:rPr/>
        <w:t>recaudaban los tributos; d) los </w:t>
      </w:r>
      <w:r>
        <w:rPr>
          <w:i/>
        </w:rPr>
        <w:t>tlacuilos, </w:t>
      </w:r>
      <w:r>
        <w:rPr/>
        <w:t>considerados como los cronistas de la época, y e) sacerdotes</w:t>
      </w:r>
      <w:r>
        <w:rPr>
          <w:spacing w:val="-5"/>
        </w:rPr>
        <w:t> </w:t>
      </w:r>
      <w:r>
        <w:rPr/>
        <w:t>y</w:t>
      </w:r>
      <w:r>
        <w:rPr>
          <w:spacing w:val="-9"/>
        </w:rPr>
        <w:t> </w:t>
      </w:r>
      <w:r>
        <w:rPr/>
        <w:t>médicos</w:t>
      </w:r>
      <w:r>
        <w:rPr>
          <w:spacing w:val="-9"/>
        </w:rPr>
        <w:t> </w:t>
      </w:r>
      <w:r>
        <w:rPr/>
        <w:t>hechiceros,</w:t>
      </w:r>
      <w:r>
        <w:rPr>
          <w:spacing w:val="-5"/>
        </w:rPr>
        <w:t> </w:t>
      </w:r>
      <w:r>
        <w:rPr/>
        <w:t>quienes</w:t>
      </w:r>
      <w:r>
        <w:rPr>
          <w:spacing w:val="-8"/>
        </w:rPr>
        <w:t> </w:t>
      </w:r>
      <w:r>
        <w:rPr/>
        <w:t>estaban</w:t>
      </w:r>
      <w:r>
        <w:rPr>
          <w:spacing w:val="-7"/>
        </w:rPr>
        <w:t> </w:t>
      </w:r>
      <w:r>
        <w:rPr/>
        <w:t>al</w:t>
      </w:r>
      <w:r>
        <w:rPr>
          <w:spacing w:val="-6"/>
        </w:rPr>
        <w:t> </w:t>
      </w:r>
      <w:r>
        <w:rPr/>
        <w:t>cuidado</w:t>
      </w:r>
      <w:r>
        <w:rPr>
          <w:spacing w:val="-5"/>
        </w:rPr>
        <w:t> </w:t>
      </w:r>
      <w:r>
        <w:rPr/>
        <w:t>de</w:t>
      </w:r>
      <w:r>
        <w:rPr>
          <w:spacing w:val="-5"/>
        </w:rPr>
        <w:t> </w:t>
      </w:r>
      <w:r>
        <w:rPr/>
        <w:t>los</w:t>
      </w:r>
      <w:r>
        <w:rPr>
          <w:spacing w:val="-8"/>
        </w:rPr>
        <w:t> </w:t>
      </w:r>
      <w:r>
        <w:rPr/>
        <w:t>habitantes</w:t>
      </w:r>
      <w:r>
        <w:rPr>
          <w:spacing w:val="-8"/>
        </w:rPr>
        <w:t> </w:t>
      </w:r>
      <w:r>
        <w:rPr/>
        <w:t>del calpulli. Este hecho histórico citado fue mucho antes de la conquista, queda claro que con anterioridad a la llegada de los españoles, México ya contaba con una figura similar, que fungía a nivel</w:t>
      </w:r>
      <w:r>
        <w:rPr>
          <w:spacing w:val="-11"/>
        </w:rPr>
        <w:t> </w:t>
      </w:r>
      <w:r>
        <w:rPr/>
        <w:t>local.</w:t>
      </w:r>
    </w:p>
    <w:p>
      <w:pPr>
        <w:pStyle w:val="BodyText"/>
        <w:spacing w:line="362" w:lineRule="auto" w:before="202"/>
        <w:ind w:left="102" w:right="116"/>
        <w:jc w:val="both"/>
      </w:pPr>
      <w:r>
        <w:rPr/>
        <w:t>El </w:t>
      </w:r>
      <w:r>
        <w:rPr>
          <w:i/>
        </w:rPr>
        <w:t>calpulli </w:t>
      </w:r>
      <w:r>
        <w:rPr/>
        <w:t>constituyó el núcleo de la organización familiar y social azteca. Era autosuficiente, siendo éste el antecedente más próximo del municipio en México. Entre sus principales funciones estaba:</w:t>
      </w:r>
    </w:p>
    <w:p>
      <w:pPr>
        <w:pStyle w:val="ListParagraph"/>
        <w:numPr>
          <w:ilvl w:val="1"/>
          <w:numId w:val="27"/>
        </w:numPr>
        <w:tabs>
          <w:tab w:pos="822" w:val="left" w:leader="none"/>
        </w:tabs>
        <w:spacing w:line="240" w:lineRule="auto" w:before="201" w:after="0"/>
        <w:ind w:left="822" w:right="0" w:hanging="360"/>
        <w:jc w:val="left"/>
        <w:rPr>
          <w:sz w:val="24"/>
        </w:rPr>
      </w:pPr>
      <w:r>
        <w:rPr>
          <w:sz w:val="24"/>
        </w:rPr>
        <w:t>Recaudar y pagar tributos a las autoridades</w:t>
      </w:r>
      <w:r>
        <w:rPr>
          <w:spacing w:val="-19"/>
          <w:sz w:val="24"/>
        </w:rPr>
        <w:t> </w:t>
      </w:r>
      <w:r>
        <w:rPr>
          <w:sz w:val="24"/>
        </w:rPr>
        <w:t>autóctonas</w:t>
      </w:r>
    </w:p>
    <w:p>
      <w:pPr>
        <w:pStyle w:val="ListParagraph"/>
        <w:numPr>
          <w:ilvl w:val="1"/>
          <w:numId w:val="27"/>
        </w:numPr>
        <w:tabs>
          <w:tab w:pos="822" w:val="left" w:leader="none"/>
        </w:tabs>
        <w:spacing w:line="240" w:lineRule="auto" w:before="137" w:after="0"/>
        <w:ind w:left="822" w:right="0" w:hanging="360"/>
        <w:jc w:val="left"/>
        <w:rPr>
          <w:sz w:val="24"/>
        </w:rPr>
      </w:pPr>
      <w:r>
        <w:rPr>
          <w:sz w:val="24"/>
        </w:rPr>
        <w:t>Supervisar y asignar labores en las distintas áreas de la vida</w:t>
      </w:r>
      <w:r>
        <w:rPr>
          <w:spacing w:val="-19"/>
          <w:sz w:val="24"/>
        </w:rPr>
        <w:t> </w:t>
      </w:r>
      <w:r>
        <w:rPr>
          <w:sz w:val="24"/>
        </w:rPr>
        <w:t>social</w:t>
      </w:r>
    </w:p>
    <w:p>
      <w:pPr>
        <w:pStyle w:val="ListParagraph"/>
        <w:numPr>
          <w:ilvl w:val="1"/>
          <w:numId w:val="27"/>
        </w:numPr>
        <w:tabs>
          <w:tab w:pos="822" w:val="left" w:leader="none"/>
        </w:tabs>
        <w:spacing w:line="240" w:lineRule="auto" w:before="139" w:after="0"/>
        <w:ind w:left="822" w:right="0" w:hanging="360"/>
        <w:jc w:val="left"/>
        <w:rPr>
          <w:sz w:val="24"/>
        </w:rPr>
      </w:pPr>
      <w:r>
        <w:rPr>
          <w:sz w:val="24"/>
        </w:rPr>
        <w:t>Participar activamente en la formación militar y educativa de los</w:t>
      </w:r>
      <w:r>
        <w:rPr>
          <w:spacing w:val="-27"/>
          <w:sz w:val="24"/>
        </w:rPr>
        <w:t> </w:t>
      </w:r>
      <w:r>
        <w:rPr>
          <w:sz w:val="24"/>
        </w:rPr>
        <w:t>jóvenes</w:t>
      </w:r>
    </w:p>
    <w:p>
      <w:pPr>
        <w:pStyle w:val="ListParagraph"/>
        <w:numPr>
          <w:ilvl w:val="1"/>
          <w:numId w:val="27"/>
        </w:numPr>
        <w:tabs>
          <w:tab w:pos="822" w:val="left" w:leader="none"/>
        </w:tabs>
        <w:spacing w:line="240" w:lineRule="auto" w:before="137" w:after="0"/>
        <w:ind w:left="822" w:right="0" w:hanging="360"/>
        <w:jc w:val="left"/>
        <w:rPr>
          <w:sz w:val="24"/>
        </w:rPr>
      </w:pPr>
      <w:r>
        <w:rPr>
          <w:sz w:val="24"/>
        </w:rPr>
        <w:t>Ejercer funciones judiciales y de vigilancia dentro de su</w:t>
      </w:r>
      <w:r>
        <w:rPr>
          <w:spacing w:val="-18"/>
          <w:sz w:val="24"/>
        </w:rPr>
        <w:t> </w:t>
      </w:r>
      <w:r>
        <w:rPr>
          <w:sz w:val="24"/>
        </w:rPr>
        <w:t>territorio</w:t>
      </w:r>
    </w:p>
    <w:p>
      <w:pPr>
        <w:pStyle w:val="ListParagraph"/>
        <w:numPr>
          <w:ilvl w:val="1"/>
          <w:numId w:val="27"/>
        </w:numPr>
        <w:tabs>
          <w:tab w:pos="822" w:val="left" w:leader="none"/>
        </w:tabs>
        <w:spacing w:line="360" w:lineRule="auto" w:before="139" w:after="0"/>
        <w:ind w:left="822" w:right="122" w:hanging="360"/>
        <w:jc w:val="both"/>
        <w:rPr>
          <w:sz w:val="24"/>
        </w:rPr>
      </w:pPr>
      <w:r>
        <w:rPr>
          <w:sz w:val="24"/>
        </w:rPr>
        <w:t>Financieramente, debía cubrir una serie de tributos al imperio o reino al que perteneciera, pero mantenía su autonomía política, económica, militar y religiosa</w:t>
      </w:r>
    </w:p>
    <w:p>
      <w:pPr>
        <w:pStyle w:val="ListParagraph"/>
        <w:numPr>
          <w:ilvl w:val="1"/>
          <w:numId w:val="27"/>
        </w:numPr>
        <w:tabs>
          <w:tab w:pos="822" w:val="left" w:leader="none"/>
        </w:tabs>
        <w:spacing w:line="240" w:lineRule="auto" w:before="2" w:after="0"/>
        <w:ind w:left="822" w:right="0" w:hanging="360"/>
        <w:jc w:val="left"/>
        <w:rPr>
          <w:sz w:val="24"/>
        </w:rPr>
      </w:pPr>
      <w:r>
        <w:rPr>
          <w:sz w:val="24"/>
        </w:rPr>
        <w:t>Los representantes de dicha organización eran elegidos por la</w:t>
      </w:r>
      <w:r>
        <w:rPr>
          <w:spacing w:val="-20"/>
          <w:sz w:val="24"/>
        </w:rPr>
        <w:t> </w:t>
      </w:r>
      <w:r>
        <w:rPr>
          <w:sz w:val="24"/>
        </w:rPr>
        <w:t>colectividad.</w:t>
      </w:r>
    </w:p>
    <w:p>
      <w:pPr>
        <w:pStyle w:val="BodyText"/>
      </w:pPr>
    </w:p>
    <w:p>
      <w:pPr>
        <w:pStyle w:val="BodyText"/>
      </w:pPr>
    </w:p>
    <w:p>
      <w:pPr>
        <w:pStyle w:val="BodyText"/>
        <w:spacing w:line="360" w:lineRule="auto"/>
        <w:ind w:left="102" w:right="117"/>
        <w:jc w:val="both"/>
      </w:pPr>
      <w:r>
        <w:rPr/>
        <w:t>A la llegada, de los españoles, la forma en que se dio la colonización fue a través precisamente de la figura municipal, así fue como se justificó este proceso colonizador. Por lo tanto, el primer antecedente en México del Municipio se dio en la Villa Rica de la Veracruz el 22 de Abril de 1519.</w:t>
      </w:r>
    </w:p>
    <w:p>
      <w:pPr>
        <w:pStyle w:val="BodyText"/>
        <w:spacing w:line="360" w:lineRule="auto" w:before="205"/>
        <w:ind w:left="102" w:right="120" w:firstLine="67"/>
        <w:jc w:val="both"/>
      </w:pPr>
      <w:r>
        <w:rPr/>
        <w:t>De la Torre (2010) señala que en la colonización en un principio se realizó la división, por medio de los señoríos ya existentes y en las extensiones territoriales donde no existía tal división, la milicia se encargaba de eso por medio de contratos efectuados por la corona que se llamaban “capitulaciones reales”. Más tarde la división se realizó por provincias, que se conformaban por pueblos, las que debían tener</w:t>
      </w:r>
      <w:r>
        <w:rPr>
          <w:spacing w:val="-17"/>
        </w:rPr>
        <w:t> </w:t>
      </w:r>
      <w:r>
        <w:rPr/>
        <w:t>una</w:t>
      </w:r>
      <w:r>
        <w:rPr>
          <w:spacing w:val="-15"/>
        </w:rPr>
        <w:t> </w:t>
      </w:r>
      <w:r>
        <w:rPr/>
        <w:t>cabecera</w:t>
      </w:r>
      <w:r>
        <w:rPr>
          <w:spacing w:val="-16"/>
        </w:rPr>
        <w:t> </w:t>
      </w:r>
      <w:r>
        <w:rPr/>
        <w:t>llamada</w:t>
      </w:r>
      <w:r>
        <w:rPr>
          <w:spacing w:val="-15"/>
        </w:rPr>
        <w:t> </w:t>
      </w:r>
      <w:r>
        <w:rPr/>
        <w:t>alcaldía</w:t>
      </w:r>
      <w:r>
        <w:rPr>
          <w:spacing w:val="-15"/>
        </w:rPr>
        <w:t> </w:t>
      </w:r>
      <w:r>
        <w:rPr/>
        <w:t>mayor,</w:t>
      </w:r>
      <w:r>
        <w:rPr>
          <w:spacing w:val="-16"/>
        </w:rPr>
        <w:t> </w:t>
      </w:r>
      <w:r>
        <w:rPr/>
        <w:t>siendo</w:t>
      </w:r>
      <w:r>
        <w:rPr>
          <w:spacing w:val="-12"/>
        </w:rPr>
        <w:t> </w:t>
      </w:r>
      <w:r>
        <w:rPr/>
        <w:t>obligatorio</w:t>
      </w:r>
      <w:r>
        <w:rPr>
          <w:spacing w:val="-15"/>
        </w:rPr>
        <w:t> </w:t>
      </w:r>
      <w:r>
        <w:rPr/>
        <w:t>establecer</w:t>
      </w:r>
      <w:r>
        <w:rPr>
          <w:spacing w:val="-17"/>
        </w:rPr>
        <w:t> </w:t>
      </w:r>
      <w:r>
        <w:rPr/>
        <w:t>un</w:t>
      </w:r>
      <w:r>
        <w:rPr>
          <w:spacing w:val="-15"/>
        </w:rPr>
        <w:t> </w:t>
      </w:r>
      <w:r>
        <w:rPr/>
        <w:t>cabildo o consejo</w:t>
      </w:r>
      <w:r>
        <w:rPr>
          <w:spacing w:val="-7"/>
        </w:rPr>
        <w:t> </w:t>
      </w:r>
      <w:r>
        <w:rPr/>
        <w:t>municipal.</w:t>
      </w:r>
    </w:p>
    <w:p>
      <w:pPr>
        <w:spacing w:after="0" w:line="360" w:lineRule="auto"/>
        <w:jc w:val="both"/>
        <w:sectPr>
          <w:footerReference w:type="default" r:id="rId38"/>
          <w:pgSz w:w="12240" w:h="15840"/>
          <w:pgMar w:footer="992" w:header="0" w:top="1360" w:bottom="1180" w:left="1600" w:right="1580"/>
          <w:pgNumType w:start="91"/>
        </w:sectPr>
      </w:pPr>
    </w:p>
    <w:p>
      <w:pPr>
        <w:pStyle w:val="BodyText"/>
        <w:spacing w:line="360" w:lineRule="auto" w:before="54"/>
        <w:ind w:left="102" w:right="98"/>
        <w:jc w:val="both"/>
      </w:pPr>
      <w:r>
        <w:rPr/>
        <w:t>En los primeros años, el gobierno fue ejercido por gobernadores reales; luego, se establecieron</w:t>
      </w:r>
      <w:r>
        <w:rPr>
          <w:spacing w:val="-19"/>
        </w:rPr>
        <w:t> </w:t>
      </w:r>
      <w:r>
        <w:rPr/>
        <w:t>audiencias,</w:t>
      </w:r>
      <w:r>
        <w:rPr>
          <w:spacing w:val="-19"/>
        </w:rPr>
        <w:t> </w:t>
      </w:r>
      <w:r>
        <w:rPr/>
        <w:t>pero</w:t>
      </w:r>
      <w:r>
        <w:rPr>
          <w:spacing w:val="-22"/>
        </w:rPr>
        <w:t> </w:t>
      </w:r>
      <w:r>
        <w:rPr/>
        <w:t>fue</w:t>
      </w:r>
      <w:r>
        <w:rPr>
          <w:spacing w:val="-19"/>
        </w:rPr>
        <w:t> </w:t>
      </w:r>
      <w:r>
        <w:rPr/>
        <w:t>el</w:t>
      </w:r>
      <w:r>
        <w:rPr>
          <w:spacing w:val="-18"/>
        </w:rPr>
        <w:t> </w:t>
      </w:r>
      <w:r>
        <w:rPr/>
        <w:t>virreinato</w:t>
      </w:r>
      <w:r>
        <w:rPr>
          <w:spacing w:val="-16"/>
        </w:rPr>
        <w:t> </w:t>
      </w:r>
      <w:r>
        <w:rPr/>
        <w:t>que</w:t>
      </w:r>
      <w:r>
        <w:rPr>
          <w:spacing w:val="-19"/>
        </w:rPr>
        <w:t> </w:t>
      </w:r>
      <w:r>
        <w:rPr/>
        <w:t>impusieron</w:t>
      </w:r>
      <w:r>
        <w:rPr>
          <w:spacing w:val="-19"/>
        </w:rPr>
        <w:t> </w:t>
      </w:r>
      <w:r>
        <w:rPr/>
        <w:t>finalmente.</w:t>
      </w:r>
      <w:r>
        <w:rPr>
          <w:spacing w:val="-19"/>
        </w:rPr>
        <w:t> </w:t>
      </w:r>
      <w:r>
        <w:rPr/>
        <w:t>A</w:t>
      </w:r>
      <w:r>
        <w:rPr>
          <w:spacing w:val="-21"/>
        </w:rPr>
        <w:t> </w:t>
      </w:r>
      <w:r>
        <w:rPr/>
        <w:t>medida que la administración colonial comenzó a expandirse, las formas asociativas indígenas tendieron a desaparecer y se perfeccionó la división territorial y administrativa</w:t>
      </w:r>
      <w:r>
        <w:rPr>
          <w:spacing w:val="-10"/>
        </w:rPr>
        <w:t> </w:t>
      </w:r>
      <w:r>
        <w:rPr/>
        <w:t>española.</w:t>
      </w:r>
    </w:p>
    <w:p>
      <w:pPr>
        <w:pStyle w:val="BodyText"/>
        <w:spacing w:line="360" w:lineRule="auto" w:before="204"/>
        <w:ind w:left="102" w:right="99" w:firstLine="67"/>
        <w:jc w:val="both"/>
      </w:pPr>
      <w:r>
        <w:rPr/>
        <w:t>En esta etapa se creó el cabildo como forma organizacional y administrativa; a los cabildos</w:t>
      </w:r>
      <w:r>
        <w:rPr>
          <w:spacing w:val="-5"/>
        </w:rPr>
        <w:t> </w:t>
      </w:r>
      <w:r>
        <w:rPr/>
        <w:t>indígenas</w:t>
      </w:r>
      <w:r>
        <w:rPr>
          <w:spacing w:val="-5"/>
        </w:rPr>
        <w:t> </w:t>
      </w:r>
      <w:r>
        <w:rPr/>
        <w:t>se</w:t>
      </w:r>
      <w:r>
        <w:rPr>
          <w:spacing w:val="-5"/>
        </w:rPr>
        <w:t> </w:t>
      </w:r>
      <w:r>
        <w:rPr/>
        <w:t>les</w:t>
      </w:r>
      <w:r>
        <w:rPr>
          <w:spacing w:val="-5"/>
        </w:rPr>
        <w:t> </w:t>
      </w:r>
      <w:r>
        <w:rPr/>
        <w:t>denominó</w:t>
      </w:r>
      <w:r>
        <w:rPr>
          <w:spacing w:val="-4"/>
        </w:rPr>
        <w:t> </w:t>
      </w:r>
      <w:r>
        <w:rPr/>
        <w:t>República</w:t>
      </w:r>
      <w:r>
        <w:rPr>
          <w:spacing w:val="-5"/>
        </w:rPr>
        <w:t> </w:t>
      </w:r>
      <w:r>
        <w:rPr/>
        <w:t>de</w:t>
      </w:r>
      <w:r>
        <w:rPr>
          <w:spacing w:val="-5"/>
        </w:rPr>
        <w:t> </w:t>
      </w:r>
      <w:r>
        <w:rPr/>
        <w:t>Indios.</w:t>
      </w:r>
      <w:r>
        <w:rPr>
          <w:spacing w:val="-7"/>
        </w:rPr>
        <w:t> </w:t>
      </w:r>
      <w:r>
        <w:rPr/>
        <w:t>En</w:t>
      </w:r>
      <w:r>
        <w:rPr>
          <w:spacing w:val="-7"/>
        </w:rPr>
        <w:t> </w:t>
      </w:r>
      <w:r>
        <w:rPr/>
        <w:t>ellas,</w:t>
      </w:r>
      <w:r>
        <w:rPr>
          <w:spacing w:val="-7"/>
        </w:rPr>
        <w:t> </w:t>
      </w:r>
      <w:r>
        <w:rPr/>
        <w:t>se</w:t>
      </w:r>
      <w:r>
        <w:rPr>
          <w:spacing w:val="-5"/>
        </w:rPr>
        <w:t> </w:t>
      </w:r>
      <w:r>
        <w:rPr/>
        <w:t>recaudaban</w:t>
      </w:r>
      <w:r>
        <w:rPr>
          <w:spacing w:val="-5"/>
        </w:rPr>
        <w:t> </w:t>
      </w:r>
      <w:r>
        <w:rPr/>
        <w:t>y entregaban tributos a los conquistadores, se distribuía el trabajo agrícola y constituyeron el centro de difusión para la</w:t>
      </w:r>
      <w:r>
        <w:rPr>
          <w:spacing w:val="-25"/>
        </w:rPr>
        <w:t> </w:t>
      </w:r>
      <w:r>
        <w:rPr/>
        <w:t>evangelización.</w:t>
      </w:r>
    </w:p>
    <w:p>
      <w:pPr>
        <w:pStyle w:val="BodyText"/>
        <w:spacing w:line="360" w:lineRule="auto" w:before="202"/>
        <w:ind w:left="102" w:right="98"/>
        <w:jc w:val="both"/>
      </w:pPr>
      <w:r>
        <w:rPr/>
        <w:t>En el Altiplano se fundó el segundo municipio en 1520 con el nombre de Segura Frontera (Tepeaca). Al arribar al centro del país, Cortés instaló el ayuntamiento de Coyoacán. Los primeros municipios coloniales que se fundaron se atuvieron a las prescripciones generales del derecho español.</w:t>
      </w:r>
    </w:p>
    <w:p>
      <w:pPr>
        <w:pStyle w:val="BodyText"/>
        <w:spacing w:line="360" w:lineRule="auto" w:before="204"/>
        <w:ind w:left="102" w:right="100"/>
        <w:jc w:val="both"/>
      </w:pPr>
      <w:r>
        <w:rPr/>
        <w:t>En 1524 y 1525 Cortés expide las ordenanzas, donde se regula la actividad colonizadora, en la primera ordenanza se normó el servicio militar, plantaciones, adoctrinamiento, repartimiento y residencia obligatoria de los españoles. En la segunda, se dispuso que cada villa debiera tener dos alcaldes con jurisdicción civil y criminal, cuatro regidores, un procurador y un escribano, nombrado por el mismo Cortés.</w:t>
      </w:r>
    </w:p>
    <w:p>
      <w:pPr>
        <w:pStyle w:val="BodyText"/>
        <w:spacing w:line="360" w:lineRule="auto" w:before="204"/>
        <w:ind w:left="102" w:right="100"/>
        <w:jc w:val="both"/>
      </w:pPr>
      <w:r>
        <w:rPr/>
        <w:t>De manera formal, el municipio como figura jurídica se ve constituida en la Constitución de Cádiz, promulgada el 19 de marzo de 1812, en España; y el 3º de septiembre en la Nueva España. En este documento se establecía la organización de los municipios, se consolidó la institución de los mismos como instancia básica de gobierno, así como una organización territorial y poblacional.</w:t>
      </w:r>
    </w:p>
    <w:p>
      <w:pPr>
        <w:pStyle w:val="BodyText"/>
        <w:spacing w:line="360" w:lineRule="auto" w:before="204"/>
        <w:ind w:left="102" w:right="102"/>
        <w:jc w:val="both"/>
      </w:pPr>
      <w:r>
        <w:rPr/>
        <w:t>En este documento, los municipios pasaron a ser verdaderas instituciones que constituían</w:t>
      </w:r>
      <w:r>
        <w:rPr>
          <w:spacing w:val="-9"/>
        </w:rPr>
        <w:t> </w:t>
      </w:r>
      <w:r>
        <w:rPr/>
        <w:t>una</w:t>
      </w:r>
      <w:r>
        <w:rPr>
          <w:spacing w:val="-7"/>
        </w:rPr>
        <w:t> </w:t>
      </w:r>
      <w:r>
        <w:rPr/>
        <w:t>instancia</w:t>
      </w:r>
      <w:r>
        <w:rPr>
          <w:spacing w:val="-7"/>
        </w:rPr>
        <w:t> </w:t>
      </w:r>
      <w:r>
        <w:rPr/>
        <w:t>de</w:t>
      </w:r>
      <w:r>
        <w:rPr>
          <w:spacing w:val="-9"/>
        </w:rPr>
        <w:t> </w:t>
      </w:r>
      <w:r>
        <w:rPr/>
        <w:t>gobierno,</w:t>
      </w:r>
      <w:r>
        <w:rPr>
          <w:spacing w:val="-7"/>
        </w:rPr>
        <w:t> </w:t>
      </w:r>
      <w:r>
        <w:rPr/>
        <w:t>con</w:t>
      </w:r>
      <w:r>
        <w:rPr>
          <w:spacing w:val="-9"/>
        </w:rPr>
        <w:t> </w:t>
      </w:r>
      <w:r>
        <w:rPr/>
        <w:t>esta</w:t>
      </w:r>
      <w:r>
        <w:rPr>
          <w:spacing w:val="-7"/>
        </w:rPr>
        <w:t> </w:t>
      </w:r>
      <w:r>
        <w:rPr/>
        <w:t>constitución</w:t>
      </w:r>
      <w:r>
        <w:rPr>
          <w:spacing w:val="-9"/>
        </w:rPr>
        <w:t> </w:t>
      </w:r>
      <w:r>
        <w:rPr/>
        <w:t>también</w:t>
      </w:r>
      <w:r>
        <w:rPr>
          <w:spacing w:val="-9"/>
        </w:rPr>
        <w:t> </w:t>
      </w:r>
      <w:r>
        <w:rPr/>
        <w:t>se</w:t>
      </w:r>
      <w:r>
        <w:rPr>
          <w:spacing w:val="-7"/>
        </w:rPr>
        <w:t> </w:t>
      </w:r>
      <w:r>
        <w:rPr/>
        <w:t>promovió</w:t>
      </w:r>
      <w:r>
        <w:rPr>
          <w:spacing w:val="-7"/>
        </w:rPr>
        <w:t> </w:t>
      </w:r>
      <w:r>
        <w:rPr/>
        <w:t>la creación de municipios donde no existían, ampliando con ello la participación y deliberación de los vecinos y notables en cuanto a los asuntos</w:t>
      </w:r>
      <w:r>
        <w:rPr>
          <w:spacing w:val="-17"/>
        </w:rPr>
        <w:t> </w:t>
      </w:r>
      <w:r>
        <w:rPr/>
        <w:t>comunes.</w:t>
      </w:r>
    </w:p>
    <w:p>
      <w:pPr>
        <w:spacing w:after="0" w:line="360" w:lineRule="auto"/>
        <w:jc w:val="both"/>
        <w:sectPr>
          <w:pgSz w:w="12240" w:h="15840"/>
          <w:pgMar w:header="0" w:footer="992" w:top="1360" w:bottom="1180" w:left="1600" w:right="1600"/>
        </w:sectPr>
      </w:pPr>
    </w:p>
    <w:p>
      <w:pPr>
        <w:pStyle w:val="Heading1"/>
        <w:spacing w:before="52"/>
        <w:ind w:left="1230"/>
      </w:pPr>
      <w:bookmarkStart w:name="_TOC_250022" w:id="30"/>
      <w:bookmarkEnd w:id="30"/>
      <w:r>
        <w:rPr/>
        <w:t>3.2.1 Evolución histórica del Municipio en México</w:t>
      </w:r>
    </w:p>
    <w:p>
      <w:pPr>
        <w:pStyle w:val="BodyText"/>
        <w:rPr>
          <w:b/>
          <w:sz w:val="28"/>
        </w:rPr>
      </w:pPr>
    </w:p>
    <w:p>
      <w:pPr>
        <w:pStyle w:val="BodyText"/>
        <w:rPr>
          <w:b/>
          <w:sz w:val="28"/>
        </w:rPr>
      </w:pPr>
    </w:p>
    <w:p>
      <w:pPr>
        <w:pStyle w:val="BodyText"/>
        <w:rPr>
          <w:b/>
          <w:sz w:val="28"/>
        </w:rPr>
      </w:pPr>
    </w:p>
    <w:p>
      <w:pPr>
        <w:pStyle w:val="BodyText"/>
        <w:spacing w:line="360" w:lineRule="auto" w:before="195"/>
        <w:ind w:left="102" w:right="115"/>
        <w:jc w:val="both"/>
      </w:pPr>
      <w:r>
        <w:rPr/>
        <w:t>La evolución histórica tiene gran relevancia para entender la actualidad municipal en</w:t>
      </w:r>
      <w:r>
        <w:rPr>
          <w:spacing w:val="-6"/>
        </w:rPr>
        <w:t> </w:t>
      </w:r>
      <w:r>
        <w:rPr/>
        <w:t>México,</w:t>
      </w:r>
      <w:r>
        <w:rPr>
          <w:spacing w:val="-8"/>
        </w:rPr>
        <w:t> </w:t>
      </w:r>
      <w:r>
        <w:rPr/>
        <w:t>por</w:t>
      </w:r>
      <w:r>
        <w:rPr>
          <w:spacing w:val="-10"/>
        </w:rPr>
        <w:t> </w:t>
      </w:r>
      <w:r>
        <w:rPr/>
        <w:t>ello,</w:t>
      </w:r>
      <w:r>
        <w:rPr>
          <w:spacing w:val="-6"/>
        </w:rPr>
        <w:t> </w:t>
      </w:r>
      <w:r>
        <w:rPr/>
        <w:t>los</w:t>
      </w:r>
      <w:r>
        <w:rPr>
          <w:spacing w:val="-8"/>
        </w:rPr>
        <w:t> </w:t>
      </w:r>
      <w:r>
        <w:rPr/>
        <w:t>aspectos</w:t>
      </w:r>
      <w:r>
        <w:rPr>
          <w:spacing w:val="-9"/>
        </w:rPr>
        <w:t> </w:t>
      </w:r>
      <w:r>
        <w:rPr/>
        <w:t>esenciales</w:t>
      </w:r>
      <w:r>
        <w:rPr>
          <w:spacing w:val="-9"/>
        </w:rPr>
        <w:t> </w:t>
      </w:r>
      <w:r>
        <w:rPr/>
        <w:t>de</w:t>
      </w:r>
      <w:r>
        <w:rPr>
          <w:spacing w:val="-6"/>
        </w:rPr>
        <w:t> </w:t>
      </w:r>
      <w:r>
        <w:rPr/>
        <w:t>la</w:t>
      </w:r>
      <w:r>
        <w:rPr>
          <w:spacing w:val="-9"/>
        </w:rPr>
        <w:t> </w:t>
      </w:r>
      <w:r>
        <w:rPr/>
        <w:t>conformación</w:t>
      </w:r>
      <w:r>
        <w:rPr>
          <w:spacing w:val="-7"/>
        </w:rPr>
        <w:t> </w:t>
      </w:r>
      <w:r>
        <w:rPr/>
        <w:t>municipal</w:t>
      </w:r>
      <w:r>
        <w:rPr>
          <w:spacing w:val="-7"/>
        </w:rPr>
        <w:t> </w:t>
      </w:r>
      <w:r>
        <w:rPr/>
        <w:t>a</w:t>
      </w:r>
      <w:r>
        <w:rPr>
          <w:spacing w:val="-8"/>
        </w:rPr>
        <w:t> </w:t>
      </w:r>
      <w:r>
        <w:rPr/>
        <w:t>lo</w:t>
      </w:r>
      <w:r>
        <w:rPr>
          <w:spacing w:val="-6"/>
        </w:rPr>
        <w:t> </w:t>
      </w:r>
      <w:r>
        <w:rPr/>
        <w:t>largo del tiempo hasta la actualidad es de suma importancia, debido a que localizar los datos históricos sobresalientes, coadyuava a revelar el porque la estructura municipal es la célula cercana a la ciudadania que conlleva lograr el desarrollo económico, político y social del pais, sin embargo este apartado no tiene como finalidad detallar los datos históricos, porque es un tema que ha sido abordado con minuciosidad en la doctrina</w:t>
      </w:r>
      <w:r>
        <w:rPr>
          <w:spacing w:val="-11"/>
        </w:rPr>
        <w:t> </w:t>
      </w:r>
      <w:r>
        <w:rPr/>
        <w:t>mexicana.</w:t>
      </w:r>
    </w:p>
    <w:p>
      <w:pPr>
        <w:pStyle w:val="Heading2"/>
        <w:spacing w:before="204"/>
      </w:pPr>
      <w:r>
        <w:rPr/>
        <w:t>1810-1821 La Independencia</w:t>
      </w:r>
    </w:p>
    <w:p>
      <w:pPr>
        <w:pStyle w:val="BodyText"/>
        <w:spacing w:before="2"/>
        <w:rPr>
          <w:b/>
          <w:sz w:val="29"/>
        </w:rPr>
      </w:pPr>
    </w:p>
    <w:p>
      <w:pPr>
        <w:pStyle w:val="BodyText"/>
        <w:spacing w:line="360" w:lineRule="auto"/>
        <w:ind w:left="102" w:right="117"/>
        <w:jc w:val="both"/>
      </w:pPr>
      <w:r>
        <w:rPr/>
        <w:t>Durante este período el municipio se desempeñó solamente como la base de la organización territorial y política. Su funcionamiento se continuó regulando por los preceptos de la constitución de Cádiz.</w:t>
      </w:r>
    </w:p>
    <w:p>
      <w:pPr>
        <w:pStyle w:val="Heading2"/>
        <w:spacing w:before="204"/>
      </w:pPr>
      <w:r>
        <w:rPr/>
        <w:t>1822-1824 Primer Imperio Mexicano</w:t>
      </w:r>
    </w:p>
    <w:p>
      <w:pPr>
        <w:pStyle w:val="BodyText"/>
        <w:spacing w:before="4"/>
        <w:rPr>
          <w:b/>
          <w:sz w:val="29"/>
        </w:rPr>
      </w:pPr>
    </w:p>
    <w:p>
      <w:pPr>
        <w:pStyle w:val="BodyText"/>
        <w:spacing w:line="360" w:lineRule="auto" w:before="1"/>
        <w:ind w:left="102" w:right="122"/>
        <w:jc w:val="both"/>
      </w:pPr>
      <w:r>
        <w:rPr/>
        <w:t>En esta época no se contempló la figura territorial del municipio, sino que se le da más importancia a la figura política y administrativa del ayuntamiento, que era un cuerpo colegiado y deliberativo donde se tomaban decisiones públicas.</w:t>
      </w:r>
    </w:p>
    <w:p>
      <w:pPr>
        <w:pStyle w:val="Heading2"/>
        <w:spacing w:before="204"/>
      </w:pPr>
      <w:r>
        <w:rPr/>
        <w:t>1824 Primera República Federal</w:t>
      </w:r>
    </w:p>
    <w:p>
      <w:pPr>
        <w:pStyle w:val="BodyText"/>
        <w:spacing w:before="4"/>
        <w:rPr>
          <w:b/>
          <w:sz w:val="29"/>
        </w:rPr>
      </w:pPr>
    </w:p>
    <w:p>
      <w:pPr>
        <w:pStyle w:val="BodyText"/>
        <w:spacing w:line="360" w:lineRule="auto" w:before="1"/>
        <w:ind w:left="102" w:right="124"/>
        <w:jc w:val="both"/>
      </w:pPr>
      <w:r>
        <w:rPr/>
        <w:t>Aquí no se hizo referencia a los gobiernos locales, y prácticamente se reproducen los esquemas españoles de administración y división territorial, por lo tanto los municipios siguen funcionando de acuerdo a lo establecido en la constitución de Cádiz, dando libertad a los estados de la Federación, para legislar sobre la forma de su organización política y administrativa.</w:t>
      </w:r>
    </w:p>
    <w:p>
      <w:pPr>
        <w:pStyle w:val="Heading2"/>
        <w:spacing w:before="202"/>
        <w:rPr>
          <w:b w:val="0"/>
        </w:rPr>
      </w:pPr>
      <w:r>
        <w:rPr/>
        <w:t>1836 Primera República Centralista (Siete Leyes Constitucionales</w:t>
      </w:r>
      <w:r>
        <w:rPr>
          <w:b w:val="0"/>
        </w:rPr>
        <w:t>)</w:t>
      </w:r>
    </w:p>
    <w:p>
      <w:pPr>
        <w:spacing w:after="0"/>
        <w:sectPr>
          <w:pgSz w:w="12240" w:h="15840"/>
          <w:pgMar w:header="0" w:footer="992" w:top="1360" w:bottom="1180" w:left="1600" w:right="1580"/>
        </w:sectPr>
      </w:pPr>
    </w:p>
    <w:p>
      <w:pPr>
        <w:pStyle w:val="BodyText"/>
        <w:spacing w:line="360" w:lineRule="auto" w:before="54"/>
        <w:ind w:left="102" w:right="116"/>
        <w:jc w:val="both"/>
      </w:pPr>
      <w:r>
        <w:rPr/>
        <w:t>Se adoptó un sistema de organización política centralista; los estados fueron sustituidos</w:t>
      </w:r>
      <w:r>
        <w:rPr>
          <w:spacing w:val="-4"/>
        </w:rPr>
        <w:t> </w:t>
      </w:r>
      <w:r>
        <w:rPr/>
        <w:t>por</w:t>
      </w:r>
      <w:r>
        <w:rPr>
          <w:spacing w:val="-5"/>
        </w:rPr>
        <w:t> </w:t>
      </w:r>
      <w:r>
        <w:rPr/>
        <w:t>departamentos</w:t>
      </w:r>
      <w:r>
        <w:rPr>
          <w:spacing w:val="-4"/>
        </w:rPr>
        <w:t> </w:t>
      </w:r>
      <w:r>
        <w:rPr/>
        <w:t>y</w:t>
      </w:r>
      <w:r>
        <w:rPr>
          <w:spacing w:val="-7"/>
        </w:rPr>
        <w:t> </w:t>
      </w:r>
      <w:r>
        <w:rPr/>
        <w:t>estos</w:t>
      </w:r>
      <w:r>
        <w:rPr>
          <w:spacing w:val="-7"/>
        </w:rPr>
        <w:t> </w:t>
      </w:r>
      <w:r>
        <w:rPr/>
        <w:t>últimos</w:t>
      </w:r>
      <w:r>
        <w:rPr>
          <w:spacing w:val="-7"/>
        </w:rPr>
        <w:t> </w:t>
      </w:r>
      <w:r>
        <w:rPr/>
        <w:t>quedaron</w:t>
      </w:r>
      <w:r>
        <w:rPr>
          <w:spacing w:val="-6"/>
        </w:rPr>
        <w:t> </w:t>
      </w:r>
      <w:r>
        <w:rPr/>
        <w:t>divididos</w:t>
      </w:r>
      <w:r>
        <w:rPr>
          <w:spacing w:val="-4"/>
        </w:rPr>
        <w:t> </w:t>
      </w:r>
      <w:r>
        <w:rPr/>
        <w:t>en</w:t>
      </w:r>
      <w:r>
        <w:rPr>
          <w:spacing w:val="-6"/>
        </w:rPr>
        <w:t> </w:t>
      </w:r>
      <w:r>
        <w:rPr/>
        <w:t>partidos,</w:t>
      </w:r>
      <w:r>
        <w:rPr>
          <w:spacing w:val="-6"/>
        </w:rPr>
        <w:t> </w:t>
      </w:r>
      <w:r>
        <w:rPr/>
        <w:t>cada uno con su ayuntamiento. No obstante, se determinó que las municipalidades quedaron sujetas a los gobernadores y asambleas vecinales. Lo sobresaliente durante esta etapa es que quedo reglamentado por primera vez la división</w:t>
      </w:r>
      <w:r>
        <w:rPr>
          <w:spacing w:val="4"/>
        </w:rPr>
        <w:t> </w:t>
      </w:r>
      <w:r>
        <w:rPr/>
        <w:t>política.</w:t>
      </w:r>
    </w:p>
    <w:p>
      <w:pPr>
        <w:pStyle w:val="BodyText"/>
        <w:spacing w:line="360" w:lineRule="auto" w:before="204"/>
        <w:ind w:left="102" w:right="115"/>
        <w:jc w:val="both"/>
      </w:pPr>
      <w:r>
        <w:rPr/>
        <w:t>Es sin duda enriquecedor tratar el tema sobre la evolución histórica del municipio, el conocimiento acerca de los antecedentes que dieron origen al municipio, dan la pauta de justificar por qué hoy es una célula de gobierno cercana a la ciudadanía, sin embargo; no es la intención detallar con esmero cada etapa, por que otros autores se han encargado de relatar perfectamente los antecedentes sobre el municipio</w:t>
      </w:r>
      <w:r>
        <w:rPr>
          <w:spacing w:val="-12"/>
        </w:rPr>
        <w:t> </w:t>
      </w:r>
      <w:r>
        <w:rPr/>
        <w:t>en</w:t>
      </w:r>
      <w:r>
        <w:rPr>
          <w:spacing w:val="-12"/>
        </w:rPr>
        <w:t> </w:t>
      </w:r>
      <w:r>
        <w:rPr/>
        <w:t>México,</w:t>
      </w:r>
      <w:r>
        <w:rPr>
          <w:spacing w:val="-12"/>
        </w:rPr>
        <w:t> </w:t>
      </w:r>
      <w:r>
        <w:rPr/>
        <w:t>pero</w:t>
      </w:r>
      <w:r>
        <w:rPr>
          <w:spacing w:val="-12"/>
        </w:rPr>
        <w:t> </w:t>
      </w:r>
      <w:r>
        <w:rPr/>
        <w:t>para</w:t>
      </w:r>
      <w:r>
        <w:rPr>
          <w:spacing w:val="-12"/>
        </w:rPr>
        <w:t> </w:t>
      </w:r>
      <w:r>
        <w:rPr/>
        <w:t>referencia</w:t>
      </w:r>
      <w:r>
        <w:rPr>
          <w:spacing w:val="-8"/>
        </w:rPr>
        <w:t> </w:t>
      </w:r>
      <w:r>
        <w:rPr/>
        <w:t>del</w:t>
      </w:r>
      <w:r>
        <w:rPr>
          <w:spacing w:val="-15"/>
        </w:rPr>
        <w:t> </w:t>
      </w:r>
      <w:r>
        <w:rPr/>
        <w:t>trabajo</w:t>
      </w:r>
      <w:r>
        <w:rPr>
          <w:spacing w:val="-14"/>
        </w:rPr>
        <w:t> </w:t>
      </w:r>
      <w:r>
        <w:rPr/>
        <w:t>de</w:t>
      </w:r>
      <w:r>
        <w:rPr>
          <w:spacing w:val="-12"/>
        </w:rPr>
        <w:t> </w:t>
      </w:r>
      <w:r>
        <w:rPr/>
        <w:t>investigación</w:t>
      </w:r>
      <w:r>
        <w:rPr>
          <w:spacing w:val="-9"/>
        </w:rPr>
        <w:t> </w:t>
      </w:r>
      <w:r>
        <w:rPr/>
        <w:t>es</w:t>
      </w:r>
      <w:r>
        <w:rPr>
          <w:spacing w:val="-13"/>
        </w:rPr>
        <w:t> </w:t>
      </w:r>
      <w:r>
        <w:rPr/>
        <w:t>necesario, con la finalidad de entender el avance que ésta ha tenido a lo largo de la historia y que entandamos la importancia de este ámbito de gobierno para lograr efectivamente un federalismo que reconozca, que el bienestar del país, se logra, si la</w:t>
      </w:r>
      <w:r>
        <w:rPr>
          <w:spacing w:val="-5"/>
        </w:rPr>
        <w:t> </w:t>
      </w:r>
      <w:r>
        <w:rPr/>
        <w:t>célula</w:t>
      </w:r>
      <w:r>
        <w:rPr>
          <w:spacing w:val="-5"/>
        </w:rPr>
        <w:t> </w:t>
      </w:r>
      <w:r>
        <w:rPr/>
        <w:t>cercana</w:t>
      </w:r>
      <w:r>
        <w:rPr>
          <w:spacing w:val="-5"/>
        </w:rPr>
        <w:t> </w:t>
      </w:r>
      <w:r>
        <w:rPr/>
        <w:t>a</w:t>
      </w:r>
      <w:r>
        <w:rPr>
          <w:spacing w:val="-5"/>
        </w:rPr>
        <w:t> </w:t>
      </w:r>
      <w:r>
        <w:rPr/>
        <w:t>la</w:t>
      </w:r>
      <w:r>
        <w:rPr>
          <w:spacing w:val="-5"/>
        </w:rPr>
        <w:t> </w:t>
      </w:r>
      <w:r>
        <w:rPr/>
        <w:t>ciudadanía</w:t>
      </w:r>
      <w:r>
        <w:rPr>
          <w:spacing w:val="-5"/>
        </w:rPr>
        <w:t> </w:t>
      </w:r>
      <w:r>
        <w:rPr/>
        <w:t>cuenta</w:t>
      </w:r>
      <w:r>
        <w:rPr>
          <w:spacing w:val="-4"/>
        </w:rPr>
        <w:t> </w:t>
      </w:r>
      <w:r>
        <w:rPr/>
        <w:t>con</w:t>
      </w:r>
      <w:r>
        <w:rPr>
          <w:spacing w:val="-5"/>
        </w:rPr>
        <w:t> </w:t>
      </w:r>
      <w:r>
        <w:rPr/>
        <w:t>las</w:t>
      </w:r>
      <w:r>
        <w:rPr>
          <w:spacing w:val="-5"/>
        </w:rPr>
        <w:t> </w:t>
      </w:r>
      <w:r>
        <w:rPr/>
        <w:t>herramientas,</w:t>
      </w:r>
      <w:r>
        <w:rPr>
          <w:spacing w:val="-5"/>
        </w:rPr>
        <w:t> </w:t>
      </w:r>
      <w:r>
        <w:rPr/>
        <w:t>que</w:t>
      </w:r>
      <w:r>
        <w:rPr>
          <w:spacing w:val="-5"/>
        </w:rPr>
        <w:t> </w:t>
      </w:r>
      <w:r>
        <w:rPr/>
        <w:t>coadyuven</w:t>
      </w:r>
      <w:r>
        <w:rPr>
          <w:spacing w:val="-5"/>
        </w:rPr>
        <w:t> </w:t>
      </w:r>
      <w:r>
        <w:rPr/>
        <w:t>a</w:t>
      </w:r>
      <w:r>
        <w:rPr>
          <w:spacing w:val="-5"/>
        </w:rPr>
        <w:t> </w:t>
      </w:r>
      <w:r>
        <w:rPr/>
        <w:t>su crecimiento y con ello al beneficio de la población en</w:t>
      </w:r>
      <w:r>
        <w:rPr>
          <w:spacing w:val="-18"/>
        </w:rPr>
        <w:t> </w:t>
      </w:r>
      <w:r>
        <w:rPr/>
        <w:t>general.</w:t>
      </w:r>
    </w:p>
    <w:p>
      <w:pPr>
        <w:pStyle w:val="BodyText"/>
        <w:spacing w:line="360" w:lineRule="auto" w:before="204"/>
        <w:ind w:left="102" w:right="117"/>
        <w:jc w:val="both"/>
      </w:pPr>
      <w:r>
        <w:rPr/>
        <w:t>Cabe resaltar un hecho no menos importante y que sienta las bases jurídicas del municipio es la que se dio durante la etapa de la revolución de 1910 hasta la constitución de 1917. Es con Venustiano Carranza donde se asienta uno de las gestas precedentes e importantes, que es, la integración del articulo 115 en la constitución de 1917, en donde se reorganiza la estructura interna del municipio mexicano, en éste surge la figura del presidente municipal, integrándose además del síndico y regidores.</w:t>
      </w:r>
    </w:p>
    <w:p>
      <w:pPr>
        <w:pStyle w:val="BodyText"/>
      </w:pPr>
    </w:p>
    <w:p>
      <w:pPr>
        <w:pStyle w:val="BodyText"/>
      </w:pPr>
    </w:p>
    <w:p>
      <w:pPr>
        <w:pStyle w:val="BodyText"/>
      </w:pPr>
    </w:p>
    <w:p>
      <w:pPr>
        <w:pStyle w:val="BodyText"/>
      </w:pPr>
    </w:p>
    <w:p>
      <w:pPr>
        <w:pStyle w:val="BodyText"/>
      </w:pPr>
    </w:p>
    <w:p>
      <w:pPr>
        <w:pStyle w:val="BodyText"/>
        <w:spacing w:before="6"/>
        <w:rPr>
          <w:sz w:val="28"/>
        </w:rPr>
      </w:pPr>
    </w:p>
    <w:p>
      <w:pPr>
        <w:pStyle w:val="Heading1"/>
        <w:numPr>
          <w:ilvl w:val="1"/>
          <w:numId w:val="26"/>
        </w:numPr>
        <w:tabs>
          <w:tab w:pos="841" w:val="left" w:leader="none"/>
        </w:tabs>
        <w:spacing w:line="242" w:lineRule="auto" w:before="0" w:after="0"/>
        <w:ind w:left="3462" w:right="392" w:hanging="3089"/>
        <w:jc w:val="left"/>
      </w:pPr>
      <w:bookmarkStart w:name="_TOC_250021" w:id="31"/>
      <w:r>
        <w:rPr/>
        <w:t>Marco Jurídico </w:t>
      </w:r>
      <w:r>
        <w:rPr>
          <w:spacing w:val="-3"/>
        </w:rPr>
        <w:t>Art. </w:t>
      </w:r>
      <w:r>
        <w:rPr/>
        <w:t>115 de la Constitución Mexicana de los Estados</w:t>
      </w:r>
      <w:r>
        <w:rPr>
          <w:spacing w:val="-6"/>
        </w:rPr>
        <w:t> </w:t>
      </w:r>
      <w:bookmarkEnd w:id="31"/>
      <w:r>
        <w:rPr/>
        <w:t>Unidos</w:t>
      </w:r>
    </w:p>
    <w:p>
      <w:pPr>
        <w:spacing w:after="0" w:line="242" w:lineRule="auto"/>
        <w:jc w:val="left"/>
        <w:sectPr>
          <w:pgSz w:w="12240" w:h="15840"/>
          <w:pgMar w:header="0" w:footer="992" w:top="1360" w:bottom="1180" w:left="1600" w:right="1580"/>
        </w:sectPr>
      </w:pPr>
    </w:p>
    <w:p>
      <w:pPr>
        <w:pStyle w:val="BodyText"/>
        <w:spacing w:line="360" w:lineRule="auto" w:before="54"/>
        <w:ind w:left="102" w:right="115"/>
        <w:jc w:val="both"/>
      </w:pPr>
      <w:r>
        <w:rPr/>
        <w:t>Para hablar del marco jurídico del municipio en México, es necesario conocer el texto original que dio origen al municipio como institución de manera formal en la estructura jurídica del país, y que fuese establecido por Venustiano Carranza y aprobado por unanimidad  por el año de 1917. El texto es el siguiente:</w:t>
      </w:r>
    </w:p>
    <w:p>
      <w:pPr>
        <w:spacing w:before="204"/>
        <w:ind w:left="954" w:right="117" w:firstLine="0"/>
        <w:jc w:val="both"/>
        <w:rPr>
          <w:sz w:val="22"/>
        </w:rPr>
      </w:pPr>
      <w:r>
        <w:rPr>
          <w:sz w:val="22"/>
        </w:rPr>
        <w:t>Articulo</w:t>
      </w:r>
      <w:r>
        <w:rPr>
          <w:spacing w:val="-13"/>
          <w:sz w:val="22"/>
        </w:rPr>
        <w:t> </w:t>
      </w:r>
      <w:r>
        <w:rPr>
          <w:sz w:val="22"/>
        </w:rPr>
        <w:t>115.</w:t>
      </w:r>
      <w:r>
        <w:rPr>
          <w:spacing w:val="-15"/>
          <w:sz w:val="22"/>
        </w:rPr>
        <w:t> </w:t>
      </w:r>
      <w:r>
        <w:rPr>
          <w:sz w:val="22"/>
        </w:rPr>
        <w:t>Los</w:t>
      </w:r>
      <w:r>
        <w:rPr>
          <w:spacing w:val="-16"/>
          <w:sz w:val="22"/>
        </w:rPr>
        <w:t> </w:t>
      </w:r>
      <w:r>
        <w:rPr>
          <w:sz w:val="22"/>
        </w:rPr>
        <w:t>Estados</w:t>
      </w:r>
      <w:r>
        <w:rPr>
          <w:spacing w:val="-13"/>
          <w:sz w:val="22"/>
        </w:rPr>
        <w:t> </w:t>
      </w:r>
      <w:r>
        <w:rPr>
          <w:sz w:val="22"/>
        </w:rPr>
        <w:t>adoptaran,</w:t>
      </w:r>
      <w:r>
        <w:rPr>
          <w:spacing w:val="-15"/>
          <w:sz w:val="22"/>
        </w:rPr>
        <w:t> </w:t>
      </w:r>
      <w:r>
        <w:rPr>
          <w:sz w:val="22"/>
        </w:rPr>
        <w:t>para</w:t>
      </w:r>
      <w:r>
        <w:rPr>
          <w:spacing w:val="-16"/>
          <w:sz w:val="22"/>
        </w:rPr>
        <w:t> </w:t>
      </w:r>
      <w:r>
        <w:rPr>
          <w:sz w:val="22"/>
        </w:rPr>
        <w:t>su</w:t>
      </w:r>
      <w:r>
        <w:rPr>
          <w:spacing w:val="-16"/>
          <w:sz w:val="22"/>
        </w:rPr>
        <w:t> </w:t>
      </w:r>
      <w:r>
        <w:rPr>
          <w:sz w:val="22"/>
        </w:rPr>
        <w:t>régimen</w:t>
      </w:r>
      <w:r>
        <w:rPr>
          <w:spacing w:val="-14"/>
          <w:sz w:val="22"/>
        </w:rPr>
        <w:t> </w:t>
      </w:r>
      <w:r>
        <w:rPr>
          <w:sz w:val="22"/>
        </w:rPr>
        <w:t>interior,</w:t>
      </w:r>
      <w:r>
        <w:rPr>
          <w:spacing w:val="-12"/>
          <w:sz w:val="22"/>
        </w:rPr>
        <w:t> </w:t>
      </w:r>
      <w:r>
        <w:rPr>
          <w:sz w:val="22"/>
        </w:rPr>
        <w:t>la</w:t>
      </w:r>
      <w:r>
        <w:rPr>
          <w:spacing w:val="-16"/>
          <w:sz w:val="22"/>
        </w:rPr>
        <w:t> </w:t>
      </w:r>
      <w:r>
        <w:rPr>
          <w:sz w:val="22"/>
        </w:rPr>
        <w:t>forma</w:t>
      </w:r>
      <w:r>
        <w:rPr>
          <w:spacing w:val="-16"/>
          <w:sz w:val="22"/>
        </w:rPr>
        <w:t> </w:t>
      </w:r>
      <w:r>
        <w:rPr>
          <w:sz w:val="22"/>
        </w:rPr>
        <w:t>de</w:t>
      </w:r>
      <w:r>
        <w:rPr>
          <w:spacing w:val="-16"/>
          <w:sz w:val="22"/>
        </w:rPr>
        <w:t> </w:t>
      </w:r>
      <w:r>
        <w:rPr>
          <w:sz w:val="22"/>
        </w:rPr>
        <w:t>gobierno republicano, representativo, popular, teniendo como base de su división territorial, y de su organización política y administrativa, el Municipio libre, conforme a las bases</w:t>
      </w:r>
      <w:r>
        <w:rPr>
          <w:spacing w:val="-4"/>
          <w:sz w:val="22"/>
        </w:rPr>
        <w:t> </w:t>
      </w:r>
      <w:r>
        <w:rPr>
          <w:sz w:val="22"/>
        </w:rPr>
        <w:t>siguientes:</w:t>
      </w:r>
    </w:p>
    <w:p>
      <w:pPr>
        <w:pStyle w:val="BodyText"/>
        <w:spacing w:before="5"/>
        <w:rPr>
          <w:sz w:val="17"/>
        </w:rPr>
      </w:pPr>
    </w:p>
    <w:p>
      <w:pPr>
        <w:pStyle w:val="ListParagraph"/>
        <w:numPr>
          <w:ilvl w:val="0"/>
          <w:numId w:val="28"/>
        </w:numPr>
        <w:tabs>
          <w:tab w:pos="954" w:val="left" w:leader="none"/>
        </w:tabs>
        <w:spacing w:line="240" w:lineRule="auto" w:before="0" w:after="0"/>
        <w:ind w:left="954" w:right="120" w:hanging="720"/>
        <w:jc w:val="both"/>
        <w:rPr>
          <w:sz w:val="22"/>
        </w:rPr>
      </w:pPr>
      <w:r>
        <w:rPr>
          <w:sz w:val="22"/>
        </w:rPr>
        <w:t>Cada municipio será administrado por un ayuntamiento de elección popular directa, y no habrá ninguna autoridad intermedia entre este y el Gobierno del Estado.</w:t>
      </w:r>
    </w:p>
    <w:p>
      <w:pPr>
        <w:pStyle w:val="ListParagraph"/>
        <w:numPr>
          <w:ilvl w:val="0"/>
          <w:numId w:val="28"/>
        </w:numPr>
        <w:tabs>
          <w:tab w:pos="954" w:val="left" w:leader="none"/>
        </w:tabs>
        <w:spacing w:line="240" w:lineRule="auto" w:before="1" w:after="0"/>
        <w:ind w:left="954" w:right="118" w:hanging="720"/>
        <w:jc w:val="both"/>
        <w:rPr>
          <w:sz w:val="22"/>
        </w:rPr>
      </w:pPr>
      <w:r>
        <w:rPr>
          <w:sz w:val="22"/>
        </w:rPr>
        <w:t>Los municipios administraran libremente su hacienda, la cual se formara de las contribuciones que señalen las legislaturas de los estados y que, en todo caso, serán las suficientes para atender a sus</w:t>
      </w:r>
      <w:r>
        <w:rPr>
          <w:spacing w:val="-12"/>
          <w:sz w:val="22"/>
        </w:rPr>
        <w:t> </w:t>
      </w:r>
      <w:r>
        <w:rPr>
          <w:sz w:val="22"/>
        </w:rPr>
        <w:t>necesidades.</w:t>
      </w:r>
    </w:p>
    <w:p>
      <w:pPr>
        <w:pStyle w:val="ListParagraph"/>
        <w:numPr>
          <w:ilvl w:val="0"/>
          <w:numId w:val="28"/>
        </w:numPr>
        <w:tabs>
          <w:tab w:pos="954" w:val="left" w:leader="none"/>
        </w:tabs>
        <w:spacing w:line="240" w:lineRule="auto" w:before="0" w:after="0"/>
        <w:ind w:left="954" w:right="117" w:hanging="720"/>
        <w:jc w:val="both"/>
        <w:rPr>
          <w:sz w:val="22"/>
        </w:rPr>
      </w:pPr>
      <w:r>
        <w:rPr>
          <w:sz w:val="22"/>
        </w:rPr>
        <w:t>Los municipios serán investidos de personalidad jurídica para todos los efectos legales. El ejecutivo federal y los gobernadores de los estados tendrán el mando de la fuerza pública en los municipios donde residieren habitualmente o transitoriamente. Los gobernadores constitucionales no podrán se reelectos ni durar en su encargo  más de cuatro</w:t>
      </w:r>
      <w:r>
        <w:rPr>
          <w:spacing w:val="-7"/>
          <w:sz w:val="22"/>
        </w:rPr>
        <w:t> </w:t>
      </w:r>
      <w:r>
        <w:rPr>
          <w:sz w:val="22"/>
        </w:rPr>
        <w:t>años.</w:t>
      </w:r>
    </w:p>
    <w:p>
      <w:pPr>
        <w:spacing w:before="0"/>
        <w:ind w:left="954" w:right="120" w:firstLine="0"/>
        <w:jc w:val="both"/>
        <w:rPr>
          <w:sz w:val="22"/>
        </w:rPr>
      </w:pPr>
      <w:r>
        <w:rPr>
          <w:sz w:val="22"/>
        </w:rPr>
        <w:t>Son aplicables a los gobernadores, sustitutos o interinos, las prohibiciones del artículo 83.</w:t>
      </w:r>
    </w:p>
    <w:p>
      <w:pPr>
        <w:pStyle w:val="BodyText"/>
        <w:spacing w:before="2"/>
        <w:rPr>
          <w:sz w:val="17"/>
        </w:rPr>
      </w:pPr>
    </w:p>
    <w:p>
      <w:pPr>
        <w:spacing w:before="0"/>
        <w:ind w:left="954" w:right="117" w:firstLine="0"/>
        <w:jc w:val="both"/>
        <w:rPr>
          <w:sz w:val="22"/>
        </w:rPr>
      </w:pPr>
      <w:r>
        <w:rPr>
          <w:sz w:val="22"/>
        </w:rPr>
        <w:t>El número de representantes de las legislaturas de los estados serán proporcionales</w:t>
      </w:r>
      <w:r>
        <w:rPr>
          <w:spacing w:val="-2"/>
          <w:sz w:val="22"/>
        </w:rPr>
        <w:t> </w:t>
      </w:r>
      <w:r>
        <w:rPr>
          <w:sz w:val="22"/>
        </w:rPr>
        <w:t>al</w:t>
      </w:r>
      <w:r>
        <w:rPr>
          <w:spacing w:val="-5"/>
          <w:sz w:val="22"/>
        </w:rPr>
        <w:t> </w:t>
      </w:r>
      <w:r>
        <w:rPr>
          <w:sz w:val="22"/>
        </w:rPr>
        <w:t>de</w:t>
      </w:r>
      <w:r>
        <w:rPr>
          <w:spacing w:val="-2"/>
          <w:sz w:val="22"/>
        </w:rPr>
        <w:t> </w:t>
      </w:r>
      <w:r>
        <w:rPr>
          <w:sz w:val="22"/>
        </w:rPr>
        <w:t>los</w:t>
      </w:r>
      <w:r>
        <w:rPr>
          <w:spacing w:val="-7"/>
          <w:sz w:val="22"/>
        </w:rPr>
        <w:t> </w:t>
      </w:r>
      <w:r>
        <w:rPr>
          <w:sz w:val="22"/>
        </w:rPr>
        <w:t>habitantes</w:t>
      </w:r>
      <w:r>
        <w:rPr>
          <w:spacing w:val="-4"/>
          <w:sz w:val="22"/>
        </w:rPr>
        <w:t> </w:t>
      </w:r>
      <w:r>
        <w:rPr>
          <w:sz w:val="22"/>
        </w:rPr>
        <w:t>de</w:t>
      </w:r>
      <w:r>
        <w:rPr>
          <w:spacing w:val="-2"/>
          <w:sz w:val="22"/>
        </w:rPr>
        <w:t> </w:t>
      </w:r>
      <w:r>
        <w:rPr>
          <w:sz w:val="22"/>
        </w:rPr>
        <w:t>cada</w:t>
      </w:r>
      <w:r>
        <w:rPr>
          <w:spacing w:val="-4"/>
          <w:sz w:val="22"/>
        </w:rPr>
        <w:t> </w:t>
      </w:r>
      <w:r>
        <w:rPr>
          <w:sz w:val="22"/>
        </w:rPr>
        <w:t>uno,</w:t>
      </w:r>
      <w:r>
        <w:rPr>
          <w:spacing w:val="-3"/>
          <w:sz w:val="22"/>
        </w:rPr>
        <w:t> </w:t>
      </w:r>
      <w:r>
        <w:rPr>
          <w:sz w:val="22"/>
        </w:rPr>
        <w:t>pero,</w:t>
      </w:r>
      <w:r>
        <w:rPr>
          <w:spacing w:val="-3"/>
          <w:sz w:val="22"/>
        </w:rPr>
        <w:t> </w:t>
      </w:r>
      <w:r>
        <w:rPr>
          <w:sz w:val="22"/>
        </w:rPr>
        <w:t>en</w:t>
      </w:r>
      <w:r>
        <w:rPr>
          <w:spacing w:val="-5"/>
          <w:sz w:val="22"/>
        </w:rPr>
        <w:t> </w:t>
      </w:r>
      <w:r>
        <w:rPr>
          <w:sz w:val="22"/>
        </w:rPr>
        <w:t>todo</w:t>
      </w:r>
      <w:r>
        <w:rPr>
          <w:spacing w:val="-4"/>
          <w:sz w:val="22"/>
        </w:rPr>
        <w:t> </w:t>
      </w:r>
      <w:r>
        <w:rPr>
          <w:sz w:val="22"/>
        </w:rPr>
        <w:t>caso,</w:t>
      </w:r>
      <w:r>
        <w:rPr>
          <w:spacing w:val="-3"/>
          <w:sz w:val="22"/>
        </w:rPr>
        <w:t> </w:t>
      </w:r>
      <w:r>
        <w:rPr>
          <w:sz w:val="22"/>
        </w:rPr>
        <w:t>el</w:t>
      </w:r>
      <w:r>
        <w:rPr>
          <w:spacing w:val="-2"/>
          <w:sz w:val="22"/>
        </w:rPr>
        <w:t> </w:t>
      </w:r>
      <w:r>
        <w:rPr>
          <w:sz w:val="22"/>
        </w:rPr>
        <w:t>número</w:t>
      </w:r>
      <w:r>
        <w:rPr>
          <w:spacing w:val="-4"/>
          <w:sz w:val="22"/>
        </w:rPr>
        <w:t> </w:t>
      </w:r>
      <w:r>
        <w:rPr>
          <w:spacing w:val="-3"/>
          <w:sz w:val="22"/>
        </w:rPr>
        <w:t>de </w:t>
      </w:r>
      <w:r>
        <w:rPr>
          <w:sz w:val="22"/>
        </w:rPr>
        <w:t>representantes de una legislatura local no podrá ser menor de 15 diputados propietarios.</w:t>
      </w:r>
    </w:p>
    <w:p>
      <w:pPr>
        <w:pStyle w:val="BodyText"/>
        <w:spacing w:before="2"/>
        <w:rPr>
          <w:sz w:val="17"/>
        </w:rPr>
      </w:pPr>
    </w:p>
    <w:p>
      <w:pPr>
        <w:spacing w:before="0"/>
        <w:ind w:left="954" w:right="121" w:firstLine="0"/>
        <w:jc w:val="both"/>
        <w:rPr>
          <w:sz w:val="22"/>
        </w:rPr>
      </w:pPr>
      <w:r>
        <w:rPr>
          <w:sz w:val="22"/>
        </w:rPr>
        <w:t>En los estados cada distrito electoral nombrara a un Diputado propietario y un suplente.</w:t>
      </w:r>
    </w:p>
    <w:p>
      <w:pPr>
        <w:pStyle w:val="BodyText"/>
        <w:spacing w:before="2"/>
        <w:rPr>
          <w:sz w:val="17"/>
        </w:rPr>
      </w:pPr>
    </w:p>
    <w:p>
      <w:pPr>
        <w:spacing w:before="0"/>
        <w:ind w:left="954" w:right="114" w:firstLine="0"/>
        <w:jc w:val="both"/>
        <w:rPr>
          <w:sz w:val="22"/>
        </w:rPr>
      </w:pPr>
      <w:r>
        <w:rPr>
          <w:sz w:val="22"/>
        </w:rPr>
        <w:t>Solo</w:t>
      </w:r>
      <w:r>
        <w:rPr>
          <w:spacing w:val="-12"/>
          <w:sz w:val="22"/>
        </w:rPr>
        <w:t> </w:t>
      </w:r>
      <w:r>
        <w:rPr>
          <w:sz w:val="22"/>
        </w:rPr>
        <w:t>podrá</w:t>
      </w:r>
      <w:r>
        <w:rPr>
          <w:spacing w:val="-12"/>
          <w:sz w:val="22"/>
        </w:rPr>
        <w:t> </w:t>
      </w:r>
      <w:r>
        <w:rPr>
          <w:sz w:val="22"/>
        </w:rPr>
        <w:t>ser</w:t>
      </w:r>
      <w:r>
        <w:rPr>
          <w:spacing w:val="-14"/>
          <w:sz w:val="22"/>
        </w:rPr>
        <w:t> </w:t>
      </w:r>
      <w:r>
        <w:rPr>
          <w:sz w:val="22"/>
        </w:rPr>
        <w:t>gobernador</w:t>
      </w:r>
      <w:r>
        <w:rPr>
          <w:spacing w:val="-12"/>
          <w:sz w:val="22"/>
        </w:rPr>
        <w:t> </w:t>
      </w:r>
      <w:r>
        <w:rPr>
          <w:sz w:val="22"/>
        </w:rPr>
        <w:t>constitucional</w:t>
      </w:r>
      <w:r>
        <w:rPr>
          <w:spacing w:val="-14"/>
          <w:sz w:val="22"/>
        </w:rPr>
        <w:t> </w:t>
      </w:r>
      <w:r>
        <w:rPr>
          <w:sz w:val="22"/>
        </w:rPr>
        <w:t>de</w:t>
      </w:r>
      <w:r>
        <w:rPr>
          <w:spacing w:val="-13"/>
          <w:sz w:val="22"/>
        </w:rPr>
        <w:t> </w:t>
      </w:r>
      <w:r>
        <w:rPr>
          <w:sz w:val="22"/>
        </w:rPr>
        <w:t>un</w:t>
      </w:r>
      <w:r>
        <w:rPr>
          <w:spacing w:val="-13"/>
          <w:sz w:val="22"/>
        </w:rPr>
        <w:t> </w:t>
      </w:r>
      <w:r>
        <w:rPr>
          <w:sz w:val="22"/>
        </w:rPr>
        <w:t>estado</w:t>
      </w:r>
      <w:r>
        <w:rPr>
          <w:spacing w:val="-12"/>
          <w:sz w:val="22"/>
        </w:rPr>
        <w:t> </w:t>
      </w:r>
      <w:r>
        <w:rPr>
          <w:sz w:val="22"/>
        </w:rPr>
        <w:t>un</w:t>
      </w:r>
      <w:r>
        <w:rPr>
          <w:spacing w:val="-13"/>
          <w:sz w:val="22"/>
        </w:rPr>
        <w:t> </w:t>
      </w:r>
      <w:r>
        <w:rPr>
          <w:sz w:val="22"/>
        </w:rPr>
        <w:t>ciudadano</w:t>
      </w:r>
      <w:r>
        <w:rPr>
          <w:spacing w:val="-15"/>
          <w:sz w:val="22"/>
        </w:rPr>
        <w:t> </w:t>
      </w:r>
      <w:r>
        <w:rPr>
          <w:sz w:val="22"/>
        </w:rPr>
        <w:t>mexicano</w:t>
      </w:r>
      <w:r>
        <w:rPr>
          <w:spacing w:val="-12"/>
          <w:sz w:val="22"/>
        </w:rPr>
        <w:t> </w:t>
      </w:r>
      <w:r>
        <w:rPr>
          <w:sz w:val="22"/>
        </w:rPr>
        <w:t>por nacimiento</w:t>
      </w:r>
      <w:r>
        <w:rPr>
          <w:spacing w:val="-8"/>
          <w:sz w:val="22"/>
        </w:rPr>
        <w:t> </w:t>
      </w:r>
      <w:r>
        <w:rPr>
          <w:sz w:val="22"/>
        </w:rPr>
        <w:t>y</w:t>
      </w:r>
      <w:r>
        <w:rPr>
          <w:spacing w:val="-7"/>
          <w:sz w:val="22"/>
        </w:rPr>
        <w:t> </w:t>
      </w:r>
      <w:r>
        <w:rPr>
          <w:sz w:val="22"/>
        </w:rPr>
        <w:t>nativo</w:t>
      </w:r>
      <w:r>
        <w:rPr>
          <w:spacing w:val="-5"/>
          <w:sz w:val="22"/>
        </w:rPr>
        <w:t> </w:t>
      </w:r>
      <w:r>
        <w:rPr>
          <w:sz w:val="22"/>
        </w:rPr>
        <w:t>de</w:t>
      </w:r>
      <w:r>
        <w:rPr>
          <w:spacing w:val="-8"/>
          <w:sz w:val="22"/>
        </w:rPr>
        <w:t> </w:t>
      </w:r>
      <w:r>
        <w:rPr>
          <w:sz w:val="22"/>
        </w:rPr>
        <w:t>él</w:t>
      </w:r>
      <w:r>
        <w:rPr>
          <w:spacing w:val="-9"/>
          <w:sz w:val="22"/>
        </w:rPr>
        <w:t> </w:t>
      </w:r>
      <w:r>
        <w:rPr>
          <w:sz w:val="22"/>
        </w:rPr>
        <w:t>o</w:t>
      </w:r>
      <w:r>
        <w:rPr>
          <w:spacing w:val="-5"/>
          <w:sz w:val="22"/>
        </w:rPr>
        <w:t> </w:t>
      </w:r>
      <w:r>
        <w:rPr>
          <w:sz w:val="22"/>
        </w:rPr>
        <w:t>con</w:t>
      </w:r>
      <w:r>
        <w:rPr>
          <w:spacing w:val="-8"/>
          <w:sz w:val="22"/>
        </w:rPr>
        <w:t> </w:t>
      </w:r>
      <w:r>
        <w:rPr>
          <w:sz w:val="22"/>
        </w:rPr>
        <w:t>vecindad</w:t>
      </w:r>
      <w:r>
        <w:rPr>
          <w:spacing w:val="-6"/>
          <w:sz w:val="22"/>
        </w:rPr>
        <w:t> </w:t>
      </w:r>
      <w:r>
        <w:rPr>
          <w:sz w:val="22"/>
        </w:rPr>
        <w:t>no</w:t>
      </w:r>
      <w:r>
        <w:rPr>
          <w:spacing w:val="-8"/>
          <w:sz w:val="22"/>
        </w:rPr>
        <w:t> </w:t>
      </w:r>
      <w:r>
        <w:rPr>
          <w:sz w:val="22"/>
        </w:rPr>
        <w:t>menor</w:t>
      </w:r>
      <w:r>
        <w:rPr>
          <w:spacing w:val="-7"/>
          <w:sz w:val="22"/>
        </w:rPr>
        <w:t> </w:t>
      </w:r>
      <w:r>
        <w:rPr>
          <w:sz w:val="22"/>
        </w:rPr>
        <w:t>de</w:t>
      </w:r>
      <w:r>
        <w:rPr>
          <w:spacing w:val="-8"/>
          <w:sz w:val="22"/>
        </w:rPr>
        <w:t> </w:t>
      </w:r>
      <w:r>
        <w:rPr>
          <w:sz w:val="22"/>
        </w:rPr>
        <w:t>cinco</w:t>
      </w:r>
      <w:r>
        <w:rPr>
          <w:spacing w:val="-8"/>
          <w:sz w:val="22"/>
        </w:rPr>
        <w:t> </w:t>
      </w:r>
      <w:r>
        <w:rPr>
          <w:sz w:val="22"/>
        </w:rPr>
        <w:t>años,</w:t>
      </w:r>
      <w:r>
        <w:rPr>
          <w:spacing w:val="-7"/>
          <w:sz w:val="22"/>
        </w:rPr>
        <w:t> </w:t>
      </w:r>
      <w:r>
        <w:rPr>
          <w:sz w:val="22"/>
        </w:rPr>
        <w:t>inmediatamente anteriores a la elección. (Doger,</w:t>
      </w:r>
      <w:r>
        <w:rPr>
          <w:spacing w:val="-9"/>
          <w:sz w:val="22"/>
        </w:rPr>
        <w:t> </w:t>
      </w:r>
      <w:r>
        <w:rPr>
          <w:sz w:val="22"/>
        </w:rPr>
        <w:t>2013:53-54)</w:t>
      </w:r>
    </w:p>
    <w:p>
      <w:pPr>
        <w:pStyle w:val="BodyText"/>
        <w:rPr>
          <w:sz w:val="22"/>
        </w:rPr>
      </w:pPr>
    </w:p>
    <w:p>
      <w:pPr>
        <w:pStyle w:val="BodyText"/>
        <w:rPr>
          <w:sz w:val="22"/>
        </w:rPr>
      </w:pPr>
    </w:p>
    <w:p>
      <w:pPr>
        <w:pStyle w:val="BodyText"/>
        <w:spacing w:before="9"/>
        <w:rPr>
          <w:sz w:val="20"/>
        </w:rPr>
      </w:pPr>
    </w:p>
    <w:p>
      <w:pPr>
        <w:pStyle w:val="BodyText"/>
        <w:spacing w:line="360" w:lineRule="auto" w:before="1"/>
        <w:ind w:left="102" w:right="116"/>
        <w:jc w:val="both"/>
      </w:pPr>
      <w:r>
        <w:rPr/>
        <w:t>Después de este suceso dicho precepto jurídico ha tenido una serie de reformas que con el paso del tiempo se han impreso en la constitución, la primera reforma</w:t>
      </w:r>
      <w:r>
        <w:rPr>
          <w:spacing w:val="-37"/>
        </w:rPr>
        <w:t> </w:t>
      </w:r>
      <w:r>
        <w:rPr/>
        <w:t>al art. 115 fue el 20 de Agosto de 1928. La reforma tendió a disminuir el número de diputados de las legislaturas locales para hacerlo proporcional respecto al número de representantes. Cabe resaltar, que en el art. 115 de 1917 incluía dentro de su estructura</w:t>
      </w:r>
      <w:r>
        <w:rPr>
          <w:spacing w:val="55"/>
        </w:rPr>
        <w:t> </w:t>
      </w:r>
      <w:r>
        <w:rPr/>
        <w:t>normatividad</w:t>
      </w:r>
      <w:r>
        <w:rPr>
          <w:spacing w:val="58"/>
        </w:rPr>
        <w:t> </w:t>
      </w:r>
      <w:r>
        <w:rPr/>
        <w:t>a</w:t>
      </w:r>
      <w:r>
        <w:rPr>
          <w:spacing w:val="58"/>
        </w:rPr>
        <w:t> </w:t>
      </w:r>
      <w:r>
        <w:rPr/>
        <w:t>los</w:t>
      </w:r>
      <w:r>
        <w:rPr>
          <w:spacing w:val="55"/>
        </w:rPr>
        <w:t> </w:t>
      </w:r>
      <w:r>
        <w:rPr/>
        <w:t>gobernadores</w:t>
      </w:r>
      <w:r>
        <w:rPr>
          <w:spacing w:val="55"/>
        </w:rPr>
        <w:t> </w:t>
      </w:r>
      <w:r>
        <w:rPr/>
        <w:t>de</w:t>
      </w:r>
      <w:r>
        <w:rPr>
          <w:spacing w:val="58"/>
        </w:rPr>
        <w:t> </w:t>
      </w:r>
      <w:r>
        <w:rPr/>
        <w:t>los</w:t>
      </w:r>
      <w:r>
        <w:rPr>
          <w:spacing w:val="55"/>
        </w:rPr>
        <w:t> </w:t>
      </w:r>
      <w:r>
        <w:rPr/>
        <w:t>estados,</w:t>
      </w:r>
      <w:r>
        <w:rPr>
          <w:spacing w:val="58"/>
        </w:rPr>
        <w:t> </w:t>
      </w:r>
      <w:r>
        <w:rPr/>
        <w:t>y</w:t>
      </w:r>
      <w:r>
        <w:rPr>
          <w:spacing w:val="55"/>
        </w:rPr>
        <w:t> </w:t>
      </w:r>
      <w:r>
        <w:rPr/>
        <w:t>a</w:t>
      </w:r>
      <w:r>
        <w:rPr>
          <w:spacing w:val="58"/>
        </w:rPr>
        <w:t> </w:t>
      </w:r>
      <w:r>
        <w:rPr/>
        <w:t>los</w:t>
      </w:r>
      <w:r>
        <w:rPr>
          <w:spacing w:val="58"/>
        </w:rPr>
        <w:t> </w:t>
      </w:r>
      <w:r>
        <w:rPr/>
        <w:t>diputados</w:t>
      </w:r>
    </w:p>
    <w:p>
      <w:pPr>
        <w:spacing w:after="0" w:line="360" w:lineRule="auto"/>
        <w:jc w:val="both"/>
        <w:sectPr>
          <w:pgSz w:w="12240" w:h="15840"/>
          <w:pgMar w:header="0" w:footer="992" w:top="1360" w:bottom="1180" w:left="1600" w:right="1580"/>
        </w:sectPr>
      </w:pPr>
    </w:p>
    <w:p>
      <w:pPr>
        <w:pStyle w:val="BodyText"/>
        <w:spacing w:line="362" w:lineRule="auto" w:before="54"/>
        <w:ind w:left="102" w:right="117"/>
        <w:jc w:val="both"/>
      </w:pPr>
      <w:r>
        <w:rPr/>
        <w:t>locales,</w:t>
      </w:r>
      <w:r>
        <w:rPr>
          <w:spacing w:val="-11"/>
        </w:rPr>
        <w:t> </w:t>
      </w:r>
      <w:r>
        <w:rPr/>
        <w:t>motivo</w:t>
      </w:r>
      <w:r>
        <w:rPr>
          <w:spacing w:val="-8"/>
        </w:rPr>
        <w:t> </w:t>
      </w:r>
      <w:r>
        <w:rPr/>
        <w:t>por</w:t>
      </w:r>
      <w:r>
        <w:rPr>
          <w:spacing w:val="-10"/>
        </w:rPr>
        <w:t> </w:t>
      </w:r>
      <w:r>
        <w:rPr/>
        <w:t>el</w:t>
      </w:r>
      <w:r>
        <w:rPr>
          <w:spacing w:val="-10"/>
        </w:rPr>
        <w:t> </w:t>
      </w:r>
      <w:r>
        <w:rPr/>
        <w:t>cual</w:t>
      </w:r>
      <w:r>
        <w:rPr>
          <w:spacing w:val="-10"/>
        </w:rPr>
        <w:t> </w:t>
      </w:r>
      <w:r>
        <w:rPr/>
        <w:t>la</w:t>
      </w:r>
      <w:r>
        <w:rPr>
          <w:spacing w:val="-9"/>
        </w:rPr>
        <w:t> </w:t>
      </w:r>
      <w:r>
        <w:rPr/>
        <w:t>primera</w:t>
      </w:r>
      <w:r>
        <w:rPr>
          <w:spacing w:val="-9"/>
        </w:rPr>
        <w:t> </w:t>
      </w:r>
      <w:r>
        <w:rPr/>
        <w:t>reforma</w:t>
      </w:r>
      <w:r>
        <w:rPr>
          <w:spacing w:val="-11"/>
        </w:rPr>
        <w:t> </w:t>
      </w:r>
      <w:r>
        <w:rPr/>
        <w:t>se</w:t>
      </w:r>
      <w:r>
        <w:rPr>
          <w:spacing w:val="-8"/>
        </w:rPr>
        <w:t> </w:t>
      </w:r>
      <w:r>
        <w:rPr/>
        <w:t>dio</w:t>
      </w:r>
      <w:r>
        <w:rPr>
          <w:spacing w:val="-9"/>
        </w:rPr>
        <w:t> </w:t>
      </w:r>
      <w:r>
        <w:rPr/>
        <w:t>en</w:t>
      </w:r>
      <w:r>
        <w:rPr>
          <w:spacing w:val="-3"/>
        </w:rPr>
        <w:t> </w:t>
      </w:r>
      <w:r>
        <w:rPr/>
        <w:t>torno</w:t>
      </w:r>
      <w:r>
        <w:rPr>
          <w:spacing w:val="-8"/>
        </w:rPr>
        <w:t> </w:t>
      </w:r>
      <w:r>
        <w:rPr/>
        <w:t>a</w:t>
      </w:r>
      <w:r>
        <w:rPr>
          <w:spacing w:val="-8"/>
        </w:rPr>
        <w:t> </w:t>
      </w:r>
      <w:r>
        <w:rPr/>
        <w:t>los</w:t>
      </w:r>
      <w:r>
        <w:rPr>
          <w:spacing w:val="-11"/>
        </w:rPr>
        <w:t> </w:t>
      </w:r>
      <w:r>
        <w:rPr/>
        <w:t>diputados</w:t>
      </w:r>
      <w:r>
        <w:rPr>
          <w:spacing w:val="-9"/>
        </w:rPr>
        <w:t> </w:t>
      </w:r>
      <w:r>
        <w:rPr/>
        <w:t>locales y no precisamente a la institución</w:t>
      </w:r>
      <w:r>
        <w:rPr>
          <w:spacing w:val="-10"/>
        </w:rPr>
        <w:t> </w:t>
      </w:r>
      <w:r>
        <w:rPr/>
        <w:t>municipal.</w:t>
      </w:r>
    </w:p>
    <w:p>
      <w:pPr>
        <w:pStyle w:val="BodyText"/>
        <w:spacing w:line="360" w:lineRule="auto" w:before="201"/>
        <w:ind w:left="102" w:right="117" w:firstLine="67"/>
        <w:jc w:val="both"/>
      </w:pPr>
      <w:r>
        <w:rPr/>
        <w:t>La segunda reforma al art. 115 fue el 29 de Abril de 1933. Se agregó un segundo párrafo,</w:t>
      </w:r>
      <w:r>
        <w:rPr>
          <w:spacing w:val="-16"/>
        </w:rPr>
        <w:t> </w:t>
      </w:r>
      <w:r>
        <w:rPr/>
        <w:t>la</w:t>
      </w:r>
      <w:r>
        <w:rPr>
          <w:spacing w:val="-18"/>
        </w:rPr>
        <w:t> </w:t>
      </w:r>
      <w:r>
        <w:rPr/>
        <w:t>fracción</w:t>
      </w:r>
      <w:r>
        <w:rPr>
          <w:spacing w:val="-15"/>
        </w:rPr>
        <w:t> </w:t>
      </w:r>
      <w:r>
        <w:rPr/>
        <w:t>I</w:t>
      </w:r>
      <w:r>
        <w:rPr>
          <w:spacing w:val="-16"/>
        </w:rPr>
        <w:t> </w:t>
      </w:r>
      <w:r>
        <w:rPr/>
        <w:t>y</w:t>
      </w:r>
      <w:r>
        <w:rPr>
          <w:spacing w:val="-16"/>
        </w:rPr>
        <w:t> </w:t>
      </w:r>
      <w:r>
        <w:rPr/>
        <w:t>se</w:t>
      </w:r>
      <w:r>
        <w:rPr>
          <w:spacing w:val="-16"/>
        </w:rPr>
        <w:t> </w:t>
      </w:r>
      <w:r>
        <w:rPr/>
        <w:t>fijaron</w:t>
      </w:r>
      <w:r>
        <w:rPr>
          <w:spacing w:val="-13"/>
        </w:rPr>
        <w:t> </w:t>
      </w:r>
      <w:r>
        <w:rPr/>
        <w:t>normas</w:t>
      </w:r>
      <w:r>
        <w:rPr>
          <w:spacing w:val="-16"/>
        </w:rPr>
        <w:t> </w:t>
      </w:r>
      <w:r>
        <w:rPr/>
        <w:t>para</w:t>
      </w:r>
      <w:r>
        <w:rPr>
          <w:spacing w:val="-16"/>
        </w:rPr>
        <w:t> </w:t>
      </w:r>
      <w:r>
        <w:rPr/>
        <w:t>la</w:t>
      </w:r>
      <w:r>
        <w:rPr>
          <w:spacing w:val="-13"/>
        </w:rPr>
        <w:t> </w:t>
      </w:r>
      <w:r>
        <w:rPr/>
        <w:t>elección</w:t>
      </w:r>
      <w:r>
        <w:rPr>
          <w:spacing w:val="-15"/>
        </w:rPr>
        <w:t> </w:t>
      </w:r>
      <w:r>
        <w:rPr/>
        <w:t>de</w:t>
      </w:r>
      <w:r>
        <w:rPr>
          <w:spacing w:val="-15"/>
        </w:rPr>
        <w:t> </w:t>
      </w:r>
      <w:r>
        <w:rPr/>
        <w:t>presidentes</w:t>
      </w:r>
      <w:r>
        <w:rPr>
          <w:spacing w:val="-16"/>
        </w:rPr>
        <w:t> </w:t>
      </w:r>
      <w:r>
        <w:rPr/>
        <w:t>municipales, regidores y síndicos de los ayuntamientos. Se estableció la prohibición de la reelección de gobernadores de los estados, electos popularmente, bajo forma ordinaria</w:t>
      </w:r>
      <w:r>
        <w:rPr>
          <w:spacing w:val="-9"/>
        </w:rPr>
        <w:t> </w:t>
      </w:r>
      <w:r>
        <w:rPr/>
        <w:t>o</w:t>
      </w:r>
      <w:r>
        <w:rPr>
          <w:spacing w:val="-11"/>
        </w:rPr>
        <w:t> </w:t>
      </w:r>
      <w:r>
        <w:rPr/>
        <w:t>extraordinaria,</w:t>
      </w:r>
      <w:r>
        <w:rPr>
          <w:spacing w:val="-10"/>
        </w:rPr>
        <w:t> </w:t>
      </w:r>
      <w:r>
        <w:rPr/>
        <w:t>además</w:t>
      </w:r>
      <w:r>
        <w:rPr>
          <w:spacing w:val="-12"/>
        </w:rPr>
        <w:t> </w:t>
      </w:r>
      <w:r>
        <w:rPr/>
        <w:t>de</w:t>
      </w:r>
      <w:r>
        <w:rPr>
          <w:spacing w:val="-9"/>
        </w:rPr>
        <w:t> </w:t>
      </w:r>
      <w:r>
        <w:rPr/>
        <w:t>que</w:t>
      </w:r>
      <w:r>
        <w:rPr>
          <w:spacing w:val="-9"/>
        </w:rPr>
        <w:t> </w:t>
      </w:r>
      <w:r>
        <w:rPr/>
        <w:t>se</w:t>
      </w:r>
      <w:r>
        <w:rPr>
          <w:spacing w:val="-11"/>
        </w:rPr>
        <w:t> </w:t>
      </w:r>
      <w:r>
        <w:rPr/>
        <w:t>prohibió</w:t>
      </w:r>
      <w:r>
        <w:rPr>
          <w:spacing w:val="-9"/>
        </w:rPr>
        <w:t> </w:t>
      </w:r>
      <w:r>
        <w:rPr/>
        <w:t>la</w:t>
      </w:r>
      <w:r>
        <w:rPr>
          <w:spacing w:val="-10"/>
        </w:rPr>
        <w:t> </w:t>
      </w:r>
      <w:r>
        <w:rPr/>
        <w:t>reelección</w:t>
      </w:r>
      <w:r>
        <w:rPr>
          <w:spacing w:val="46"/>
        </w:rPr>
        <w:t> </w:t>
      </w:r>
      <w:r>
        <w:rPr/>
        <w:t>para</w:t>
      </w:r>
      <w:r>
        <w:rPr>
          <w:spacing w:val="-10"/>
        </w:rPr>
        <w:t> </w:t>
      </w:r>
      <w:r>
        <w:rPr/>
        <w:t>un</w:t>
      </w:r>
      <w:r>
        <w:rPr>
          <w:spacing w:val="-9"/>
        </w:rPr>
        <w:t> </w:t>
      </w:r>
      <w:r>
        <w:rPr/>
        <w:t>periodo inmediato a quienes ocuparan el cargo mediante sustitución constitucional, por interinato, provisional o mediante encargo del</w:t>
      </w:r>
      <w:r>
        <w:rPr>
          <w:spacing w:val="-21"/>
        </w:rPr>
        <w:t> </w:t>
      </w:r>
      <w:r>
        <w:rPr/>
        <w:t>despacho.</w:t>
      </w:r>
    </w:p>
    <w:p>
      <w:pPr>
        <w:pStyle w:val="BodyText"/>
        <w:spacing w:line="360" w:lineRule="auto" w:before="202"/>
        <w:ind w:left="102" w:right="117"/>
        <w:jc w:val="both"/>
      </w:pPr>
      <w:r>
        <w:rPr/>
        <w:t>En la tercera reforma del art. 115 del 8 de Enero de 1943. Se amplió el periodo de los gobernadores de los estados de cuatro a seis años. Para la cuarta reforma al art. 115 del 12 de febrero de 1947, se reforma en cuanto a la participación de las mujeres, otorgándoles el derecho al voto en las elecciones municipales.</w:t>
      </w:r>
    </w:p>
    <w:p>
      <w:pPr>
        <w:pStyle w:val="BodyText"/>
        <w:spacing w:line="360" w:lineRule="auto" w:before="204"/>
        <w:ind w:left="102" w:right="123"/>
        <w:jc w:val="both"/>
      </w:pPr>
      <w:r>
        <w:rPr/>
        <w:t>Cabe</w:t>
      </w:r>
      <w:r>
        <w:rPr>
          <w:spacing w:val="-6"/>
        </w:rPr>
        <w:t> </w:t>
      </w:r>
      <w:r>
        <w:rPr/>
        <w:t>hacer</w:t>
      </w:r>
      <w:r>
        <w:rPr>
          <w:spacing w:val="-5"/>
        </w:rPr>
        <w:t> </w:t>
      </w:r>
      <w:r>
        <w:rPr/>
        <w:t>notar</w:t>
      </w:r>
      <w:r>
        <w:rPr>
          <w:spacing w:val="-5"/>
        </w:rPr>
        <w:t> </w:t>
      </w:r>
      <w:r>
        <w:rPr/>
        <w:t>que</w:t>
      </w:r>
      <w:r>
        <w:rPr>
          <w:spacing w:val="-6"/>
        </w:rPr>
        <w:t> </w:t>
      </w:r>
      <w:r>
        <w:rPr/>
        <w:t>en</w:t>
      </w:r>
      <w:r>
        <w:rPr>
          <w:spacing w:val="-4"/>
        </w:rPr>
        <w:t> </w:t>
      </w:r>
      <w:r>
        <w:rPr/>
        <w:t>las</w:t>
      </w:r>
      <w:r>
        <w:rPr>
          <w:spacing w:val="-6"/>
        </w:rPr>
        <w:t> </w:t>
      </w:r>
      <w:r>
        <w:rPr/>
        <w:t>reformas</w:t>
      </w:r>
      <w:r>
        <w:rPr>
          <w:spacing w:val="-7"/>
        </w:rPr>
        <w:t> </w:t>
      </w:r>
      <w:r>
        <w:rPr/>
        <w:t>subsecuentes</w:t>
      </w:r>
      <w:r>
        <w:rPr>
          <w:spacing w:val="-7"/>
        </w:rPr>
        <w:t> </w:t>
      </w:r>
      <w:r>
        <w:rPr/>
        <w:t>al</w:t>
      </w:r>
      <w:r>
        <w:rPr>
          <w:spacing w:val="-5"/>
        </w:rPr>
        <w:t> </w:t>
      </w:r>
      <w:r>
        <w:rPr/>
        <w:t>art.</w:t>
      </w:r>
      <w:r>
        <w:rPr>
          <w:spacing w:val="-7"/>
        </w:rPr>
        <w:t> </w:t>
      </w:r>
      <w:r>
        <w:rPr/>
        <w:t>115</w:t>
      </w:r>
      <w:r>
        <w:rPr>
          <w:spacing w:val="-6"/>
        </w:rPr>
        <w:t> </w:t>
      </w:r>
      <w:r>
        <w:rPr/>
        <w:t>de</w:t>
      </w:r>
      <w:r>
        <w:rPr>
          <w:spacing w:val="-8"/>
        </w:rPr>
        <w:t> </w:t>
      </w:r>
      <w:r>
        <w:rPr/>
        <w:t>fechas</w:t>
      </w:r>
      <w:r>
        <w:rPr>
          <w:spacing w:val="-7"/>
        </w:rPr>
        <w:t> </w:t>
      </w:r>
      <w:r>
        <w:rPr/>
        <w:t>del</w:t>
      </w:r>
      <w:r>
        <w:rPr>
          <w:spacing w:val="-7"/>
        </w:rPr>
        <w:t> </w:t>
      </w:r>
      <w:r>
        <w:rPr/>
        <w:t>17</w:t>
      </w:r>
      <w:r>
        <w:rPr>
          <w:spacing w:val="-6"/>
        </w:rPr>
        <w:t> </w:t>
      </w:r>
      <w:r>
        <w:rPr/>
        <w:t>de Octubre de 1953, la del 06 de Febrero de 1976, la del 06 de Diciembre de 1977, y así sucesivamente, hubo muy pocas cuestiones modificadas en relación con el municipio. Por lo que, fue hasta entonces con la reforma del 3 de Febrero de 1983, en</w:t>
      </w:r>
      <w:r>
        <w:rPr>
          <w:spacing w:val="-4"/>
        </w:rPr>
        <w:t> </w:t>
      </w:r>
      <w:r>
        <w:rPr/>
        <w:t>el</w:t>
      </w:r>
      <w:r>
        <w:rPr>
          <w:spacing w:val="-5"/>
        </w:rPr>
        <w:t> </w:t>
      </w:r>
      <w:r>
        <w:rPr/>
        <w:t>gobierno</w:t>
      </w:r>
      <w:r>
        <w:rPr>
          <w:spacing w:val="-4"/>
        </w:rPr>
        <w:t> </w:t>
      </w:r>
      <w:r>
        <w:rPr/>
        <w:t>de</w:t>
      </w:r>
      <w:r>
        <w:rPr>
          <w:spacing w:val="-4"/>
        </w:rPr>
        <w:t> </w:t>
      </w:r>
      <w:r>
        <w:rPr/>
        <w:t>Miguel</w:t>
      </w:r>
      <w:r>
        <w:rPr>
          <w:spacing w:val="-5"/>
        </w:rPr>
        <w:t> </w:t>
      </w:r>
      <w:r>
        <w:rPr/>
        <w:t>de</w:t>
      </w:r>
      <w:r>
        <w:rPr>
          <w:spacing w:val="-4"/>
        </w:rPr>
        <w:t> </w:t>
      </w:r>
      <w:r>
        <w:rPr/>
        <w:t>la</w:t>
      </w:r>
      <w:r>
        <w:rPr>
          <w:spacing w:val="-4"/>
        </w:rPr>
        <w:t> </w:t>
      </w:r>
      <w:r>
        <w:rPr/>
        <w:t>Madrid,</w:t>
      </w:r>
      <w:r>
        <w:rPr>
          <w:spacing w:val="-4"/>
        </w:rPr>
        <w:t> </w:t>
      </w:r>
      <w:r>
        <w:rPr/>
        <w:t>donde</w:t>
      </w:r>
      <w:r>
        <w:rPr>
          <w:spacing w:val="-6"/>
        </w:rPr>
        <w:t> </w:t>
      </w:r>
      <w:r>
        <w:rPr/>
        <w:t>se</w:t>
      </w:r>
      <w:r>
        <w:rPr>
          <w:spacing w:val="-4"/>
        </w:rPr>
        <w:t> </w:t>
      </w:r>
      <w:r>
        <w:rPr/>
        <w:t>dio</w:t>
      </w:r>
      <w:r>
        <w:rPr>
          <w:spacing w:val="-6"/>
        </w:rPr>
        <w:t> </w:t>
      </w:r>
      <w:r>
        <w:rPr/>
        <w:t>pie</w:t>
      </w:r>
      <w:r>
        <w:rPr>
          <w:spacing w:val="-4"/>
        </w:rPr>
        <w:t> </w:t>
      </w:r>
      <w:r>
        <w:rPr/>
        <w:t>a</w:t>
      </w:r>
      <w:r>
        <w:rPr>
          <w:spacing w:val="-4"/>
        </w:rPr>
        <w:t> </w:t>
      </w:r>
      <w:r>
        <w:rPr/>
        <w:t>la</w:t>
      </w:r>
      <w:r>
        <w:rPr>
          <w:spacing w:val="-6"/>
        </w:rPr>
        <w:t> </w:t>
      </w:r>
      <w:r>
        <w:rPr/>
        <w:t>descentralización</w:t>
      </w:r>
      <w:r>
        <w:rPr>
          <w:spacing w:val="-4"/>
        </w:rPr>
        <w:t> </w:t>
      </w:r>
      <w:r>
        <w:rPr/>
        <w:t>de</w:t>
      </w:r>
      <w:r>
        <w:rPr>
          <w:spacing w:val="-4"/>
        </w:rPr>
        <w:t> </w:t>
      </w:r>
      <w:r>
        <w:rPr/>
        <w:t>la vida nacional, y mayor participación a la administración municipal, dándole competencias.</w:t>
      </w:r>
    </w:p>
    <w:p>
      <w:pPr>
        <w:pStyle w:val="BodyText"/>
        <w:spacing w:before="202"/>
        <w:ind w:left="102"/>
        <w:jc w:val="both"/>
      </w:pPr>
      <w:r>
        <w:rPr/>
        <w:t>Esta reforma de 1983 se sustenta en los siguientes puntos:</w:t>
      </w:r>
    </w:p>
    <w:p>
      <w:pPr>
        <w:pStyle w:val="BodyText"/>
        <w:spacing w:before="4"/>
        <w:rPr>
          <w:sz w:val="29"/>
        </w:rPr>
      </w:pPr>
    </w:p>
    <w:p>
      <w:pPr>
        <w:pStyle w:val="ListParagraph"/>
        <w:numPr>
          <w:ilvl w:val="1"/>
          <w:numId w:val="28"/>
        </w:numPr>
        <w:tabs>
          <w:tab w:pos="1310" w:val="left" w:leader="none"/>
        </w:tabs>
        <w:spacing w:line="240" w:lineRule="auto" w:before="0" w:after="0"/>
        <w:ind w:left="1309" w:right="116" w:hanging="355"/>
        <w:jc w:val="both"/>
        <w:rPr>
          <w:sz w:val="22"/>
        </w:rPr>
      </w:pPr>
      <w:r>
        <w:rPr>
          <w:sz w:val="22"/>
        </w:rPr>
        <w:t>Las legislaturas locales podrán suspender ayuntamientos, declarar que estos han desaparecido y suspender o revocar el mandato de alguno de sus miembros,</w:t>
      </w:r>
      <w:r>
        <w:rPr>
          <w:spacing w:val="-3"/>
          <w:sz w:val="22"/>
        </w:rPr>
        <w:t> </w:t>
      </w:r>
      <w:r>
        <w:rPr>
          <w:sz w:val="22"/>
        </w:rPr>
        <w:t>en</w:t>
      </w:r>
      <w:r>
        <w:rPr>
          <w:spacing w:val="-6"/>
          <w:sz w:val="22"/>
        </w:rPr>
        <w:t> </w:t>
      </w:r>
      <w:r>
        <w:rPr>
          <w:sz w:val="22"/>
        </w:rPr>
        <w:t>los</w:t>
      </w:r>
      <w:r>
        <w:rPr>
          <w:spacing w:val="-4"/>
          <w:sz w:val="22"/>
        </w:rPr>
        <w:t> </w:t>
      </w:r>
      <w:r>
        <w:rPr>
          <w:sz w:val="22"/>
        </w:rPr>
        <w:t>casos</w:t>
      </w:r>
      <w:r>
        <w:rPr>
          <w:spacing w:val="-7"/>
          <w:sz w:val="22"/>
        </w:rPr>
        <w:t> </w:t>
      </w:r>
      <w:r>
        <w:rPr>
          <w:sz w:val="22"/>
        </w:rPr>
        <w:t>que</w:t>
      </w:r>
      <w:r>
        <w:rPr>
          <w:spacing w:val="-4"/>
          <w:sz w:val="22"/>
        </w:rPr>
        <w:t> </w:t>
      </w:r>
      <w:r>
        <w:rPr>
          <w:sz w:val="22"/>
        </w:rPr>
        <w:t>la</w:t>
      </w:r>
      <w:r>
        <w:rPr>
          <w:spacing w:val="-4"/>
          <w:sz w:val="22"/>
        </w:rPr>
        <w:t> </w:t>
      </w:r>
      <w:r>
        <w:rPr>
          <w:sz w:val="22"/>
        </w:rPr>
        <w:t>ley</w:t>
      </w:r>
      <w:r>
        <w:rPr>
          <w:spacing w:val="-5"/>
          <w:sz w:val="22"/>
        </w:rPr>
        <w:t> </w:t>
      </w:r>
      <w:r>
        <w:rPr>
          <w:sz w:val="22"/>
        </w:rPr>
        <w:t>local</w:t>
      </w:r>
      <w:r>
        <w:rPr>
          <w:spacing w:val="-5"/>
          <w:sz w:val="22"/>
        </w:rPr>
        <w:t> </w:t>
      </w:r>
      <w:r>
        <w:rPr>
          <w:sz w:val="22"/>
        </w:rPr>
        <w:t>lo</w:t>
      </w:r>
      <w:r>
        <w:rPr>
          <w:spacing w:val="-4"/>
          <w:sz w:val="22"/>
        </w:rPr>
        <w:t> </w:t>
      </w:r>
      <w:r>
        <w:rPr>
          <w:sz w:val="22"/>
        </w:rPr>
        <w:t>prevenga.</w:t>
      </w:r>
      <w:r>
        <w:rPr>
          <w:spacing w:val="-3"/>
          <w:sz w:val="22"/>
        </w:rPr>
        <w:t> </w:t>
      </w:r>
      <w:r>
        <w:rPr>
          <w:sz w:val="22"/>
        </w:rPr>
        <w:t>Asimismo,</w:t>
      </w:r>
      <w:r>
        <w:rPr>
          <w:spacing w:val="-5"/>
          <w:sz w:val="22"/>
        </w:rPr>
        <w:t> </w:t>
      </w:r>
      <w:r>
        <w:rPr>
          <w:sz w:val="22"/>
        </w:rPr>
        <w:t>se</w:t>
      </w:r>
      <w:r>
        <w:rPr>
          <w:spacing w:val="-4"/>
          <w:sz w:val="22"/>
        </w:rPr>
        <w:t> </w:t>
      </w:r>
      <w:r>
        <w:rPr>
          <w:sz w:val="22"/>
        </w:rPr>
        <w:t>les</w:t>
      </w:r>
      <w:r>
        <w:rPr>
          <w:spacing w:val="-4"/>
          <w:sz w:val="22"/>
        </w:rPr>
        <w:t> </w:t>
      </w:r>
      <w:r>
        <w:rPr>
          <w:sz w:val="22"/>
        </w:rPr>
        <w:t>confiere facultades para designar a los concejos municipales que concluirán los periodos</w:t>
      </w:r>
      <w:r>
        <w:rPr>
          <w:spacing w:val="-5"/>
          <w:sz w:val="22"/>
        </w:rPr>
        <w:t> </w:t>
      </w:r>
      <w:r>
        <w:rPr>
          <w:sz w:val="22"/>
        </w:rPr>
        <w:t>respectivos.</w:t>
      </w:r>
    </w:p>
    <w:p>
      <w:pPr>
        <w:pStyle w:val="ListParagraph"/>
        <w:numPr>
          <w:ilvl w:val="1"/>
          <w:numId w:val="28"/>
        </w:numPr>
        <w:tabs>
          <w:tab w:pos="1310" w:val="left" w:leader="none"/>
        </w:tabs>
        <w:spacing w:line="240" w:lineRule="auto" w:before="0" w:after="0"/>
        <w:ind w:left="1309" w:right="116" w:hanging="355"/>
        <w:jc w:val="both"/>
        <w:rPr>
          <w:sz w:val="22"/>
        </w:rPr>
      </w:pPr>
      <w:r>
        <w:rPr>
          <w:sz w:val="22"/>
        </w:rPr>
        <w:t>Los municipios estarán investidos de personalidad jurídica y podrán celebrar convenios con el estado, a fin de que este asuma algunas de las funciones relacionadas con la administración de sus</w:t>
      </w:r>
      <w:r>
        <w:rPr>
          <w:spacing w:val="-14"/>
          <w:sz w:val="22"/>
        </w:rPr>
        <w:t> </w:t>
      </w:r>
      <w:r>
        <w:rPr>
          <w:sz w:val="22"/>
        </w:rPr>
        <w:t>contribuciones.</w:t>
      </w:r>
    </w:p>
    <w:p>
      <w:pPr>
        <w:pStyle w:val="ListParagraph"/>
        <w:numPr>
          <w:ilvl w:val="1"/>
          <w:numId w:val="28"/>
        </w:numPr>
        <w:tabs>
          <w:tab w:pos="1310" w:val="left" w:leader="none"/>
        </w:tabs>
        <w:spacing w:line="240" w:lineRule="auto" w:before="1" w:after="0"/>
        <w:ind w:left="1309" w:right="120" w:hanging="355"/>
        <w:jc w:val="both"/>
        <w:rPr>
          <w:sz w:val="22"/>
        </w:rPr>
      </w:pPr>
      <w:r>
        <w:rPr>
          <w:sz w:val="22"/>
        </w:rPr>
        <w:t>Los ayuntamientos poseerán facultades para expedir los bandos de policía y buen gobierno y disposiciones administrativas de observancia</w:t>
      </w:r>
      <w:r>
        <w:rPr>
          <w:spacing w:val="-20"/>
          <w:sz w:val="22"/>
        </w:rPr>
        <w:t> </w:t>
      </w:r>
      <w:r>
        <w:rPr>
          <w:sz w:val="22"/>
        </w:rPr>
        <w:t>general.</w:t>
      </w:r>
    </w:p>
    <w:p>
      <w:pPr>
        <w:pStyle w:val="ListParagraph"/>
        <w:numPr>
          <w:ilvl w:val="1"/>
          <w:numId w:val="28"/>
        </w:numPr>
        <w:tabs>
          <w:tab w:pos="1310" w:val="left" w:leader="none"/>
        </w:tabs>
        <w:spacing w:line="240" w:lineRule="auto" w:before="0" w:after="0"/>
        <w:ind w:left="1309" w:right="119" w:hanging="355"/>
        <w:jc w:val="both"/>
        <w:rPr>
          <w:sz w:val="22"/>
        </w:rPr>
      </w:pPr>
      <w:r>
        <w:rPr>
          <w:sz w:val="22"/>
        </w:rPr>
        <w:t>La intervención de los municipios, con el concurso de los estados cuando así fuere necesario y lo determinen las leyes, en la prestación de los servicios públicos</w:t>
      </w:r>
      <w:r>
        <w:rPr>
          <w:spacing w:val="-8"/>
          <w:sz w:val="22"/>
        </w:rPr>
        <w:t> </w:t>
      </w:r>
      <w:r>
        <w:rPr>
          <w:sz w:val="22"/>
        </w:rPr>
        <w:t>de</w:t>
      </w:r>
      <w:r>
        <w:rPr>
          <w:spacing w:val="-9"/>
          <w:sz w:val="22"/>
        </w:rPr>
        <w:t> </w:t>
      </w:r>
      <w:r>
        <w:rPr>
          <w:sz w:val="22"/>
        </w:rPr>
        <w:t>agua</w:t>
      </w:r>
      <w:r>
        <w:rPr>
          <w:spacing w:val="-11"/>
          <w:sz w:val="22"/>
        </w:rPr>
        <w:t> </w:t>
      </w:r>
      <w:r>
        <w:rPr>
          <w:sz w:val="22"/>
        </w:rPr>
        <w:t>potable</w:t>
      </w:r>
      <w:r>
        <w:rPr>
          <w:spacing w:val="-11"/>
          <w:sz w:val="22"/>
        </w:rPr>
        <w:t> </w:t>
      </w:r>
      <w:r>
        <w:rPr>
          <w:sz w:val="22"/>
        </w:rPr>
        <w:t>y</w:t>
      </w:r>
      <w:r>
        <w:rPr>
          <w:spacing w:val="-10"/>
          <w:sz w:val="22"/>
        </w:rPr>
        <w:t> </w:t>
      </w:r>
      <w:r>
        <w:rPr>
          <w:sz w:val="22"/>
        </w:rPr>
        <w:t>alcantarillado,</w:t>
      </w:r>
      <w:r>
        <w:rPr>
          <w:spacing w:val="-7"/>
          <w:sz w:val="22"/>
        </w:rPr>
        <w:t> </w:t>
      </w:r>
      <w:r>
        <w:rPr>
          <w:sz w:val="22"/>
        </w:rPr>
        <w:t>alumbrado</w:t>
      </w:r>
      <w:r>
        <w:rPr>
          <w:spacing w:val="-7"/>
          <w:sz w:val="22"/>
        </w:rPr>
        <w:t> </w:t>
      </w:r>
      <w:r>
        <w:rPr>
          <w:sz w:val="22"/>
        </w:rPr>
        <w:t>público,</w:t>
      </w:r>
      <w:r>
        <w:rPr>
          <w:spacing w:val="-9"/>
          <w:sz w:val="22"/>
        </w:rPr>
        <w:t> </w:t>
      </w:r>
      <w:r>
        <w:rPr>
          <w:sz w:val="22"/>
        </w:rPr>
        <w:t>limpia,</w:t>
      </w:r>
      <w:r>
        <w:rPr>
          <w:spacing w:val="-10"/>
          <w:sz w:val="22"/>
        </w:rPr>
        <w:t> </w:t>
      </w:r>
      <w:r>
        <w:rPr>
          <w:sz w:val="22"/>
        </w:rPr>
        <w:t>mercados</w:t>
      </w:r>
    </w:p>
    <w:p>
      <w:pPr>
        <w:spacing w:after="0" w:line="240" w:lineRule="auto"/>
        <w:jc w:val="both"/>
        <w:rPr>
          <w:sz w:val="22"/>
        </w:rPr>
        <w:sectPr>
          <w:pgSz w:w="12240" w:h="15840"/>
          <w:pgMar w:header="0" w:footer="992" w:top="1360" w:bottom="1180" w:left="1600" w:right="1580"/>
        </w:sectPr>
      </w:pPr>
    </w:p>
    <w:p>
      <w:pPr>
        <w:spacing w:before="53"/>
        <w:ind w:left="1309" w:right="0" w:firstLine="0"/>
        <w:jc w:val="left"/>
        <w:rPr>
          <w:sz w:val="22"/>
        </w:rPr>
      </w:pPr>
      <w:r>
        <w:rPr>
          <w:sz w:val="22"/>
        </w:rPr>
        <w:t>y</w:t>
      </w:r>
      <w:r>
        <w:rPr>
          <w:spacing w:val="-13"/>
          <w:sz w:val="22"/>
        </w:rPr>
        <w:t> </w:t>
      </w:r>
      <w:r>
        <w:rPr>
          <w:sz w:val="22"/>
        </w:rPr>
        <w:t>centrales</w:t>
      </w:r>
      <w:r>
        <w:rPr>
          <w:spacing w:val="-13"/>
          <w:sz w:val="22"/>
        </w:rPr>
        <w:t> </w:t>
      </w:r>
      <w:r>
        <w:rPr>
          <w:sz w:val="22"/>
        </w:rPr>
        <w:t>de</w:t>
      </w:r>
      <w:r>
        <w:rPr>
          <w:spacing w:val="-11"/>
          <w:sz w:val="22"/>
        </w:rPr>
        <w:t> </w:t>
      </w:r>
      <w:r>
        <w:rPr>
          <w:sz w:val="22"/>
        </w:rPr>
        <w:t>abasto,</w:t>
      </w:r>
      <w:r>
        <w:rPr>
          <w:spacing w:val="-13"/>
          <w:sz w:val="22"/>
        </w:rPr>
        <w:t> </w:t>
      </w:r>
      <w:r>
        <w:rPr>
          <w:sz w:val="22"/>
        </w:rPr>
        <w:t>panteones,</w:t>
      </w:r>
      <w:r>
        <w:rPr>
          <w:spacing w:val="-12"/>
          <w:sz w:val="22"/>
        </w:rPr>
        <w:t> </w:t>
      </w:r>
      <w:r>
        <w:rPr>
          <w:sz w:val="22"/>
        </w:rPr>
        <w:t>rastros,</w:t>
      </w:r>
      <w:r>
        <w:rPr>
          <w:spacing w:val="-13"/>
          <w:sz w:val="22"/>
        </w:rPr>
        <w:t> </w:t>
      </w:r>
      <w:r>
        <w:rPr>
          <w:sz w:val="22"/>
        </w:rPr>
        <w:t>calles,</w:t>
      </w:r>
      <w:r>
        <w:rPr>
          <w:spacing w:val="-15"/>
          <w:sz w:val="22"/>
        </w:rPr>
        <w:t> </w:t>
      </w:r>
      <w:r>
        <w:rPr>
          <w:sz w:val="22"/>
        </w:rPr>
        <w:t>parques</w:t>
      </w:r>
      <w:r>
        <w:rPr>
          <w:spacing w:val="-11"/>
          <w:sz w:val="22"/>
        </w:rPr>
        <w:t> </w:t>
      </w:r>
      <w:r>
        <w:rPr>
          <w:sz w:val="22"/>
        </w:rPr>
        <w:t>y</w:t>
      </w:r>
      <w:r>
        <w:rPr>
          <w:spacing w:val="-16"/>
          <w:sz w:val="22"/>
        </w:rPr>
        <w:t> </w:t>
      </w:r>
      <w:r>
        <w:rPr>
          <w:sz w:val="22"/>
        </w:rPr>
        <w:t>jardines,</w:t>
      </w:r>
      <w:r>
        <w:rPr>
          <w:spacing w:val="-10"/>
          <w:sz w:val="22"/>
        </w:rPr>
        <w:t> </w:t>
      </w:r>
      <w:r>
        <w:rPr>
          <w:sz w:val="22"/>
        </w:rPr>
        <w:t>seguridad pública y</w:t>
      </w:r>
      <w:r>
        <w:rPr>
          <w:spacing w:val="-7"/>
          <w:sz w:val="22"/>
        </w:rPr>
        <w:t> </w:t>
      </w:r>
      <w:r>
        <w:rPr>
          <w:sz w:val="22"/>
        </w:rPr>
        <w:t>tránsito.</w:t>
      </w:r>
    </w:p>
    <w:p>
      <w:pPr>
        <w:pStyle w:val="ListParagraph"/>
        <w:numPr>
          <w:ilvl w:val="1"/>
          <w:numId w:val="28"/>
        </w:numPr>
        <w:tabs>
          <w:tab w:pos="1310" w:val="left" w:leader="none"/>
        </w:tabs>
        <w:spacing w:line="240" w:lineRule="auto" w:before="0" w:after="0"/>
        <w:ind w:left="1309" w:right="114" w:hanging="355"/>
        <w:jc w:val="both"/>
        <w:rPr>
          <w:sz w:val="22"/>
        </w:rPr>
      </w:pPr>
      <w:r>
        <w:rPr>
          <w:sz w:val="22"/>
        </w:rPr>
        <w:t>Derecho de los municipios a percibir contribuciones sobre propiedad inmobiliaria,</w:t>
      </w:r>
      <w:r>
        <w:rPr>
          <w:spacing w:val="-5"/>
          <w:sz w:val="22"/>
        </w:rPr>
        <w:t> </w:t>
      </w:r>
      <w:r>
        <w:rPr>
          <w:sz w:val="22"/>
        </w:rPr>
        <w:t>participaciones</w:t>
      </w:r>
      <w:r>
        <w:rPr>
          <w:spacing w:val="-9"/>
          <w:sz w:val="22"/>
        </w:rPr>
        <w:t> </w:t>
      </w:r>
      <w:r>
        <w:rPr>
          <w:sz w:val="22"/>
        </w:rPr>
        <w:t>federales</w:t>
      </w:r>
      <w:r>
        <w:rPr>
          <w:spacing w:val="-9"/>
          <w:sz w:val="22"/>
        </w:rPr>
        <w:t> </w:t>
      </w:r>
      <w:r>
        <w:rPr>
          <w:sz w:val="22"/>
        </w:rPr>
        <w:t>e</w:t>
      </w:r>
      <w:r>
        <w:rPr>
          <w:spacing w:val="-9"/>
          <w:sz w:val="22"/>
        </w:rPr>
        <w:t> </w:t>
      </w:r>
      <w:r>
        <w:rPr>
          <w:sz w:val="22"/>
        </w:rPr>
        <w:t>ingresos</w:t>
      </w:r>
      <w:r>
        <w:rPr>
          <w:spacing w:val="-11"/>
          <w:sz w:val="22"/>
        </w:rPr>
        <w:t> </w:t>
      </w:r>
      <w:r>
        <w:rPr>
          <w:sz w:val="22"/>
        </w:rPr>
        <w:t>derivados</w:t>
      </w:r>
      <w:r>
        <w:rPr>
          <w:spacing w:val="-6"/>
          <w:sz w:val="22"/>
        </w:rPr>
        <w:t> </w:t>
      </w:r>
      <w:r>
        <w:rPr>
          <w:sz w:val="22"/>
        </w:rPr>
        <w:t>de</w:t>
      </w:r>
      <w:r>
        <w:rPr>
          <w:spacing w:val="-7"/>
          <w:sz w:val="22"/>
        </w:rPr>
        <w:t> </w:t>
      </w:r>
      <w:r>
        <w:rPr>
          <w:sz w:val="22"/>
        </w:rPr>
        <w:t>la</w:t>
      </w:r>
      <w:r>
        <w:rPr>
          <w:spacing w:val="-9"/>
          <w:sz w:val="22"/>
        </w:rPr>
        <w:t> </w:t>
      </w:r>
      <w:r>
        <w:rPr>
          <w:sz w:val="22"/>
        </w:rPr>
        <w:t>prestación</w:t>
      </w:r>
      <w:r>
        <w:rPr>
          <w:spacing w:val="-6"/>
          <w:sz w:val="22"/>
        </w:rPr>
        <w:t> </w:t>
      </w:r>
      <w:r>
        <w:rPr>
          <w:sz w:val="22"/>
        </w:rPr>
        <w:t>de servicios públicos a su cargo (Doger,</w:t>
      </w:r>
      <w:r>
        <w:rPr>
          <w:spacing w:val="-13"/>
          <w:sz w:val="22"/>
        </w:rPr>
        <w:t> </w:t>
      </w:r>
      <w:r>
        <w:rPr>
          <w:sz w:val="22"/>
        </w:rPr>
        <w:t>2013:63-64).</w:t>
      </w:r>
    </w:p>
    <w:p>
      <w:pPr>
        <w:pStyle w:val="BodyText"/>
        <w:rPr>
          <w:sz w:val="22"/>
        </w:rPr>
      </w:pPr>
    </w:p>
    <w:p>
      <w:pPr>
        <w:pStyle w:val="BodyText"/>
        <w:spacing w:before="5"/>
        <w:rPr>
          <w:sz w:val="28"/>
        </w:rPr>
      </w:pPr>
    </w:p>
    <w:p>
      <w:pPr>
        <w:pStyle w:val="BodyText"/>
        <w:spacing w:line="360" w:lineRule="auto"/>
        <w:ind w:left="102" w:right="117"/>
        <w:jc w:val="both"/>
      </w:pPr>
      <w:r>
        <w:rPr/>
        <w:t>Otra de las reformas sobresalientes para la cual tuvieron que pasar 16 años después</w:t>
      </w:r>
      <w:r>
        <w:rPr>
          <w:spacing w:val="-12"/>
        </w:rPr>
        <w:t> </w:t>
      </w:r>
      <w:r>
        <w:rPr/>
        <w:t>para</w:t>
      </w:r>
      <w:r>
        <w:rPr>
          <w:spacing w:val="-11"/>
        </w:rPr>
        <w:t> </w:t>
      </w:r>
      <w:r>
        <w:rPr/>
        <w:t>realizar</w:t>
      </w:r>
      <w:r>
        <w:rPr>
          <w:spacing w:val="-10"/>
        </w:rPr>
        <w:t> </w:t>
      </w:r>
      <w:r>
        <w:rPr/>
        <w:t>otra</w:t>
      </w:r>
      <w:r>
        <w:rPr>
          <w:spacing w:val="-11"/>
        </w:rPr>
        <w:t> </w:t>
      </w:r>
      <w:r>
        <w:rPr/>
        <w:t>modificación</w:t>
      </w:r>
      <w:r>
        <w:rPr>
          <w:spacing w:val="-11"/>
        </w:rPr>
        <w:t> </w:t>
      </w:r>
      <w:r>
        <w:rPr/>
        <w:t>estructural</w:t>
      </w:r>
      <w:r>
        <w:rPr>
          <w:spacing w:val="-12"/>
        </w:rPr>
        <w:t> </w:t>
      </w:r>
      <w:r>
        <w:rPr/>
        <w:t>al</w:t>
      </w:r>
      <w:r>
        <w:rPr>
          <w:spacing w:val="-12"/>
        </w:rPr>
        <w:t> </w:t>
      </w:r>
      <w:r>
        <w:rPr/>
        <w:t>art.</w:t>
      </w:r>
      <w:r>
        <w:rPr>
          <w:spacing w:val="-11"/>
        </w:rPr>
        <w:t> </w:t>
      </w:r>
      <w:r>
        <w:rPr/>
        <w:t>115,</w:t>
      </w:r>
      <w:r>
        <w:rPr>
          <w:spacing w:val="-13"/>
        </w:rPr>
        <w:t> </w:t>
      </w:r>
      <w:r>
        <w:rPr/>
        <w:t>fue</w:t>
      </w:r>
      <w:r>
        <w:rPr>
          <w:spacing w:val="-11"/>
        </w:rPr>
        <w:t> </w:t>
      </w:r>
      <w:r>
        <w:rPr/>
        <w:t>la</w:t>
      </w:r>
      <w:r>
        <w:rPr>
          <w:spacing w:val="-13"/>
        </w:rPr>
        <w:t> </w:t>
      </w:r>
      <w:r>
        <w:rPr/>
        <w:t>decretada</w:t>
      </w:r>
      <w:r>
        <w:rPr>
          <w:spacing w:val="-11"/>
        </w:rPr>
        <w:t> </w:t>
      </w:r>
      <w:r>
        <w:rPr/>
        <w:t>el</w:t>
      </w:r>
      <w:r>
        <w:rPr>
          <w:spacing w:val="-14"/>
        </w:rPr>
        <w:t> </w:t>
      </w:r>
      <w:r>
        <w:rPr/>
        <w:t>23 de diciembre de 1999. El contexto bajo el cual se estableció esta reforma, fue en medio de varios cambios importantes en la economía nacional del país, donde entonces se encontraba en turno como presidente de la republica Ernesto Zedillo Ponce de León. Un hecho importante fue la consolidación del Tratado de Libre Comercio</w:t>
      </w:r>
      <w:r>
        <w:rPr>
          <w:spacing w:val="-19"/>
        </w:rPr>
        <w:t> </w:t>
      </w:r>
      <w:r>
        <w:rPr/>
        <w:t>celebrado</w:t>
      </w:r>
      <w:r>
        <w:rPr>
          <w:spacing w:val="-19"/>
        </w:rPr>
        <w:t> </w:t>
      </w:r>
      <w:r>
        <w:rPr/>
        <w:t>con</w:t>
      </w:r>
      <w:r>
        <w:rPr>
          <w:spacing w:val="-17"/>
        </w:rPr>
        <w:t> </w:t>
      </w:r>
      <w:r>
        <w:rPr/>
        <w:t>Estados</w:t>
      </w:r>
      <w:r>
        <w:rPr>
          <w:spacing w:val="-17"/>
        </w:rPr>
        <w:t> </w:t>
      </w:r>
      <w:r>
        <w:rPr/>
        <w:t>Unidos</w:t>
      </w:r>
      <w:r>
        <w:rPr>
          <w:spacing w:val="-17"/>
        </w:rPr>
        <w:t> </w:t>
      </w:r>
      <w:r>
        <w:rPr/>
        <w:t>y</w:t>
      </w:r>
      <w:r>
        <w:rPr>
          <w:spacing w:val="-20"/>
        </w:rPr>
        <w:t> </w:t>
      </w:r>
      <w:r>
        <w:rPr/>
        <w:t>Canadá,</w:t>
      </w:r>
      <w:r>
        <w:rPr>
          <w:spacing w:val="-19"/>
        </w:rPr>
        <w:t> </w:t>
      </w:r>
      <w:r>
        <w:rPr/>
        <w:t>derivado</w:t>
      </w:r>
      <w:r>
        <w:rPr>
          <w:spacing w:val="-19"/>
        </w:rPr>
        <w:t> </w:t>
      </w:r>
      <w:r>
        <w:rPr/>
        <w:t>de</w:t>
      </w:r>
      <w:r>
        <w:rPr>
          <w:spacing w:val="-19"/>
        </w:rPr>
        <w:t> </w:t>
      </w:r>
      <w:r>
        <w:rPr/>
        <w:t>la</w:t>
      </w:r>
      <w:r>
        <w:rPr>
          <w:spacing w:val="-17"/>
        </w:rPr>
        <w:t> </w:t>
      </w:r>
      <w:r>
        <w:rPr/>
        <w:t>situación</w:t>
      </w:r>
      <w:r>
        <w:rPr>
          <w:spacing w:val="-21"/>
        </w:rPr>
        <w:t> </w:t>
      </w:r>
      <w:r>
        <w:rPr/>
        <w:t>mundial le</w:t>
      </w:r>
      <w:r>
        <w:rPr>
          <w:spacing w:val="-14"/>
        </w:rPr>
        <w:t> </w:t>
      </w:r>
      <w:r>
        <w:rPr/>
        <w:t>urgía</w:t>
      </w:r>
      <w:r>
        <w:rPr>
          <w:spacing w:val="-14"/>
        </w:rPr>
        <w:t> </w:t>
      </w:r>
      <w:r>
        <w:rPr/>
        <w:t>a</w:t>
      </w:r>
      <w:r>
        <w:rPr>
          <w:spacing w:val="-14"/>
        </w:rPr>
        <w:t> </w:t>
      </w:r>
      <w:r>
        <w:rPr/>
        <w:t>México</w:t>
      </w:r>
      <w:r>
        <w:rPr>
          <w:spacing w:val="-14"/>
        </w:rPr>
        <w:t> </w:t>
      </w:r>
      <w:r>
        <w:rPr/>
        <w:t>un</w:t>
      </w:r>
      <w:r>
        <w:rPr>
          <w:spacing w:val="-14"/>
        </w:rPr>
        <w:t> </w:t>
      </w:r>
      <w:r>
        <w:rPr/>
        <w:t>cambio</w:t>
      </w:r>
      <w:r>
        <w:rPr>
          <w:spacing w:val="-17"/>
        </w:rPr>
        <w:t> </w:t>
      </w:r>
      <w:r>
        <w:rPr/>
        <w:t>estructural</w:t>
      </w:r>
      <w:r>
        <w:rPr>
          <w:spacing w:val="-15"/>
        </w:rPr>
        <w:t> </w:t>
      </w:r>
      <w:r>
        <w:rPr/>
        <w:t>que</w:t>
      </w:r>
      <w:r>
        <w:rPr>
          <w:spacing w:val="-14"/>
        </w:rPr>
        <w:t> </w:t>
      </w:r>
      <w:r>
        <w:rPr/>
        <w:t>permitiera</w:t>
      </w:r>
      <w:r>
        <w:rPr>
          <w:spacing w:val="-17"/>
        </w:rPr>
        <w:t> </w:t>
      </w:r>
      <w:r>
        <w:rPr/>
        <w:t>el</w:t>
      </w:r>
      <w:r>
        <w:rPr>
          <w:spacing w:val="-15"/>
        </w:rPr>
        <w:t> </w:t>
      </w:r>
      <w:r>
        <w:rPr/>
        <w:t>desarrollo</w:t>
      </w:r>
      <w:r>
        <w:rPr>
          <w:spacing w:val="-14"/>
        </w:rPr>
        <w:t> </w:t>
      </w:r>
      <w:r>
        <w:rPr/>
        <w:t>de</w:t>
      </w:r>
      <w:r>
        <w:rPr>
          <w:spacing w:val="-14"/>
        </w:rPr>
        <w:t> </w:t>
      </w:r>
      <w:r>
        <w:rPr/>
        <w:t>los</w:t>
      </w:r>
      <w:r>
        <w:rPr>
          <w:spacing w:val="-14"/>
        </w:rPr>
        <w:t> </w:t>
      </w:r>
      <w:r>
        <w:rPr/>
        <w:t>gobiernos locales, motivo por el cual, en iniciativa del congreso de la república junto con el presidente tuvieron a bien considerar lo</w:t>
      </w:r>
      <w:r>
        <w:rPr>
          <w:spacing w:val="-10"/>
        </w:rPr>
        <w:t> </w:t>
      </w:r>
      <w:r>
        <w:rPr/>
        <w:t>siguiente:</w:t>
      </w:r>
    </w:p>
    <w:p>
      <w:pPr>
        <w:pStyle w:val="ListParagraph"/>
        <w:numPr>
          <w:ilvl w:val="0"/>
          <w:numId w:val="29"/>
        </w:numPr>
        <w:tabs>
          <w:tab w:pos="954" w:val="left" w:leader="none"/>
        </w:tabs>
        <w:spacing w:line="240" w:lineRule="auto" w:before="204" w:after="0"/>
        <w:ind w:left="954" w:right="119" w:hanging="360"/>
        <w:jc w:val="both"/>
        <w:rPr>
          <w:sz w:val="22"/>
        </w:rPr>
      </w:pPr>
      <w:r>
        <w:rPr>
          <w:sz w:val="22"/>
        </w:rPr>
        <w:t>Reconocer al ayuntamiento como espacio de gobierno y quitarle las limitaciones que lo convertían en un apéndice de la administración</w:t>
      </w:r>
      <w:r>
        <w:rPr>
          <w:spacing w:val="-13"/>
          <w:sz w:val="22"/>
        </w:rPr>
        <w:t> </w:t>
      </w:r>
      <w:r>
        <w:rPr>
          <w:sz w:val="22"/>
        </w:rPr>
        <w:t>estatal</w:t>
      </w:r>
    </w:p>
    <w:p>
      <w:pPr>
        <w:pStyle w:val="ListParagraph"/>
        <w:numPr>
          <w:ilvl w:val="0"/>
          <w:numId w:val="29"/>
        </w:numPr>
        <w:tabs>
          <w:tab w:pos="954" w:val="left" w:leader="none"/>
        </w:tabs>
        <w:spacing w:line="240" w:lineRule="auto" w:before="1" w:after="0"/>
        <w:ind w:left="954" w:right="116" w:hanging="360"/>
        <w:jc w:val="both"/>
        <w:rPr>
          <w:sz w:val="22"/>
        </w:rPr>
      </w:pPr>
      <w:r>
        <w:rPr>
          <w:sz w:val="22"/>
        </w:rPr>
        <w:t>Eliminar las figuras paralelas, cuya práctica violaba constantemente la prohibición de existencia de autoridades intermedias entre los gobiernos del estado y los ayuntamientos</w:t>
      </w:r>
    </w:p>
    <w:p>
      <w:pPr>
        <w:pStyle w:val="ListParagraph"/>
        <w:numPr>
          <w:ilvl w:val="0"/>
          <w:numId w:val="29"/>
        </w:numPr>
        <w:tabs>
          <w:tab w:pos="954" w:val="left" w:leader="none"/>
        </w:tabs>
        <w:spacing w:line="240" w:lineRule="auto" w:before="0" w:after="0"/>
        <w:ind w:left="954" w:right="115" w:hanging="360"/>
        <w:jc w:val="both"/>
        <w:rPr>
          <w:sz w:val="22"/>
        </w:rPr>
      </w:pPr>
      <w:r>
        <w:rPr>
          <w:sz w:val="22"/>
        </w:rPr>
        <w:t>Fortalecer</w:t>
      </w:r>
      <w:r>
        <w:rPr>
          <w:spacing w:val="-15"/>
          <w:sz w:val="22"/>
        </w:rPr>
        <w:t> </w:t>
      </w:r>
      <w:r>
        <w:rPr>
          <w:sz w:val="22"/>
        </w:rPr>
        <w:t>el</w:t>
      </w:r>
      <w:r>
        <w:rPr>
          <w:spacing w:val="-17"/>
          <w:sz w:val="22"/>
        </w:rPr>
        <w:t> </w:t>
      </w:r>
      <w:r>
        <w:rPr>
          <w:sz w:val="22"/>
        </w:rPr>
        <w:t>ámbito</w:t>
      </w:r>
      <w:r>
        <w:rPr>
          <w:spacing w:val="-16"/>
          <w:sz w:val="22"/>
        </w:rPr>
        <w:t> </w:t>
      </w:r>
      <w:r>
        <w:rPr>
          <w:sz w:val="22"/>
        </w:rPr>
        <w:t>de</w:t>
      </w:r>
      <w:r>
        <w:rPr>
          <w:spacing w:val="-16"/>
          <w:sz w:val="22"/>
        </w:rPr>
        <w:t> </w:t>
      </w:r>
      <w:r>
        <w:rPr>
          <w:sz w:val="22"/>
        </w:rPr>
        <w:t>competencia</w:t>
      </w:r>
      <w:r>
        <w:rPr>
          <w:spacing w:val="-19"/>
          <w:sz w:val="22"/>
        </w:rPr>
        <w:t> </w:t>
      </w:r>
      <w:r>
        <w:rPr>
          <w:sz w:val="22"/>
        </w:rPr>
        <w:t>municipal,</w:t>
      </w:r>
      <w:r>
        <w:rPr>
          <w:spacing w:val="-12"/>
          <w:sz w:val="22"/>
        </w:rPr>
        <w:t> </w:t>
      </w:r>
      <w:r>
        <w:rPr>
          <w:sz w:val="22"/>
        </w:rPr>
        <w:t>delimitando</w:t>
      </w:r>
      <w:r>
        <w:rPr>
          <w:spacing w:val="-14"/>
          <w:sz w:val="22"/>
        </w:rPr>
        <w:t> </w:t>
      </w:r>
      <w:r>
        <w:rPr>
          <w:sz w:val="22"/>
        </w:rPr>
        <w:t>el</w:t>
      </w:r>
      <w:r>
        <w:rPr>
          <w:spacing w:val="-17"/>
          <w:sz w:val="22"/>
        </w:rPr>
        <w:t> </w:t>
      </w:r>
      <w:r>
        <w:rPr>
          <w:sz w:val="22"/>
        </w:rPr>
        <w:t>objeto</w:t>
      </w:r>
      <w:r>
        <w:rPr>
          <w:spacing w:val="-15"/>
          <w:sz w:val="22"/>
        </w:rPr>
        <w:t> </w:t>
      </w:r>
      <w:r>
        <w:rPr>
          <w:sz w:val="22"/>
        </w:rPr>
        <w:t>y</w:t>
      </w:r>
      <w:r>
        <w:rPr>
          <w:spacing w:val="-16"/>
          <w:sz w:val="22"/>
        </w:rPr>
        <w:t> </w:t>
      </w:r>
      <w:r>
        <w:rPr>
          <w:sz w:val="22"/>
        </w:rPr>
        <w:t>los</w:t>
      </w:r>
      <w:r>
        <w:rPr>
          <w:spacing w:val="-19"/>
          <w:sz w:val="22"/>
        </w:rPr>
        <w:t> </w:t>
      </w:r>
      <w:r>
        <w:rPr>
          <w:sz w:val="22"/>
        </w:rPr>
        <w:t>alcances de las leyes estatales que versan sobre cuestiones municipales. En este sentido, se</w:t>
      </w:r>
      <w:r>
        <w:rPr>
          <w:spacing w:val="-3"/>
          <w:sz w:val="22"/>
        </w:rPr>
        <w:t> </w:t>
      </w:r>
      <w:r>
        <w:rPr>
          <w:sz w:val="22"/>
        </w:rPr>
        <w:t>estima</w:t>
      </w:r>
      <w:r>
        <w:rPr>
          <w:spacing w:val="-7"/>
          <w:sz w:val="22"/>
        </w:rPr>
        <w:t> </w:t>
      </w:r>
      <w:r>
        <w:rPr>
          <w:sz w:val="22"/>
        </w:rPr>
        <w:t>que</w:t>
      </w:r>
      <w:r>
        <w:rPr>
          <w:spacing w:val="-3"/>
          <w:sz w:val="22"/>
        </w:rPr>
        <w:t> </w:t>
      </w:r>
      <w:r>
        <w:rPr>
          <w:sz w:val="22"/>
        </w:rPr>
        <w:t>la</w:t>
      </w:r>
      <w:r>
        <w:rPr>
          <w:spacing w:val="-3"/>
          <w:sz w:val="22"/>
        </w:rPr>
        <w:t> </w:t>
      </w:r>
      <w:r>
        <w:rPr>
          <w:sz w:val="22"/>
        </w:rPr>
        <w:t>competencia</w:t>
      </w:r>
      <w:r>
        <w:rPr>
          <w:spacing w:val="-3"/>
          <w:sz w:val="22"/>
        </w:rPr>
        <w:t> </w:t>
      </w:r>
      <w:r>
        <w:rPr>
          <w:sz w:val="22"/>
        </w:rPr>
        <w:t>municipal</w:t>
      </w:r>
      <w:r>
        <w:rPr>
          <w:spacing w:val="-4"/>
          <w:sz w:val="22"/>
        </w:rPr>
        <w:t> </w:t>
      </w:r>
      <w:r>
        <w:rPr>
          <w:sz w:val="22"/>
        </w:rPr>
        <w:t>se</w:t>
      </w:r>
      <w:r>
        <w:rPr>
          <w:spacing w:val="-3"/>
          <w:sz w:val="22"/>
        </w:rPr>
        <w:t> </w:t>
      </w:r>
      <w:r>
        <w:rPr>
          <w:sz w:val="22"/>
        </w:rPr>
        <w:t>nutre</w:t>
      </w:r>
      <w:r>
        <w:rPr>
          <w:spacing w:val="-5"/>
          <w:sz w:val="22"/>
        </w:rPr>
        <w:t> </w:t>
      </w:r>
      <w:r>
        <w:rPr>
          <w:sz w:val="22"/>
        </w:rPr>
        <w:t>de</w:t>
      </w:r>
      <w:r>
        <w:rPr>
          <w:spacing w:val="-3"/>
          <w:sz w:val="22"/>
        </w:rPr>
        <w:t> </w:t>
      </w:r>
      <w:r>
        <w:rPr>
          <w:sz w:val="22"/>
        </w:rPr>
        <w:t>lo</w:t>
      </w:r>
      <w:r>
        <w:rPr>
          <w:spacing w:val="-3"/>
          <w:sz w:val="22"/>
        </w:rPr>
        <w:t> </w:t>
      </w:r>
      <w:r>
        <w:rPr>
          <w:sz w:val="22"/>
        </w:rPr>
        <w:t>señalado</w:t>
      </w:r>
      <w:r>
        <w:rPr>
          <w:spacing w:val="-3"/>
          <w:sz w:val="22"/>
        </w:rPr>
        <w:t> </w:t>
      </w:r>
      <w:r>
        <w:rPr>
          <w:sz w:val="22"/>
        </w:rPr>
        <w:t>en</w:t>
      </w:r>
      <w:r>
        <w:rPr>
          <w:spacing w:val="-3"/>
          <w:sz w:val="22"/>
        </w:rPr>
        <w:t> </w:t>
      </w:r>
      <w:r>
        <w:rPr>
          <w:sz w:val="22"/>
        </w:rPr>
        <w:t>la</w:t>
      </w:r>
      <w:r>
        <w:rPr>
          <w:spacing w:val="-3"/>
          <w:sz w:val="22"/>
        </w:rPr>
        <w:t> </w:t>
      </w:r>
      <w:r>
        <w:rPr>
          <w:sz w:val="22"/>
        </w:rPr>
        <w:t>constitución federal, pero ahora con precisiones del orden</w:t>
      </w:r>
      <w:r>
        <w:rPr>
          <w:spacing w:val="-11"/>
          <w:sz w:val="22"/>
        </w:rPr>
        <w:t> </w:t>
      </w:r>
      <w:r>
        <w:rPr>
          <w:sz w:val="22"/>
        </w:rPr>
        <w:t>estatal</w:t>
      </w:r>
    </w:p>
    <w:p>
      <w:pPr>
        <w:pStyle w:val="ListParagraph"/>
        <w:numPr>
          <w:ilvl w:val="0"/>
          <w:numId w:val="29"/>
        </w:numPr>
        <w:tabs>
          <w:tab w:pos="954" w:val="left" w:leader="none"/>
        </w:tabs>
        <w:spacing w:line="240" w:lineRule="auto" w:before="1" w:after="0"/>
        <w:ind w:left="954" w:right="118" w:hanging="360"/>
        <w:jc w:val="both"/>
        <w:rPr>
          <w:sz w:val="22"/>
        </w:rPr>
      </w:pPr>
      <w:r>
        <w:rPr>
          <w:sz w:val="22"/>
        </w:rPr>
        <w:t>Indicar</w:t>
      </w:r>
      <w:r>
        <w:rPr>
          <w:spacing w:val="-6"/>
          <w:sz w:val="22"/>
        </w:rPr>
        <w:t> </w:t>
      </w:r>
      <w:r>
        <w:rPr>
          <w:sz w:val="22"/>
        </w:rPr>
        <w:t>la</w:t>
      </w:r>
      <w:r>
        <w:rPr>
          <w:spacing w:val="-6"/>
          <w:sz w:val="22"/>
        </w:rPr>
        <w:t> </w:t>
      </w:r>
      <w:r>
        <w:rPr>
          <w:sz w:val="22"/>
        </w:rPr>
        <w:t>obligación</w:t>
      </w:r>
      <w:r>
        <w:rPr>
          <w:spacing w:val="-7"/>
          <w:sz w:val="22"/>
        </w:rPr>
        <w:t> </w:t>
      </w:r>
      <w:r>
        <w:rPr>
          <w:sz w:val="22"/>
        </w:rPr>
        <w:t>de</w:t>
      </w:r>
      <w:r>
        <w:rPr>
          <w:spacing w:val="-7"/>
          <w:sz w:val="22"/>
        </w:rPr>
        <w:t> </w:t>
      </w:r>
      <w:r>
        <w:rPr>
          <w:sz w:val="22"/>
        </w:rPr>
        <w:t>congresos</w:t>
      </w:r>
      <w:r>
        <w:rPr>
          <w:spacing w:val="-5"/>
          <w:sz w:val="22"/>
        </w:rPr>
        <w:t> </w:t>
      </w:r>
      <w:r>
        <w:rPr>
          <w:sz w:val="22"/>
        </w:rPr>
        <w:t>estatales</w:t>
      </w:r>
      <w:r>
        <w:rPr>
          <w:spacing w:val="-6"/>
          <w:sz w:val="22"/>
        </w:rPr>
        <w:t> </w:t>
      </w:r>
      <w:r>
        <w:rPr>
          <w:sz w:val="22"/>
        </w:rPr>
        <w:t>y</w:t>
      </w:r>
      <w:r>
        <w:rPr>
          <w:spacing w:val="-8"/>
          <w:sz w:val="22"/>
        </w:rPr>
        <w:t> </w:t>
      </w:r>
      <w:r>
        <w:rPr>
          <w:sz w:val="22"/>
        </w:rPr>
        <w:t>regidores</w:t>
      </w:r>
      <w:r>
        <w:rPr>
          <w:spacing w:val="-6"/>
          <w:sz w:val="22"/>
        </w:rPr>
        <w:t> </w:t>
      </w:r>
      <w:r>
        <w:rPr>
          <w:sz w:val="22"/>
        </w:rPr>
        <w:t>municipales</w:t>
      </w:r>
      <w:r>
        <w:rPr>
          <w:spacing w:val="-6"/>
          <w:sz w:val="22"/>
        </w:rPr>
        <w:t> </w:t>
      </w:r>
      <w:r>
        <w:rPr>
          <w:sz w:val="22"/>
        </w:rPr>
        <w:t>de</w:t>
      </w:r>
      <w:r>
        <w:rPr>
          <w:spacing w:val="-7"/>
          <w:sz w:val="22"/>
        </w:rPr>
        <w:t> </w:t>
      </w:r>
      <w:r>
        <w:rPr>
          <w:sz w:val="22"/>
        </w:rPr>
        <w:t>establecer los medios de impugnación y los órganos correspondientes para dirimir las controversias entre los particulares y la administración pública</w:t>
      </w:r>
      <w:r>
        <w:rPr>
          <w:spacing w:val="-22"/>
          <w:sz w:val="22"/>
        </w:rPr>
        <w:t> </w:t>
      </w:r>
      <w:r>
        <w:rPr>
          <w:sz w:val="22"/>
        </w:rPr>
        <w:t>municipal</w:t>
      </w:r>
    </w:p>
    <w:p>
      <w:pPr>
        <w:pStyle w:val="ListParagraph"/>
        <w:numPr>
          <w:ilvl w:val="0"/>
          <w:numId w:val="29"/>
        </w:numPr>
        <w:tabs>
          <w:tab w:pos="954" w:val="left" w:leader="none"/>
        </w:tabs>
        <w:spacing w:line="240" w:lineRule="auto" w:before="0" w:after="0"/>
        <w:ind w:left="954" w:right="114" w:hanging="360"/>
        <w:jc w:val="both"/>
        <w:rPr>
          <w:sz w:val="22"/>
        </w:rPr>
      </w:pPr>
      <w:r>
        <w:rPr>
          <w:sz w:val="22"/>
        </w:rPr>
        <w:t>En</w:t>
      </w:r>
      <w:r>
        <w:rPr>
          <w:spacing w:val="-5"/>
          <w:sz w:val="22"/>
        </w:rPr>
        <w:t> </w:t>
      </w:r>
      <w:r>
        <w:rPr>
          <w:sz w:val="22"/>
        </w:rPr>
        <w:t>su</w:t>
      </w:r>
      <w:r>
        <w:rPr>
          <w:spacing w:val="-5"/>
          <w:sz w:val="22"/>
        </w:rPr>
        <w:t> </w:t>
      </w:r>
      <w:r>
        <w:rPr>
          <w:sz w:val="22"/>
        </w:rPr>
        <w:t>libertad</w:t>
      </w:r>
      <w:r>
        <w:rPr>
          <w:spacing w:val="-8"/>
          <w:sz w:val="22"/>
        </w:rPr>
        <w:t> </w:t>
      </w:r>
      <w:r>
        <w:rPr>
          <w:sz w:val="22"/>
        </w:rPr>
        <w:t>reglamentaria,</w:t>
      </w:r>
      <w:r>
        <w:rPr>
          <w:spacing w:val="-4"/>
          <w:sz w:val="22"/>
        </w:rPr>
        <w:t> </w:t>
      </w:r>
      <w:r>
        <w:rPr>
          <w:sz w:val="22"/>
        </w:rPr>
        <w:t>el</w:t>
      </w:r>
      <w:r>
        <w:rPr>
          <w:spacing w:val="-9"/>
          <w:sz w:val="22"/>
        </w:rPr>
        <w:t> </w:t>
      </w:r>
      <w:r>
        <w:rPr>
          <w:sz w:val="22"/>
        </w:rPr>
        <w:t>municipio</w:t>
      </w:r>
      <w:r>
        <w:rPr>
          <w:spacing w:val="-5"/>
          <w:sz w:val="22"/>
        </w:rPr>
        <w:t> </w:t>
      </w:r>
      <w:r>
        <w:rPr>
          <w:sz w:val="22"/>
        </w:rPr>
        <w:t>tendrá</w:t>
      </w:r>
      <w:r>
        <w:rPr>
          <w:spacing w:val="-10"/>
          <w:sz w:val="22"/>
        </w:rPr>
        <w:t> </w:t>
      </w:r>
      <w:r>
        <w:rPr>
          <w:sz w:val="22"/>
        </w:rPr>
        <w:t>que</w:t>
      </w:r>
      <w:r>
        <w:rPr>
          <w:spacing w:val="-8"/>
          <w:sz w:val="22"/>
        </w:rPr>
        <w:t> </w:t>
      </w:r>
      <w:r>
        <w:rPr>
          <w:sz w:val="22"/>
        </w:rPr>
        <w:t>tomar</w:t>
      </w:r>
      <w:r>
        <w:rPr>
          <w:spacing w:val="-4"/>
          <w:sz w:val="22"/>
        </w:rPr>
        <w:t> </w:t>
      </w:r>
      <w:r>
        <w:rPr>
          <w:sz w:val="22"/>
        </w:rPr>
        <w:t>en</w:t>
      </w:r>
      <w:r>
        <w:rPr>
          <w:spacing w:val="-6"/>
          <w:sz w:val="22"/>
        </w:rPr>
        <w:t> </w:t>
      </w:r>
      <w:r>
        <w:rPr>
          <w:sz w:val="22"/>
        </w:rPr>
        <w:t>cuenta</w:t>
      </w:r>
      <w:r>
        <w:rPr>
          <w:spacing w:val="-5"/>
          <w:sz w:val="22"/>
        </w:rPr>
        <w:t> </w:t>
      </w:r>
      <w:r>
        <w:rPr>
          <w:sz w:val="22"/>
        </w:rPr>
        <w:t>las</w:t>
      </w:r>
      <w:r>
        <w:rPr>
          <w:spacing w:val="-8"/>
          <w:sz w:val="22"/>
        </w:rPr>
        <w:t> </w:t>
      </w:r>
      <w:r>
        <w:rPr>
          <w:sz w:val="22"/>
        </w:rPr>
        <w:t>formas</w:t>
      </w:r>
      <w:r>
        <w:rPr>
          <w:spacing w:val="-8"/>
          <w:sz w:val="22"/>
        </w:rPr>
        <w:t> </w:t>
      </w:r>
      <w:r>
        <w:rPr>
          <w:sz w:val="22"/>
        </w:rPr>
        <w:t>y procedimientos de participación ciudadana y</w:t>
      </w:r>
      <w:r>
        <w:rPr>
          <w:spacing w:val="-14"/>
          <w:sz w:val="22"/>
        </w:rPr>
        <w:t> </w:t>
      </w:r>
      <w:r>
        <w:rPr>
          <w:sz w:val="22"/>
        </w:rPr>
        <w:t>vecinal</w:t>
      </w:r>
    </w:p>
    <w:p>
      <w:pPr>
        <w:pStyle w:val="ListParagraph"/>
        <w:numPr>
          <w:ilvl w:val="0"/>
          <w:numId w:val="29"/>
        </w:numPr>
        <w:tabs>
          <w:tab w:pos="954" w:val="left" w:leader="none"/>
        </w:tabs>
        <w:spacing w:line="240" w:lineRule="auto" w:before="1" w:after="0"/>
        <w:ind w:left="954" w:right="118" w:hanging="360"/>
        <w:jc w:val="both"/>
        <w:rPr>
          <w:sz w:val="22"/>
        </w:rPr>
      </w:pPr>
      <w:r>
        <w:rPr>
          <w:sz w:val="22"/>
        </w:rPr>
        <w:t>Ampliar y garantizar leyes de ingresos municipales en las que anualmente las legislaturas</w:t>
      </w:r>
      <w:r>
        <w:rPr>
          <w:spacing w:val="-5"/>
          <w:sz w:val="22"/>
        </w:rPr>
        <w:t> </w:t>
      </w:r>
      <w:r>
        <w:rPr>
          <w:sz w:val="22"/>
        </w:rPr>
        <w:t>estatales</w:t>
      </w:r>
      <w:r>
        <w:rPr>
          <w:spacing w:val="-5"/>
          <w:sz w:val="22"/>
        </w:rPr>
        <w:t> </w:t>
      </w:r>
      <w:r>
        <w:rPr>
          <w:sz w:val="22"/>
        </w:rPr>
        <w:t>fijan</w:t>
      </w:r>
      <w:r>
        <w:rPr>
          <w:spacing w:val="-3"/>
          <w:sz w:val="22"/>
        </w:rPr>
        <w:t> </w:t>
      </w:r>
      <w:r>
        <w:rPr>
          <w:sz w:val="22"/>
        </w:rPr>
        <w:t>las</w:t>
      </w:r>
      <w:r>
        <w:rPr>
          <w:spacing w:val="-3"/>
          <w:sz w:val="22"/>
        </w:rPr>
        <w:t> </w:t>
      </w:r>
      <w:r>
        <w:rPr>
          <w:sz w:val="22"/>
        </w:rPr>
        <w:t>tasas,</w:t>
      </w:r>
      <w:r>
        <w:rPr>
          <w:spacing w:val="-4"/>
          <w:sz w:val="22"/>
        </w:rPr>
        <w:t> </w:t>
      </w:r>
      <w:r>
        <w:rPr>
          <w:sz w:val="22"/>
        </w:rPr>
        <w:t>cuotas</w:t>
      </w:r>
      <w:r>
        <w:rPr>
          <w:spacing w:val="-5"/>
          <w:sz w:val="22"/>
        </w:rPr>
        <w:t> </w:t>
      </w:r>
      <w:r>
        <w:rPr>
          <w:sz w:val="22"/>
        </w:rPr>
        <w:t>y</w:t>
      </w:r>
      <w:r>
        <w:rPr>
          <w:spacing w:val="-5"/>
          <w:sz w:val="22"/>
        </w:rPr>
        <w:t> </w:t>
      </w:r>
      <w:r>
        <w:rPr>
          <w:sz w:val="22"/>
        </w:rPr>
        <w:t>tarifas</w:t>
      </w:r>
      <w:r>
        <w:rPr>
          <w:spacing w:val="-3"/>
          <w:sz w:val="22"/>
        </w:rPr>
        <w:t> </w:t>
      </w:r>
      <w:r>
        <w:rPr>
          <w:sz w:val="22"/>
        </w:rPr>
        <w:t>a</w:t>
      </w:r>
      <w:r>
        <w:rPr>
          <w:spacing w:val="-3"/>
          <w:sz w:val="22"/>
        </w:rPr>
        <w:t> </w:t>
      </w:r>
      <w:r>
        <w:rPr>
          <w:sz w:val="22"/>
        </w:rPr>
        <w:t>propuesta</w:t>
      </w:r>
      <w:r>
        <w:rPr>
          <w:spacing w:val="-5"/>
          <w:sz w:val="22"/>
        </w:rPr>
        <w:t> </w:t>
      </w:r>
      <w:r>
        <w:rPr>
          <w:sz w:val="22"/>
        </w:rPr>
        <w:t>del</w:t>
      </w:r>
      <w:r>
        <w:rPr>
          <w:spacing w:val="-4"/>
          <w:sz w:val="22"/>
        </w:rPr>
        <w:t> </w:t>
      </w:r>
      <w:r>
        <w:rPr>
          <w:sz w:val="22"/>
        </w:rPr>
        <w:t>ayuntamiento interesado y respecto de las contribuciones de mejores impuestos y derechos (Doger,</w:t>
      </w:r>
      <w:r>
        <w:rPr>
          <w:spacing w:val="-4"/>
          <w:sz w:val="22"/>
        </w:rPr>
        <w:t> </w:t>
      </w:r>
      <w:r>
        <w:rPr>
          <w:sz w:val="22"/>
        </w:rPr>
        <w:t>2013:73).</w:t>
      </w:r>
    </w:p>
    <w:p>
      <w:pPr>
        <w:pStyle w:val="BodyText"/>
        <w:rPr>
          <w:sz w:val="22"/>
        </w:rPr>
      </w:pPr>
    </w:p>
    <w:p>
      <w:pPr>
        <w:pStyle w:val="BodyText"/>
        <w:spacing w:before="4"/>
        <w:rPr>
          <w:sz w:val="17"/>
        </w:rPr>
      </w:pPr>
    </w:p>
    <w:p>
      <w:pPr>
        <w:pStyle w:val="BodyText"/>
        <w:spacing w:line="360" w:lineRule="auto"/>
        <w:ind w:left="102" w:right="122"/>
        <w:jc w:val="both"/>
      </w:pPr>
      <w:r>
        <w:rPr/>
        <w:t>El punto central de la reforma de 1999 fue otorgar al ayuntamiento la calidad de gobernador del municipio, permitiéndole el ejercicio de manera exclusiva de las competencias que le otorgue la constitución. Además, de que obliga a las legislaturas estatales a expedir leyes en materia municipal. Por otro lado, con</w:t>
      </w:r>
      <w:r>
        <w:rPr>
          <w:spacing w:val="53"/>
        </w:rPr>
        <w:t> </w:t>
      </w:r>
      <w:r>
        <w:rPr/>
        <w:t>esta</w:t>
      </w:r>
    </w:p>
    <w:p>
      <w:pPr>
        <w:spacing w:after="0" w:line="360" w:lineRule="auto"/>
        <w:jc w:val="both"/>
        <w:sectPr>
          <w:pgSz w:w="12240" w:h="15840"/>
          <w:pgMar w:header="0" w:footer="992" w:top="1360" w:bottom="1180" w:left="1600" w:right="1580"/>
        </w:sectPr>
      </w:pPr>
    </w:p>
    <w:p>
      <w:pPr>
        <w:pStyle w:val="BodyText"/>
        <w:spacing w:line="360" w:lineRule="auto" w:before="54"/>
        <w:ind w:left="102" w:right="121"/>
        <w:jc w:val="both"/>
      </w:pPr>
      <w:r>
        <w:rPr/>
        <w:t>reforma</w:t>
      </w:r>
      <w:r>
        <w:rPr>
          <w:spacing w:val="-11"/>
        </w:rPr>
        <w:t> </w:t>
      </w:r>
      <w:r>
        <w:rPr/>
        <w:t>se</w:t>
      </w:r>
      <w:r>
        <w:rPr>
          <w:spacing w:val="-10"/>
        </w:rPr>
        <w:t> </w:t>
      </w:r>
      <w:r>
        <w:rPr/>
        <w:t>amplía</w:t>
      </w:r>
      <w:r>
        <w:rPr>
          <w:spacing w:val="-10"/>
        </w:rPr>
        <w:t> </w:t>
      </w:r>
      <w:r>
        <w:rPr/>
        <w:t>más</w:t>
      </w:r>
      <w:r>
        <w:rPr>
          <w:spacing w:val="-14"/>
        </w:rPr>
        <w:t> </w:t>
      </w:r>
      <w:r>
        <w:rPr/>
        <w:t>el</w:t>
      </w:r>
      <w:r>
        <w:rPr>
          <w:spacing w:val="-12"/>
        </w:rPr>
        <w:t> </w:t>
      </w:r>
      <w:r>
        <w:rPr/>
        <w:t>catálogo</w:t>
      </w:r>
      <w:r>
        <w:rPr>
          <w:spacing w:val="-11"/>
        </w:rPr>
        <w:t> </w:t>
      </w:r>
      <w:r>
        <w:rPr/>
        <w:t>de</w:t>
      </w:r>
      <w:r>
        <w:rPr>
          <w:spacing w:val="-13"/>
        </w:rPr>
        <w:t> </w:t>
      </w:r>
      <w:r>
        <w:rPr/>
        <w:t>funciones</w:t>
      </w:r>
      <w:r>
        <w:rPr>
          <w:spacing w:val="-12"/>
        </w:rPr>
        <w:t> </w:t>
      </w:r>
      <w:r>
        <w:rPr/>
        <w:t>y</w:t>
      </w:r>
      <w:r>
        <w:rPr>
          <w:spacing w:val="-14"/>
        </w:rPr>
        <w:t> </w:t>
      </w:r>
      <w:r>
        <w:rPr/>
        <w:t>servicios,</w:t>
      </w:r>
      <w:r>
        <w:rPr>
          <w:spacing w:val="-11"/>
        </w:rPr>
        <w:t> </w:t>
      </w:r>
      <w:r>
        <w:rPr/>
        <w:t>aumentando</w:t>
      </w:r>
      <w:r>
        <w:rPr>
          <w:spacing w:val="-11"/>
        </w:rPr>
        <w:t> </w:t>
      </w:r>
      <w:r>
        <w:rPr/>
        <w:t>el</w:t>
      </w:r>
      <w:r>
        <w:rPr>
          <w:spacing w:val="-12"/>
        </w:rPr>
        <w:t> </w:t>
      </w:r>
      <w:r>
        <w:rPr/>
        <w:t>de</w:t>
      </w:r>
      <w:r>
        <w:rPr>
          <w:spacing w:val="-11"/>
        </w:rPr>
        <w:t> </w:t>
      </w:r>
      <w:r>
        <w:rPr/>
        <w:t>agua potable y alcantarillado, el de drenaje, tratamiento y disposición de sus aguas residuales; el de limpia, su recolección, traslado, tratamiento y disposición final; a los jardines, su</w:t>
      </w:r>
      <w:r>
        <w:rPr>
          <w:spacing w:val="-6"/>
        </w:rPr>
        <w:t> </w:t>
      </w:r>
      <w:r>
        <w:rPr/>
        <w:t>equipamiento.</w:t>
      </w:r>
    </w:p>
    <w:p>
      <w:pPr>
        <w:pStyle w:val="BodyText"/>
        <w:spacing w:line="360" w:lineRule="auto" w:before="204"/>
        <w:ind w:left="102" w:right="121"/>
        <w:jc w:val="both"/>
      </w:pPr>
      <w:r>
        <w:rPr/>
        <w:t>Entre</w:t>
      </w:r>
      <w:r>
        <w:rPr>
          <w:spacing w:val="-19"/>
        </w:rPr>
        <w:t> </w:t>
      </w:r>
      <w:r>
        <w:rPr/>
        <w:t>otros</w:t>
      </w:r>
      <w:r>
        <w:rPr>
          <w:spacing w:val="-20"/>
        </w:rPr>
        <w:t> </w:t>
      </w:r>
      <w:r>
        <w:rPr/>
        <w:t>está</w:t>
      </w:r>
      <w:r>
        <w:rPr>
          <w:spacing w:val="-18"/>
        </w:rPr>
        <w:t> </w:t>
      </w:r>
      <w:r>
        <w:rPr/>
        <w:t>la</w:t>
      </w:r>
      <w:r>
        <w:rPr>
          <w:spacing w:val="-19"/>
        </w:rPr>
        <w:t> </w:t>
      </w:r>
      <w:r>
        <w:rPr/>
        <w:t>innovación</w:t>
      </w:r>
      <w:r>
        <w:rPr>
          <w:spacing w:val="-19"/>
        </w:rPr>
        <w:t> </w:t>
      </w:r>
      <w:r>
        <w:rPr/>
        <w:t>de</w:t>
      </w:r>
      <w:r>
        <w:rPr>
          <w:spacing w:val="-19"/>
        </w:rPr>
        <w:t> </w:t>
      </w:r>
      <w:r>
        <w:rPr/>
        <w:t>la</w:t>
      </w:r>
      <w:r>
        <w:rPr>
          <w:spacing w:val="-19"/>
        </w:rPr>
        <w:t> </w:t>
      </w:r>
      <w:r>
        <w:rPr/>
        <w:t>asociación</w:t>
      </w:r>
      <w:r>
        <w:rPr>
          <w:spacing w:val="-21"/>
        </w:rPr>
        <w:t> </w:t>
      </w:r>
      <w:r>
        <w:rPr/>
        <w:t>municipal,</w:t>
      </w:r>
      <w:r>
        <w:rPr>
          <w:spacing w:val="-20"/>
        </w:rPr>
        <w:t> </w:t>
      </w:r>
      <w:r>
        <w:rPr/>
        <w:t>donde</w:t>
      </w:r>
      <w:r>
        <w:rPr>
          <w:spacing w:val="-19"/>
        </w:rPr>
        <w:t> </w:t>
      </w:r>
      <w:r>
        <w:rPr/>
        <w:t>se</w:t>
      </w:r>
      <w:r>
        <w:rPr>
          <w:spacing w:val="-19"/>
        </w:rPr>
        <w:t> </w:t>
      </w:r>
      <w:r>
        <w:rPr/>
        <w:t>podrán</w:t>
      </w:r>
      <w:r>
        <w:rPr>
          <w:spacing w:val="-19"/>
        </w:rPr>
        <w:t> </w:t>
      </w:r>
      <w:r>
        <w:rPr/>
        <w:t>coordinar y asociar con otros municipios para una mayor eficacia en la prestación de los servicios públicos, también con esta reforma por medio de convenios para que el estado se haga cargo de algunas de las funciones relacionadas con la administración</w:t>
      </w:r>
      <w:r>
        <w:rPr>
          <w:spacing w:val="-10"/>
        </w:rPr>
        <w:t> </w:t>
      </w:r>
      <w:r>
        <w:rPr/>
        <w:t>de</w:t>
      </w:r>
      <w:r>
        <w:rPr>
          <w:spacing w:val="-10"/>
        </w:rPr>
        <w:t> </w:t>
      </w:r>
      <w:r>
        <w:rPr/>
        <w:t>ciertas</w:t>
      </w:r>
      <w:r>
        <w:rPr>
          <w:spacing w:val="-9"/>
        </w:rPr>
        <w:t> </w:t>
      </w:r>
      <w:r>
        <w:rPr/>
        <w:t>contribuciones.</w:t>
      </w:r>
      <w:r>
        <w:rPr>
          <w:spacing w:val="-8"/>
        </w:rPr>
        <w:t> </w:t>
      </w:r>
      <w:r>
        <w:rPr/>
        <w:t>Desde</w:t>
      </w:r>
      <w:r>
        <w:rPr>
          <w:spacing w:val="-10"/>
        </w:rPr>
        <w:t> </w:t>
      </w:r>
      <w:r>
        <w:rPr/>
        <w:t>esta</w:t>
      </w:r>
      <w:r>
        <w:rPr>
          <w:spacing w:val="-8"/>
        </w:rPr>
        <w:t> </w:t>
      </w:r>
      <w:r>
        <w:rPr/>
        <w:t>reforma,</w:t>
      </w:r>
      <w:r>
        <w:rPr>
          <w:spacing w:val="-8"/>
        </w:rPr>
        <w:t> </w:t>
      </w:r>
      <w:r>
        <w:rPr/>
        <w:t>los</w:t>
      </w:r>
      <w:r>
        <w:rPr>
          <w:spacing w:val="-11"/>
        </w:rPr>
        <w:t> </w:t>
      </w:r>
      <w:r>
        <w:rPr/>
        <w:t>municipios</w:t>
      </w:r>
      <w:r>
        <w:rPr>
          <w:spacing w:val="-11"/>
        </w:rPr>
        <w:t> </w:t>
      </w:r>
      <w:r>
        <w:rPr/>
        <w:t>deben participar en la formulación de planes de desarrollo</w:t>
      </w:r>
      <w:r>
        <w:rPr>
          <w:spacing w:val="-21"/>
        </w:rPr>
        <w:t> </w:t>
      </w:r>
      <w:r>
        <w:rPr/>
        <w:t>regional.</w:t>
      </w:r>
    </w:p>
    <w:p>
      <w:pPr>
        <w:pStyle w:val="BodyText"/>
      </w:pPr>
    </w:p>
    <w:p>
      <w:pPr>
        <w:pStyle w:val="Heading1"/>
        <w:numPr>
          <w:ilvl w:val="1"/>
          <w:numId w:val="26"/>
        </w:numPr>
        <w:tabs>
          <w:tab w:pos="2664" w:val="left" w:leader="none"/>
        </w:tabs>
        <w:spacing w:line="240" w:lineRule="auto" w:before="205" w:after="0"/>
        <w:ind w:left="2663" w:right="0" w:hanging="548"/>
        <w:jc w:val="left"/>
      </w:pPr>
      <w:bookmarkStart w:name="_TOC_250020" w:id="32"/>
      <w:r>
        <w:rPr/>
        <w:t>Libertad y Autonomía</w:t>
      </w:r>
      <w:r>
        <w:rPr>
          <w:spacing w:val="-18"/>
        </w:rPr>
        <w:t> </w:t>
      </w:r>
      <w:bookmarkEnd w:id="32"/>
      <w:r>
        <w:rPr/>
        <w:t>municipal</w:t>
      </w:r>
    </w:p>
    <w:p>
      <w:pPr>
        <w:pStyle w:val="BodyText"/>
        <w:rPr>
          <w:b/>
          <w:sz w:val="28"/>
        </w:rPr>
      </w:pPr>
    </w:p>
    <w:p>
      <w:pPr>
        <w:pStyle w:val="BodyText"/>
        <w:rPr>
          <w:b/>
          <w:sz w:val="28"/>
        </w:rPr>
      </w:pPr>
    </w:p>
    <w:p>
      <w:pPr>
        <w:pStyle w:val="BodyText"/>
        <w:rPr>
          <w:b/>
          <w:sz w:val="28"/>
        </w:rPr>
      </w:pPr>
    </w:p>
    <w:p>
      <w:pPr>
        <w:pStyle w:val="BodyText"/>
        <w:spacing w:line="360" w:lineRule="auto" w:before="197"/>
        <w:ind w:left="102" w:right="120"/>
        <w:jc w:val="both"/>
      </w:pPr>
      <w:r>
        <w:rPr/>
        <w:t>El contenido de libertad para los municipios hace referencia principalmente al autogobierno, suficiencia económica, capacidad normativa y el desarrollo de sus asuntos</w:t>
      </w:r>
      <w:r>
        <w:rPr>
          <w:spacing w:val="-9"/>
        </w:rPr>
        <w:t> </w:t>
      </w:r>
      <w:r>
        <w:rPr/>
        <w:t>públicos,</w:t>
      </w:r>
      <w:r>
        <w:rPr>
          <w:spacing w:val="-9"/>
        </w:rPr>
        <w:t> </w:t>
      </w:r>
      <w:r>
        <w:rPr/>
        <w:t>cabe</w:t>
      </w:r>
      <w:r>
        <w:rPr>
          <w:spacing w:val="-11"/>
        </w:rPr>
        <w:t> </w:t>
      </w:r>
      <w:r>
        <w:rPr/>
        <w:t>hacer</w:t>
      </w:r>
      <w:r>
        <w:rPr>
          <w:spacing w:val="-10"/>
        </w:rPr>
        <w:t> </w:t>
      </w:r>
      <w:r>
        <w:rPr/>
        <w:t>hincapié</w:t>
      </w:r>
      <w:r>
        <w:rPr>
          <w:spacing w:val="-9"/>
        </w:rPr>
        <w:t> </w:t>
      </w:r>
      <w:r>
        <w:rPr/>
        <w:t>que</w:t>
      </w:r>
      <w:r>
        <w:rPr>
          <w:spacing w:val="-8"/>
        </w:rPr>
        <w:t> </w:t>
      </w:r>
      <w:r>
        <w:rPr/>
        <w:t>en</w:t>
      </w:r>
      <w:r>
        <w:rPr>
          <w:spacing w:val="-11"/>
        </w:rPr>
        <w:t> </w:t>
      </w:r>
      <w:r>
        <w:rPr/>
        <w:t>ocasiones</w:t>
      </w:r>
      <w:r>
        <w:rPr>
          <w:spacing w:val="-9"/>
        </w:rPr>
        <w:t> </w:t>
      </w:r>
      <w:r>
        <w:rPr/>
        <w:t>sino</w:t>
      </w:r>
      <w:r>
        <w:rPr>
          <w:spacing w:val="-8"/>
        </w:rPr>
        <w:t> </w:t>
      </w:r>
      <w:r>
        <w:rPr/>
        <w:t>que</w:t>
      </w:r>
      <w:r>
        <w:rPr>
          <w:spacing w:val="-11"/>
        </w:rPr>
        <w:t> </w:t>
      </w:r>
      <w:r>
        <w:rPr/>
        <w:t>en</w:t>
      </w:r>
      <w:r>
        <w:rPr>
          <w:spacing w:val="-11"/>
        </w:rPr>
        <w:t> </w:t>
      </w:r>
      <w:r>
        <w:rPr/>
        <w:t>varias</w:t>
      </w:r>
      <w:r>
        <w:rPr>
          <w:spacing w:val="-9"/>
        </w:rPr>
        <w:t> </w:t>
      </w:r>
      <w:r>
        <w:rPr/>
        <w:t>de</w:t>
      </w:r>
      <w:r>
        <w:rPr>
          <w:spacing w:val="-8"/>
        </w:rPr>
        <w:t> </w:t>
      </w:r>
      <w:r>
        <w:rPr/>
        <w:t>ellas la</w:t>
      </w:r>
      <w:r>
        <w:rPr>
          <w:spacing w:val="-5"/>
        </w:rPr>
        <w:t> </w:t>
      </w:r>
      <w:r>
        <w:rPr/>
        <w:t>doctrina</w:t>
      </w:r>
      <w:r>
        <w:rPr>
          <w:spacing w:val="-7"/>
        </w:rPr>
        <w:t> </w:t>
      </w:r>
      <w:r>
        <w:rPr/>
        <w:t>mexicana</w:t>
      </w:r>
      <w:r>
        <w:rPr>
          <w:spacing w:val="-5"/>
        </w:rPr>
        <w:t> </w:t>
      </w:r>
      <w:r>
        <w:rPr/>
        <w:t>suele</w:t>
      </w:r>
      <w:r>
        <w:rPr>
          <w:spacing w:val="-2"/>
        </w:rPr>
        <w:t> </w:t>
      </w:r>
      <w:r>
        <w:rPr/>
        <w:t>confundir,</w:t>
      </w:r>
      <w:r>
        <w:rPr>
          <w:spacing w:val="-5"/>
        </w:rPr>
        <w:t> </w:t>
      </w:r>
      <w:r>
        <w:rPr/>
        <w:t>sobre</w:t>
      </w:r>
      <w:r>
        <w:rPr>
          <w:spacing w:val="-4"/>
        </w:rPr>
        <w:t> </w:t>
      </w:r>
      <w:r>
        <w:rPr/>
        <w:t>que</w:t>
      </w:r>
      <w:r>
        <w:rPr>
          <w:spacing w:val="-5"/>
        </w:rPr>
        <w:t> </w:t>
      </w:r>
      <w:r>
        <w:rPr/>
        <w:t>es</w:t>
      </w:r>
      <w:r>
        <w:rPr>
          <w:spacing w:val="-5"/>
        </w:rPr>
        <w:t> </w:t>
      </w:r>
      <w:r>
        <w:rPr/>
        <w:t>propiamente</w:t>
      </w:r>
      <w:r>
        <w:rPr>
          <w:spacing w:val="-4"/>
        </w:rPr>
        <w:t> </w:t>
      </w:r>
      <w:r>
        <w:rPr/>
        <w:t>la</w:t>
      </w:r>
      <w:r>
        <w:rPr>
          <w:spacing w:val="-5"/>
        </w:rPr>
        <w:t> </w:t>
      </w:r>
      <w:r>
        <w:rPr/>
        <w:t>autonomía</w:t>
      </w:r>
      <w:r>
        <w:rPr>
          <w:spacing w:val="-5"/>
        </w:rPr>
        <w:t> </w:t>
      </w:r>
      <w:r>
        <w:rPr/>
        <w:t>de</w:t>
      </w:r>
      <w:r>
        <w:rPr>
          <w:spacing w:val="-5"/>
        </w:rPr>
        <w:t> </w:t>
      </w:r>
      <w:r>
        <w:rPr/>
        <w:t>la libertad municipal, porque suele a veces entenderse como sinónimos, sin embargo no</w:t>
      </w:r>
      <w:r>
        <w:rPr>
          <w:spacing w:val="-4"/>
        </w:rPr>
        <w:t> </w:t>
      </w:r>
      <w:r>
        <w:rPr/>
        <w:t>son</w:t>
      </w:r>
      <w:r>
        <w:rPr>
          <w:spacing w:val="-4"/>
        </w:rPr>
        <w:t> </w:t>
      </w:r>
      <w:r>
        <w:rPr/>
        <w:t>sinónimos,</w:t>
      </w:r>
      <w:r>
        <w:rPr>
          <w:spacing w:val="-4"/>
        </w:rPr>
        <w:t> </w:t>
      </w:r>
      <w:r>
        <w:rPr/>
        <w:t>es</w:t>
      </w:r>
      <w:r>
        <w:rPr>
          <w:spacing w:val="-7"/>
        </w:rPr>
        <w:t> </w:t>
      </w:r>
      <w:r>
        <w:rPr/>
        <w:t>por</w:t>
      </w:r>
      <w:r>
        <w:rPr>
          <w:spacing w:val="-5"/>
        </w:rPr>
        <w:t> </w:t>
      </w:r>
      <w:r>
        <w:rPr/>
        <w:t>eso,</w:t>
      </w:r>
      <w:r>
        <w:rPr>
          <w:spacing w:val="-4"/>
        </w:rPr>
        <w:t> </w:t>
      </w:r>
      <w:r>
        <w:rPr/>
        <w:t>que</w:t>
      </w:r>
      <w:r>
        <w:rPr>
          <w:spacing w:val="-4"/>
        </w:rPr>
        <w:t> </w:t>
      </w:r>
      <w:r>
        <w:rPr/>
        <w:t>es</w:t>
      </w:r>
      <w:r>
        <w:rPr>
          <w:spacing w:val="-4"/>
        </w:rPr>
        <w:t> </w:t>
      </w:r>
      <w:r>
        <w:rPr/>
        <w:t>importante</w:t>
      </w:r>
      <w:r>
        <w:rPr>
          <w:spacing w:val="-6"/>
        </w:rPr>
        <w:t> </w:t>
      </w:r>
      <w:r>
        <w:rPr/>
        <w:t>delimitar</w:t>
      </w:r>
      <w:r>
        <w:rPr>
          <w:spacing w:val="-5"/>
        </w:rPr>
        <w:t> </w:t>
      </w:r>
      <w:r>
        <w:rPr/>
        <w:t>cuando</w:t>
      </w:r>
      <w:r>
        <w:rPr>
          <w:spacing w:val="-4"/>
        </w:rPr>
        <w:t> </w:t>
      </w:r>
      <w:r>
        <w:rPr/>
        <w:t>se</w:t>
      </w:r>
      <w:r>
        <w:rPr>
          <w:spacing w:val="-4"/>
        </w:rPr>
        <w:t> </w:t>
      </w:r>
      <w:r>
        <w:rPr/>
        <w:t>trata</w:t>
      </w:r>
      <w:r>
        <w:rPr>
          <w:spacing w:val="-5"/>
        </w:rPr>
        <w:t> </w:t>
      </w:r>
      <w:r>
        <w:rPr/>
        <w:t>de</w:t>
      </w:r>
      <w:r>
        <w:rPr>
          <w:spacing w:val="-6"/>
        </w:rPr>
        <w:t> </w:t>
      </w:r>
      <w:r>
        <w:rPr/>
        <w:t>una</w:t>
      </w:r>
      <w:r>
        <w:rPr>
          <w:spacing w:val="-6"/>
        </w:rPr>
        <w:t> </w:t>
      </w:r>
      <w:r>
        <w:rPr/>
        <w:t>u otra.</w:t>
      </w:r>
    </w:p>
    <w:p>
      <w:pPr>
        <w:pStyle w:val="BodyText"/>
        <w:spacing w:line="360" w:lineRule="auto" w:before="202"/>
        <w:ind w:left="102" w:right="115" w:firstLine="67"/>
        <w:jc w:val="both"/>
      </w:pPr>
      <w:r>
        <w:rPr/>
        <w:t>Jiménez (2007), manifiesta que la determinación de la libertad municipal parte, de la concepción que se tenga del municipio, porque la libertad relacionada con el municipio</w:t>
      </w:r>
      <w:r>
        <w:rPr>
          <w:spacing w:val="-5"/>
        </w:rPr>
        <w:t> </w:t>
      </w:r>
      <w:r>
        <w:rPr/>
        <w:t>está</w:t>
      </w:r>
      <w:r>
        <w:rPr>
          <w:spacing w:val="-5"/>
        </w:rPr>
        <w:t> </w:t>
      </w:r>
      <w:r>
        <w:rPr/>
        <w:t>ligada</w:t>
      </w:r>
      <w:r>
        <w:rPr>
          <w:spacing w:val="-5"/>
        </w:rPr>
        <w:t> </w:t>
      </w:r>
      <w:r>
        <w:rPr/>
        <w:t>con</w:t>
      </w:r>
      <w:r>
        <w:rPr>
          <w:spacing w:val="-5"/>
        </w:rPr>
        <w:t> </w:t>
      </w:r>
      <w:r>
        <w:rPr/>
        <w:t>la</w:t>
      </w:r>
      <w:r>
        <w:rPr>
          <w:spacing w:val="-7"/>
        </w:rPr>
        <w:t> </w:t>
      </w:r>
      <w:r>
        <w:rPr/>
        <w:t>idea</w:t>
      </w:r>
      <w:r>
        <w:rPr>
          <w:spacing w:val="-7"/>
        </w:rPr>
        <w:t> </w:t>
      </w:r>
      <w:r>
        <w:rPr/>
        <w:t>del</w:t>
      </w:r>
      <w:r>
        <w:rPr>
          <w:spacing w:val="-4"/>
        </w:rPr>
        <w:t> </w:t>
      </w:r>
      <w:r>
        <w:rPr>
          <w:i/>
        </w:rPr>
        <w:t>“pouvoir</w:t>
      </w:r>
      <w:r>
        <w:rPr>
          <w:i/>
          <w:spacing w:val="-9"/>
        </w:rPr>
        <w:t> </w:t>
      </w:r>
      <w:r>
        <w:rPr>
          <w:i/>
        </w:rPr>
        <w:t>municipal”.</w:t>
      </w:r>
      <w:r>
        <w:rPr>
          <w:i/>
          <w:spacing w:val="-3"/>
        </w:rPr>
        <w:t> </w:t>
      </w:r>
      <w:r>
        <w:rPr/>
        <w:t>Dicho</w:t>
      </w:r>
      <w:r>
        <w:rPr>
          <w:spacing w:val="-5"/>
        </w:rPr>
        <w:t> </w:t>
      </w:r>
      <w:r>
        <w:rPr/>
        <w:t>en</w:t>
      </w:r>
      <w:r>
        <w:rPr>
          <w:spacing w:val="-7"/>
        </w:rPr>
        <w:t> </w:t>
      </w:r>
      <w:r>
        <w:rPr/>
        <w:t>otras</w:t>
      </w:r>
      <w:r>
        <w:rPr>
          <w:spacing w:val="-5"/>
        </w:rPr>
        <w:t> </w:t>
      </w:r>
      <w:r>
        <w:rPr/>
        <w:t>palabras</w:t>
      </w:r>
      <w:r>
        <w:rPr>
          <w:spacing w:val="-5"/>
        </w:rPr>
        <w:t> </w:t>
      </w:r>
      <w:r>
        <w:rPr/>
        <w:t>el municipio se entiende como un elemento de reunión permanente de ciudadanos, donde se encargan de asuntos de naturaleza “local” propios de su entorno comunitario. “La libertad municipal es el eje conceptual fundamental de debate legislativo sobre el municipio en México. Se desglosa en dos elementos: el autogobierno  y el reconocimiento  de  su  autonomía.  El primero se  refiere  a </w:t>
      </w:r>
      <w:r>
        <w:rPr>
          <w:spacing w:val="22"/>
        </w:rPr>
        <w:t> </w:t>
      </w:r>
      <w:r>
        <w:rPr/>
        <w:t>las</w:t>
      </w:r>
    </w:p>
    <w:p>
      <w:pPr>
        <w:spacing w:after="0" w:line="360" w:lineRule="auto"/>
        <w:jc w:val="both"/>
        <w:sectPr>
          <w:pgSz w:w="12240" w:h="15840"/>
          <w:pgMar w:header="0" w:footer="992" w:top="1360" w:bottom="1180" w:left="1600" w:right="1580"/>
        </w:sectPr>
      </w:pPr>
    </w:p>
    <w:p>
      <w:pPr>
        <w:pStyle w:val="BodyText"/>
        <w:spacing w:line="362" w:lineRule="auto" w:before="54"/>
        <w:ind w:left="102" w:right="126"/>
        <w:jc w:val="both"/>
      </w:pPr>
      <w:r>
        <w:rPr/>
        <w:t>aspiraciones democráticas de los pueblos y sociedades y el segundo es la base para delimitar el entorno institucional del gobierno municipal” (IGLOM, 2007: 16).</w:t>
      </w:r>
    </w:p>
    <w:p>
      <w:pPr>
        <w:pStyle w:val="BodyText"/>
        <w:spacing w:line="360" w:lineRule="auto" w:before="201"/>
        <w:ind w:left="102" w:right="114"/>
        <w:jc w:val="both"/>
      </w:pPr>
      <w:r>
        <w:rPr/>
        <w:t>Que implica la expresión “municipio libre”, que se enarbola como un anhelo revolucionario, elevándolo a precepto constitucional, motivo por el cual es conveniente desglosar lo que es la libertad como tal y el alcance de ésta. “El municipio libre es una institución que los mexicanos consideran indispensable para su vida política; pero debemos reconocer que no se ha hecho efectiva en su cabal racionalidad por el centralismo que, más que como doctrina como forma específica de actuaciones gubernamentales, de cierta manera se fuera manifestando en nuestra realidad política para consolidar los intereses de la nación” (Doger, 2013:60).</w:t>
      </w:r>
    </w:p>
    <w:p>
      <w:pPr>
        <w:pStyle w:val="BodyText"/>
        <w:spacing w:before="10"/>
        <w:rPr>
          <w:sz w:val="20"/>
        </w:rPr>
      </w:pPr>
    </w:p>
    <w:p>
      <w:pPr>
        <w:pStyle w:val="BodyText"/>
        <w:spacing w:line="360" w:lineRule="auto"/>
        <w:ind w:left="102" w:right="117"/>
        <w:jc w:val="both"/>
      </w:pPr>
      <w:r>
        <w:rPr/>
        <w:t>En Huerta (1985) la palabra </w:t>
      </w:r>
      <w:r>
        <w:rPr>
          <w:i/>
        </w:rPr>
        <w:t>libertad</w:t>
      </w:r>
      <w:r>
        <w:rPr/>
        <w:t>, proviene del vocablo del latín </w:t>
      </w:r>
      <w:r>
        <w:rPr>
          <w:i/>
        </w:rPr>
        <w:t>Libertas, </w:t>
      </w:r>
      <w:r>
        <w:rPr>
          <w:spacing w:val="-2"/>
        </w:rPr>
        <w:t>que </w:t>
      </w:r>
      <w:r>
        <w:rPr/>
        <w:t>significa la facultad que tiene el hombre de obrar de una manera o de otra y de no obrar, por lo que es responsable de sus actos. Estado o condición del que no es esclavo. Para algunos autores la libertad está vinculada al campo fenoménico y se manifiesta</w:t>
      </w:r>
      <w:r>
        <w:rPr>
          <w:spacing w:val="-9"/>
        </w:rPr>
        <w:t> </w:t>
      </w:r>
      <w:r>
        <w:rPr/>
        <w:t>en</w:t>
      </w:r>
      <w:r>
        <w:rPr>
          <w:spacing w:val="-9"/>
        </w:rPr>
        <w:t> </w:t>
      </w:r>
      <w:r>
        <w:rPr/>
        <w:t>cada</w:t>
      </w:r>
      <w:r>
        <w:rPr>
          <w:spacing w:val="-9"/>
        </w:rPr>
        <w:t> </w:t>
      </w:r>
      <w:r>
        <w:rPr/>
        <w:t>contingencia</w:t>
      </w:r>
      <w:r>
        <w:rPr>
          <w:spacing w:val="-10"/>
        </w:rPr>
        <w:t> </w:t>
      </w:r>
      <w:r>
        <w:rPr/>
        <w:t>de</w:t>
      </w:r>
      <w:r>
        <w:rPr>
          <w:spacing w:val="-9"/>
        </w:rPr>
        <w:t> </w:t>
      </w:r>
      <w:r>
        <w:rPr/>
        <w:t>la</w:t>
      </w:r>
      <w:r>
        <w:rPr>
          <w:spacing w:val="-10"/>
        </w:rPr>
        <w:t> </w:t>
      </w:r>
      <w:r>
        <w:rPr/>
        <w:t>existencia,</w:t>
      </w:r>
      <w:r>
        <w:rPr>
          <w:spacing w:val="-9"/>
        </w:rPr>
        <w:t> </w:t>
      </w:r>
      <w:r>
        <w:rPr/>
        <w:t>para</w:t>
      </w:r>
      <w:r>
        <w:rPr>
          <w:spacing w:val="-10"/>
        </w:rPr>
        <w:t> </w:t>
      </w:r>
      <w:r>
        <w:rPr/>
        <w:t>otros</w:t>
      </w:r>
      <w:r>
        <w:rPr>
          <w:spacing w:val="-10"/>
        </w:rPr>
        <w:t> </w:t>
      </w:r>
      <w:r>
        <w:rPr/>
        <w:t>la</w:t>
      </w:r>
      <w:r>
        <w:rPr>
          <w:spacing w:val="-10"/>
        </w:rPr>
        <w:t> </w:t>
      </w:r>
      <w:r>
        <w:rPr/>
        <w:t>libertad</w:t>
      </w:r>
      <w:r>
        <w:rPr>
          <w:spacing w:val="-9"/>
        </w:rPr>
        <w:t> </w:t>
      </w:r>
      <w:r>
        <w:rPr/>
        <w:t>se</w:t>
      </w:r>
      <w:r>
        <w:rPr>
          <w:spacing w:val="-9"/>
        </w:rPr>
        <w:t> </w:t>
      </w:r>
      <w:r>
        <w:rPr/>
        <w:t>desarrolla en el campo inmutable del yo profundo y está por tanto, desvinculada de toda contingencia.</w:t>
      </w:r>
    </w:p>
    <w:p>
      <w:pPr>
        <w:pStyle w:val="BodyText"/>
        <w:spacing w:line="360" w:lineRule="auto" w:before="204"/>
        <w:ind w:left="102" w:right="116"/>
        <w:jc w:val="both"/>
      </w:pPr>
      <w:r>
        <w:rPr/>
        <w:t>Ahora bien, el término libre referido al Municipio, no debe entenderse como libre albedrio, debido a que esté es atribuible al ser humano. Más bien la libertad Municipal va referida a la ausencia de coacción física o moral que internamente un órgano</w:t>
      </w:r>
      <w:r>
        <w:rPr>
          <w:spacing w:val="-9"/>
        </w:rPr>
        <w:t> </w:t>
      </w:r>
      <w:r>
        <w:rPr/>
        <w:t>posee,</w:t>
      </w:r>
      <w:r>
        <w:rPr>
          <w:spacing w:val="-10"/>
        </w:rPr>
        <w:t> </w:t>
      </w:r>
      <w:r>
        <w:rPr/>
        <w:t>en</w:t>
      </w:r>
      <w:r>
        <w:rPr>
          <w:spacing w:val="-9"/>
        </w:rPr>
        <w:t> </w:t>
      </w:r>
      <w:r>
        <w:rPr/>
        <w:t>la</w:t>
      </w:r>
      <w:r>
        <w:rPr>
          <w:spacing w:val="-10"/>
        </w:rPr>
        <w:t> </w:t>
      </w:r>
      <w:r>
        <w:rPr/>
        <w:t>esfera</w:t>
      </w:r>
      <w:r>
        <w:rPr>
          <w:spacing w:val="-10"/>
        </w:rPr>
        <w:t> </w:t>
      </w:r>
      <w:r>
        <w:rPr/>
        <w:t>de</w:t>
      </w:r>
      <w:r>
        <w:rPr>
          <w:spacing w:val="-9"/>
        </w:rPr>
        <w:t> </w:t>
      </w:r>
      <w:r>
        <w:rPr/>
        <w:t>su</w:t>
      </w:r>
      <w:r>
        <w:rPr>
          <w:spacing w:val="-9"/>
        </w:rPr>
        <w:t> </w:t>
      </w:r>
      <w:r>
        <w:rPr/>
        <w:t>competencia,</w:t>
      </w:r>
      <w:r>
        <w:rPr>
          <w:spacing w:val="-7"/>
        </w:rPr>
        <w:t> </w:t>
      </w:r>
      <w:r>
        <w:rPr/>
        <w:t>sin</w:t>
      </w:r>
      <w:r>
        <w:rPr>
          <w:spacing w:val="-11"/>
        </w:rPr>
        <w:t> </w:t>
      </w:r>
      <w:r>
        <w:rPr/>
        <w:t>mengua</w:t>
      </w:r>
      <w:r>
        <w:rPr>
          <w:spacing w:val="-9"/>
        </w:rPr>
        <w:t> </w:t>
      </w:r>
      <w:r>
        <w:rPr/>
        <w:t>de</w:t>
      </w:r>
      <w:r>
        <w:rPr>
          <w:spacing w:val="-7"/>
        </w:rPr>
        <w:t> </w:t>
      </w:r>
      <w:r>
        <w:rPr/>
        <w:t>la</w:t>
      </w:r>
      <w:r>
        <w:rPr>
          <w:spacing w:val="-9"/>
        </w:rPr>
        <w:t> </w:t>
      </w:r>
      <w:r>
        <w:rPr/>
        <w:t>necesaria</w:t>
      </w:r>
      <w:r>
        <w:rPr>
          <w:spacing w:val="-7"/>
        </w:rPr>
        <w:t> </w:t>
      </w:r>
      <w:r>
        <w:rPr/>
        <w:t>relación con otros organismos superiores, en el orden externo. “Dada la estructura del Estado</w:t>
      </w:r>
      <w:r>
        <w:rPr>
          <w:spacing w:val="-13"/>
        </w:rPr>
        <w:t> </w:t>
      </w:r>
      <w:r>
        <w:rPr/>
        <w:t>mexicano,</w:t>
      </w:r>
      <w:r>
        <w:rPr>
          <w:spacing w:val="-13"/>
        </w:rPr>
        <w:t> </w:t>
      </w:r>
      <w:r>
        <w:rPr/>
        <w:t>el</w:t>
      </w:r>
      <w:r>
        <w:rPr>
          <w:spacing w:val="-14"/>
        </w:rPr>
        <w:t> </w:t>
      </w:r>
      <w:r>
        <w:rPr/>
        <w:t>Municipio</w:t>
      </w:r>
      <w:r>
        <w:rPr>
          <w:spacing w:val="-13"/>
        </w:rPr>
        <w:t> </w:t>
      </w:r>
      <w:r>
        <w:rPr/>
        <w:t>es</w:t>
      </w:r>
      <w:r>
        <w:rPr>
          <w:spacing w:val="-14"/>
        </w:rPr>
        <w:t> </w:t>
      </w:r>
      <w:r>
        <w:rPr/>
        <w:t>libre</w:t>
      </w:r>
      <w:r>
        <w:rPr>
          <w:spacing w:val="-14"/>
        </w:rPr>
        <w:t> </w:t>
      </w:r>
      <w:r>
        <w:rPr/>
        <w:t>en</w:t>
      </w:r>
      <w:r>
        <w:rPr>
          <w:spacing w:val="-13"/>
        </w:rPr>
        <w:t> </w:t>
      </w:r>
      <w:r>
        <w:rPr/>
        <w:t>cuanto</w:t>
      </w:r>
      <w:r>
        <w:rPr>
          <w:spacing w:val="-13"/>
        </w:rPr>
        <w:t> </w:t>
      </w:r>
      <w:r>
        <w:rPr/>
        <w:t>a</w:t>
      </w:r>
      <w:r>
        <w:rPr>
          <w:spacing w:val="-13"/>
        </w:rPr>
        <w:t> </w:t>
      </w:r>
      <w:r>
        <w:rPr/>
        <w:t>su</w:t>
      </w:r>
      <w:r>
        <w:rPr>
          <w:spacing w:val="-13"/>
        </w:rPr>
        <w:t> </w:t>
      </w:r>
      <w:r>
        <w:rPr/>
        <w:t>régimen</w:t>
      </w:r>
      <w:r>
        <w:rPr>
          <w:spacing w:val="-13"/>
        </w:rPr>
        <w:t> </w:t>
      </w:r>
      <w:r>
        <w:rPr/>
        <w:t>interno.</w:t>
      </w:r>
      <w:r>
        <w:rPr>
          <w:spacing w:val="-13"/>
        </w:rPr>
        <w:t> </w:t>
      </w:r>
      <w:r>
        <w:rPr/>
        <w:t>En</w:t>
      </w:r>
      <w:r>
        <w:rPr>
          <w:spacing w:val="-13"/>
        </w:rPr>
        <w:t> </w:t>
      </w:r>
      <w:r>
        <w:rPr/>
        <w:t>su</w:t>
      </w:r>
      <w:r>
        <w:rPr>
          <w:spacing w:val="-13"/>
        </w:rPr>
        <w:t> </w:t>
      </w:r>
      <w:r>
        <w:rPr/>
        <w:t>ámbito externo se subordina a la legislación local y nacional” (Huerta,</w:t>
      </w:r>
      <w:r>
        <w:rPr>
          <w:spacing w:val="-21"/>
        </w:rPr>
        <w:t> </w:t>
      </w:r>
      <w:r>
        <w:rPr/>
        <w:t>1987:136).</w:t>
      </w:r>
    </w:p>
    <w:p>
      <w:pPr>
        <w:pStyle w:val="BodyText"/>
      </w:pPr>
    </w:p>
    <w:p>
      <w:pPr>
        <w:pStyle w:val="BodyText"/>
        <w:spacing w:before="11"/>
        <w:rPr>
          <w:sz w:val="32"/>
        </w:rPr>
      </w:pPr>
    </w:p>
    <w:p>
      <w:pPr>
        <w:spacing w:before="0"/>
        <w:ind w:left="954" w:right="114" w:firstLine="0"/>
        <w:jc w:val="both"/>
        <w:rPr>
          <w:sz w:val="22"/>
        </w:rPr>
      </w:pPr>
      <w:r>
        <w:rPr>
          <w:sz w:val="22"/>
        </w:rPr>
        <w:t>La concepción del municipio “libre” se concibe en México especialmente en los debates del Constituyente de 1916-1917, en el que, un destacado grupo de diputados defendieron la regulación municipal en el texto constitucional, el debate no aclara nada sobre el concepto de “libertad municipal, el debate se centró principalmente en la defensa municipal frente a los poderes supranacionales y de</w:t>
      </w:r>
    </w:p>
    <w:p>
      <w:pPr>
        <w:spacing w:after="0"/>
        <w:jc w:val="both"/>
        <w:rPr>
          <w:sz w:val="22"/>
        </w:rPr>
        <w:sectPr>
          <w:pgSz w:w="12240" w:h="15840"/>
          <w:pgMar w:header="0" w:footer="992" w:top="1360" w:bottom="1180" w:left="1600" w:right="1580"/>
        </w:sectPr>
      </w:pPr>
    </w:p>
    <w:p>
      <w:pPr>
        <w:spacing w:before="53"/>
        <w:ind w:left="954" w:right="116" w:firstLine="0"/>
        <w:jc w:val="both"/>
        <w:rPr>
          <w:sz w:val="22"/>
        </w:rPr>
      </w:pPr>
      <w:r>
        <w:rPr>
          <w:sz w:val="22"/>
        </w:rPr>
        <w:t>la suficiencia financiera de los Municipios que les permitiera su ansiada “libertad” municipal (Jiménez, 2007:70).</w:t>
      </w:r>
    </w:p>
    <w:p>
      <w:pPr>
        <w:pStyle w:val="BodyText"/>
        <w:rPr>
          <w:sz w:val="22"/>
        </w:rPr>
      </w:pPr>
    </w:p>
    <w:p>
      <w:pPr>
        <w:pStyle w:val="BodyText"/>
        <w:rPr>
          <w:sz w:val="22"/>
        </w:rPr>
      </w:pPr>
    </w:p>
    <w:p>
      <w:pPr>
        <w:pStyle w:val="BodyText"/>
        <w:spacing w:line="360" w:lineRule="auto" w:before="146"/>
        <w:ind w:left="102" w:right="114"/>
        <w:jc w:val="both"/>
      </w:pPr>
      <w:r>
        <w:rPr/>
        <w:t>Por otro lado, se encuentra el término “Autonomía”, en sentido estricto en México, se trata de una autonomía política , como una característica del régimen federal, el cual se encuentra plasmado en el art. 40 de la Constitución General, donde señala que los estados gozan de libertad y soberanía en lo que concierne son su régimen interior. De esta forma, se está atendiendo a una autonomía constitucional, formalmente</w:t>
      </w:r>
      <w:r>
        <w:rPr>
          <w:spacing w:val="-18"/>
        </w:rPr>
        <w:t> </w:t>
      </w:r>
      <w:r>
        <w:rPr/>
        <w:t>el</w:t>
      </w:r>
      <w:r>
        <w:rPr>
          <w:spacing w:val="-17"/>
        </w:rPr>
        <w:t> </w:t>
      </w:r>
      <w:r>
        <w:rPr/>
        <w:t>art.</w:t>
      </w:r>
      <w:r>
        <w:rPr>
          <w:spacing w:val="-16"/>
        </w:rPr>
        <w:t> </w:t>
      </w:r>
      <w:r>
        <w:rPr/>
        <w:t>40</w:t>
      </w:r>
      <w:r>
        <w:rPr>
          <w:spacing w:val="-18"/>
        </w:rPr>
        <w:t> </w:t>
      </w:r>
      <w:r>
        <w:rPr/>
        <w:t>constitucional</w:t>
      </w:r>
      <w:r>
        <w:rPr>
          <w:spacing w:val="-17"/>
        </w:rPr>
        <w:t> </w:t>
      </w:r>
      <w:r>
        <w:rPr/>
        <w:t>así</w:t>
      </w:r>
      <w:r>
        <w:rPr>
          <w:spacing w:val="-18"/>
        </w:rPr>
        <w:t> </w:t>
      </w:r>
      <w:r>
        <w:rPr/>
        <w:t>lo</w:t>
      </w:r>
      <w:r>
        <w:rPr>
          <w:spacing w:val="-16"/>
        </w:rPr>
        <w:t> </w:t>
      </w:r>
      <w:r>
        <w:rPr/>
        <w:t>señala.</w:t>
      </w:r>
      <w:r>
        <w:rPr>
          <w:spacing w:val="-16"/>
        </w:rPr>
        <w:t> </w:t>
      </w:r>
      <w:r>
        <w:rPr/>
        <w:t>Por</w:t>
      </w:r>
      <w:r>
        <w:rPr>
          <w:spacing w:val="-17"/>
        </w:rPr>
        <w:t> </w:t>
      </w:r>
      <w:r>
        <w:rPr/>
        <w:t>lo</w:t>
      </w:r>
      <w:r>
        <w:rPr>
          <w:spacing w:val="-16"/>
        </w:rPr>
        <w:t> </w:t>
      </w:r>
      <w:r>
        <w:rPr/>
        <w:t>tanto,</w:t>
      </w:r>
      <w:r>
        <w:rPr>
          <w:spacing w:val="-18"/>
        </w:rPr>
        <w:t> </w:t>
      </w:r>
      <w:r>
        <w:rPr/>
        <w:t>es</w:t>
      </w:r>
      <w:r>
        <w:rPr>
          <w:spacing w:val="-16"/>
        </w:rPr>
        <w:t> </w:t>
      </w:r>
      <w:r>
        <w:rPr/>
        <w:t>prescindible</w:t>
      </w:r>
      <w:r>
        <w:rPr>
          <w:spacing w:val="-18"/>
        </w:rPr>
        <w:t> </w:t>
      </w:r>
      <w:r>
        <w:rPr/>
        <w:t>aludir a que la evolución alcanzada en el marco constitucional, sin duda tiene </w:t>
      </w:r>
      <w:r>
        <w:rPr>
          <w:spacing w:val="-2"/>
        </w:rPr>
        <w:t>que </w:t>
      </w:r>
      <w:r>
        <w:rPr/>
        <w:t>complementarse, con esta categoría “autonomía” , una vez que al municipio es reconocido como entidad gubernamental, requiere del instrumento que le permita ejercer sus atribuciones que le han sido reconocidas, el concepto de autonomía fortalece la base de auto organización de la administración municipal, además de adecuar</w:t>
      </w:r>
      <w:r>
        <w:rPr>
          <w:spacing w:val="-11"/>
        </w:rPr>
        <w:t> </w:t>
      </w:r>
      <w:r>
        <w:rPr/>
        <w:t>el</w:t>
      </w:r>
      <w:r>
        <w:rPr>
          <w:spacing w:val="-11"/>
        </w:rPr>
        <w:t> </w:t>
      </w:r>
      <w:r>
        <w:rPr/>
        <w:t>gobierno</w:t>
      </w:r>
      <w:r>
        <w:rPr>
          <w:spacing w:val="-12"/>
        </w:rPr>
        <w:t> </w:t>
      </w:r>
      <w:r>
        <w:rPr/>
        <w:t>municipal</w:t>
      </w:r>
      <w:r>
        <w:rPr>
          <w:spacing w:val="-13"/>
        </w:rPr>
        <w:t> </w:t>
      </w:r>
      <w:r>
        <w:rPr/>
        <w:t>a</w:t>
      </w:r>
      <w:r>
        <w:rPr>
          <w:spacing w:val="-9"/>
        </w:rPr>
        <w:t> </w:t>
      </w:r>
      <w:r>
        <w:rPr/>
        <w:t>las</w:t>
      </w:r>
      <w:r>
        <w:rPr>
          <w:spacing w:val="-12"/>
        </w:rPr>
        <w:t> </w:t>
      </w:r>
      <w:r>
        <w:rPr/>
        <w:t>necesidades</w:t>
      </w:r>
      <w:r>
        <w:rPr>
          <w:spacing w:val="-5"/>
        </w:rPr>
        <w:t> </w:t>
      </w:r>
      <w:r>
        <w:rPr/>
        <w:t>específicas</w:t>
      </w:r>
      <w:r>
        <w:rPr>
          <w:spacing w:val="-9"/>
        </w:rPr>
        <w:t> </w:t>
      </w:r>
      <w:r>
        <w:rPr/>
        <w:t>de</w:t>
      </w:r>
      <w:r>
        <w:rPr>
          <w:spacing w:val="-9"/>
        </w:rPr>
        <w:t> </w:t>
      </w:r>
      <w:r>
        <w:rPr/>
        <w:t>la</w:t>
      </w:r>
      <w:r>
        <w:rPr>
          <w:spacing w:val="-10"/>
        </w:rPr>
        <w:t> </w:t>
      </w:r>
      <w:r>
        <w:rPr/>
        <w:t>sociedad</w:t>
      </w:r>
      <w:r>
        <w:rPr>
          <w:spacing w:val="-9"/>
        </w:rPr>
        <w:t> </w:t>
      </w:r>
      <w:r>
        <w:rPr/>
        <w:t>en</w:t>
      </w:r>
      <w:r>
        <w:rPr>
          <w:spacing w:val="-9"/>
        </w:rPr>
        <w:t> </w:t>
      </w:r>
      <w:r>
        <w:rPr/>
        <w:t>este ámbito de gobierno, mejorando a su vez las capacidades locales. “La palabra autonomía proviene de los vocablos griegos </w:t>
      </w:r>
      <w:r>
        <w:rPr>
          <w:i/>
        </w:rPr>
        <w:t>autós</w:t>
      </w:r>
      <w:r>
        <w:rPr/>
        <w:t>: sí mismo y </w:t>
      </w:r>
      <w:r>
        <w:rPr>
          <w:i/>
        </w:rPr>
        <w:t>nómos: </w:t>
      </w:r>
      <w:r>
        <w:rPr/>
        <w:t>ley, que significa la capacidad de dar la ley” (Mata y Valdés,</w:t>
      </w:r>
      <w:r>
        <w:rPr>
          <w:spacing w:val="-22"/>
        </w:rPr>
        <w:t> </w:t>
      </w:r>
      <w:r>
        <w:rPr/>
        <w:t>2003:298).</w:t>
      </w:r>
    </w:p>
    <w:p>
      <w:pPr>
        <w:pStyle w:val="BodyText"/>
        <w:spacing w:line="360" w:lineRule="auto" w:before="204"/>
        <w:ind w:left="102" w:right="119" w:firstLine="67"/>
        <w:jc w:val="both"/>
      </w:pPr>
      <w:r>
        <w:rPr/>
        <w:t>Por lo tanto, en los siguientes párrafos, se desarrolla el concepto de “autonomía, de está manera, al final se puedan diferenciar los conceptos de libertad y de autonomía propiamente.</w:t>
      </w:r>
    </w:p>
    <w:p>
      <w:pPr>
        <w:spacing w:line="240" w:lineRule="auto" w:before="204"/>
        <w:ind w:left="954" w:right="115" w:firstLine="0"/>
        <w:jc w:val="both"/>
        <w:rPr>
          <w:sz w:val="22"/>
        </w:rPr>
      </w:pPr>
      <w:r>
        <w:rPr>
          <w:sz w:val="22"/>
        </w:rPr>
        <w:t>La autonomía se entiende como la capacidad política de los gobiernos subnacionales para desarrollar sus políticas en función de sus necesidades sociales y mediante la gestión eficaz de sus propios recursos. Generalmente se relaciona la autonomía con la libertad individual de desarrollar acciones gubernamentales</w:t>
      </w:r>
      <w:r>
        <w:rPr>
          <w:spacing w:val="-13"/>
          <w:sz w:val="22"/>
        </w:rPr>
        <w:t> </w:t>
      </w:r>
      <w:r>
        <w:rPr>
          <w:sz w:val="22"/>
        </w:rPr>
        <w:t>que</w:t>
      </w:r>
      <w:r>
        <w:rPr>
          <w:spacing w:val="-11"/>
          <w:sz w:val="22"/>
        </w:rPr>
        <w:t> </w:t>
      </w:r>
      <w:r>
        <w:rPr>
          <w:sz w:val="22"/>
        </w:rPr>
        <w:t>no</w:t>
      </w:r>
      <w:r>
        <w:rPr>
          <w:spacing w:val="-16"/>
          <w:sz w:val="22"/>
        </w:rPr>
        <w:t> </w:t>
      </w:r>
      <w:r>
        <w:rPr>
          <w:sz w:val="22"/>
        </w:rPr>
        <w:t>favorezcan</w:t>
      </w:r>
      <w:r>
        <w:rPr>
          <w:spacing w:val="-11"/>
          <w:sz w:val="22"/>
        </w:rPr>
        <w:t> </w:t>
      </w:r>
      <w:r>
        <w:rPr>
          <w:sz w:val="22"/>
        </w:rPr>
        <w:t>el</w:t>
      </w:r>
      <w:r>
        <w:rPr>
          <w:spacing w:val="-12"/>
          <w:sz w:val="22"/>
        </w:rPr>
        <w:t> </w:t>
      </w:r>
      <w:r>
        <w:rPr>
          <w:sz w:val="22"/>
        </w:rPr>
        <w:t>consenso</w:t>
      </w:r>
      <w:r>
        <w:rPr>
          <w:spacing w:val="-11"/>
          <w:sz w:val="22"/>
        </w:rPr>
        <w:t> </w:t>
      </w:r>
      <w:r>
        <w:rPr>
          <w:sz w:val="22"/>
        </w:rPr>
        <w:t>intergubernamental.</w:t>
      </w:r>
      <w:r>
        <w:rPr>
          <w:spacing w:val="-10"/>
          <w:sz w:val="22"/>
        </w:rPr>
        <w:t> </w:t>
      </w:r>
      <w:r>
        <w:rPr>
          <w:sz w:val="22"/>
        </w:rPr>
        <w:t>El</w:t>
      </w:r>
      <w:r>
        <w:rPr>
          <w:spacing w:val="-12"/>
          <w:sz w:val="22"/>
        </w:rPr>
        <w:t> </w:t>
      </w:r>
      <w:r>
        <w:rPr>
          <w:sz w:val="22"/>
        </w:rPr>
        <w:t>problema tiene un carácter intergubernamental, por la incapacidad de definir acuerdos políticos basados en la cooperación y la concertación. (Ramos,</w:t>
      </w:r>
      <w:r>
        <w:rPr>
          <w:spacing w:val="-18"/>
          <w:sz w:val="22"/>
        </w:rPr>
        <w:t> </w:t>
      </w:r>
      <w:r>
        <w:rPr>
          <w:sz w:val="22"/>
        </w:rPr>
        <w:t>1999:24)</w:t>
      </w:r>
    </w:p>
    <w:p>
      <w:pPr>
        <w:pStyle w:val="BodyText"/>
        <w:spacing w:before="5"/>
        <w:rPr>
          <w:sz w:val="17"/>
        </w:rPr>
      </w:pPr>
    </w:p>
    <w:p>
      <w:pPr>
        <w:spacing w:before="0"/>
        <w:ind w:left="954" w:right="116" w:firstLine="0"/>
        <w:jc w:val="both"/>
        <w:rPr>
          <w:sz w:val="22"/>
        </w:rPr>
      </w:pPr>
      <w:r>
        <w:rPr>
          <w:sz w:val="22"/>
        </w:rPr>
        <w:t>La</w:t>
      </w:r>
      <w:r>
        <w:rPr>
          <w:spacing w:val="-9"/>
          <w:sz w:val="22"/>
        </w:rPr>
        <w:t> </w:t>
      </w:r>
      <w:r>
        <w:rPr>
          <w:sz w:val="22"/>
        </w:rPr>
        <w:t>autonomía</w:t>
      </w:r>
      <w:r>
        <w:rPr>
          <w:spacing w:val="-9"/>
          <w:sz w:val="22"/>
        </w:rPr>
        <w:t> </w:t>
      </w:r>
      <w:r>
        <w:rPr>
          <w:sz w:val="22"/>
        </w:rPr>
        <w:t>municipal,</w:t>
      </w:r>
      <w:r>
        <w:rPr>
          <w:spacing w:val="-8"/>
          <w:sz w:val="22"/>
        </w:rPr>
        <w:t> </w:t>
      </w:r>
      <w:r>
        <w:rPr>
          <w:sz w:val="22"/>
        </w:rPr>
        <w:t>es</w:t>
      </w:r>
      <w:r>
        <w:rPr>
          <w:spacing w:val="-9"/>
          <w:sz w:val="22"/>
        </w:rPr>
        <w:t> </w:t>
      </w:r>
      <w:r>
        <w:rPr>
          <w:sz w:val="22"/>
        </w:rPr>
        <w:t>el</w:t>
      </w:r>
      <w:r>
        <w:rPr>
          <w:spacing w:val="-9"/>
          <w:sz w:val="22"/>
        </w:rPr>
        <w:t> </w:t>
      </w:r>
      <w:r>
        <w:rPr>
          <w:sz w:val="22"/>
        </w:rPr>
        <w:t>derecho</w:t>
      </w:r>
      <w:r>
        <w:rPr>
          <w:spacing w:val="-9"/>
          <w:sz w:val="22"/>
        </w:rPr>
        <w:t> </w:t>
      </w:r>
      <w:r>
        <w:rPr>
          <w:sz w:val="22"/>
        </w:rPr>
        <w:t>del</w:t>
      </w:r>
      <w:r>
        <w:rPr>
          <w:spacing w:val="-11"/>
          <w:sz w:val="22"/>
        </w:rPr>
        <w:t> </w:t>
      </w:r>
      <w:r>
        <w:rPr>
          <w:sz w:val="22"/>
        </w:rPr>
        <w:t>municipio</w:t>
      </w:r>
      <w:r>
        <w:rPr>
          <w:spacing w:val="-9"/>
          <w:sz w:val="22"/>
        </w:rPr>
        <w:t> </w:t>
      </w:r>
      <w:r>
        <w:rPr>
          <w:sz w:val="22"/>
        </w:rPr>
        <w:t>para</w:t>
      </w:r>
      <w:r>
        <w:rPr>
          <w:spacing w:val="-10"/>
          <w:sz w:val="22"/>
        </w:rPr>
        <w:t> </w:t>
      </w:r>
      <w:r>
        <w:rPr>
          <w:sz w:val="22"/>
        </w:rPr>
        <w:t>que,</w:t>
      </w:r>
      <w:r>
        <w:rPr>
          <w:spacing w:val="-9"/>
          <w:sz w:val="22"/>
        </w:rPr>
        <w:t> </w:t>
      </w:r>
      <w:r>
        <w:rPr>
          <w:sz w:val="22"/>
        </w:rPr>
        <w:t>dentro</w:t>
      </w:r>
      <w:r>
        <w:rPr>
          <w:spacing w:val="-9"/>
          <w:sz w:val="22"/>
        </w:rPr>
        <w:t> </w:t>
      </w:r>
      <w:r>
        <w:rPr>
          <w:sz w:val="22"/>
        </w:rPr>
        <w:t>de</w:t>
      </w:r>
      <w:r>
        <w:rPr>
          <w:spacing w:val="-9"/>
          <w:sz w:val="22"/>
        </w:rPr>
        <w:t> </w:t>
      </w:r>
      <w:r>
        <w:rPr>
          <w:sz w:val="22"/>
        </w:rPr>
        <w:t>su</w:t>
      </w:r>
      <w:r>
        <w:rPr>
          <w:spacing w:val="-9"/>
          <w:sz w:val="22"/>
        </w:rPr>
        <w:t> </w:t>
      </w:r>
      <w:r>
        <w:rPr>
          <w:sz w:val="22"/>
        </w:rPr>
        <w:t>esfera competencial, elija libremente a sus gobernantes, se otorgue sus propias normas de convivencia social, resuelva sin intervención de otros poderes, los asuntos propios de la comunidad; cuente, además, con renglones propios de tributación y disposición libre de su hacienda y finalmente, que estas prerrogativas estén definidas y garantizadas en el ordenamiento supremo del Estado (Mata y Valdés, 2003:299).</w:t>
      </w:r>
    </w:p>
    <w:p>
      <w:pPr>
        <w:spacing w:after="0"/>
        <w:jc w:val="both"/>
        <w:rPr>
          <w:sz w:val="22"/>
        </w:rPr>
        <w:sectPr>
          <w:footerReference w:type="default" r:id="rId39"/>
          <w:pgSz w:w="12240" w:h="15840"/>
          <w:pgMar w:footer="992" w:header="0" w:top="1360" w:bottom="1180" w:left="1600" w:right="1580"/>
        </w:sectPr>
      </w:pPr>
    </w:p>
    <w:p>
      <w:pPr>
        <w:pStyle w:val="BodyText"/>
        <w:rPr>
          <w:sz w:val="20"/>
        </w:rPr>
      </w:pPr>
    </w:p>
    <w:p>
      <w:pPr>
        <w:pStyle w:val="BodyText"/>
        <w:rPr>
          <w:sz w:val="17"/>
        </w:rPr>
      </w:pPr>
    </w:p>
    <w:p>
      <w:pPr>
        <w:pStyle w:val="BodyText"/>
        <w:spacing w:line="360" w:lineRule="auto" w:before="70"/>
        <w:ind w:left="102" w:right="113"/>
        <w:jc w:val="both"/>
      </w:pPr>
      <w:r>
        <w:rPr/>
        <w:t>La autonomía concebida, en términos generales, es esa facultad que se tiene para darse leyes a sí mismo, que se adquiere al ser aplicada al orden político, un significado es que se refiere a la facultad que tiene un pueblo de darse leyes a sí mismo, o sea, de gobernarse a sí mismo con independencia de gobiernos extranjeros. Por lo tanto, autonomía es equivalente a independencia o autodeterminación.</w:t>
      </w:r>
    </w:p>
    <w:p>
      <w:pPr>
        <w:pStyle w:val="BodyText"/>
        <w:spacing w:line="362" w:lineRule="auto" w:before="204"/>
        <w:ind w:left="102" w:right="122"/>
        <w:jc w:val="both"/>
      </w:pPr>
      <w:r>
        <w:rPr/>
        <w:t>De acuerdo a Jesús Castorena (1982) los puntos sobre los que descansa la autonomía municipal son:</w:t>
      </w:r>
    </w:p>
    <w:p>
      <w:pPr>
        <w:pStyle w:val="ListParagraph"/>
        <w:numPr>
          <w:ilvl w:val="0"/>
          <w:numId w:val="30"/>
        </w:numPr>
        <w:tabs>
          <w:tab w:pos="822" w:val="left" w:leader="none"/>
        </w:tabs>
        <w:spacing w:line="360" w:lineRule="auto" w:before="199" w:after="0"/>
        <w:ind w:left="822" w:right="125" w:hanging="360"/>
        <w:jc w:val="left"/>
        <w:rPr>
          <w:sz w:val="24"/>
        </w:rPr>
      </w:pPr>
      <w:r>
        <w:rPr>
          <w:sz w:val="24"/>
        </w:rPr>
        <w:t>Que respetándose la vida propia de la localidad se reconozca la existencia de una política</w:t>
      </w:r>
      <w:r>
        <w:rPr>
          <w:spacing w:val="-10"/>
          <w:sz w:val="24"/>
        </w:rPr>
        <w:t> </w:t>
      </w:r>
      <w:r>
        <w:rPr>
          <w:sz w:val="24"/>
        </w:rPr>
        <w:t>municipal</w:t>
      </w:r>
    </w:p>
    <w:p>
      <w:pPr>
        <w:pStyle w:val="ListParagraph"/>
        <w:numPr>
          <w:ilvl w:val="0"/>
          <w:numId w:val="30"/>
        </w:numPr>
        <w:tabs>
          <w:tab w:pos="822" w:val="left" w:leader="none"/>
        </w:tabs>
        <w:spacing w:line="360" w:lineRule="auto" w:before="2" w:after="0"/>
        <w:ind w:left="822" w:right="114" w:hanging="360"/>
        <w:jc w:val="left"/>
        <w:rPr>
          <w:sz w:val="24"/>
        </w:rPr>
      </w:pPr>
      <w:r>
        <w:rPr>
          <w:sz w:val="24"/>
        </w:rPr>
        <w:t>Que las autoridades locales tengan los poderes suficientes para encausar su actividad dentro de las exigencias propias de la</w:t>
      </w:r>
      <w:r>
        <w:rPr>
          <w:spacing w:val="-22"/>
          <w:sz w:val="24"/>
        </w:rPr>
        <w:t> </w:t>
      </w:r>
      <w:r>
        <w:rPr>
          <w:sz w:val="24"/>
        </w:rPr>
        <w:t>localidad</w:t>
      </w:r>
    </w:p>
    <w:p>
      <w:pPr>
        <w:pStyle w:val="ListParagraph"/>
        <w:numPr>
          <w:ilvl w:val="0"/>
          <w:numId w:val="30"/>
        </w:numPr>
        <w:tabs>
          <w:tab w:pos="822" w:val="left" w:leader="none"/>
        </w:tabs>
        <w:spacing w:line="360" w:lineRule="auto" w:before="2" w:after="0"/>
        <w:ind w:left="822" w:right="125" w:hanging="360"/>
        <w:jc w:val="left"/>
        <w:rPr>
          <w:sz w:val="24"/>
        </w:rPr>
      </w:pPr>
      <w:r>
        <w:rPr>
          <w:sz w:val="24"/>
        </w:rPr>
        <w:t>Que la organización del Municipio garantice a la población en todo tiempo una administración honrada a pesar de los hombres que detenten el</w:t>
      </w:r>
      <w:r>
        <w:rPr>
          <w:spacing w:val="-30"/>
          <w:sz w:val="24"/>
        </w:rPr>
        <w:t> </w:t>
      </w:r>
      <w:r>
        <w:rPr>
          <w:sz w:val="24"/>
        </w:rPr>
        <w:t>poder</w:t>
      </w:r>
    </w:p>
    <w:p>
      <w:pPr>
        <w:pStyle w:val="ListParagraph"/>
        <w:numPr>
          <w:ilvl w:val="0"/>
          <w:numId w:val="30"/>
        </w:numPr>
        <w:tabs>
          <w:tab w:pos="822" w:val="left" w:leader="none"/>
        </w:tabs>
        <w:spacing w:line="240" w:lineRule="auto" w:before="3" w:after="0"/>
        <w:ind w:left="822" w:right="0" w:hanging="360"/>
        <w:jc w:val="left"/>
        <w:rPr>
          <w:sz w:val="24"/>
        </w:rPr>
      </w:pPr>
      <w:r>
        <w:rPr>
          <w:sz w:val="24"/>
        </w:rPr>
        <w:t>Que posean una hacienda propia obtenida por la propia</w:t>
      </w:r>
      <w:r>
        <w:rPr>
          <w:spacing w:val="-19"/>
          <w:sz w:val="24"/>
        </w:rPr>
        <w:t> </w:t>
      </w:r>
      <w:r>
        <w:rPr>
          <w:sz w:val="24"/>
        </w:rPr>
        <w:t>imposición</w:t>
      </w:r>
    </w:p>
    <w:p>
      <w:pPr>
        <w:pStyle w:val="ListParagraph"/>
        <w:numPr>
          <w:ilvl w:val="0"/>
          <w:numId w:val="30"/>
        </w:numPr>
        <w:tabs>
          <w:tab w:pos="822" w:val="left" w:leader="none"/>
        </w:tabs>
        <w:spacing w:line="240" w:lineRule="auto" w:before="139" w:after="0"/>
        <w:ind w:left="822" w:right="0" w:hanging="360"/>
        <w:jc w:val="left"/>
        <w:rPr>
          <w:sz w:val="24"/>
        </w:rPr>
      </w:pPr>
      <w:r>
        <w:rPr>
          <w:sz w:val="24"/>
        </w:rPr>
        <w:t>Que los funcionarios se identifiquen con los intereses de la</w:t>
      </w:r>
      <w:r>
        <w:rPr>
          <w:spacing w:val="-29"/>
          <w:sz w:val="24"/>
        </w:rPr>
        <w:t> </w:t>
      </w:r>
      <w:r>
        <w:rPr>
          <w:sz w:val="24"/>
        </w:rPr>
        <w:t>ciudad.</w:t>
      </w:r>
    </w:p>
    <w:p>
      <w:pPr>
        <w:pStyle w:val="BodyText"/>
      </w:pPr>
    </w:p>
    <w:p>
      <w:pPr>
        <w:pStyle w:val="BodyText"/>
      </w:pPr>
    </w:p>
    <w:p>
      <w:pPr>
        <w:pStyle w:val="BodyText"/>
        <w:spacing w:line="360" w:lineRule="auto"/>
        <w:ind w:left="102" w:right="115"/>
        <w:jc w:val="both"/>
      </w:pPr>
      <w:r>
        <w:rPr/>
        <w:t>Estos puntos son sobre los que se sientan las bases de una autonomía municipal propiamente,</w:t>
      </w:r>
      <w:r>
        <w:rPr>
          <w:spacing w:val="-9"/>
        </w:rPr>
        <w:t> </w:t>
      </w:r>
      <w:r>
        <w:rPr/>
        <w:t>en</w:t>
      </w:r>
      <w:r>
        <w:rPr>
          <w:spacing w:val="-8"/>
        </w:rPr>
        <w:t> </w:t>
      </w:r>
      <w:r>
        <w:rPr/>
        <w:t>caso</w:t>
      </w:r>
      <w:r>
        <w:rPr>
          <w:spacing w:val="-8"/>
        </w:rPr>
        <w:t> </w:t>
      </w:r>
      <w:r>
        <w:rPr/>
        <w:t>de</w:t>
      </w:r>
      <w:r>
        <w:rPr>
          <w:spacing w:val="-8"/>
        </w:rPr>
        <w:t> </w:t>
      </w:r>
      <w:r>
        <w:rPr/>
        <w:t>faltar</w:t>
      </w:r>
      <w:r>
        <w:rPr>
          <w:spacing w:val="-10"/>
        </w:rPr>
        <w:t> </w:t>
      </w:r>
      <w:r>
        <w:rPr/>
        <w:t>alguno,</w:t>
      </w:r>
      <w:r>
        <w:rPr>
          <w:spacing w:val="-9"/>
        </w:rPr>
        <w:t> </w:t>
      </w:r>
      <w:r>
        <w:rPr/>
        <w:t>no</w:t>
      </w:r>
      <w:r>
        <w:rPr>
          <w:spacing w:val="-8"/>
        </w:rPr>
        <w:t> </w:t>
      </w:r>
      <w:r>
        <w:rPr/>
        <w:t>se</w:t>
      </w:r>
      <w:r>
        <w:rPr>
          <w:spacing w:val="-11"/>
        </w:rPr>
        <w:t> </w:t>
      </w:r>
      <w:r>
        <w:rPr/>
        <w:t>podría</w:t>
      </w:r>
      <w:r>
        <w:rPr>
          <w:spacing w:val="-6"/>
        </w:rPr>
        <w:t> </w:t>
      </w:r>
      <w:r>
        <w:rPr/>
        <w:t>existir</w:t>
      </w:r>
      <w:r>
        <w:rPr>
          <w:spacing w:val="-8"/>
        </w:rPr>
        <w:t> </w:t>
      </w:r>
      <w:r>
        <w:rPr/>
        <w:t>la</w:t>
      </w:r>
      <w:r>
        <w:rPr>
          <w:spacing w:val="-6"/>
        </w:rPr>
        <w:t> </w:t>
      </w:r>
      <w:r>
        <w:rPr/>
        <w:t>autonomía.</w:t>
      </w:r>
      <w:r>
        <w:rPr>
          <w:spacing w:val="1"/>
        </w:rPr>
        <w:t> </w:t>
      </w:r>
      <w:r>
        <w:rPr/>
        <w:t>En</w:t>
      </w:r>
      <w:r>
        <w:rPr>
          <w:spacing w:val="-6"/>
        </w:rPr>
        <w:t> </w:t>
      </w:r>
      <w:r>
        <w:rPr/>
        <w:t>su</w:t>
      </w:r>
      <w:r>
        <w:rPr>
          <w:spacing w:val="-8"/>
        </w:rPr>
        <w:t> </w:t>
      </w:r>
      <w:r>
        <w:rPr/>
        <w:t>libro Autonomía municipal de Manuel Jiménez (2007) cita que la autonomía se ejerce sobre los asuntos garantizados por la constitución federal y sobre aquellos que hayan sido ampliados por las respectivas constituciones estatales, así como el marco de ley ya sea federal o estatal y respetando los límites impuestos por los textos constitucionales al legislador para que permita la capacidad de decisión municipal. De tal manera que es a través de la ley y de la tutela de la legalidad como</w:t>
      </w:r>
      <w:r>
        <w:rPr>
          <w:spacing w:val="-6"/>
        </w:rPr>
        <w:t> </w:t>
      </w:r>
      <w:r>
        <w:rPr/>
        <w:t>se</w:t>
      </w:r>
      <w:r>
        <w:rPr>
          <w:spacing w:val="-6"/>
        </w:rPr>
        <w:t> </w:t>
      </w:r>
      <w:r>
        <w:rPr/>
        <w:t>delimita</w:t>
      </w:r>
      <w:r>
        <w:rPr>
          <w:spacing w:val="-6"/>
        </w:rPr>
        <w:t> </w:t>
      </w:r>
      <w:r>
        <w:rPr/>
        <w:t>tanto</w:t>
      </w:r>
      <w:r>
        <w:rPr>
          <w:spacing w:val="-8"/>
        </w:rPr>
        <w:t> </w:t>
      </w:r>
      <w:r>
        <w:rPr/>
        <w:t>la</w:t>
      </w:r>
      <w:r>
        <w:rPr>
          <w:spacing w:val="-4"/>
        </w:rPr>
        <w:t> </w:t>
      </w:r>
      <w:r>
        <w:rPr/>
        <w:t>acción</w:t>
      </w:r>
      <w:r>
        <w:rPr>
          <w:spacing w:val="-6"/>
        </w:rPr>
        <w:t> </w:t>
      </w:r>
      <w:r>
        <w:rPr/>
        <w:t>del</w:t>
      </w:r>
      <w:r>
        <w:rPr>
          <w:spacing w:val="-7"/>
        </w:rPr>
        <w:t> </w:t>
      </w:r>
      <w:r>
        <w:rPr/>
        <w:t>Estado</w:t>
      </w:r>
      <w:r>
        <w:rPr>
          <w:spacing w:val="-6"/>
        </w:rPr>
        <w:t> </w:t>
      </w:r>
      <w:r>
        <w:rPr/>
        <w:t>como</w:t>
      </w:r>
      <w:r>
        <w:rPr>
          <w:spacing w:val="-1"/>
        </w:rPr>
        <w:t> </w:t>
      </w:r>
      <w:r>
        <w:rPr/>
        <w:t>el</w:t>
      </w:r>
      <w:r>
        <w:rPr>
          <w:spacing w:val="-7"/>
        </w:rPr>
        <w:t> </w:t>
      </w:r>
      <w:r>
        <w:rPr/>
        <w:t>ámbito</w:t>
      </w:r>
      <w:r>
        <w:rPr>
          <w:spacing w:val="-8"/>
        </w:rPr>
        <w:t> </w:t>
      </w:r>
      <w:r>
        <w:rPr/>
        <w:t>de</w:t>
      </w:r>
      <w:r>
        <w:rPr>
          <w:spacing w:val="-6"/>
        </w:rPr>
        <w:t> </w:t>
      </w:r>
      <w:r>
        <w:rPr/>
        <w:t>actuación</w:t>
      </w:r>
      <w:r>
        <w:rPr>
          <w:spacing w:val="-6"/>
        </w:rPr>
        <w:t> </w:t>
      </w:r>
      <w:r>
        <w:rPr/>
        <w:t>municipal.</w:t>
      </w:r>
    </w:p>
    <w:p>
      <w:pPr>
        <w:pStyle w:val="BodyText"/>
        <w:spacing w:line="360" w:lineRule="auto" w:before="202"/>
        <w:ind w:left="102" w:right="115"/>
        <w:jc w:val="both"/>
      </w:pPr>
      <w:r>
        <w:rPr/>
        <w:t>Cabe hacer notar, un dato importante que hay algunos otros rasgos que intentan explicar la sustentabilidad jurídica  del Municipio, es decir que hay teorías sobre  el</w:t>
      </w:r>
    </w:p>
    <w:p>
      <w:pPr>
        <w:spacing w:after="0" w:line="360" w:lineRule="auto"/>
        <w:jc w:val="both"/>
        <w:sectPr>
          <w:footerReference w:type="default" r:id="rId40"/>
          <w:pgSz w:w="12240" w:h="15840"/>
          <w:pgMar w:footer="992" w:header="0" w:top="1500" w:bottom="1180" w:left="1600" w:right="1580"/>
          <w:pgNumType w:start="101"/>
        </w:sectPr>
      </w:pPr>
    </w:p>
    <w:p>
      <w:pPr>
        <w:pStyle w:val="BodyText"/>
        <w:spacing w:line="360" w:lineRule="auto" w:before="54"/>
        <w:ind w:left="102" w:right="117"/>
        <w:jc w:val="both"/>
      </w:pPr>
      <w:r>
        <w:rPr/>
        <w:t>municipio que lo conciben como un ente autárquico porque implica autosuficiencia e independencia sólo y exclusivamente en lo administrativo y vinculación de orden político y legislativo a un poder superior.</w:t>
      </w:r>
    </w:p>
    <w:p>
      <w:pPr>
        <w:pStyle w:val="BodyText"/>
        <w:spacing w:line="360" w:lineRule="auto" w:before="204"/>
        <w:ind w:left="102" w:right="123"/>
        <w:jc w:val="both"/>
        <w:rPr>
          <w:rFonts w:ascii="Cambria" w:hAnsi="Cambria"/>
          <w:sz w:val="22"/>
        </w:rPr>
      </w:pPr>
      <w:r>
        <w:rPr/>
        <w:t>Finalmente, entonces el municipio es constitucionalmente libre pero no soberano,  y no se le otorga autonomía expresa, sino que se le da implícitamente mediante facultades otorgadas por el pacto federal entre entidades, pero de manera muy restringida y alejada de la realidad</w:t>
      </w:r>
      <w:r>
        <w:rPr>
          <w:spacing w:val="-11"/>
        </w:rPr>
        <w:t> </w:t>
      </w:r>
      <w:r>
        <w:rPr/>
        <w:t>social</w:t>
      </w:r>
      <w:r>
        <w:rPr>
          <w:rFonts w:ascii="Cambria" w:hAnsi="Cambria"/>
          <w:sz w:val="22"/>
        </w:rPr>
        <w:t>.</w:t>
      </w:r>
    </w:p>
    <w:p>
      <w:pPr>
        <w:pStyle w:val="BodyText"/>
        <w:rPr>
          <w:rFonts w:ascii="Cambria"/>
        </w:rPr>
      </w:pPr>
    </w:p>
    <w:p>
      <w:pPr>
        <w:pStyle w:val="Heading1"/>
        <w:numPr>
          <w:ilvl w:val="1"/>
          <w:numId w:val="26"/>
        </w:numPr>
        <w:tabs>
          <w:tab w:pos="2274" w:val="left" w:leader="none"/>
        </w:tabs>
        <w:spacing w:line="240" w:lineRule="auto" w:before="198" w:after="0"/>
        <w:ind w:left="2273" w:right="0" w:hanging="467"/>
        <w:jc w:val="left"/>
      </w:pPr>
      <w:bookmarkStart w:name="_TOC_250019" w:id="33"/>
      <w:r>
        <w:rPr/>
        <w:t>Gobierno y Administración</w:t>
      </w:r>
      <w:r>
        <w:rPr>
          <w:spacing w:val="-20"/>
        </w:rPr>
        <w:t> </w:t>
      </w:r>
      <w:bookmarkEnd w:id="33"/>
      <w:r>
        <w:rPr/>
        <w:t>Municipal</w:t>
      </w:r>
    </w:p>
    <w:p>
      <w:pPr>
        <w:pStyle w:val="BodyText"/>
        <w:rPr>
          <w:b/>
          <w:sz w:val="28"/>
        </w:rPr>
      </w:pPr>
    </w:p>
    <w:p>
      <w:pPr>
        <w:pStyle w:val="BodyText"/>
        <w:rPr>
          <w:b/>
          <w:sz w:val="28"/>
        </w:rPr>
      </w:pPr>
    </w:p>
    <w:p>
      <w:pPr>
        <w:pStyle w:val="BodyText"/>
        <w:rPr>
          <w:b/>
          <w:sz w:val="28"/>
        </w:rPr>
      </w:pPr>
    </w:p>
    <w:p>
      <w:pPr>
        <w:pStyle w:val="BodyText"/>
        <w:spacing w:line="360" w:lineRule="auto" w:before="197"/>
        <w:ind w:left="102" w:right="117"/>
        <w:jc w:val="both"/>
      </w:pPr>
      <w:r>
        <w:rPr/>
        <w:t>El régimen de gobierno municipal es regulado jurídicamente por el Estado Federal, como también por la entidad federativa correspondiente, asentando así las bases fundamentales de su organización propias del Municipio.</w:t>
      </w:r>
    </w:p>
    <w:p>
      <w:pPr>
        <w:pStyle w:val="BodyText"/>
        <w:spacing w:line="360" w:lineRule="auto" w:before="204"/>
        <w:ind w:left="102" w:right="116"/>
        <w:jc w:val="both"/>
      </w:pPr>
      <w:r>
        <w:rPr/>
        <w:t>Existen diversas formas en las que se estructura el gobierno municipal, entre los tipos gubernativos se encuentran: los gobiernos por comisión, por gerente, por órgano unipersonal y por órganos duales. Zapata y Meade (2008) sustenta que la forma de gobierno por comisión, la supremacía y dirección de las actividades municipales se concentran en un órgano colegiado formado por comisionados, quienes rotativamente los presiden. La comisión tiene funciones legislativas y administrativas y guarda bajo su mando a la administración municipal. Este tipo de gobierno por comisión, es el que por su conceptualización, encuadra en el tipo de gobierno municipal que impera en México.</w:t>
      </w:r>
    </w:p>
    <w:p>
      <w:pPr>
        <w:pStyle w:val="BodyText"/>
        <w:spacing w:before="8"/>
      </w:pPr>
    </w:p>
    <w:p>
      <w:pPr>
        <w:pStyle w:val="BodyText"/>
        <w:spacing w:line="360" w:lineRule="auto"/>
        <w:ind w:left="102" w:right="116"/>
        <w:jc w:val="both"/>
      </w:pPr>
      <w:r>
        <w:rPr/>
        <w:t>Para hablar de la organización municipal hay que aludir a los elementos estructurales de Municipio los cuales consisten: en territorio, población y gobierno. De acuerdo con Mata y Valdés (2003) el territorio es un elemento fundamental del municipio,</w:t>
      </w:r>
      <w:r>
        <w:rPr>
          <w:spacing w:val="-7"/>
        </w:rPr>
        <w:t> </w:t>
      </w:r>
      <w:r>
        <w:rPr/>
        <w:t>sin</w:t>
      </w:r>
      <w:r>
        <w:rPr>
          <w:spacing w:val="-7"/>
        </w:rPr>
        <w:t> </w:t>
      </w:r>
      <w:r>
        <w:rPr/>
        <w:t>territorio</w:t>
      </w:r>
      <w:r>
        <w:rPr>
          <w:spacing w:val="-7"/>
        </w:rPr>
        <w:t> </w:t>
      </w:r>
      <w:r>
        <w:rPr/>
        <w:t>no</w:t>
      </w:r>
      <w:r>
        <w:rPr>
          <w:spacing w:val="-7"/>
        </w:rPr>
        <w:t> </w:t>
      </w:r>
      <w:r>
        <w:rPr/>
        <w:t>puede</w:t>
      </w:r>
      <w:r>
        <w:rPr>
          <w:spacing w:val="-7"/>
        </w:rPr>
        <w:t> </w:t>
      </w:r>
      <w:r>
        <w:rPr/>
        <w:t>haber</w:t>
      </w:r>
      <w:r>
        <w:rPr>
          <w:spacing w:val="-11"/>
        </w:rPr>
        <w:t> </w:t>
      </w:r>
      <w:r>
        <w:rPr/>
        <w:t>municipio,</w:t>
      </w:r>
      <w:r>
        <w:rPr>
          <w:spacing w:val="-7"/>
        </w:rPr>
        <w:t> </w:t>
      </w:r>
      <w:r>
        <w:rPr/>
        <w:t>se</w:t>
      </w:r>
      <w:r>
        <w:rPr>
          <w:spacing w:val="-7"/>
        </w:rPr>
        <w:t> </w:t>
      </w:r>
      <w:r>
        <w:rPr/>
        <w:t>trata</w:t>
      </w:r>
      <w:r>
        <w:rPr>
          <w:spacing w:val="-7"/>
        </w:rPr>
        <w:t> </w:t>
      </w:r>
      <w:r>
        <w:rPr/>
        <w:t>del</w:t>
      </w:r>
      <w:r>
        <w:rPr>
          <w:spacing w:val="-8"/>
        </w:rPr>
        <w:t> </w:t>
      </w:r>
      <w:r>
        <w:rPr/>
        <w:t>sitio</w:t>
      </w:r>
      <w:r>
        <w:rPr>
          <w:spacing w:val="-7"/>
        </w:rPr>
        <w:t> </w:t>
      </w:r>
      <w:r>
        <w:rPr/>
        <w:t>o</w:t>
      </w:r>
      <w:r>
        <w:rPr>
          <w:spacing w:val="-7"/>
        </w:rPr>
        <w:t> </w:t>
      </w:r>
      <w:r>
        <w:rPr/>
        <w:t>lugar</w:t>
      </w:r>
      <w:r>
        <w:rPr>
          <w:spacing w:val="-8"/>
        </w:rPr>
        <w:t> </w:t>
      </w:r>
      <w:r>
        <w:rPr/>
        <w:t>donde</w:t>
      </w:r>
      <w:r>
        <w:rPr>
          <w:spacing w:val="-7"/>
        </w:rPr>
        <w:t> </w:t>
      </w:r>
      <w:r>
        <w:rPr/>
        <w:t>se asienta su población y el ámbito espacial dentro del cual se ejerce un determinado poder político. Por otro lado, la población  otro elemento fundamental, porque</w:t>
      </w:r>
      <w:r>
        <w:rPr>
          <w:spacing w:val="57"/>
        </w:rPr>
        <w:t> </w:t>
      </w:r>
      <w:r>
        <w:rPr/>
        <w:t>ésta</w:t>
      </w:r>
    </w:p>
    <w:p>
      <w:pPr>
        <w:spacing w:after="0" w:line="360" w:lineRule="auto"/>
        <w:jc w:val="both"/>
        <w:sectPr>
          <w:pgSz w:w="12240" w:h="15840"/>
          <w:pgMar w:header="0" w:footer="992" w:top="1360" w:bottom="1180" w:left="1600" w:right="1580"/>
        </w:sectPr>
      </w:pPr>
    </w:p>
    <w:p>
      <w:pPr>
        <w:pStyle w:val="BodyText"/>
        <w:spacing w:line="360" w:lineRule="auto" w:before="54"/>
        <w:ind w:left="102" w:right="114"/>
        <w:jc w:val="both"/>
      </w:pPr>
      <w:r>
        <w:rPr/>
        <w:t>caracteriza</w:t>
      </w:r>
      <w:r>
        <w:rPr>
          <w:spacing w:val="-4"/>
        </w:rPr>
        <w:t> </w:t>
      </w:r>
      <w:r>
        <w:rPr/>
        <w:t>a</w:t>
      </w:r>
      <w:r>
        <w:rPr>
          <w:spacing w:val="-4"/>
        </w:rPr>
        <w:t> </w:t>
      </w:r>
      <w:r>
        <w:rPr/>
        <w:t>la</w:t>
      </w:r>
      <w:r>
        <w:rPr>
          <w:spacing w:val="-4"/>
        </w:rPr>
        <w:t> </w:t>
      </w:r>
      <w:r>
        <w:rPr/>
        <w:t>institución</w:t>
      </w:r>
      <w:r>
        <w:rPr>
          <w:spacing w:val="-6"/>
        </w:rPr>
        <w:t> </w:t>
      </w:r>
      <w:r>
        <w:rPr/>
        <w:t>municipal</w:t>
      </w:r>
      <w:r>
        <w:rPr>
          <w:spacing w:val="-5"/>
        </w:rPr>
        <w:t> </w:t>
      </w:r>
      <w:r>
        <w:rPr/>
        <w:t>en</w:t>
      </w:r>
      <w:r>
        <w:rPr>
          <w:spacing w:val="-6"/>
        </w:rPr>
        <w:t> </w:t>
      </w:r>
      <w:r>
        <w:rPr/>
        <w:t>un</w:t>
      </w:r>
      <w:r>
        <w:rPr>
          <w:spacing w:val="-6"/>
        </w:rPr>
        <w:t> </w:t>
      </w:r>
      <w:r>
        <w:rPr/>
        <w:t>sentido</w:t>
      </w:r>
      <w:r>
        <w:rPr>
          <w:spacing w:val="-6"/>
        </w:rPr>
        <w:t> </w:t>
      </w:r>
      <w:r>
        <w:rPr/>
        <w:t>estricto;</w:t>
      </w:r>
      <w:r>
        <w:rPr>
          <w:spacing w:val="-6"/>
        </w:rPr>
        <w:t> </w:t>
      </w:r>
      <w:r>
        <w:rPr/>
        <w:t>esta</w:t>
      </w:r>
      <w:r>
        <w:rPr>
          <w:spacing w:val="-4"/>
        </w:rPr>
        <w:t> </w:t>
      </w:r>
      <w:r>
        <w:rPr/>
        <w:t>es</w:t>
      </w:r>
      <w:r>
        <w:rPr>
          <w:spacing w:val="-7"/>
        </w:rPr>
        <w:t> </w:t>
      </w:r>
      <w:r>
        <w:rPr/>
        <w:t>la</w:t>
      </w:r>
      <w:r>
        <w:rPr>
          <w:spacing w:val="-4"/>
        </w:rPr>
        <w:t> </w:t>
      </w:r>
      <w:r>
        <w:rPr/>
        <w:t>base</w:t>
      </w:r>
      <w:r>
        <w:rPr>
          <w:spacing w:val="-4"/>
        </w:rPr>
        <w:t> </w:t>
      </w:r>
      <w:r>
        <w:rPr/>
        <w:t>humana del</w:t>
      </w:r>
      <w:r>
        <w:rPr>
          <w:spacing w:val="-7"/>
        </w:rPr>
        <w:t> </w:t>
      </w:r>
      <w:r>
        <w:rPr/>
        <w:t>municipio</w:t>
      </w:r>
      <w:r>
        <w:rPr>
          <w:spacing w:val="-6"/>
        </w:rPr>
        <w:t> </w:t>
      </w:r>
      <w:r>
        <w:rPr/>
        <w:t>asentada</w:t>
      </w:r>
      <w:r>
        <w:rPr>
          <w:spacing w:val="-8"/>
        </w:rPr>
        <w:t> </w:t>
      </w:r>
      <w:r>
        <w:rPr/>
        <w:t>en</w:t>
      </w:r>
      <w:r>
        <w:rPr>
          <w:spacing w:val="-6"/>
        </w:rPr>
        <w:t> </w:t>
      </w:r>
      <w:r>
        <w:rPr/>
        <w:t>el</w:t>
      </w:r>
      <w:r>
        <w:rPr>
          <w:spacing w:val="-7"/>
        </w:rPr>
        <w:t> </w:t>
      </w:r>
      <w:r>
        <w:rPr/>
        <w:t>territorio.</w:t>
      </w:r>
      <w:r>
        <w:rPr>
          <w:spacing w:val="-6"/>
        </w:rPr>
        <w:t> </w:t>
      </w:r>
      <w:r>
        <w:rPr/>
        <w:t>En</w:t>
      </w:r>
      <w:r>
        <w:rPr>
          <w:spacing w:val="-6"/>
        </w:rPr>
        <w:t> </w:t>
      </w:r>
      <w:r>
        <w:rPr/>
        <w:t>cuanto</w:t>
      </w:r>
      <w:r>
        <w:rPr>
          <w:spacing w:val="-6"/>
        </w:rPr>
        <w:t> </w:t>
      </w:r>
      <w:r>
        <w:rPr/>
        <w:t>al</w:t>
      </w:r>
      <w:r>
        <w:rPr>
          <w:spacing w:val="-7"/>
        </w:rPr>
        <w:t> </w:t>
      </w:r>
      <w:r>
        <w:rPr/>
        <w:t>elemento</w:t>
      </w:r>
      <w:r>
        <w:rPr>
          <w:spacing w:val="-6"/>
        </w:rPr>
        <w:t> </w:t>
      </w:r>
      <w:r>
        <w:rPr/>
        <w:t>de</w:t>
      </w:r>
      <w:r>
        <w:rPr>
          <w:spacing w:val="-6"/>
        </w:rPr>
        <w:t> </w:t>
      </w:r>
      <w:r>
        <w:rPr/>
        <w:t>gobierno,</w:t>
      </w:r>
      <w:r>
        <w:rPr>
          <w:spacing w:val="-6"/>
        </w:rPr>
        <w:t> </w:t>
      </w:r>
      <w:r>
        <w:rPr/>
        <w:t>como</w:t>
      </w:r>
      <w:r>
        <w:rPr>
          <w:spacing w:val="-6"/>
        </w:rPr>
        <w:t> </w:t>
      </w:r>
      <w:r>
        <w:rPr/>
        <w:t>ya se señaló la doctrina moderna cataloga básicamente al gobierno municipal en sistemas o tipos que son: por comisión, por órganos duales o binarios (alcalde- consejo), por gerente (city</w:t>
      </w:r>
      <w:r>
        <w:rPr>
          <w:spacing w:val="-15"/>
        </w:rPr>
        <w:t> </w:t>
      </w:r>
      <w:r>
        <w:rPr/>
        <w:t>manager).</w:t>
      </w:r>
    </w:p>
    <w:p>
      <w:pPr>
        <w:pStyle w:val="BodyText"/>
        <w:spacing w:before="10"/>
      </w:pPr>
    </w:p>
    <w:p>
      <w:pPr>
        <w:pStyle w:val="BodyText"/>
        <w:spacing w:line="360" w:lineRule="auto"/>
        <w:ind w:left="102" w:right="116"/>
        <w:jc w:val="both"/>
      </w:pPr>
      <w:r>
        <w:rPr/>
        <w:t>El sistema de gobierno del municipio mexicano encuadra doctrinariamente en el modelo de comisión, porque la dirección y gobierno de éste se deposita en un cuerpo colegiado de funcionarios, que reúne en sí el total de las facultades deliberantes, ejecutivas y administrativas. Dicho cuerpo colegiado es el “Ayuntamiento”.</w:t>
      </w:r>
    </w:p>
    <w:p>
      <w:pPr>
        <w:pStyle w:val="BodyText"/>
        <w:spacing w:before="7"/>
      </w:pPr>
    </w:p>
    <w:p>
      <w:pPr>
        <w:pStyle w:val="BodyText"/>
        <w:spacing w:line="360" w:lineRule="auto"/>
        <w:ind w:left="102" w:right="117"/>
        <w:jc w:val="both"/>
      </w:pPr>
      <w:r>
        <w:rPr/>
        <w:t>Ahora bien, “La palabra gobierno proviene del latín </w:t>
      </w:r>
      <w:r>
        <w:rPr>
          <w:i/>
        </w:rPr>
        <w:t>gubermatio-onis</w:t>
      </w:r>
      <w:r>
        <w:rPr/>
        <w:t>, de gobernare, gobernar, y que en el lenguaje usual es sinónimo de dirigir, regir, administrar, mandar, conducir, guiar, etc. Es decir, que se entiende como el agrupamiento de personas que ejercen el poder. Es la dirección o el manejo de todos los asuntos que conciernen de igual modo a todo el pueblo” (Doger, 2013:106).</w:t>
      </w:r>
    </w:p>
    <w:p>
      <w:pPr>
        <w:pStyle w:val="BodyText"/>
        <w:spacing w:line="360" w:lineRule="auto" w:before="202"/>
        <w:ind w:left="102" w:right="114"/>
        <w:jc w:val="both"/>
      </w:pPr>
      <w:r>
        <w:rPr/>
        <w:t>El funcionamiento del gobierno municipal se realiza a través del ayuntamiento, llamado</w:t>
      </w:r>
      <w:r>
        <w:rPr>
          <w:spacing w:val="-17"/>
        </w:rPr>
        <w:t> </w:t>
      </w:r>
      <w:r>
        <w:rPr/>
        <w:t>también</w:t>
      </w:r>
      <w:r>
        <w:rPr>
          <w:spacing w:val="-18"/>
        </w:rPr>
        <w:t> </w:t>
      </w:r>
      <w:r>
        <w:rPr/>
        <w:t>cabildo</w:t>
      </w:r>
      <w:r>
        <w:rPr>
          <w:spacing w:val="-14"/>
        </w:rPr>
        <w:t> </w:t>
      </w:r>
      <w:r>
        <w:rPr/>
        <w:t>o</w:t>
      </w:r>
      <w:r>
        <w:rPr>
          <w:spacing w:val="-19"/>
        </w:rPr>
        <w:t> </w:t>
      </w:r>
      <w:r>
        <w:rPr/>
        <w:t>concejo</w:t>
      </w:r>
      <w:r>
        <w:rPr>
          <w:spacing w:val="-19"/>
        </w:rPr>
        <w:t> </w:t>
      </w:r>
      <w:r>
        <w:rPr/>
        <w:t>es</w:t>
      </w:r>
      <w:r>
        <w:rPr>
          <w:spacing w:val="-17"/>
        </w:rPr>
        <w:t> </w:t>
      </w:r>
      <w:r>
        <w:rPr/>
        <w:t>cual</w:t>
      </w:r>
      <w:r>
        <w:rPr>
          <w:spacing w:val="-20"/>
        </w:rPr>
        <w:t> </w:t>
      </w:r>
      <w:r>
        <w:rPr/>
        <w:t>es</w:t>
      </w:r>
      <w:r>
        <w:rPr>
          <w:spacing w:val="-20"/>
        </w:rPr>
        <w:t> </w:t>
      </w:r>
      <w:r>
        <w:rPr/>
        <w:t>un</w:t>
      </w:r>
      <w:r>
        <w:rPr>
          <w:spacing w:val="-17"/>
        </w:rPr>
        <w:t> </w:t>
      </w:r>
      <w:r>
        <w:rPr/>
        <w:t>cuerpo</w:t>
      </w:r>
      <w:r>
        <w:rPr>
          <w:spacing w:val="-19"/>
        </w:rPr>
        <w:t> </w:t>
      </w:r>
      <w:r>
        <w:rPr/>
        <w:t>colegiado,</w:t>
      </w:r>
      <w:r>
        <w:rPr>
          <w:spacing w:val="-19"/>
        </w:rPr>
        <w:t> </w:t>
      </w:r>
      <w:r>
        <w:rPr/>
        <w:t>con</w:t>
      </w:r>
      <w:r>
        <w:rPr>
          <w:spacing w:val="-19"/>
        </w:rPr>
        <w:t> </w:t>
      </w:r>
      <w:r>
        <w:rPr/>
        <w:t>personalidad jurídica, encargado de la administración del municipio. “Sólo como un cuerpo colegiado puede administrar, pues ninguno de sus miembros puede hacerlo en forma individual. La parte ejecutiva de la administración se delega en el presidente municipal, que forma parte también del ayuntamiento como presidente del</w:t>
      </w:r>
      <w:r>
        <w:rPr>
          <w:spacing w:val="-45"/>
        </w:rPr>
        <w:t> </w:t>
      </w:r>
      <w:r>
        <w:rPr/>
        <w:t>concejo” (Montaño,</w:t>
      </w:r>
      <w:r>
        <w:rPr>
          <w:spacing w:val="-6"/>
        </w:rPr>
        <w:t> </w:t>
      </w:r>
      <w:r>
        <w:rPr/>
        <w:t>2005:21).</w:t>
      </w:r>
    </w:p>
    <w:p>
      <w:pPr>
        <w:pStyle w:val="BodyText"/>
        <w:spacing w:line="360" w:lineRule="auto" w:before="204"/>
        <w:ind w:left="102" w:right="115"/>
        <w:jc w:val="both"/>
      </w:pPr>
      <w:r>
        <w:rPr/>
        <w:t>De acuerdo con Teresita Rendón Huerta (1985) el ayuntamiento es el órgano colegiado, deliberante que asume la representación del Municipio y está integrado por el Presidente municipal </w:t>
      </w:r>
      <w:r>
        <w:rPr>
          <w:rFonts w:ascii="Symbol" w:hAnsi="Symbol"/>
        </w:rPr>
        <w:t></w:t>
      </w:r>
      <w:r>
        <w:rPr/>
        <w:t>en algunos países se le denomina intendente o ejecutor</w:t>
      </w:r>
      <w:r>
        <w:rPr>
          <w:rFonts w:ascii="Symbol" w:hAnsi="Symbol"/>
        </w:rPr>
        <w:t></w:t>
      </w:r>
      <w:r>
        <w:rPr/>
        <w:t>, el o los síndicos que cumplen con tareas netamente jurídicas como la representación en los juicios ante los tribunales locales o federales, y los regidores a</w:t>
      </w:r>
      <w:r>
        <w:rPr>
          <w:spacing w:val="-6"/>
        </w:rPr>
        <w:t> </w:t>
      </w:r>
      <w:r>
        <w:rPr/>
        <w:t>los</w:t>
      </w:r>
      <w:r>
        <w:rPr>
          <w:spacing w:val="-6"/>
        </w:rPr>
        <w:t> </w:t>
      </w:r>
      <w:r>
        <w:rPr/>
        <w:t>cuales</w:t>
      </w:r>
      <w:r>
        <w:rPr>
          <w:spacing w:val="-6"/>
        </w:rPr>
        <w:t> </w:t>
      </w:r>
      <w:r>
        <w:rPr/>
        <w:t>se</w:t>
      </w:r>
      <w:r>
        <w:rPr>
          <w:spacing w:val="-8"/>
        </w:rPr>
        <w:t> </w:t>
      </w:r>
      <w:r>
        <w:rPr/>
        <w:t>asignan</w:t>
      </w:r>
      <w:r>
        <w:rPr>
          <w:spacing w:val="-6"/>
        </w:rPr>
        <w:t> </w:t>
      </w:r>
      <w:r>
        <w:rPr/>
        <w:t>comisiones</w:t>
      </w:r>
      <w:r>
        <w:rPr>
          <w:spacing w:val="-7"/>
        </w:rPr>
        <w:t> </w:t>
      </w:r>
      <w:r>
        <w:rPr/>
        <w:t>específicas</w:t>
      </w:r>
      <w:r>
        <w:rPr>
          <w:spacing w:val="-7"/>
        </w:rPr>
        <w:t> </w:t>
      </w:r>
      <w:r>
        <w:rPr/>
        <w:t>por</w:t>
      </w:r>
      <w:r>
        <w:rPr>
          <w:spacing w:val="-7"/>
        </w:rPr>
        <w:t> </w:t>
      </w:r>
      <w:r>
        <w:rPr/>
        <w:t>ramo;</w:t>
      </w:r>
      <w:r>
        <w:rPr>
          <w:spacing w:val="-6"/>
        </w:rPr>
        <w:t> </w:t>
      </w:r>
      <w:r>
        <w:rPr/>
        <w:t>por</w:t>
      </w:r>
      <w:r>
        <w:rPr>
          <w:spacing w:val="-7"/>
        </w:rPr>
        <w:t> </w:t>
      </w:r>
      <w:r>
        <w:rPr/>
        <w:t>ejemplo</w:t>
      </w:r>
      <w:r>
        <w:rPr>
          <w:spacing w:val="-6"/>
        </w:rPr>
        <w:t> </w:t>
      </w:r>
      <w:r>
        <w:rPr/>
        <w:t>de</w:t>
      </w:r>
      <w:r>
        <w:rPr>
          <w:spacing w:val="-6"/>
        </w:rPr>
        <w:t> </w:t>
      </w:r>
      <w:r>
        <w:rPr/>
        <w:t>hacienda, de   mercados,   de   parques   y   jardines,     es   la   corporación   que   ostenta</w:t>
      </w:r>
      <w:r>
        <w:rPr>
          <w:spacing w:val="-1"/>
        </w:rPr>
        <w:t> </w:t>
      </w:r>
      <w:r>
        <w:rPr/>
        <w:t>la</w:t>
      </w:r>
    </w:p>
    <w:p>
      <w:pPr>
        <w:spacing w:after="0" w:line="360" w:lineRule="auto"/>
        <w:jc w:val="both"/>
        <w:sectPr>
          <w:pgSz w:w="12240" w:h="15840"/>
          <w:pgMar w:header="0" w:footer="992" w:top="1360" w:bottom="1180" w:left="1600" w:right="1580"/>
        </w:sectPr>
      </w:pPr>
    </w:p>
    <w:p>
      <w:pPr>
        <w:pStyle w:val="BodyText"/>
        <w:spacing w:line="360" w:lineRule="auto" w:before="54"/>
        <w:ind w:left="102" w:right="119"/>
        <w:jc w:val="both"/>
      </w:pPr>
      <w:r>
        <w:rPr/>
        <w:t>representación legal del municipio y tiene encomendado el gobierno y administración de los intereses públicos. El ayuntamiento es pues el gestor inmediato de todos los intereses de la comunidad local y cooperador indispensable a las actividades o servicios generales que otorga el gobierno de su Estado.</w:t>
      </w:r>
    </w:p>
    <w:p>
      <w:pPr>
        <w:pStyle w:val="BodyText"/>
        <w:spacing w:line="360" w:lineRule="auto" w:before="204"/>
        <w:ind w:left="102" w:right="117"/>
        <w:jc w:val="both"/>
      </w:pPr>
      <w:r>
        <w:rPr/>
        <w:t>El Ayuntamiento tiene funciones administrativas que consisten en nombrar, remover, conceder licencias a sus empleados, realizar funciones electorales, crear y</w:t>
      </w:r>
      <w:r>
        <w:rPr>
          <w:spacing w:val="-21"/>
        </w:rPr>
        <w:t> </w:t>
      </w:r>
      <w:r>
        <w:rPr/>
        <w:t>sostener</w:t>
      </w:r>
      <w:r>
        <w:rPr>
          <w:spacing w:val="-19"/>
        </w:rPr>
        <w:t> </w:t>
      </w:r>
      <w:r>
        <w:rPr/>
        <w:t>servicios,</w:t>
      </w:r>
      <w:r>
        <w:rPr>
          <w:spacing w:val="-18"/>
        </w:rPr>
        <w:t> </w:t>
      </w:r>
      <w:r>
        <w:rPr/>
        <w:t>también</w:t>
      </w:r>
      <w:r>
        <w:rPr>
          <w:spacing w:val="-18"/>
        </w:rPr>
        <w:t> </w:t>
      </w:r>
      <w:r>
        <w:rPr/>
        <w:t>tiene</w:t>
      </w:r>
      <w:r>
        <w:rPr>
          <w:spacing w:val="-20"/>
        </w:rPr>
        <w:t> </w:t>
      </w:r>
      <w:r>
        <w:rPr/>
        <w:t>funciones</w:t>
      </w:r>
      <w:r>
        <w:rPr>
          <w:spacing w:val="-19"/>
        </w:rPr>
        <w:t> </w:t>
      </w:r>
      <w:r>
        <w:rPr/>
        <w:t>legislativas;</w:t>
      </w:r>
      <w:r>
        <w:rPr>
          <w:spacing w:val="-18"/>
        </w:rPr>
        <w:t> </w:t>
      </w:r>
      <w:r>
        <w:rPr/>
        <w:t>tiene</w:t>
      </w:r>
      <w:r>
        <w:rPr>
          <w:spacing w:val="-18"/>
        </w:rPr>
        <w:t> </w:t>
      </w:r>
      <w:r>
        <w:rPr/>
        <w:t>la</w:t>
      </w:r>
      <w:r>
        <w:rPr>
          <w:spacing w:val="-21"/>
        </w:rPr>
        <w:t> </w:t>
      </w:r>
      <w:r>
        <w:rPr/>
        <w:t>facultad</w:t>
      </w:r>
      <w:r>
        <w:rPr>
          <w:spacing w:val="-20"/>
        </w:rPr>
        <w:t> </w:t>
      </w:r>
      <w:r>
        <w:rPr/>
        <w:t>de</w:t>
      </w:r>
      <w:r>
        <w:rPr>
          <w:spacing w:val="-18"/>
        </w:rPr>
        <w:t> </w:t>
      </w:r>
      <w:r>
        <w:rPr/>
        <w:t>expedir sus reglamentos los cuales pueden ser internos o externos. Los primeros son los que</w:t>
      </w:r>
      <w:r>
        <w:rPr>
          <w:spacing w:val="-5"/>
        </w:rPr>
        <w:t> </w:t>
      </w:r>
      <w:r>
        <w:rPr/>
        <w:t>atañen</w:t>
      </w:r>
      <w:r>
        <w:rPr>
          <w:spacing w:val="-7"/>
        </w:rPr>
        <w:t> </w:t>
      </w:r>
      <w:r>
        <w:rPr/>
        <w:t>a</w:t>
      </w:r>
      <w:r>
        <w:rPr>
          <w:spacing w:val="-5"/>
        </w:rPr>
        <w:t> </w:t>
      </w:r>
      <w:r>
        <w:rPr/>
        <w:t>la</w:t>
      </w:r>
      <w:r>
        <w:rPr>
          <w:spacing w:val="-7"/>
        </w:rPr>
        <w:t> </w:t>
      </w:r>
      <w:r>
        <w:rPr/>
        <w:t>organización</w:t>
      </w:r>
      <w:r>
        <w:rPr>
          <w:spacing w:val="-4"/>
        </w:rPr>
        <w:t> </w:t>
      </w:r>
      <w:r>
        <w:rPr/>
        <w:t>y</w:t>
      </w:r>
      <w:r>
        <w:rPr>
          <w:spacing w:val="-8"/>
        </w:rPr>
        <w:t> </w:t>
      </w:r>
      <w:r>
        <w:rPr/>
        <w:t>estructura</w:t>
      </w:r>
      <w:r>
        <w:rPr>
          <w:spacing w:val="-8"/>
        </w:rPr>
        <w:t> </w:t>
      </w:r>
      <w:r>
        <w:rPr/>
        <w:t>administrativa</w:t>
      </w:r>
      <w:r>
        <w:rPr>
          <w:spacing w:val="-5"/>
        </w:rPr>
        <w:t> </w:t>
      </w:r>
      <w:r>
        <w:rPr/>
        <w:t>propia</w:t>
      </w:r>
      <w:r>
        <w:rPr>
          <w:spacing w:val="-7"/>
        </w:rPr>
        <w:t> </w:t>
      </w:r>
      <w:r>
        <w:rPr/>
        <w:t>de</w:t>
      </w:r>
      <w:r>
        <w:rPr>
          <w:spacing w:val="-7"/>
        </w:rPr>
        <w:t> </w:t>
      </w:r>
      <w:r>
        <w:rPr/>
        <w:t>la</w:t>
      </w:r>
      <w:r>
        <w:rPr>
          <w:spacing w:val="-7"/>
        </w:rPr>
        <w:t> </w:t>
      </w:r>
      <w:r>
        <w:rPr/>
        <w:t>municipalidad, en cuanto a los externos son los que se proyectan hacia la</w:t>
      </w:r>
      <w:r>
        <w:rPr>
          <w:spacing w:val="-22"/>
        </w:rPr>
        <w:t> </w:t>
      </w:r>
      <w:r>
        <w:rPr/>
        <w:t>colectividad.</w:t>
      </w:r>
    </w:p>
    <w:p>
      <w:pPr>
        <w:pStyle w:val="Heading2"/>
        <w:spacing w:before="204"/>
      </w:pPr>
      <w:r>
        <w:rPr/>
        <w:t>Administración Municipal</w:t>
      </w:r>
    </w:p>
    <w:p>
      <w:pPr>
        <w:pStyle w:val="BodyText"/>
        <w:spacing w:before="4"/>
        <w:rPr>
          <w:b/>
          <w:sz w:val="29"/>
        </w:rPr>
      </w:pPr>
    </w:p>
    <w:p>
      <w:pPr>
        <w:pStyle w:val="BodyText"/>
        <w:spacing w:line="360" w:lineRule="auto" w:before="1"/>
        <w:ind w:left="102" w:right="115"/>
        <w:jc w:val="both"/>
      </w:pPr>
      <w:r>
        <w:rPr/>
        <w:t>El municipio es la institución gubernamental más añeja y cercana a la sociedad. Para, dar respuesta a las demandas ciudadanas, es necesario que sus competencias y funciones se encuentren bien definidas y que cuente con un adecuado aparato organizacional administrativo para desempeñarlas. Para desempeñar</w:t>
      </w:r>
      <w:r>
        <w:rPr>
          <w:spacing w:val="-7"/>
        </w:rPr>
        <w:t> </w:t>
      </w:r>
      <w:r>
        <w:rPr/>
        <w:t>y</w:t>
      </w:r>
      <w:r>
        <w:rPr>
          <w:spacing w:val="-9"/>
        </w:rPr>
        <w:t> </w:t>
      </w:r>
      <w:r>
        <w:rPr/>
        <w:t>ejecutar</w:t>
      </w:r>
      <w:r>
        <w:rPr>
          <w:spacing w:val="-10"/>
        </w:rPr>
        <w:t> </w:t>
      </w:r>
      <w:r>
        <w:rPr/>
        <w:t>las</w:t>
      </w:r>
      <w:r>
        <w:rPr>
          <w:spacing w:val="-9"/>
        </w:rPr>
        <w:t> </w:t>
      </w:r>
      <w:r>
        <w:rPr/>
        <w:t>funciones</w:t>
      </w:r>
      <w:r>
        <w:rPr>
          <w:spacing w:val="-7"/>
        </w:rPr>
        <w:t> </w:t>
      </w:r>
      <w:r>
        <w:rPr/>
        <w:t>que</w:t>
      </w:r>
      <w:r>
        <w:rPr>
          <w:spacing w:val="-6"/>
        </w:rPr>
        <w:t> </w:t>
      </w:r>
      <w:r>
        <w:rPr/>
        <w:t>le</w:t>
      </w:r>
      <w:r>
        <w:rPr>
          <w:spacing w:val="-6"/>
        </w:rPr>
        <w:t> </w:t>
      </w:r>
      <w:r>
        <w:rPr/>
        <w:t>competen,</w:t>
      </w:r>
      <w:r>
        <w:rPr>
          <w:spacing w:val="-9"/>
        </w:rPr>
        <w:t> </w:t>
      </w:r>
      <w:r>
        <w:rPr/>
        <w:t>el</w:t>
      </w:r>
      <w:r>
        <w:rPr>
          <w:spacing w:val="-10"/>
        </w:rPr>
        <w:t> </w:t>
      </w:r>
      <w:r>
        <w:rPr/>
        <w:t>municipio</w:t>
      </w:r>
      <w:r>
        <w:rPr>
          <w:spacing w:val="-11"/>
        </w:rPr>
        <w:t> </w:t>
      </w:r>
      <w:r>
        <w:rPr/>
        <w:t>requiere</w:t>
      </w:r>
      <w:r>
        <w:rPr>
          <w:spacing w:val="-6"/>
        </w:rPr>
        <w:t> </w:t>
      </w:r>
      <w:r>
        <w:rPr/>
        <w:t>de</w:t>
      </w:r>
      <w:r>
        <w:rPr>
          <w:spacing w:val="-8"/>
        </w:rPr>
        <w:t> </w:t>
      </w:r>
      <w:r>
        <w:rPr/>
        <w:t>una administración</w:t>
      </w:r>
      <w:r>
        <w:rPr>
          <w:spacing w:val="-8"/>
        </w:rPr>
        <w:t> </w:t>
      </w:r>
      <w:r>
        <w:rPr/>
        <w:t>pública.</w:t>
      </w:r>
    </w:p>
    <w:p>
      <w:pPr>
        <w:pStyle w:val="BodyText"/>
        <w:spacing w:line="360" w:lineRule="auto" w:before="204"/>
        <w:ind w:left="102" w:right="117"/>
        <w:jc w:val="both"/>
      </w:pPr>
      <w:r>
        <w:rPr/>
        <w:t>Desde el punto de vista de Zapata y Meade (2008) manifiestan que la Administración</w:t>
      </w:r>
      <w:r>
        <w:rPr>
          <w:spacing w:val="-13"/>
        </w:rPr>
        <w:t> </w:t>
      </w:r>
      <w:r>
        <w:rPr/>
        <w:t>Pública</w:t>
      </w:r>
      <w:r>
        <w:rPr>
          <w:spacing w:val="-13"/>
        </w:rPr>
        <w:t> </w:t>
      </w:r>
      <w:r>
        <w:rPr/>
        <w:t>puede</w:t>
      </w:r>
      <w:r>
        <w:rPr>
          <w:spacing w:val="-13"/>
        </w:rPr>
        <w:t> </w:t>
      </w:r>
      <w:r>
        <w:rPr/>
        <w:t>ser</w:t>
      </w:r>
      <w:r>
        <w:rPr>
          <w:spacing w:val="-12"/>
        </w:rPr>
        <w:t> </w:t>
      </w:r>
      <w:r>
        <w:rPr/>
        <w:t>vista</w:t>
      </w:r>
      <w:r>
        <w:rPr>
          <w:spacing w:val="-11"/>
        </w:rPr>
        <w:t> </w:t>
      </w:r>
      <w:r>
        <w:rPr/>
        <w:t>como</w:t>
      </w:r>
      <w:r>
        <w:rPr>
          <w:spacing w:val="-13"/>
        </w:rPr>
        <w:t> </w:t>
      </w:r>
      <w:r>
        <w:rPr/>
        <w:t>función</w:t>
      </w:r>
      <w:r>
        <w:rPr>
          <w:spacing w:val="-13"/>
        </w:rPr>
        <w:t> </w:t>
      </w:r>
      <w:r>
        <w:rPr/>
        <w:t>y</w:t>
      </w:r>
      <w:r>
        <w:rPr>
          <w:spacing w:val="-14"/>
        </w:rPr>
        <w:t> </w:t>
      </w:r>
      <w:r>
        <w:rPr/>
        <w:t>como</w:t>
      </w:r>
      <w:r>
        <w:rPr>
          <w:spacing w:val="-13"/>
        </w:rPr>
        <w:t> </w:t>
      </w:r>
      <w:r>
        <w:rPr/>
        <w:t>órgano.</w:t>
      </w:r>
      <w:r>
        <w:rPr>
          <w:spacing w:val="-16"/>
        </w:rPr>
        <w:t> </w:t>
      </w:r>
      <w:r>
        <w:rPr/>
        <w:t>Como</w:t>
      </w:r>
      <w:r>
        <w:rPr>
          <w:spacing w:val="-15"/>
        </w:rPr>
        <w:t> </w:t>
      </w:r>
      <w:r>
        <w:rPr/>
        <w:t>función, conciben</w:t>
      </w:r>
      <w:r>
        <w:rPr>
          <w:spacing w:val="-11"/>
        </w:rPr>
        <w:t> </w:t>
      </w:r>
      <w:r>
        <w:rPr/>
        <w:t>a</w:t>
      </w:r>
      <w:r>
        <w:rPr>
          <w:spacing w:val="-11"/>
        </w:rPr>
        <w:t> </w:t>
      </w:r>
      <w:r>
        <w:rPr/>
        <w:t>la</w:t>
      </w:r>
      <w:r>
        <w:rPr>
          <w:spacing w:val="-13"/>
        </w:rPr>
        <w:t> </w:t>
      </w:r>
      <w:r>
        <w:rPr/>
        <w:t>administración</w:t>
      </w:r>
      <w:r>
        <w:rPr>
          <w:spacing w:val="-10"/>
        </w:rPr>
        <w:t> </w:t>
      </w:r>
      <w:r>
        <w:rPr/>
        <w:t>como</w:t>
      </w:r>
      <w:r>
        <w:rPr>
          <w:spacing w:val="-13"/>
        </w:rPr>
        <w:t> </w:t>
      </w:r>
      <w:r>
        <w:rPr/>
        <w:t>un</w:t>
      </w:r>
      <w:r>
        <w:rPr>
          <w:spacing w:val="-11"/>
        </w:rPr>
        <w:t> </w:t>
      </w:r>
      <w:r>
        <w:rPr/>
        <w:t>conjunto</w:t>
      </w:r>
      <w:r>
        <w:rPr>
          <w:spacing w:val="-11"/>
        </w:rPr>
        <w:t> </w:t>
      </w:r>
      <w:r>
        <w:rPr/>
        <w:t>de</w:t>
      </w:r>
      <w:r>
        <w:rPr>
          <w:spacing w:val="-13"/>
        </w:rPr>
        <w:t> </w:t>
      </w:r>
      <w:r>
        <w:rPr/>
        <w:t>actividades,</w:t>
      </w:r>
      <w:r>
        <w:rPr>
          <w:spacing w:val="-9"/>
        </w:rPr>
        <w:t> </w:t>
      </w:r>
      <w:r>
        <w:rPr/>
        <w:t>el</w:t>
      </w:r>
      <w:r>
        <w:rPr>
          <w:spacing w:val="-14"/>
        </w:rPr>
        <w:t> </w:t>
      </w:r>
      <w:r>
        <w:rPr/>
        <w:t>municipio</w:t>
      </w:r>
      <w:r>
        <w:rPr>
          <w:spacing w:val="-11"/>
        </w:rPr>
        <w:t> </w:t>
      </w:r>
      <w:r>
        <w:rPr/>
        <w:t>requiere administrar</w:t>
      </w:r>
      <w:r>
        <w:rPr>
          <w:spacing w:val="-17"/>
        </w:rPr>
        <w:t> </w:t>
      </w:r>
      <w:r>
        <w:rPr/>
        <w:t>recursos</w:t>
      </w:r>
      <w:r>
        <w:rPr>
          <w:spacing w:val="-16"/>
        </w:rPr>
        <w:t> </w:t>
      </w:r>
      <w:r>
        <w:rPr/>
        <w:t>económicos,</w:t>
      </w:r>
      <w:r>
        <w:rPr>
          <w:spacing w:val="-18"/>
        </w:rPr>
        <w:t> </w:t>
      </w:r>
      <w:r>
        <w:rPr/>
        <w:t>humanos</w:t>
      </w:r>
      <w:r>
        <w:rPr>
          <w:spacing w:val="-16"/>
        </w:rPr>
        <w:t> </w:t>
      </w:r>
      <w:r>
        <w:rPr/>
        <w:t>y</w:t>
      </w:r>
      <w:r>
        <w:rPr>
          <w:spacing w:val="-19"/>
        </w:rPr>
        <w:t> </w:t>
      </w:r>
      <w:r>
        <w:rPr/>
        <w:t>materiales</w:t>
      </w:r>
      <w:r>
        <w:rPr>
          <w:spacing w:val="-16"/>
        </w:rPr>
        <w:t> </w:t>
      </w:r>
      <w:r>
        <w:rPr/>
        <w:t>para</w:t>
      </w:r>
      <w:r>
        <w:rPr>
          <w:spacing w:val="-16"/>
        </w:rPr>
        <w:t> </w:t>
      </w:r>
      <w:r>
        <w:rPr/>
        <w:t>llevar</w:t>
      </w:r>
      <w:r>
        <w:rPr>
          <w:spacing w:val="-17"/>
        </w:rPr>
        <w:t> </w:t>
      </w:r>
      <w:r>
        <w:rPr/>
        <w:t>a</w:t>
      </w:r>
      <w:r>
        <w:rPr>
          <w:spacing w:val="-16"/>
        </w:rPr>
        <w:t> </w:t>
      </w:r>
      <w:r>
        <w:rPr/>
        <w:t>cabo</w:t>
      </w:r>
      <w:r>
        <w:rPr>
          <w:spacing w:val="-16"/>
        </w:rPr>
        <w:t> </w:t>
      </w:r>
      <w:r>
        <w:rPr/>
        <w:t>de</w:t>
      </w:r>
      <w:r>
        <w:rPr>
          <w:spacing w:val="-18"/>
        </w:rPr>
        <w:t> </w:t>
      </w:r>
      <w:r>
        <w:rPr/>
        <w:t>forma adecuada y eficiente las funciones que le corresponden y lograr así los fines de interés público, en pocas palabras la administración implica ordenar, disponer y organizar una institución, y el carácter de público lo adquiere cuando lo que se administra</w:t>
      </w:r>
      <w:r>
        <w:rPr>
          <w:spacing w:val="-19"/>
        </w:rPr>
        <w:t> </w:t>
      </w:r>
      <w:r>
        <w:rPr/>
        <w:t>es</w:t>
      </w:r>
      <w:r>
        <w:rPr>
          <w:spacing w:val="-19"/>
        </w:rPr>
        <w:t> </w:t>
      </w:r>
      <w:r>
        <w:rPr/>
        <w:t>el</w:t>
      </w:r>
      <w:r>
        <w:rPr>
          <w:spacing w:val="-19"/>
        </w:rPr>
        <w:t> </w:t>
      </w:r>
      <w:r>
        <w:rPr/>
        <w:t>propio</w:t>
      </w:r>
      <w:r>
        <w:rPr>
          <w:spacing w:val="-21"/>
        </w:rPr>
        <w:t> </w:t>
      </w:r>
      <w:r>
        <w:rPr/>
        <w:t>municipio.</w:t>
      </w:r>
      <w:r>
        <w:rPr>
          <w:spacing w:val="-18"/>
        </w:rPr>
        <w:t> </w:t>
      </w:r>
      <w:r>
        <w:rPr/>
        <w:t>Por</w:t>
      </w:r>
      <w:r>
        <w:rPr>
          <w:spacing w:val="-19"/>
        </w:rPr>
        <w:t> </w:t>
      </w:r>
      <w:r>
        <w:rPr/>
        <w:t>otro</w:t>
      </w:r>
      <w:r>
        <w:rPr>
          <w:spacing w:val="-18"/>
        </w:rPr>
        <w:t> </w:t>
      </w:r>
      <w:r>
        <w:rPr/>
        <w:t>lado,</w:t>
      </w:r>
      <w:r>
        <w:rPr>
          <w:spacing w:val="-18"/>
        </w:rPr>
        <w:t> </w:t>
      </w:r>
      <w:r>
        <w:rPr/>
        <w:t>la</w:t>
      </w:r>
      <w:r>
        <w:rPr>
          <w:spacing w:val="-18"/>
        </w:rPr>
        <w:t> </w:t>
      </w:r>
      <w:r>
        <w:rPr/>
        <w:t>administración</w:t>
      </w:r>
      <w:r>
        <w:rPr>
          <w:spacing w:val="-13"/>
        </w:rPr>
        <w:t> </w:t>
      </w:r>
      <w:r>
        <w:rPr/>
        <w:t>vista</w:t>
      </w:r>
      <w:r>
        <w:rPr>
          <w:spacing w:val="-18"/>
        </w:rPr>
        <w:t> </w:t>
      </w:r>
      <w:r>
        <w:rPr/>
        <w:t>como</w:t>
      </w:r>
      <w:r>
        <w:rPr>
          <w:spacing w:val="-18"/>
        </w:rPr>
        <w:t> </w:t>
      </w:r>
      <w:r>
        <w:rPr/>
        <w:t>órgano, refiere al conjunto de órganos con la función de ejecutar las atribuciones administrativas del municipio, dicho conjunto integra la administración pública municipal y auxilia al líder administrativo a ejecutar las funciones municipales de índole</w:t>
      </w:r>
      <w:r>
        <w:rPr>
          <w:spacing w:val="-9"/>
        </w:rPr>
        <w:t> </w:t>
      </w:r>
      <w:r>
        <w:rPr/>
        <w:t>administrativo.</w:t>
      </w:r>
    </w:p>
    <w:p>
      <w:pPr>
        <w:spacing w:after="0" w:line="360" w:lineRule="auto"/>
        <w:jc w:val="both"/>
        <w:sectPr>
          <w:pgSz w:w="12240" w:h="15840"/>
          <w:pgMar w:header="0" w:footer="992" w:top="1360" w:bottom="1180" w:left="1600" w:right="1580"/>
        </w:sectPr>
      </w:pPr>
    </w:p>
    <w:p>
      <w:pPr>
        <w:pStyle w:val="BodyText"/>
        <w:spacing w:line="360" w:lineRule="auto" w:before="54"/>
        <w:ind w:left="102" w:right="113"/>
        <w:jc w:val="both"/>
      </w:pPr>
      <w:r>
        <w:rPr/>
        <w:t>Visto como órgano la administración municipal la conforman las diferentes o departamentos del Gobierno Municipal como pudieran ser: una Tesorería, Obras y Servicios Públicos, Oficialía Mayor, Secretaría, Archivo Municipal, Planeación y Finanzas, Seguridad Pública, Cultura y Bienestar Social, Relaciones Públicas; así como los funcionarios y empleados que las integran.</w:t>
      </w:r>
    </w:p>
    <w:p>
      <w:pPr>
        <w:pStyle w:val="BodyText"/>
        <w:spacing w:before="10"/>
      </w:pPr>
    </w:p>
    <w:p>
      <w:pPr>
        <w:pStyle w:val="BodyText"/>
        <w:spacing w:line="360" w:lineRule="auto"/>
        <w:ind w:left="102" w:right="118"/>
        <w:jc w:val="both"/>
      </w:pPr>
      <w:r>
        <w:rPr/>
        <w:t>La</w:t>
      </w:r>
      <w:r>
        <w:rPr>
          <w:spacing w:val="-8"/>
        </w:rPr>
        <w:t> </w:t>
      </w:r>
      <w:r>
        <w:rPr/>
        <w:t>labor</w:t>
      </w:r>
      <w:r>
        <w:rPr>
          <w:spacing w:val="-10"/>
        </w:rPr>
        <w:t> </w:t>
      </w:r>
      <w:r>
        <w:rPr/>
        <w:t>primordial</w:t>
      </w:r>
      <w:r>
        <w:rPr>
          <w:spacing w:val="-10"/>
        </w:rPr>
        <w:t> </w:t>
      </w:r>
      <w:r>
        <w:rPr/>
        <w:t>de</w:t>
      </w:r>
      <w:r>
        <w:rPr>
          <w:spacing w:val="-8"/>
        </w:rPr>
        <w:t> </w:t>
      </w:r>
      <w:r>
        <w:rPr/>
        <w:t>los</w:t>
      </w:r>
      <w:r>
        <w:rPr>
          <w:spacing w:val="-9"/>
        </w:rPr>
        <w:t> </w:t>
      </w:r>
      <w:r>
        <w:rPr/>
        <w:t>gobiernos</w:t>
      </w:r>
      <w:r>
        <w:rPr>
          <w:spacing w:val="-9"/>
        </w:rPr>
        <w:t> </w:t>
      </w:r>
      <w:r>
        <w:rPr/>
        <w:t>locales</w:t>
      </w:r>
      <w:r>
        <w:rPr>
          <w:spacing w:val="-9"/>
        </w:rPr>
        <w:t> </w:t>
      </w:r>
      <w:r>
        <w:rPr/>
        <w:t>es</w:t>
      </w:r>
      <w:r>
        <w:rPr>
          <w:spacing w:val="-9"/>
        </w:rPr>
        <w:t> </w:t>
      </w:r>
      <w:r>
        <w:rPr/>
        <w:t>la</w:t>
      </w:r>
      <w:r>
        <w:rPr>
          <w:spacing w:val="-9"/>
        </w:rPr>
        <w:t> </w:t>
      </w:r>
      <w:r>
        <w:rPr/>
        <w:t>de</w:t>
      </w:r>
      <w:r>
        <w:rPr>
          <w:spacing w:val="50"/>
        </w:rPr>
        <w:t> </w:t>
      </w:r>
      <w:r>
        <w:rPr/>
        <w:t>administrar</w:t>
      </w:r>
      <w:r>
        <w:rPr>
          <w:spacing w:val="-10"/>
        </w:rPr>
        <w:t> </w:t>
      </w:r>
      <w:r>
        <w:rPr/>
        <w:t>en</w:t>
      </w:r>
      <w:r>
        <w:rPr>
          <w:spacing w:val="-11"/>
        </w:rPr>
        <w:t> </w:t>
      </w:r>
      <w:r>
        <w:rPr/>
        <w:t>función</w:t>
      </w:r>
      <w:r>
        <w:rPr>
          <w:spacing w:val="-10"/>
        </w:rPr>
        <w:t> </w:t>
      </w:r>
      <w:r>
        <w:rPr/>
        <w:t>del</w:t>
      </w:r>
      <w:r>
        <w:rPr>
          <w:spacing w:val="-10"/>
        </w:rPr>
        <w:t> </w:t>
      </w:r>
      <w:r>
        <w:rPr/>
        <w:t>bien común,</w:t>
      </w:r>
      <w:r>
        <w:rPr>
          <w:spacing w:val="-6"/>
        </w:rPr>
        <w:t> </w:t>
      </w:r>
      <w:r>
        <w:rPr/>
        <w:t>y</w:t>
      </w:r>
      <w:r>
        <w:rPr>
          <w:spacing w:val="-9"/>
        </w:rPr>
        <w:t> </w:t>
      </w:r>
      <w:r>
        <w:rPr/>
        <w:t>esto</w:t>
      </w:r>
      <w:r>
        <w:rPr>
          <w:spacing w:val="-6"/>
        </w:rPr>
        <w:t> </w:t>
      </w:r>
      <w:r>
        <w:rPr/>
        <w:t>implica</w:t>
      </w:r>
      <w:r>
        <w:rPr>
          <w:spacing w:val="-6"/>
        </w:rPr>
        <w:t> </w:t>
      </w:r>
      <w:r>
        <w:rPr/>
        <w:t>tener</w:t>
      </w:r>
      <w:r>
        <w:rPr>
          <w:spacing w:val="-6"/>
        </w:rPr>
        <w:t> </w:t>
      </w:r>
      <w:r>
        <w:rPr/>
        <w:t>la</w:t>
      </w:r>
      <w:r>
        <w:rPr>
          <w:spacing w:val="-9"/>
        </w:rPr>
        <w:t> </w:t>
      </w:r>
      <w:r>
        <w:rPr/>
        <w:t>capacidad</w:t>
      </w:r>
      <w:r>
        <w:rPr>
          <w:spacing w:val="-6"/>
        </w:rPr>
        <w:t> </w:t>
      </w:r>
      <w:r>
        <w:rPr/>
        <w:t>de</w:t>
      </w:r>
      <w:r>
        <w:rPr>
          <w:spacing w:val="-6"/>
        </w:rPr>
        <w:t> </w:t>
      </w:r>
      <w:r>
        <w:rPr/>
        <w:t>ordenar,</w:t>
      </w:r>
      <w:r>
        <w:rPr>
          <w:spacing w:val="-9"/>
        </w:rPr>
        <w:t> </w:t>
      </w:r>
      <w:r>
        <w:rPr/>
        <w:t>organizar</w:t>
      </w:r>
      <w:r>
        <w:rPr>
          <w:spacing w:val="-7"/>
        </w:rPr>
        <w:t> </w:t>
      </w:r>
      <w:r>
        <w:rPr/>
        <w:t>su</w:t>
      </w:r>
      <w:r>
        <w:rPr>
          <w:spacing w:val="-8"/>
        </w:rPr>
        <w:t> </w:t>
      </w:r>
      <w:r>
        <w:rPr/>
        <w:t>funcionamiento</w:t>
      </w:r>
      <w:r>
        <w:rPr>
          <w:spacing w:val="-8"/>
        </w:rPr>
        <w:t> </w:t>
      </w:r>
      <w:r>
        <w:rPr/>
        <w:t>y la</w:t>
      </w:r>
      <w:r>
        <w:rPr>
          <w:spacing w:val="-14"/>
        </w:rPr>
        <w:t> </w:t>
      </w:r>
      <w:r>
        <w:rPr/>
        <w:t>prestación</w:t>
      </w:r>
      <w:r>
        <w:rPr>
          <w:spacing w:val="-16"/>
        </w:rPr>
        <w:t> </w:t>
      </w:r>
      <w:r>
        <w:rPr/>
        <w:t>de</w:t>
      </w:r>
      <w:r>
        <w:rPr>
          <w:spacing w:val="-14"/>
        </w:rPr>
        <w:t> </w:t>
      </w:r>
      <w:r>
        <w:rPr/>
        <w:t>los</w:t>
      </w:r>
      <w:r>
        <w:rPr>
          <w:spacing w:val="-17"/>
        </w:rPr>
        <w:t> </w:t>
      </w:r>
      <w:r>
        <w:rPr/>
        <w:t>servicios;</w:t>
      </w:r>
      <w:r>
        <w:rPr>
          <w:spacing w:val="-13"/>
        </w:rPr>
        <w:t> </w:t>
      </w:r>
      <w:r>
        <w:rPr/>
        <w:t>el</w:t>
      </w:r>
      <w:r>
        <w:rPr>
          <w:spacing w:val="-15"/>
        </w:rPr>
        <w:t> </w:t>
      </w:r>
      <w:r>
        <w:rPr/>
        <w:t>campo</w:t>
      </w:r>
      <w:r>
        <w:rPr>
          <w:spacing w:val="-16"/>
        </w:rPr>
        <w:t> </w:t>
      </w:r>
      <w:r>
        <w:rPr/>
        <w:t>de</w:t>
      </w:r>
      <w:r>
        <w:rPr>
          <w:spacing w:val="-17"/>
        </w:rPr>
        <w:t> </w:t>
      </w:r>
      <w:r>
        <w:rPr/>
        <w:t>acción</w:t>
      </w:r>
      <w:r>
        <w:rPr>
          <w:spacing w:val="-16"/>
        </w:rPr>
        <w:t> </w:t>
      </w:r>
      <w:r>
        <w:rPr/>
        <w:t>donde</w:t>
      </w:r>
      <w:r>
        <w:rPr>
          <w:spacing w:val="-16"/>
        </w:rPr>
        <w:t> </w:t>
      </w:r>
      <w:r>
        <w:rPr/>
        <w:t>se</w:t>
      </w:r>
      <w:r>
        <w:rPr>
          <w:spacing w:val="-16"/>
        </w:rPr>
        <w:t> </w:t>
      </w:r>
      <w:r>
        <w:rPr/>
        <w:t>desenvuelve</w:t>
      </w:r>
      <w:r>
        <w:rPr>
          <w:spacing w:val="-14"/>
        </w:rPr>
        <w:t> </w:t>
      </w:r>
      <w:r>
        <w:rPr/>
        <w:t>la</w:t>
      </w:r>
      <w:r>
        <w:rPr>
          <w:spacing w:val="-14"/>
        </w:rPr>
        <w:t> </w:t>
      </w:r>
      <w:r>
        <w:rPr/>
        <w:t>actividad municipal es a través de la</w:t>
      </w:r>
      <w:r>
        <w:rPr>
          <w:spacing w:val="-12"/>
        </w:rPr>
        <w:t> </w:t>
      </w:r>
      <w:r>
        <w:rPr/>
        <w:t>administración.</w:t>
      </w:r>
    </w:p>
    <w:p>
      <w:pPr>
        <w:pStyle w:val="BodyText"/>
        <w:spacing w:before="7"/>
      </w:pPr>
    </w:p>
    <w:p>
      <w:pPr>
        <w:pStyle w:val="BodyText"/>
        <w:spacing w:line="360" w:lineRule="auto"/>
        <w:ind w:left="102" w:right="116"/>
        <w:jc w:val="both"/>
      </w:pPr>
      <w:r>
        <w:rPr/>
        <w:t>Un aspecto fundamental para el desarrollo de una buena administración municipal, es que las autoridades municipales conozcan, apliquen o implementen y den seguimiento a los instrumentos de administración municipal tales como:</w:t>
      </w:r>
      <w:r>
        <w:rPr>
          <w:spacing w:val="-35"/>
        </w:rPr>
        <w:t> </w:t>
      </w:r>
      <w:r>
        <w:rPr/>
        <w:t>evaluación del desempeño laboral, manuales de organización y procedimientos, funciones y descripción de puestos, control de bienes inmuebles y los demás que señale las leyes respectivas en la</w:t>
      </w:r>
      <w:r>
        <w:rPr>
          <w:spacing w:val="-9"/>
        </w:rPr>
        <w:t> </w:t>
      </w:r>
      <w:r>
        <w:rPr/>
        <w:t>materia.</w:t>
      </w:r>
    </w:p>
    <w:p>
      <w:pPr>
        <w:pStyle w:val="BodyText"/>
        <w:spacing w:before="8"/>
      </w:pPr>
    </w:p>
    <w:p>
      <w:pPr>
        <w:pStyle w:val="BodyText"/>
        <w:spacing w:line="360" w:lineRule="auto"/>
        <w:ind w:left="102" w:right="126"/>
        <w:jc w:val="both"/>
      </w:pPr>
      <w:r>
        <w:rPr/>
        <w:t>La administración se define como el proceso de diseñar y mantener un medio ambiente en el cual los individuos, que trabajan juntos en grupos, logran eficientemente los objetivos seleccionados.</w:t>
      </w:r>
    </w:p>
    <w:p>
      <w:pPr>
        <w:pStyle w:val="BodyText"/>
        <w:spacing w:before="7"/>
      </w:pPr>
    </w:p>
    <w:p>
      <w:pPr>
        <w:pStyle w:val="BodyText"/>
        <w:spacing w:line="360" w:lineRule="auto"/>
        <w:ind w:left="102" w:right="117"/>
        <w:jc w:val="both"/>
      </w:pPr>
      <w:r>
        <w:rPr/>
        <w:t>La administración Municipal puede definirse de modo general como una </w:t>
      </w:r>
      <w:r>
        <w:rPr>
          <w:u w:val="single"/>
        </w:rPr>
        <w:t>organización públic</w:t>
      </w:r>
      <w:r>
        <w:rPr/>
        <w:t>a investida de autoridad para decir y administrar un conjunto limitado de asuntos públicos dentro de un territorio relativamente pequeño que constituye una subdivisión del gobierno estatal.</w:t>
      </w:r>
    </w:p>
    <w:p>
      <w:pPr>
        <w:pStyle w:val="BodyText"/>
        <w:spacing w:before="8"/>
      </w:pPr>
    </w:p>
    <w:p>
      <w:pPr>
        <w:pStyle w:val="BodyText"/>
        <w:spacing w:line="360" w:lineRule="auto"/>
        <w:ind w:left="102" w:right="122"/>
        <w:jc w:val="both"/>
      </w:pPr>
      <w:r>
        <w:rPr/>
        <w:t>La</w:t>
      </w:r>
      <w:r>
        <w:rPr>
          <w:spacing w:val="-12"/>
        </w:rPr>
        <w:t> </w:t>
      </w:r>
      <w:r>
        <w:rPr/>
        <w:t>organización</w:t>
      </w:r>
      <w:r>
        <w:rPr>
          <w:spacing w:val="-9"/>
        </w:rPr>
        <w:t> </w:t>
      </w:r>
      <w:r>
        <w:rPr/>
        <w:t>se</w:t>
      </w:r>
      <w:r>
        <w:rPr>
          <w:spacing w:val="-12"/>
        </w:rPr>
        <w:t> </w:t>
      </w:r>
      <w:r>
        <w:rPr/>
        <w:t>puede</w:t>
      </w:r>
      <w:r>
        <w:rPr>
          <w:spacing w:val="-12"/>
        </w:rPr>
        <w:t> </w:t>
      </w:r>
      <w:r>
        <w:rPr/>
        <w:t>considerar</w:t>
      </w:r>
      <w:r>
        <w:rPr>
          <w:spacing w:val="-11"/>
        </w:rPr>
        <w:t> </w:t>
      </w:r>
      <w:r>
        <w:rPr/>
        <w:t>como</w:t>
      </w:r>
      <w:r>
        <w:rPr>
          <w:spacing w:val="-9"/>
        </w:rPr>
        <w:t> </w:t>
      </w:r>
      <w:r>
        <w:rPr/>
        <w:t>un</w:t>
      </w:r>
      <w:r>
        <w:rPr>
          <w:spacing w:val="-9"/>
        </w:rPr>
        <w:t> </w:t>
      </w:r>
      <w:r>
        <w:rPr/>
        <w:t>cuerpo</w:t>
      </w:r>
      <w:r>
        <w:rPr>
          <w:spacing w:val="-11"/>
        </w:rPr>
        <w:t> </w:t>
      </w:r>
      <w:r>
        <w:rPr/>
        <w:t>o</w:t>
      </w:r>
      <w:r>
        <w:rPr>
          <w:spacing w:val="-9"/>
        </w:rPr>
        <w:t> </w:t>
      </w:r>
      <w:r>
        <w:rPr/>
        <w:t>sistema</w:t>
      </w:r>
      <w:r>
        <w:rPr>
          <w:spacing w:val="-12"/>
        </w:rPr>
        <w:t> </w:t>
      </w:r>
      <w:r>
        <w:rPr/>
        <w:t>donde</w:t>
      </w:r>
      <w:r>
        <w:rPr>
          <w:spacing w:val="-12"/>
        </w:rPr>
        <w:t> </w:t>
      </w:r>
      <w:r>
        <w:rPr/>
        <w:t>cada</w:t>
      </w:r>
      <w:r>
        <w:rPr>
          <w:spacing w:val="-12"/>
        </w:rPr>
        <w:t> </w:t>
      </w:r>
      <w:r>
        <w:rPr/>
        <w:t>uno</w:t>
      </w:r>
      <w:r>
        <w:rPr>
          <w:spacing w:val="-14"/>
        </w:rPr>
        <w:t> </w:t>
      </w:r>
      <w:r>
        <w:rPr/>
        <w:t>de los</w:t>
      </w:r>
      <w:r>
        <w:rPr>
          <w:spacing w:val="-5"/>
        </w:rPr>
        <w:t> </w:t>
      </w:r>
      <w:r>
        <w:rPr/>
        <w:t>miembros</w:t>
      </w:r>
      <w:r>
        <w:rPr>
          <w:spacing w:val="-5"/>
        </w:rPr>
        <w:t> </w:t>
      </w:r>
      <w:r>
        <w:rPr/>
        <w:t>tiene</w:t>
      </w:r>
      <w:r>
        <w:rPr>
          <w:spacing w:val="-7"/>
        </w:rPr>
        <w:t> </w:t>
      </w:r>
      <w:r>
        <w:rPr/>
        <w:t>una</w:t>
      </w:r>
      <w:r>
        <w:rPr>
          <w:spacing w:val="-7"/>
        </w:rPr>
        <w:t> </w:t>
      </w:r>
      <w:r>
        <w:rPr/>
        <w:t>función.</w:t>
      </w:r>
      <w:r>
        <w:rPr>
          <w:spacing w:val="-5"/>
        </w:rPr>
        <w:t> </w:t>
      </w:r>
      <w:r>
        <w:rPr/>
        <w:t>La</w:t>
      </w:r>
      <w:r>
        <w:rPr>
          <w:spacing w:val="-7"/>
        </w:rPr>
        <w:t> </w:t>
      </w:r>
      <w:r>
        <w:rPr/>
        <w:t>efectividad</w:t>
      </w:r>
      <w:r>
        <w:rPr>
          <w:spacing w:val="-5"/>
        </w:rPr>
        <w:t> </w:t>
      </w:r>
      <w:r>
        <w:rPr/>
        <w:t>del</w:t>
      </w:r>
      <w:r>
        <w:rPr>
          <w:spacing w:val="-6"/>
        </w:rPr>
        <w:t> </w:t>
      </w:r>
      <w:r>
        <w:rPr/>
        <w:t>cuerpo</w:t>
      </w:r>
      <w:r>
        <w:rPr>
          <w:spacing w:val="-7"/>
        </w:rPr>
        <w:t> </w:t>
      </w:r>
      <w:r>
        <w:rPr/>
        <w:t>depende</w:t>
      </w:r>
      <w:r>
        <w:rPr>
          <w:spacing w:val="-7"/>
        </w:rPr>
        <w:t> </w:t>
      </w:r>
      <w:r>
        <w:rPr/>
        <w:t>de</w:t>
      </w:r>
      <w:r>
        <w:rPr>
          <w:spacing w:val="-5"/>
        </w:rPr>
        <w:t> </w:t>
      </w:r>
      <w:r>
        <w:rPr/>
        <w:t>la</w:t>
      </w:r>
      <w:r>
        <w:rPr>
          <w:spacing w:val="-7"/>
        </w:rPr>
        <w:t> </w:t>
      </w:r>
      <w:r>
        <w:rPr/>
        <w:t>capacidad de realización de cada uno de los miembros, los cuales son mutuamente interdependientes.</w:t>
      </w:r>
    </w:p>
    <w:p>
      <w:pPr>
        <w:spacing w:after="0" w:line="360" w:lineRule="auto"/>
        <w:jc w:val="both"/>
        <w:sectPr>
          <w:pgSz w:w="12240" w:h="15840"/>
          <w:pgMar w:header="0" w:footer="992" w:top="1360" w:bottom="1180" w:left="1600" w:right="1580"/>
        </w:sectPr>
      </w:pPr>
    </w:p>
    <w:p>
      <w:pPr>
        <w:pStyle w:val="BodyText"/>
        <w:spacing w:line="360" w:lineRule="auto" w:before="54"/>
        <w:ind w:left="102" w:right="118"/>
        <w:jc w:val="both"/>
      </w:pPr>
      <w:r>
        <w:rPr/>
        <w:t>Por último, la organización administrativa pública municipal varía dependiendo de cada municipio, eso por una parte, por otra depende de las bases de organización determinadas por las legislaturas estatales.</w:t>
      </w:r>
    </w:p>
    <w:p>
      <w:pPr>
        <w:pStyle w:val="BodyText"/>
      </w:pPr>
    </w:p>
    <w:p>
      <w:pPr>
        <w:pStyle w:val="Heading1"/>
        <w:numPr>
          <w:ilvl w:val="1"/>
          <w:numId w:val="26"/>
        </w:numPr>
        <w:tabs>
          <w:tab w:pos="3324" w:val="left" w:leader="none"/>
        </w:tabs>
        <w:spacing w:line="240" w:lineRule="auto" w:before="207" w:after="0"/>
        <w:ind w:left="3323" w:right="0" w:hanging="468"/>
        <w:jc w:val="left"/>
      </w:pPr>
      <w:bookmarkStart w:name="_TOC_250018" w:id="34"/>
      <w:r>
        <w:rPr/>
        <w:t>Planeación</w:t>
      </w:r>
      <w:r>
        <w:rPr>
          <w:spacing w:val="-7"/>
        </w:rPr>
        <w:t> </w:t>
      </w:r>
      <w:bookmarkEnd w:id="34"/>
      <w:r>
        <w:rPr/>
        <w:t>municipal</w:t>
      </w:r>
    </w:p>
    <w:p>
      <w:pPr>
        <w:pStyle w:val="BodyText"/>
        <w:rPr>
          <w:b/>
          <w:sz w:val="28"/>
        </w:rPr>
      </w:pPr>
    </w:p>
    <w:p>
      <w:pPr>
        <w:pStyle w:val="BodyText"/>
        <w:rPr>
          <w:b/>
          <w:sz w:val="28"/>
        </w:rPr>
      </w:pPr>
    </w:p>
    <w:p>
      <w:pPr>
        <w:pStyle w:val="BodyText"/>
        <w:spacing w:before="3"/>
        <w:rPr>
          <w:b/>
          <w:sz w:val="30"/>
        </w:rPr>
      </w:pPr>
    </w:p>
    <w:p>
      <w:pPr>
        <w:pStyle w:val="BodyText"/>
        <w:spacing w:line="360" w:lineRule="auto"/>
        <w:ind w:left="102" w:right="117"/>
        <w:jc w:val="both"/>
      </w:pPr>
      <w:r>
        <w:rPr/>
        <w:t>La forma de cumplir con las funciones que la Constitución Política de los Estados Unidos Mexicanos confiere a los municipios es a través de la planeación democrática</w:t>
      </w:r>
      <w:r>
        <w:rPr>
          <w:spacing w:val="-9"/>
        </w:rPr>
        <w:t> </w:t>
      </w:r>
      <w:r>
        <w:rPr/>
        <w:t>del</w:t>
      </w:r>
      <w:r>
        <w:rPr>
          <w:spacing w:val="-10"/>
        </w:rPr>
        <w:t> </w:t>
      </w:r>
      <w:r>
        <w:rPr/>
        <w:t>desarrollo</w:t>
      </w:r>
      <w:r>
        <w:rPr>
          <w:spacing w:val="-8"/>
        </w:rPr>
        <w:t> </w:t>
      </w:r>
      <w:r>
        <w:rPr/>
        <w:t>municipal,</w:t>
      </w:r>
      <w:r>
        <w:rPr>
          <w:spacing w:val="-11"/>
        </w:rPr>
        <w:t> </w:t>
      </w:r>
      <w:r>
        <w:rPr/>
        <w:t>fundamentado</w:t>
      </w:r>
      <w:r>
        <w:rPr>
          <w:spacing w:val="-8"/>
        </w:rPr>
        <w:t> </w:t>
      </w:r>
      <w:r>
        <w:rPr/>
        <w:t>en</w:t>
      </w:r>
      <w:r>
        <w:rPr>
          <w:spacing w:val="-7"/>
        </w:rPr>
        <w:t> </w:t>
      </w:r>
      <w:r>
        <w:rPr/>
        <w:t>la</w:t>
      </w:r>
      <w:r>
        <w:rPr>
          <w:spacing w:val="-9"/>
        </w:rPr>
        <w:t> </w:t>
      </w:r>
      <w:r>
        <w:rPr/>
        <w:t>Constitución</w:t>
      </w:r>
      <w:r>
        <w:rPr>
          <w:spacing w:val="-8"/>
        </w:rPr>
        <w:t> </w:t>
      </w:r>
      <w:r>
        <w:rPr/>
        <w:t>del</w:t>
      </w:r>
      <w:r>
        <w:rPr>
          <w:spacing w:val="-10"/>
        </w:rPr>
        <w:t> </w:t>
      </w:r>
      <w:r>
        <w:rPr/>
        <w:t>estado</w:t>
      </w:r>
      <w:r>
        <w:rPr>
          <w:spacing w:val="-8"/>
        </w:rPr>
        <w:t> </w:t>
      </w:r>
      <w:r>
        <w:rPr/>
        <w:t>y la Ley Orgánica Municipal respectiva y principalmente en la Constitución</w:t>
      </w:r>
      <w:r>
        <w:rPr>
          <w:spacing w:val="-23"/>
        </w:rPr>
        <w:t> </w:t>
      </w:r>
      <w:r>
        <w:rPr/>
        <w:t>Federal.</w:t>
      </w:r>
    </w:p>
    <w:p>
      <w:pPr>
        <w:pStyle w:val="BodyText"/>
        <w:spacing w:before="3"/>
        <w:rPr>
          <w:sz w:val="21"/>
        </w:rPr>
      </w:pPr>
    </w:p>
    <w:p>
      <w:pPr>
        <w:pStyle w:val="BodyText"/>
        <w:spacing w:line="360" w:lineRule="auto"/>
        <w:ind w:left="102" w:right="117"/>
        <w:jc w:val="both"/>
      </w:pPr>
      <w:r>
        <w:rPr/>
        <w:t>La planeación municipal es obligatoria y debe llevarse a cabo como un medio para hacer más eficaz el desempeño de la responsabilidad del ayuntamiento, con sus dependencias</w:t>
      </w:r>
      <w:r>
        <w:rPr>
          <w:spacing w:val="-10"/>
        </w:rPr>
        <w:t> </w:t>
      </w:r>
      <w:r>
        <w:rPr/>
        <w:t>y</w:t>
      </w:r>
      <w:r>
        <w:rPr>
          <w:spacing w:val="-10"/>
        </w:rPr>
        <w:t> </w:t>
      </w:r>
      <w:r>
        <w:rPr/>
        <w:t>entidades</w:t>
      </w:r>
      <w:r>
        <w:rPr>
          <w:spacing w:val="-10"/>
        </w:rPr>
        <w:t> </w:t>
      </w:r>
      <w:r>
        <w:rPr/>
        <w:t>administrativas.</w:t>
      </w:r>
      <w:r>
        <w:rPr>
          <w:spacing w:val="-3"/>
        </w:rPr>
        <w:t> </w:t>
      </w:r>
      <w:r>
        <w:rPr>
          <w:spacing w:val="-2"/>
        </w:rPr>
        <w:t>“La</w:t>
      </w:r>
      <w:r>
        <w:rPr>
          <w:spacing w:val="-7"/>
        </w:rPr>
        <w:t> </w:t>
      </w:r>
      <w:r>
        <w:rPr/>
        <w:t>planeación</w:t>
      </w:r>
      <w:r>
        <w:rPr>
          <w:spacing w:val="-11"/>
        </w:rPr>
        <w:t> </w:t>
      </w:r>
      <w:r>
        <w:rPr/>
        <w:t>es</w:t>
      </w:r>
      <w:r>
        <w:rPr>
          <w:spacing w:val="-8"/>
        </w:rPr>
        <w:t> </w:t>
      </w:r>
      <w:r>
        <w:rPr/>
        <w:t>la</w:t>
      </w:r>
      <w:r>
        <w:rPr>
          <w:spacing w:val="-10"/>
        </w:rPr>
        <w:t> </w:t>
      </w:r>
      <w:r>
        <w:rPr/>
        <w:t>determinación</w:t>
      </w:r>
      <w:r>
        <w:rPr>
          <w:spacing w:val="-9"/>
        </w:rPr>
        <w:t> </w:t>
      </w:r>
      <w:r>
        <w:rPr/>
        <w:t>de</w:t>
      </w:r>
      <w:r>
        <w:rPr>
          <w:spacing w:val="-9"/>
        </w:rPr>
        <w:t> </w:t>
      </w:r>
      <w:r>
        <w:rPr/>
        <w:t>lo que se va hacerse, incluye decisiones de importancia, como el establecimiento de políticas y objetivos, redacción de programas y determinación de métodos específicos y procedimientos; además, establecimiento de las células diarias de trabajo” (Huerta,</w:t>
      </w:r>
      <w:r>
        <w:rPr>
          <w:spacing w:val="-10"/>
        </w:rPr>
        <w:t> </w:t>
      </w:r>
      <w:r>
        <w:rPr/>
        <w:t>1985:299).</w:t>
      </w:r>
    </w:p>
    <w:p>
      <w:pPr>
        <w:pStyle w:val="BodyText"/>
        <w:spacing w:before="3"/>
        <w:rPr>
          <w:sz w:val="21"/>
        </w:rPr>
      </w:pPr>
    </w:p>
    <w:p>
      <w:pPr>
        <w:spacing w:before="0"/>
        <w:ind w:left="954" w:right="114" w:firstLine="0"/>
        <w:jc w:val="both"/>
        <w:rPr>
          <w:sz w:val="22"/>
        </w:rPr>
      </w:pPr>
      <w:r>
        <w:rPr>
          <w:sz w:val="22"/>
        </w:rPr>
        <w:t>La planeación es un proceso de toma de decisiones que constituye una herramienta de gobierno, directamente relacionada con un proyecto político de desarrollo. Es en el proceso de planeación donde se fijan con precisión los objetivos y metas a partir del sentir social y del proyecto político de gobierno; se definen las políticas, las estrategias y acciones tendientes al cumplimiento de los objetivos previamente establecidos; éste conjunto de actividades, debe buscar en su operación la optimización y racionalidad de los recursos con que se cuenta, la satisfacción de las necesidades sociales de interés común y la procuración y orientación del desarrollo socioeconómico del país, los estados de la federación y los municipios (Reynoso y Villafuerte, 2003:2).</w:t>
      </w:r>
    </w:p>
    <w:p>
      <w:pPr>
        <w:pStyle w:val="BodyText"/>
        <w:spacing w:before="9"/>
        <w:rPr>
          <w:sz w:val="20"/>
        </w:rPr>
      </w:pPr>
    </w:p>
    <w:p>
      <w:pPr>
        <w:pStyle w:val="BodyText"/>
        <w:ind w:left="102"/>
        <w:jc w:val="both"/>
      </w:pPr>
      <w:r>
        <w:rPr/>
        <w:t>Algunos de estos propósitos son los siguientes:</w:t>
      </w:r>
    </w:p>
    <w:p>
      <w:pPr>
        <w:pStyle w:val="BodyText"/>
        <w:spacing w:before="8"/>
        <w:rPr>
          <w:sz w:val="32"/>
        </w:rPr>
      </w:pPr>
    </w:p>
    <w:p>
      <w:pPr>
        <w:pStyle w:val="ListParagraph"/>
        <w:numPr>
          <w:ilvl w:val="0"/>
          <w:numId w:val="31"/>
        </w:numPr>
        <w:tabs>
          <w:tab w:pos="1542" w:val="left" w:leader="none"/>
          <w:tab w:pos="2602" w:val="left" w:leader="none"/>
          <w:tab w:pos="2956" w:val="left" w:leader="none"/>
          <w:tab w:pos="3481" w:val="left" w:leader="none"/>
          <w:tab w:pos="4939" w:val="left" w:leader="none"/>
          <w:tab w:pos="6426" w:val="left" w:leader="none"/>
          <w:tab w:pos="6834" w:val="left" w:leader="none"/>
          <w:tab w:pos="8266" w:val="left" w:leader="none"/>
          <w:tab w:pos="8750" w:val="left" w:leader="none"/>
        </w:tabs>
        <w:spacing w:line="360" w:lineRule="auto" w:before="1" w:after="0"/>
        <w:ind w:left="1542" w:right="120" w:hanging="360"/>
        <w:jc w:val="left"/>
        <w:rPr>
          <w:sz w:val="24"/>
        </w:rPr>
      </w:pPr>
      <w:r>
        <w:rPr>
          <w:sz w:val="24"/>
        </w:rPr>
        <w:t>Facilitar</w:t>
        <w:tab/>
        <w:t>a</w:t>
        <w:tab/>
        <w:t>los</w:t>
        <w:tab/>
        <w:t>presidentes</w:t>
        <w:tab/>
        <w:t>municipales</w:t>
        <w:tab/>
        <w:t>la</w:t>
        <w:tab/>
        <w:t>conducción</w:t>
        <w:tab/>
        <w:t>de</w:t>
        <w:tab/>
        <w:t>la administración y gestión</w:t>
      </w:r>
      <w:r>
        <w:rPr>
          <w:spacing w:val="-9"/>
          <w:sz w:val="24"/>
        </w:rPr>
        <w:t> </w:t>
      </w:r>
      <w:r>
        <w:rPr>
          <w:sz w:val="24"/>
        </w:rPr>
        <w:t>municipal.</w:t>
      </w:r>
    </w:p>
    <w:p>
      <w:pPr>
        <w:pStyle w:val="ListParagraph"/>
        <w:numPr>
          <w:ilvl w:val="0"/>
          <w:numId w:val="31"/>
        </w:numPr>
        <w:tabs>
          <w:tab w:pos="1542" w:val="left" w:leader="none"/>
        </w:tabs>
        <w:spacing w:line="240" w:lineRule="auto" w:before="2" w:after="0"/>
        <w:ind w:left="1542" w:right="0" w:hanging="360"/>
        <w:jc w:val="left"/>
        <w:rPr>
          <w:sz w:val="24"/>
        </w:rPr>
      </w:pPr>
      <w:r>
        <w:rPr>
          <w:sz w:val="24"/>
        </w:rPr>
        <w:t>Racionalizar la asignación de los recursos, el ordenamiento</w:t>
      </w:r>
      <w:r>
        <w:rPr>
          <w:spacing w:val="33"/>
          <w:sz w:val="24"/>
        </w:rPr>
        <w:t> </w:t>
      </w:r>
      <w:r>
        <w:rPr>
          <w:sz w:val="24"/>
        </w:rPr>
        <w:t>territorial</w:t>
      </w:r>
    </w:p>
    <w:p>
      <w:pPr>
        <w:spacing w:after="0" w:line="240" w:lineRule="auto"/>
        <w:jc w:val="left"/>
        <w:rPr>
          <w:sz w:val="24"/>
        </w:rPr>
        <w:sectPr>
          <w:pgSz w:w="12240" w:h="15840"/>
          <w:pgMar w:header="0" w:footer="992" w:top="1360" w:bottom="1180" w:left="1600" w:right="1580"/>
        </w:sectPr>
      </w:pPr>
    </w:p>
    <w:p>
      <w:pPr>
        <w:pStyle w:val="BodyText"/>
        <w:spacing w:before="51"/>
        <w:ind w:left="1422"/>
      </w:pPr>
      <w:r>
        <w:rPr/>
        <w:t>y la prestación de los servicios públicos.</w:t>
      </w:r>
    </w:p>
    <w:p>
      <w:pPr>
        <w:pStyle w:val="ListParagraph"/>
        <w:numPr>
          <w:ilvl w:val="0"/>
          <w:numId w:val="32"/>
        </w:numPr>
        <w:tabs>
          <w:tab w:pos="1422" w:val="left" w:leader="none"/>
        </w:tabs>
        <w:spacing w:line="360" w:lineRule="auto" w:before="139" w:after="0"/>
        <w:ind w:left="1422" w:right="116" w:hanging="360"/>
        <w:jc w:val="left"/>
        <w:rPr>
          <w:sz w:val="24"/>
        </w:rPr>
      </w:pPr>
      <w:r>
        <w:rPr>
          <w:sz w:val="24"/>
        </w:rPr>
        <w:t>Ampliar la capacidad empresarial, de regulación y de promoción de actividades económicas, sociales, políticas y</w:t>
      </w:r>
      <w:r>
        <w:rPr>
          <w:spacing w:val="-13"/>
          <w:sz w:val="24"/>
        </w:rPr>
        <w:t> </w:t>
      </w:r>
      <w:r>
        <w:rPr>
          <w:sz w:val="24"/>
        </w:rPr>
        <w:t>culturales.</w:t>
      </w:r>
    </w:p>
    <w:p>
      <w:pPr>
        <w:pStyle w:val="ListParagraph"/>
        <w:numPr>
          <w:ilvl w:val="0"/>
          <w:numId w:val="32"/>
        </w:numPr>
        <w:tabs>
          <w:tab w:pos="1422" w:val="left" w:leader="none"/>
        </w:tabs>
        <w:spacing w:line="240" w:lineRule="auto" w:before="5" w:after="0"/>
        <w:ind w:left="1422" w:right="0" w:hanging="360"/>
        <w:jc w:val="left"/>
        <w:rPr>
          <w:sz w:val="24"/>
        </w:rPr>
      </w:pPr>
      <w:r>
        <w:rPr>
          <w:sz w:val="24"/>
        </w:rPr>
        <w:t>Modernizar la gestión municipal para facilitar la ejecución del</w:t>
      </w:r>
      <w:r>
        <w:rPr>
          <w:spacing w:val="-16"/>
          <w:sz w:val="24"/>
        </w:rPr>
        <w:t> </w:t>
      </w:r>
      <w:r>
        <w:rPr>
          <w:sz w:val="24"/>
        </w:rPr>
        <w:t>plan.</w:t>
      </w:r>
    </w:p>
    <w:p>
      <w:pPr>
        <w:pStyle w:val="ListParagraph"/>
        <w:numPr>
          <w:ilvl w:val="0"/>
          <w:numId w:val="32"/>
        </w:numPr>
        <w:tabs>
          <w:tab w:pos="1422" w:val="left" w:leader="none"/>
        </w:tabs>
        <w:spacing w:line="360" w:lineRule="auto" w:before="137" w:after="0"/>
        <w:ind w:left="1422" w:right="123" w:hanging="360"/>
        <w:jc w:val="left"/>
        <w:rPr>
          <w:sz w:val="24"/>
        </w:rPr>
      </w:pPr>
      <w:r>
        <w:rPr>
          <w:sz w:val="24"/>
        </w:rPr>
        <w:t>Buscar la congruencia y racionalidad entre los medios disponibles y los fines</w:t>
      </w:r>
      <w:r>
        <w:rPr>
          <w:spacing w:val="-6"/>
          <w:sz w:val="24"/>
        </w:rPr>
        <w:t> </w:t>
      </w:r>
      <w:r>
        <w:rPr>
          <w:sz w:val="24"/>
        </w:rPr>
        <w:t>perseguidos.</w:t>
      </w:r>
    </w:p>
    <w:p>
      <w:pPr>
        <w:pStyle w:val="ListParagraph"/>
        <w:numPr>
          <w:ilvl w:val="0"/>
          <w:numId w:val="32"/>
        </w:numPr>
        <w:tabs>
          <w:tab w:pos="1422" w:val="left" w:leader="none"/>
        </w:tabs>
        <w:spacing w:line="360" w:lineRule="auto" w:before="2" w:after="0"/>
        <w:ind w:left="1422" w:right="122" w:hanging="360"/>
        <w:jc w:val="left"/>
        <w:rPr>
          <w:sz w:val="24"/>
        </w:rPr>
      </w:pPr>
      <w:r>
        <w:rPr>
          <w:sz w:val="24"/>
        </w:rPr>
        <w:t>Eficientar las funciones y legitimar la actuación de la administración pública</w:t>
      </w:r>
      <w:r>
        <w:rPr>
          <w:spacing w:val="-6"/>
          <w:sz w:val="24"/>
        </w:rPr>
        <w:t> </w:t>
      </w:r>
      <w:r>
        <w:rPr>
          <w:sz w:val="24"/>
        </w:rPr>
        <w:t>municipal.</w:t>
      </w:r>
    </w:p>
    <w:p>
      <w:pPr>
        <w:pStyle w:val="ListParagraph"/>
        <w:numPr>
          <w:ilvl w:val="0"/>
          <w:numId w:val="32"/>
        </w:numPr>
        <w:tabs>
          <w:tab w:pos="1422" w:val="left" w:leader="none"/>
        </w:tabs>
        <w:spacing w:line="362" w:lineRule="auto" w:before="2" w:after="0"/>
        <w:ind w:left="1422" w:right="123" w:hanging="360"/>
        <w:jc w:val="left"/>
        <w:rPr>
          <w:sz w:val="24"/>
        </w:rPr>
      </w:pPr>
      <w:r>
        <w:rPr>
          <w:sz w:val="24"/>
        </w:rPr>
        <w:t>La coordinación y organización administrativa tanto en funciones como en</w:t>
      </w:r>
      <w:r>
        <w:rPr>
          <w:spacing w:val="-10"/>
          <w:sz w:val="24"/>
        </w:rPr>
        <w:t> </w:t>
      </w:r>
      <w:r>
        <w:rPr>
          <w:sz w:val="24"/>
        </w:rPr>
        <w:t>responsabilidades.</w:t>
      </w:r>
    </w:p>
    <w:p>
      <w:pPr>
        <w:pStyle w:val="ListParagraph"/>
        <w:numPr>
          <w:ilvl w:val="0"/>
          <w:numId w:val="32"/>
        </w:numPr>
        <w:tabs>
          <w:tab w:pos="1422" w:val="left" w:leader="none"/>
        </w:tabs>
        <w:spacing w:line="240" w:lineRule="auto" w:before="0" w:after="0"/>
        <w:ind w:left="1422" w:right="0" w:hanging="360"/>
        <w:jc w:val="left"/>
        <w:rPr>
          <w:sz w:val="24"/>
        </w:rPr>
      </w:pPr>
      <w:r>
        <w:rPr>
          <w:sz w:val="24"/>
        </w:rPr>
        <w:t>Propiciar la participación de los diferentes sectores</w:t>
      </w:r>
      <w:r>
        <w:rPr>
          <w:spacing w:val="-20"/>
          <w:sz w:val="24"/>
        </w:rPr>
        <w:t> </w:t>
      </w:r>
      <w:r>
        <w:rPr>
          <w:sz w:val="24"/>
        </w:rPr>
        <w:t>sociales.</w:t>
      </w:r>
    </w:p>
    <w:p>
      <w:pPr>
        <w:pStyle w:val="ListParagraph"/>
        <w:numPr>
          <w:ilvl w:val="0"/>
          <w:numId w:val="32"/>
        </w:numPr>
        <w:tabs>
          <w:tab w:pos="1422" w:val="left" w:leader="none"/>
        </w:tabs>
        <w:spacing w:line="360" w:lineRule="auto" w:before="139" w:after="0"/>
        <w:ind w:left="1422" w:right="115" w:hanging="360"/>
        <w:jc w:val="left"/>
        <w:rPr>
          <w:sz w:val="24"/>
        </w:rPr>
      </w:pPr>
      <w:r>
        <w:rPr>
          <w:sz w:val="24"/>
        </w:rPr>
        <w:t>Favorecer</w:t>
      </w:r>
      <w:r>
        <w:rPr>
          <w:spacing w:val="-10"/>
          <w:sz w:val="24"/>
        </w:rPr>
        <w:t> </w:t>
      </w:r>
      <w:r>
        <w:rPr>
          <w:sz w:val="24"/>
        </w:rPr>
        <w:t>el</w:t>
      </w:r>
      <w:r>
        <w:rPr>
          <w:spacing w:val="-10"/>
          <w:sz w:val="24"/>
        </w:rPr>
        <w:t> </w:t>
      </w:r>
      <w:r>
        <w:rPr>
          <w:sz w:val="24"/>
        </w:rPr>
        <w:t>papel</w:t>
      </w:r>
      <w:r>
        <w:rPr>
          <w:spacing w:val="-10"/>
          <w:sz w:val="24"/>
        </w:rPr>
        <w:t> </w:t>
      </w:r>
      <w:r>
        <w:rPr>
          <w:sz w:val="24"/>
        </w:rPr>
        <w:t>de</w:t>
      </w:r>
      <w:r>
        <w:rPr>
          <w:spacing w:val="-11"/>
          <w:sz w:val="24"/>
        </w:rPr>
        <w:t> </w:t>
      </w:r>
      <w:r>
        <w:rPr>
          <w:sz w:val="24"/>
        </w:rPr>
        <w:t>promotores</w:t>
      </w:r>
      <w:r>
        <w:rPr>
          <w:spacing w:val="-11"/>
          <w:sz w:val="24"/>
        </w:rPr>
        <w:t> </w:t>
      </w:r>
      <w:r>
        <w:rPr>
          <w:sz w:val="24"/>
        </w:rPr>
        <w:t>del</w:t>
      </w:r>
      <w:r>
        <w:rPr>
          <w:spacing w:val="-8"/>
          <w:sz w:val="24"/>
        </w:rPr>
        <w:t> </w:t>
      </w:r>
      <w:r>
        <w:rPr>
          <w:sz w:val="24"/>
        </w:rPr>
        <w:t>desarrollo</w:t>
      </w:r>
      <w:r>
        <w:rPr>
          <w:spacing w:val="-8"/>
          <w:sz w:val="24"/>
        </w:rPr>
        <w:t> </w:t>
      </w:r>
      <w:r>
        <w:rPr>
          <w:sz w:val="24"/>
        </w:rPr>
        <w:t>que</w:t>
      </w:r>
      <w:r>
        <w:rPr>
          <w:spacing w:val="-8"/>
          <w:sz w:val="24"/>
        </w:rPr>
        <w:t> </w:t>
      </w:r>
      <w:r>
        <w:rPr>
          <w:sz w:val="24"/>
        </w:rPr>
        <w:t>deben</w:t>
      </w:r>
      <w:r>
        <w:rPr>
          <w:spacing w:val="-11"/>
          <w:sz w:val="24"/>
        </w:rPr>
        <w:t> </w:t>
      </w:r>
      <w:r>
        <w:rPr>
          <w:sz w:val="24"/>
        </w:rPr>
        <w:t>asumir</w:t>
      </w:r>
      <w:r>
        <w:rPr>
          <w:spacing w:val="-8"/>
          <w:sz w:val="24"/>
        </w:rPr>
        <w:t> </w:t>
      </w:r>
      <w:r>
        <w:rPr>
          <w:sz w:val="24"/>
        </w:rPr>
        <w:t>los ayuntamientos.</w:t>
      </w:r>
    </w:p>
    <w:p>
      <w:pPr>
        <w:spacing w:after="0" w:line="360" w:lineRule="auto"/>
        <w:jc w:val="left"/>
        <w:rPr>
          <w:sz w:val="24"/>
        </w:rPr>
        <w:sectPr>
          <w:pgSz w:w="12240" w:h="15840"/>
          <w:pgMar w:header="0" w:footer="992" w:top="1360" w:bottom="1180" w:left="1720" w:right="1580"/>
        </w:sectPr>
      </w:pPr>
    </w:p>
    <w:p>
      <w:pPr>
        <w:pStyle w:val="Heading1"/>
        <w:numPr>
          <w:ilvl w:val="1"/>
          <w:numId w:val="26"/>
        </w:numPr>
        <w:tabs>
          <w:tab w:pos="3743" w:val="left" w:leader="none"/>
          <w:tab w:pos="3744" w:val="left" w:leader="none"/>
        </w:tabs>
        <w:spacing w:line="240" w:lineRule="auto" w:before="153" w:after="0"/>
        <w:ind w:left="3743" w:right="0" w:hanging="701"/>
        <w:jc w:val="left"/>
      </w:pPr>
      <w:bookmarkStart w:name="_TOC_250017" w:id="35"/>
      <w:r>
        <w:rPr/>
        <w:t>Hacienda</w:t>
      </w:r>
      <w:r>
        <w:rPr>
          <w:spacing w:val="-8"/>
        </w:rPr>
        <w:t> </w:t>
      </w:r>
      <w:bookmarkEnd w:id="35"/>
      <w:r>
        <w:rPr/>
        <w:t>Municipal</w:t>
      </w:r>
    </w:p>
    <w:p>
      <w:pPr>
        <w:pStyle w:val="BodyText"/>
        <w:rPr>
          <w:b/>
          <w:sz w:val="28"/>
        </w:rPr>
      </w:pPr>
    </w:p>
    <w:p>
      <w:pPr>
        <w:pStyle w:val="BodyText"/>
        <w:rPr>
          <w:b/>
          <w:sz w:val="28"/>
        </w:rPr>
      </w:pPr>
    </w:p>
    <w:p>
      <w:pPr>
        <w:pStyle w:val="BodyText"/>
        <w:spacing w:before="5"/>
        <w:rPr>
          <w:b/>
          <w:sz w:val="30"/>
        </w:rPr>
      </w:pPr>
    </w:p>
    <w:p>
      <w:pPr>
        <w:pStyle w:val="BodyText"/>
        <w:spacing w:line="360" w:lineRule="auto" w:before="1"/>
        <w:ind w:left="102" w:right="124"/>
        <w:jc w:val="both"/>
      </w:pPr>
      <w:r>
        <w:rPr/>
        <w:t>El municipio para realizar el cumplimiento de sus fines, tiene que llevar a cabo una serie de actividades de representación política, de prestación de servicios públicos y de promoción del desarrollo económico y social. Para tal efecto, tiene que satisfacer sus propias necesidades de recursos económicos, materiales, humanos y técnicos realizando una serie de actividades administrativas que le permitan obtener dichos recursos, organizarlos y aplicarlos eficientemente.</w:t>
      </w:r>
    </w:p>
    <w:p>
      <w:pPr>
        <w:pStyle w:val="BodyText"/>
        <w:spacing w:before="7"/>
      </w:pPr>
    </w:p>
    <w:p>
      <w:pPr>
        <w:pStyle w:val="BodyText"/>
        <w:spacing w:line="360" w:lineRule="auto"/>
        <w:ind w:left="102" w:right="115"/>
        <w:jc w:val="both"/>
      </w:pPr>
      <w:r>
        <w:rPr/>
        <w:t>Para introducirse al tema es conveniente distinguir entre los términos de hacienda, fisco y erario público. El concepto de hacienda, implica fundamentalmente la idea de</w:t>
      </w:r>
      <w:r>
        <w:rPr>
          <w:spacing w:val="-5"/>
        </w:rPr>
        <w:t> </w:t>
      </w:r>
      <w:r>
        <w:rPr/>
        <w:t>recursos</w:t>
      </w:r>
      <w:r>
        <w:rPr>
          <w:spacing w:val="-7"/>
        </w:rPr>
        <w:t> </w:t>
      </w:r>
      <w:r>
        <w:rPr/>
        <w:t>económicos,</w:t>
      </w:r>
      <w:r>
        <w:rPr>
          <w:spacing w:val="-5"/>
        </w:rPr>
        <w:t> </w:t>
      </w:r>
      <w:r>
        <w:rPr/>
        <w:t>esto</w:t>
      </w:r>
      <w:r>
        <w:rPr>
          <w:spacing w:val="-6"/>
        </w:rPr>
        <w:t> </w:t>
      </w:r>
      <w:r>
        <w:rPr/>
        <w:t>es,</w:t>
      </w:r>
      <w:r>
        <w:rPr>
          <w:spacing w:val="-5"/>
        </w:rPr>
        <w:t> </w:t>
      </w:r>
      <w:r>
        <w:rPr/>
        <w:t>del</w:t>
      </w:r>
      <w:r>
        <w:rPr>
          <w:spacing w:val="-5"/>
        </w:rPr>
        <w:t> </w:t>
      </w:r>
      <w:r>
        <w:rPr/>
        <w:t>numerario</w:t>
      </w:r>
      <w:r>
        <w:rPr>
          <w:spacing w:val="-1"/>
        </w:rPr>
        <w:t> </w:t>
      </w:r>
      <w:r>
        <w:rPr/>
        <w:t>con</w:t>
      </w:r>
      <w:r>
        <w:rPr>
          <w:spacing w:val="-5"/>
        </w:rPr>
        <w:t> </w:t>
      </w:r>
      <w:r>
        <w:rPr/>
        <w:t>el</w:t>
      </w:r>
      <w:r>
        <w:rPr>
          <w:spacing w:val="-5"/>
        </w:rPr>
        <w:t> </w:t>
      </w:r>
      <w:r>
        <w:rPr/>
        <w:t>que</w:t>
      </w:r>
      <w:r>
        <w:rPr>
          <w:spacing w:val="-5"/>
        </w:rPr>
        <w:t> </w:t>
      </w:r>
      <w:r>
        <w:rPr/>
        <w:t>cuenta</w:t>
      </w:r>
      <w:r>
        <w:rPr>
          <w:spacing w:val="-6"/>
        </w:rPr>
        <w:t> </w:t>
      </w:r>
      <w:r>
        <w:rPr/>
        <w:t>la</w:t>
      </w:r>
      <w:r>
        <w:rPr>
          <w:spacing w:val="-5"/>
        </w:rPr>
        <w:t> </w:t>
      </w:r>
      <w:r>
        <w:rPr/>
        <w:t>municipalidad para proveer a su propia existencia y para atender sus funciones. La hacienda, por lo tanto, es una parte del patrimonio y no a la inversa. “Hacienda tiene su origen</w:t>
      </w:r>
      <w:r>
        <w:rPr>
          <w:spacing w:val="-31"/>
        </w:rPr>
        <w:t> </w:t>
      </w:r>
      <w:r>
        <w:rPr/>
        <w:t>en verbo latino </w:t>
      </w:r>
      <w:r>
        <w:rPr>
          <w:i/>
        </w:rPr>
        <w:t>facere </w:t>
      </w:r>
      <w:r>
        <w:rPr/>
        <w:t>aun cuando algunos sostienen que deriva del árabe “Ckásena”, que significa cámara del tesoro. Con el adjetivo de pública significa, toda la vida económica de los entes públicos” (Huerta,</w:t>
      </w:r>
      <w:r>
        <w:rPr>
          <w:spacing w:val="-13"/>
        </w:rPr>
        <w:t> </w:t>
      </w:r>
      <w:r>
        <w:rPr/>
        <w:t>1985:266).</w:t>
      </w:r>
    </w:p>
    <w:p>
      <w:pPr>
        <w:pStyle w:val="BodyText"/>
        <w:spacing w:before="9"/>
      </w:pPr>
    </w:p>
    <w:p>
      <w:pPr>
        <w:spacing w:before="0"/>
        <w:ind w:left="954" w:right="119" w:firstLine="0"/>
        <w:jc w:val="both"/>
        <w:rPr>
          <w:sz w:val="22"/>
        </w:rPr>
      </w:pPr>
      <w:r>
        <w:rPr>
          <w:sz w:val="22"/>
        </w:rPr>
        <w:t>La hacienda municipal resulta de una gran importancia económica, ya que la cantidad de bienes patrimoniales y recursos financieros con los que cuente o pueda contar un gobierno municipal, en un momento dado, reflejan las posibilidades de promover y realizar proyectos de desarrollo en los diferentes campos</w:t>
      </w:r>
      <w:r>
        <w:rPr>
          <w:spacing w:val="-11"/>
          <w:sz w:val="22"/>
        </w:rPr>
        <w:t> </w:t>
      </w:r>
      <w:r>
        <w:rPr>
          <w:sz w:val="22"/>
        </w:rPr>
        <w:t>de</w:t>
      </w:r>
      <w:r>
        <w:rPr>
          <w:spacing w:val="-9"/>
          <w:sz w:val="22"/>
        </w:rPr>
        <w:t> </w:t>
      </w:r>
      <w:r>
        <w:rPr>
          <w:sz w:val="22"/>
        </w:rPr>
        <w:t>la</w:t>
      </w:r>
      <w:r>
        <w:rPr>
          <w:spacing w:val="-11"/>
          <w:sz w:val="22"/>
        </w:rPr>
        <w:t> </w:t>
      </w:r>
      <w:r>
        <w:rPr>
          <w:sz w:val="22"/>
        </w:rPr>
        <w:t>economía</w:t>
      </w:r>
      <w:r>
        <w:rPr>
          <w:spacing w:val="-9"/>
          <w:sz w:val="22"/>
        </w:rPr>
        <w:t> </w:t>
      </w:r>
      <w:r>
        <w:rPr>
          <w:sz w:val="22"/>
        </w:rPr>
        <w:t>local,</w:t>
      </w:r>
      <w:r>
        <w:rPr>
          <w:spacing w:val="-8"/>
          <w:sz w:val="22"/>
        </w:rPr>
        <w:t> </w:t>
      </w:r>
      <w:r>
        <w:rPr>
          <w:sz w:val="22"/>
        </w:rPr>
        <w:t>según</w:t>
      </w:r>
      <w:r>
        <w:rPr>
          <w:spacing w:val="-11"/>
          <w:sz w:val="22"/>
        </w:rPr>
        <w:t> </w:t>
      </w:r>
      <w:r>
        <w:rPr>
          <w:sz w:val="22"/>
        </w:rPr>
        <w:t>las</w:t>
      </w:r>
      <w:r>
        <w:rPr>
          <w:spacing w:val="-11"/>
          <w:sz w:val="22"/>
        </w:rPr>
        <w:t> </w:t>
      </w:r>
      <w:r>
        <w:rPr>
          <w:sz w:val="22"/>
        </w:rPr>
        <w:t>características</w:t>
      </w:r>
      <w:r>
        <w:rPr>
          <w:spacing w:val="-9"/>
          <w:sz w:val="22"/>
        </w:rPr>
        <w:t> </w:t>
      </w:r>
      <w:r>
        <w:rPr>
          <w:sz w:val="22"/>
        </w:rPr>
        <w:t>propias</w:t>
      </w:r>
      <w:r>
        <w:rPr>
          <w:spacing w:val="-9"/>
          <w:sz w:val="22"/>
        </w:rPr>
        <w:t> </w:t>
      </w:r>
      <w:r>
        <w:rPr>
          <w:sz w:val="22"/>
        </w:rPr>
        <w:t>de</w:t>
      </w:r>
      <w:r>
        <w:rPr>
          <w:spacing w:val="-11"/>
          <w:sz w:val="22"/>
        </w:rPr>
        <w:t> </w:t>
      </w:r>
      <w:r>
        <w:rPr>
          <w:sz w:val="22"/>
        </w:rPr>
        <w:t>cada</w:t>
      </w:r>
      <w:r>
        <w:rPr>
          <w:spacing w:val="-14"/>
          <w:sz w:val="22"/>
        </w:rPr>
        <w:t> </w:t>
      </w:r>
      <w:r>
        <w:rPr>
          <w:sz w:val="22"/>
        </w:rPr>
        <w:t>municipio, región y entidad federativa (Reynoso y Villafuerte,</w:t>
      </w:r>
      <w:r>
        <w:rPr>
          <w:spacing w:val="-18"/>
          <w:sz w:val="22"/>
        </w:rPr>
        <w:t> </w:t>
      </w:r>
      <w:r>
        <w:rPr>
          <w:sz w:val="22"/>
        </w:rPr>
        <w:t>2003).</w:t>
      </w:r>
    </w:p>
    <w:p>
      <w:pPr>
        <w:pStyle w:val="BodyText"/>
        <w:rPr>
          <w:sz w:val="22"/>
        </w:rPr>
      </w:pPr>
    </w:p>
    <w:p>
      <w:pPr>
        <w:pStyle w:val="BodyText"/>
        <w:rPr>
          <w:sz w:val="22"/>
        </w:rPr>
      </w:pPr>
    </w:p>
    <w:p>
      <w:pPr>
        <w:pStyle w:val="BodyText"/>
        <w:spacing w:before="7"/>
        <w:rPr>
          <w:sz w:val="19"/>
        </w:rPr>
      </w:pPr>
    </w:p>
    <w:p>
      <w:pPr>
        <w:pStyle w:val="BodyText"/>
        <w:spacing w:line="360" w:lineRule="auto"/>
        <w:ind w:left="102" w:right="116"/>
        <w:jc w:val="both"/>
      </w:pPr>
      <w:r>
        <w:rPr/>
        <w:t>Por lo tanto, hacienda pública municipal hace referencia al conjunto de recursos financieros</w:t>
      </w:r>
      <w:r>
        <w:rPr>
          <w:spacing w:val="-9"/>
        </w:rPr>
        <w:t> </w:t>
      </w:r>
      <w:r>
        <w:rPr/>
        <w:t>y</w:t>
      </w:r>
      <w:r>
        <w:rPr>
          <w:spacing w:val="-9"/>
        </w:rPr>
        <w:t> </w:t>
      </w:r>
      <w:r>
        <w:rPr/>
        <w:t>patrimoniales</w:t>
      </w:r>
      <w:r>
        <w:rPr>
          <w:spacing w:val="-6"/>
        </w:rPr>
        <w:t> </w:t>
      </w:r>
      <w:r>
        <w:rPr/>
        <w:t>de</w:t>
      </w:r>
      <w:r>
        <w:rPr>
          <w:spacing w:val="-6"/>
        </w:rPr>
        <w:t> </w:t>
      </w:r>
      <w:r>
        <w:rPr/>
        <w:t>que</w:t>
      </w:r>
      <w:r>
        <w:rPr>
          <w:spacing w:val="-8"/>
        </w:rPr>
        <w:t> </w:t>
      </w:r>
      <w:r>
        <w:rPr/>
        <w:t>dispone</w:t>
      </w:r>
      <w:r>
        <w:rPr>
          <w:spacing w:val="-8"/>
        </w:rPr>
        <w:t> </w:t>
      </w:r>
      <w:r>
        <w:rPr/>
        <w:t>el</w:t>
      </w:r>
      <w:r>
        <w:rPr>
          <w:spacing w:val="-10"/>
        </w:rPr>
        <w:t> </w:t>
      </w:r>
      <w:r>
        <w:rPr/>
        <w:t>gobierno</w:t>
      </w:r>
      <w:r>
        <w:rPr>
          <w:spacing w:val="-8"/>
        </w:rPr>
        <w:t> </w:t>
      </w:r>
      <w:r>
        <w:rPr/>
        <w:t>municipal</w:t>
      </w:r>
      <w:r>
        <w:rPr>
          <w:spacing w:val="-10"/>
        </w:rPr>
        <w:t> </w:t>
      </w:r>
      <w:r>
        <w:rPr/>
        <w:t>para</w:t>
      </w:r>
      <w:r>
        <w:rPr>
          <w:spacing w:val="-6"/>
        </w:rPr>
        <w:t> </w:t>
      </w:r>
      <w:r>
        <w:rPr/>
        <w:t>la</w:t>
      </w:r>
      <w:r>
        <w:rPr>
          <w:spacing w:val="-9"/>
        </w:rPr>
        <w:t> </w:t>
      </w:r>
      <w:r>
        <w:rPr/>
        <w:t>realización de sus fines. En términos generales “(…) la definición de hacienda municipal es entendida como el conjunto de recursos y bienes patrimoniales con que cuenta un ayuntamiento, así como la distribución y aplicación de dichos recursos mediante el gasto</w:t>
      </w:r>
      <w:r>
        <w:rPr>
          <w:spacing w:val="-19"/>
        </w:rPr>
        <w:t> </w:t>
      </w:r>
      <w:r>
        <w:rPr/>
        <w:t>público</w:t>
      </w:r>
      <w:r>
        <w:rPr>
          <w:spacing w:val="-19"/>
        </w:rPr>
        <w:t> </w:t>
      </w:r>
      <w:r>
        <w:rPr/>
        <w:t>para</w:t>
      </w:r>
      <w:r>
        <w:rPr>
          <w:spacing w:val="-22"/>
        </w:rPr>
        <w:t> </w:t>
      </w:r>
      <w:r>
        <w:rPr/>
        <w:t>alcanzar</w:t>
      </w:r>
      <w:r>
        <w:rPr>
          <w:spacing w:val="-20"/>
        </w:rPr>
        <w:t> </w:t>
      </w:r>
      <w:r>
        <w:rPr/>
        <w:t>sus</w:t>
      </w:r>
      <w:r>
        <w:rPr>
          <w:spacing w:val="-20"/>
        </w:rPr>
        <w:t> </w:t>
      </w:r>
      <w:r>
        <w:rPr/>
        <w:t>objetivos</w:t>
      </w:r>
      <w:r>
        <w:rPr>
          <w:spacing w:val="-20"/>
        </w:rPr>
        <w:t> </w:t>
      </w:r>
      <w:r>
        <w:rPr/>
        <w:t>de</w:t>
      </w:r>
      <w:r>
        <w:rPr>
          <w:spacing w:val="-19"/>
        </w:rPr>
        <w:t> </w:t>
      </w:r>
      <w:r>
        <w:rPr/>
        <w:t>gobierno</w:t>
      </w:r>
      <w:r>
        <w:rPr>
          <w:spacing w:val="-21"/>
        </w:rPr>
        <w:t> </w:t>
      </w:r>
      <w:r>
        <w:rPr/>
        <w:t>de</w:t>
      </w:r>
      <w:r>
        <w:rPr>
          <w:spacing w:val="-19"/>
        </w:rPr>
        <w:t> </w:t>
      </w:r>
      <w:r>
        <w:rPr/>
        <w:t>la</w:t>
      </w:r>
      <w:r>
        <w:rPr>
          <w:spacing w:val="-22"/>
        </w:rPr>
        <w:t> </w:t>
      </w:r>
      <w:r>
        <w:rPr/>
        <w:t>comunidad”</w:t>
      </w:r>
      <w:r>
        <w:rPr>
          <w:spacing w:val="-16"/>
        </w:rPr>
        <w:t> </w:t>
      </w:r>
      <w:r>
        <w:rPr/>
        <w:t>(Hernández, 1991:59).</w:t>
      </w:r>
    </w:p>
    <w:p>
      <w:pPr>
        <w:spacing w:after="0" w:line="360" w:lineRule="auto"/>
        <w:jc w:val="both"/>
        <w:sectPr>
          <w:pgSz w:w="12240" w:h="15840"/>
          <w:pgMar w:header="0" w:footer="992" w:top="1500" w:bottom="1180" w:left="1600" w:right="1580"/>
        </w:sectPr>
      </w:pPr>
    </w:p>
    <w:p>
      <w:pPr>
        <w:pStyle w:val="BodyText"/>
        <w:spacing w:line="360" w:lineRule="auto" w:before="54"/>
        <w:ind w:left="102" w:right="115"/>
        <w:jc w:val="both"/>
      </w:pPr>
      <w:r>
        <w:rPr/>
        <w:t>El</w:t>
      </w:r>
      <w:r>
        <w:rPr>
          <w:spacing w:val="-14"/>
        </w:rPr>
        <w:t> </w:t>
      </w:r>
      <w:r>
        <w:rPr/>
        <w:t>sistema</w:t>
      </w:r>
      <w:r>
        <w:rPr>
          <w:spacing w:val="-15"/>
        </w:rPr>
        <w:t> </w:t>
      </w:r>
      <w:r>
        <w:rPr/>
        <w:t>hacendario</w:t>
      </w:r>
      <w:r>
        <w:rPr>
          <w:spacing w:val="-16"/>
        </w:rPr>
        <w:t> </w:t>
      </w:r>
      <w:r>
        <w:rPr/>
        <w:t>de</w:t>
      </w:r>
      <w:r>
        <w:rPr>
          <w:spacing w:val="-13"/>
        </w:rPr>
        <w:t> </w:t>
      </w:r>
      <w:r>
        <w:rPr/>
        <w:t>los</w:t>
      </w:r>
      <w:r>
        <w:rPr>
          <w:spacing w:val="-18"/>
        </w:rPr>
        <w:t> </w:t>
      </w:r>
      <w:r>
        <w:rPr/>
        <w:t>municipios</w:t>
      </w:r>
      <w:r>
        <w:rPr>
          <w:spacing w:val="-12"/>
        </w:rPr>
        <w:t> </w:t>
      </w:r>
      <w:r>
        <w:rPr/>
        <w:t>está</w:t>
      </w:r>
      <w:r>
        <w:rPr>
          <w:spacing w:val="-17"/>
        </w:rPr>
        <w:t> </w:t>
      </w:r>
      <w:r>
        <w:rPr/>
        <w:t>constituido</w:t>
      </w:r>
      <w:r>
        <w:rPr>
          <w:spacing w:val="-16"/>
        </w:rPr>
        <w:t> </w:t>
      </w:r>
      <w:r>
        <w:rPr/>
        <w:t>por</w:t>
      </w:r>
      <w:r>
        <w:rPr>
          <w:spacing w:val="-17"/>
        </w:rPr>
        <w:t> </w:t>
      </w:r>
      <w:r>
        <w:rPr/>
        <w:t>un</w:t>
      </w:r>
      <w:r>
        <w:rPr>
          <w:spacing w:val="-15"/>
        </w:rPr>
        <w:t> </w:t>
      </w:r>
      <w:r>
        <w:rPr/>
        <w:t>conjunto</w:t>
      </w:r>
      <w:r>
        <w:rPr>
          <w:spacing w:val="-15"/>
        </w:rPr>
        <w:t> </w:t>
      </w:r>
      <w:r>
        <w:rPr/>
        <w:t>de</w:t>
      </w:r>
      <w:r>
        <w:rPr>
          <w:spacing w:val="-16"/>
        </w:rPr>
        <w:t> </w:t>
      </w:r>
      <w:r>
        <w:rPr/>
        <w:t>normas, tanto</w:t>
      </w:r>
      <w:r>
        <w:rPr>
          <w:spacing w:val="-12"/>
        </w:rPr>
        <w:t> </w:t>
      </w:r>
      <w:r>
        <w:rPr/>
        <w:t>legales</w:t>
      </w:r>
      <w:r>
        <w:rPr>
          <w:spacing w:val="-12"/>
        </w:rPr>
        <w:t> </w:t>
      </w:r>
      <w:r>
        <w:rPr/>
        <w:t>como</w:t>
      </w:r>
      <w:r>
        <w:rPr>
          <w:spacing w:val="-14"/>
        </w:rPr>
        <w:t> </w:t>
      </w:r>
      <w:r>
        <w:rPr/>
        <w:t>administrativas,</w:t>
      </w:r>
      <w:r>
        <w:rPr>
          <w:spacing w:val="-12"/>
        </w:rPr>
        <w:t> </w:t>
      </w:r>
      <w:r>
        <w:rPr/>
        <w:t>que</w:t>
      </w:r>
      <w:r>
        <w:rPr>
          <w:spacing w:val="-12"/>
        </w:rPr>
        <w:t> </w:t>
      </w:r>
      <w:r>
        <w:rPr/>
        <w:t>reglamentan</w:t>
      </w:r>
      <w:r>
        <w:rPr>
          <w:spacing w:val="-14"/>
        </w:rPr>
        <w:t> </w:t>
      </w:r>
      <w:r>
        <w:rPr/>
        <w:t>la</w:t>
      </w:r>
      <w:r>
        <w:rPr>
          <w:spacing w:val="-12"/>
        </w:rPr>
        <w:t> </w:t>
      </w:r>
      <w:r>
        <w:rPr/>
        <w:t>recaudación</w:t>
      </w:r>
      <w:r>
        <w:rPr>
          <w:spacing w:val="-14"/>
        </w:rPr>
        <w:t> </w:t>
      </w:r>
      <w:r>
        <w:rPr/>
        <w:t>de</w:t>
      </w:r>
      <w:r>
        <w:rPr>
          <w:spacing w:val="-14"/>
        </w:rPr>
        <w:t> </w:t>
      </w:r>
      <w:r>
        <w:rPr/>
        <w:t>los</w:t>
      </w:r>
      <w:r>
        <w:rPr>
          <w:spacing w:val="-12"/>
        </w:rPr>
        <w:t> </w:t>
      </w:r>
      <w:r>
        <w:rPr/>
        <w:t>recursos públicos</w:t>
      </w:r>
      <w:r>
        <w:rPr>
          <w:spacing w:val="-16"/>
        </w:rPr>
        <w:t> </w:t>
      </w:r>
      <w:r>
        <w:rPr/>
        <w:t>municipales,</w:t>
      </w:r>
      <w:r>
        <w:rPr>
          <w:spacing w:val="-16"/>
        </w:rPr>
        <w:t> </w:t>
      </w:r>
      <w:r>
        <w:rPr/>
        <w:t>así</w:t>
      </w:r>
      <w:r>
        <w:rPr>
          <w:spacing w:val="-16"/>
        </w:rPr>
        <w:t> </w:t>
      </w:r>
      <w:r>
        <w:rPr/>
        <w:t>como</w:t>
      </w:r>
      <w:r>
        <w:rPr>
          <w:spacing w:val="-14"/>
        </w:rPr>
        <w:t> </w:t>
      </w:r>
      <w:r>
        <w:rPr/>
        <w:t>las</w:t>
      </w:r>
      <w:r>
        <w:rPr>
          <w:spacing w:val="-16"/>
        </w:rPr>
        <w:t> </w:t>
      </w:r>
      <w:r>
        <w:rPr/>
        <w:t>normas</w:t>
      </w:r>
      <w:r>
        <w:rPr>
          <w:spacing w:val="-14"/>
        </w:rPr>
        <w:t> </w:t>
      </w:r>
      <w:r>
        <w:rPr/>
        <w:t>en</w:t>
      </w:r>
      <w:r>
        <w:rPr>
          <w:spacing w:val="-14"/>
        </w:rPr>
        <w:t> </w:t>
      </w:r>
      <w:r>
        <w:rPr/>
        <w:t>que</w:t>
      </w:r>
      <w:r>
        <w:rPr>
          <w:spacing w:val="-14"/>
        </w:rPr>
        <w:t> </w:t>
      </w:r>
      <w:r>
        <w:rPr/>
        <w:t>deben</w:t>
      </w:r>
      <w:r>
        <w:rPr>
          <w:spacing w:val="-16"/>
        </w:rPr>
        <w:t> </w:t>
      </w:r>
      <w:r>
        <w:rPr/>
        <w:t>destinarse</w:t>
      </w:r>
      <w:r>
        <w:rPr>
          <w:spacing w:val="-14"/>
        </w:rPr>
        <w:t> </w:t>
      </w:r>
      <w:r>
        <w:rPr/>
        <w:t>estos</w:t>
      </w:r>
      <w:r>
        <w:rPr>
          <w:spacing w:val="-14"/>
        </w:rPr>
        <w:t> </w:t>
      </w:r>
      <w:r>
        <w:rPr/>
        <w:t>recursos. “La hacienda municipal es la administración de los ingresos del municipio, recaudados a través de los impuestos, productos, derechos y aprovechamientos, así</w:t>
      </w:r>
      <w:r>
        <w:rPr>
          <w:spacing w:val="-6"/>
        </w:rPr>
        <w:t> </w:t>
      </w:r>
      <w:r>
        <w:rPr/>
        <w:t>como</w:t>
      </w:r>
      <w:r>
        <w:rPr>
          <w:spacing w:val="-4"/>
        </w:rPr>
        <w:t> </w:t>
      </w:r>
      <w:r>
        <w:rPr/>
        <w:t>los</w:t>
      </w:r>
      <w:r>
        <w:rPr>
          <w:spacing w:val="-6"/>
        </w:rPr>
        <w:t> </w:t>
      </w:r>
      <w:r>
        <w:rPr/>
        <w:t>ingresos</w:t>
      </w:r>
      <w:r>
        <w:rPr>
          <w:spacing w:val="-9"/>
        </w:rPr>
        <w:t> </w:t>
      </w:r>
      <w:r>
        <w:rPr/>
        <w:t>percibidos</w:t>
      </w:r>
      <w:r>
        <w:rPr>
          <w:spacing w:val="-7"/>
        </w:rPr>
        <w:t> </w:t>
      </w:r>
      <w:r>
        <w:rPr/>
        <w:t>vía</w:t>
      </w:r>
      <w:r>
        <w:rPr>
          <w:spacing w:val="-4"/>
        </w:rPr>
        <w:t> </w:t>
      </w:r>
      <w:r>
        <w:rPr/>
        <w:t>participaciones</w:t>
      </w:r>
      <w:r>
        <w:rPr>
          <w:spacing w:val="-7"/>
        </w:rPr>
        <w:t> </w:t>
      </w:r>
      <w:r>
        <w:rPr/>
        <w:t>y</w:t>
      </w:r>
      <w:r>
        <w:rPr>
          <w:spacing w:val="-7"/>
        </w:rPr>
        <w:t> </w:t>
      </w:r>
      <w:r>
        <w:rPr/>
        <w:t>transferencias</w:t>
      </w:r>
      <w:r>
        <w:rPr>
          <w:spacing w:val="-9"/>
        </w:rPr>
        <w:t> </w:t>
      </w:r>
      <w:r>
        <w:rPr/>
        <w:t>federales.</w:t>
      </w:r>
      <w:r>
        <w:rPr>
          <w:spacing w:val="-6"/>
        </w:rPr>
        <w:t> </w:t>
      </w:r>
      <w:r>
        <w:rPr/>
        <w:t>Los dos principales instrumentos de la hacienda municipal son el presupuesto de egresos y la cuenta pública” (Ibarra,</w:t>
      </w:r>
      <w:r>
        <w:rPr>
          <w:spacing w:val="-14"/>
        </w:rPr>
        <w:t> </w:t>
      </w:r>
      <w:r>
        <w:rPr/>
        <w:t>2010:35).</w:t>
      </w:r>
    </w:p>
    <w:p>
      <w:pPr>
        <w:pStyle w:val="BodyText"/>
        <w:spacing w:before="1"/>
        <w:rPr>
          <w:sz w:val="21"/>
        </w:rPr>
      </w:pPr>
    </w:p>
    <w:p>
      <w:pPr>
        <w:pStyle w:val="BodyText"/>
        <w:spacing w:line="360" w:lineRule="auto" w:before="1"/>
        <w:ind w:left="102" w:right="117"/>
        <w:jc w:val="both"/>
      </w:pPr>
      <w:r>
        <w:rPr/>
        <w:t>El régimen de la hacienda pública de los ayuntamientos está consignado en la Constitución bajo el principio de autonomía financiera, como a continuación se describe en su precepto jurídico:</w:t>
      </w:r>
    </w:p>
    <w:p>
      <w:pPr>
        <w:pStyle w:val="BodyText"/>
        <w:spacing w:before="9"/>
      </w:pPr>
    </w:p>
    <w:p>
      <w:pPr>
        <w:spacing w:before="0"/>
        <w:ind w:left="954" w:right="115" w:firstLine="0"/>
        <w:jc w:val="both"/>
        <w:rPr>
          <w:sz w:val="22"/>
        </w:rPr>
      </w:pPr>
      <w:r>
        <w:rPr>
          <w:sz w:val="22"/>
        </w:rPr>
        <w:t>Art. 115 fracc. IV. Los municipios administrarán libremente su hacienda, la cual</w:t>
      </w:r>
      <w:r>
        <w:rPr>
          <w:spacing w:val="-39"/>
          <w:sz w:val="22"/>
        </w:rPr>
        <w:t> </w:t>
      </w:r>
      <w:r>
        <w:rPr>
          <w:sz w:val="22"/>
        </w:rPr>
        <w:t>se formará de los rendimientos de los bienes que les pertenezcan, así́ como de las contribuciones y otros ingresos que las legislaturas establezcan a su favor, y en todo</w:t>
      </w:r>
      <w:r>
        <w:rPr>
          <w:spacing w:val="-1"/>
          <w:sz w:val="22"/>
        </w:rPr>
        <w:t> </w:t>
      </w:r>
      <w:r>
        <w:rPr>
          <w:sz w:val="22"/>
        </w:rPr>
        <w:t>caso:</w:t>
      </w:r>
    </w:p>
    <w:p>
      <w:pPr>
        <w:pStyle w:val="BodyText"/>
        <w:spacing w:before="3"/>
      </w:pPr>
    </w:p>
    <w:p>
      <w:pPr>
        <w:pStyle w:val="ListParagraph"/>
        <w:numPr>
          <w:ilvl w:val="0"/>
          <w:numId w:val="33"/>
        </w:numPr>
        <w:tabs>
          <w:tab w:pos="1300" w:val="left" w:leader="none"/>
        </w:tabs>
        <w:spacing w:line="240" w:lineRule="auto" w:before="1" w:after="0"/>
        <w:ind w:left="954" w:right="116" w:firstLine="0"/>
        <w:jc w:val="both"/>
        <w:rPr>
          <w:sz w:val="22"/>
        </w:rPr>
      </w:pPr>
      <w:r>
        <w:rPr>
          <w:sz w:val="22"/>
        </w:rPr>
        <w:t>Percibirán las contribuciones, incluyendo tasas adicionales, que establezcan los Estados sobre la propiedad inmobiliaria, de su fraccionamiento, división, consolidación, traslación y mejora así́ como las que tengan por base el cambio de valor de los</w:t>
      </w:r>
      <w:r>
        <w:rPr>
          <w:spacing w:val="-3"/>
          <w:sz w:val="22"/>
        </w:rPr>
        <w:t> </w:t>
      </w:r>
      <w:r>
        <w:rPr>
          <w:sz w:val="22"/>
        </w:rPr>
        <w:t>inmuebles.</w:t>
      </w:r>
    </w:p>
    <w:p>
      <w:pPr>
        <w:pStyle w:val="BodyText"/>
        <w:spacing w:before="3"/>
      </w:pPr>
    </w:p>
    <w:p>
      <w:pPr>
        <w:spacing w:before="1"/>
        <w:ind w:left="954" w:right="114" w:firstLine="0"/>
        <w:jc w:val="both"/>
        <w:rPr>
          <w:sz w:val="22"/>
        </w:rPr>
      </w:pPr>
      <w:r>
        <w:rPr>
          <w:sz w:val="22"/>
        </w:rPr>
        <w:t>Los municipios podrán celebrar convenios con el Estado para que éste se haga cargo de algunas de las funciones relacionadas con la administración de esas contribuciones.</w:t>
      </w:r>
    </w:p>
    <w:p>
      <w:pPr>
        <w:pStyle w:val="BodyText"/>
        <w:spacing w:before="3"/>
      </w:pPr>
    </w:p>
    <w:p>
      <w:pPr>
        <w:pStyle w:val="ListParagraph"/>
        <w:numPr>
          <w:ilvl w:val="0"/>
          <w:numId w:val="33"/>
        </w:numPr>
        <w:tabs>
          <w:tab w:pos="1317" w:val="left" w:leader="none"/>
        </w:tabs>
        <w:spacing w:line="240" w:lineRule="auto" w:before="1" w:after="0"/>
        <w:ind w:left="954" w:right="115" w:firstLine="0"/>
        <w:jc w:val="both"/>
        <w:rPr>
          <w:sz w:val="22"/>
        </w:rPr>
      </w:pPr>
      <w:r>
        <w:rPr>
          <w:sz w:val="22"/>
        </w:rPr>
        <w:t>Las participaciones federales, que serán cubiertas por la Federación a los municipios con arreglo a las bases, montos y plazos que anualmente se determinen por las Legislaturas de los</w:t>
      </w:r>
      <w:r>
        <w:rPr>
          <w:spacing w:val="-16"/>
          <w:sz w:val="22"/>
        </w:rPr>
        <w:t> </w:t>
      </w:r>
      <w:r>
        <w:rPr>
          <w:sz w:val="22"/>
        </w:rPr>
        <w:t>Estados.</w:t>
      </w:r>
    </w:p>
    <w:p>
      <w:pPr>
        <w:pStyle w:val="BodyText"/>
        <w:spacing w:before="3"/>
      </w:pPr>
    </w:p>
    <w:p>
      <w:pPr>
        <w:pStyle w:val="ListParagraph"/>
        <w:numPr>
          <w:ilvl w:val="0"/>
          <w:numId w:val="33"/>
        </w:numPr>
        <w:tabs>
          <w:tab w:pos="1310" w:val="left" w:leader="none"/>
        </w:tabs>
        <w:spacing w:line="240" w:lineRule="auto" w:before="1" w:after="0"/>
        <w:ind w:left="954" w:right="119" w:firstLine="0"/>
        <w:jc w:val="both"/>
        <w:rPr>
          <w:sz w:val="22"/>
        </w:rPr>
      </w:pPr>
      <w:r>
        <w:rPr>
          <w:sz w:val="22"/>
        </w:rPr>
        <w:t>Los ingresos derivados de la prestación de servicios públicos a su cargo. (Constitución Política de los Estados Unidos Mexicanos,</w:t>
      </w:r>
      <w:r>
        <w:rPr>
          <w:spacing w:val="-13"/>
          <w:sz w:val="22"/>
        </w:rPr>
        <w:t> </w:t>
      </w:r>
      <w:r>
        <w:rPr>
          <w:sz w:val="22"/>
        </w:rPr>
        <w:t>2014).</w:t>
      </w:r>
    </w:p>
    <w:p>
      <w:pPr>
        <w:pStyle w:val="BodyText"/>
        <w:spacing w:before="4"/>
      </w:pPr>
    </w:p>
    <w:p>
      <w:pPr>
        <w:pStyle w:val="BodyText"/>
        <w:spacing w:before="1"/>
        <w:ind w:left="102"/>
        <w:jc w:val="both"/>
      </w:pPr>
      <w:r>
        <w:rPr/>
        <w:t>La hacienda municipal está conformada de acuerdo  Hernández  (1991) por:</w:t>
      </w:r>
    </w:p>
    <w:p>
      <w:pPr>
        <w:pStyle w:val="ListParagraph"/>
        <w:numPr>
          <w:ilvl w:val="0"/>
          <w:numId w:val="34"/>
        </w:numPr>
        <w:tabs>
          <w:tab w:pos="822" w:val="left" w:leader="none"/>
        </w:tabs>
        <w:spacing w:line="240" w:lineRule="auto" w:before="139" w:after="0"/>
        <w:ind w:left="822" w:right="0" w:hanging="360"/>
        <w:jc w:val="left"/>
        <w:rPr>
          <w:sz w:val="24"/>
        </w:rPr>
      </w:pPr>
      <w:r>
        <w:rPr>
          <w:sz w:val="24"/>
        </w:rPr>
        <w:t>Los bienes muebles e inmuebles propiedad del</w:t>
      </w:r>
      <w:r>
        <w:rPr>
          <w:spacing w:val="-21"/>
          <w:sz w:val="24"/>
        </w:rPr>
        <w:t> </w:t>
      </w:r>
      <w:r>
        <w:rPr>
          <w:sz w:val="24"/>
        </w:rPr>
        <w:t>municipio</w:t>
      </w:r>
    </w:p>
    <w:p>
      <w:pPr>
        <w:pStyle w:val="ListParagraph"/>
        <w:numPr>
          <w:ilvl w:val="0"/>
          <w:numId w:val="34"/>
        </w:numPr>
        <w:tabs>
          <w:tab w:pos="822" w:val="left" w:leader="none"/>
        </w:tabs>
        <w:spacing w:line="240" w:lineRule="auto" w:before="137" w:after="0"/>
        <w:ind w:left="822" w:right="0" w:hanging="360"/>
        <w:jc w:val="left"/>
        <w:rPr>
          <w:sz w:val="24"/>
        </w:rPr>
      </w:pPr>
      <w:r>
        <w:rPr>
          <w:sz w:val="24"/>
        </w:rPr>
        <w:t>Los productos de sus bienes muebles e inmuebles y los</w:t>
      </w:r>
      <w:r>
        <w:rPr>
          <w:spacing w:val="-26"/>
          <w:sz w:val="24"/>
        </w:rPr>
        <w:t> </w:t>
      </w:r>
      <w:r>
        <w:rPr>
          <w:sz w:val="24"/>
        </w:rPr>
        <w:t>aprovechamientos</w:t>
      </w:r>
    </w:p>
    <w:p>
      <w:pPr>
        <w:pStyle w:val="ListParagraph"/>
        <w:numPr>
          <w:ilvl w:val="0"/>
          <w:numId w:val="34"/>
        </w:numPr>
        <w:tabs>
          <w:tab w:pos="822" w:val="left" w:leader="none"/>
        </w:tabs>
        <w:spacing w:line="360" w:lineRule="auto" w:before="139" w:after="0"/>
        <w:ind w:left="822" w:right="124" w:hanging="360"/>
        <w:jc w:val="both"/>
        <w:rPr>
          <w:sz w:val="24"/>
        </w:rPr>
      </w:pPr>
      <w:r>
        <w:rPr>
          <w:sz w:val="24"/>
        </w:rPr>
        <w:t>Los impuestos sobre la propiedad inmobiliaria y todas las contribuciones derivadas de su fraccionamiento, división, consolidación y traslación y mejora,  así  como  las  que  tengan  por  base  el  cambio  de  valor  de </w:t>
      </w:r>
      <w:r>
        <w:rPr>
          <w:spacing w:val="14"/>
          <w:sz w:val="24"/>
        </w:rPr>
        <w:t> </w:t>
      </w:r>
      <w:r>
        <w:rPr>
          <w:sz w:val="24"/>
        </w:rPr>
        <w:t>los</w:t>
      </w:r>
    </w:p>
    <w:p>
      <w:pPr>
        <w:spacing w:after="0" w:line="360" w:lineRule="auto"/>
        <w:jc w:val="both"/>
        <w:rPr>
          <w:sz w:val="24"/>
        </w:rPr>
        <w:sectPr>
          <w:pgSz w:w="12240" w:h="15840"/>
          <w:pgMar w:header="0" w:footer="992" w:top="1360" w:bottom="1180" w:left="1600" w:right="1580"/>
        </w:sectPr>
      </w:pPr>
    </w:p>
    <w:p>
      <w:pPr>
        <w:pStyle w:val="BodyText"/>
        <w:spacing w:before="54"/>
        <w:ind w:left="821" w:right="3182"/>
      </w:pPr>
      <w:r>
        <w:rPr/>
        <w:t>inmuebles</w:t>
      </w:r>
    </w:p>
    <w:p>
      <w:pPr>
        <w:pStyle w:val="ListParagraph"/>
        <w:numPr>
          <w:ilvl w:val="0"/>
          <w:numId w:val="34"/>
        </w:numPr>
        <w:tabs>
          <w:tab w:pos="822" w:val="left" w:leader="none"/>
        </w:tabs>
        <w:spacing w:line="240" w:lineRule="auto" w:before="139" w:after="0"/>
        <w:ind w:left="822" w:right="0" w:hanging="360"/>
        <w:jc w:val="left"/>
        <w:rPr>
          <w:sz w:val="24"/>
        </w:rPr>
      </w:pPr>
      <w:r>
        <w:rPr>
          <w:sz w:val="24"/>
        </w:rPr>
        <w:t>Los derechos derivados de la prestación de los servicios</w:t>
      </w:r>
      <w:r>
        <w:rPr>
          <w:spacing w:val="-18"/>
          <w:sz w:val="24"/>
        </w:rPr>
        <w:t> </w:t>
      </w:r>
      <w:r>
        <w:rPr>
          <w:sz w:val="24"/>
        </w:rPr>
        <w:t>públicos</w:t>
      </w:r>
    </w:p>
    <w:p>
      <w:pPr>
        <w:pStyle w:val="ListParagraph"/>
        <w:numPr>
          <w:ilvl w:val="0"/>
          <w:numId w:val="34"/>
        </w:numPr>
        <w:tabs>
          <w:tab w:pos="822" w:val="left" w:leader="none"/>
        </w:tabs>
        <w:spacing w:line="360" w:lineRule="auto" w:before="137" w:after="0"/>
        <w:ind w:left="822" w:right="123" w:hanging="360"/>
        <w:jc w:val="both"/>
        <w:rPr>
          <w:sz w:val="24"/>
        </w:rPr>
      </w:pPr>
      <w:r>
        <w:rPr>
          <w:sz w:val="24"/>
        </w:rPr>
        <w:t>Los productos derivados de la explotación de los recursos naturales propiedad de la federación que se encuentren en los terrenos de los municipios, en los términos y proporciones que les asignen las leyes o convenios</w:t>
      </w:r>
      <w:r>
        <w:rPr>
          <w:spacing w:val="-6"/>
          <w:sz w:val="24"/>
        </w:rPr>
        <w:t> </w:t>
      </w:r>
      <w:r>
        <w:rPr>
          <w:sz w:val="24"/>
        </w:rPr>
        <w:t>relativos</w:t>
      </w:r>
    </w:p>
    <w:p>
      <w:pPr>
        <w:pStyle w:val="ListParagraph"/>
        <w:numPr>
          <w:ilvl w:val="0"/>
          <w:numId w:val="34"/>
        </w:numPr>
        <w:tabs>
          <w:tab w:pos="822" w:val="left" w:leader="none"/>
        </w:tabs>
        <w:spacing w:line="360" w:lineRule="auto" w:before="2" w:after="0"/>
        <w:ind w:left="822" w:right="123" w:hanging="360"/>
        <w:jc w:val="both"/>
        <w:rPr>
          <w:sz w:val="24"/>
        </w:rPr>
      </w:pPr>
      <w:r>
        <w:rPr>
          <w:sz w:val="24"/>
        </w:rPr>
        <w:t>Las participaciones que perciben de acuerdo con las leyes federales y estatales, o por vía de convenio, en los términos y demás gravámenes de la Federación y de los</w:t>
      </w:r>
      <w:r>
        <w:rPr>
          <w:spacing w:val="-8"/>
          <w:sz w:val="24"/>
        </w:rPr>
        <w:t> </w:t>
      </w:r>
      <w:r>
        <w:rPr>
          <w:sz w:val="24"/>
        </w:rPr>
        <w:t>estados</w:t>
      </w:r>
    </w:p>
    <w:p>
      <w:pPr>
        <w:pStyle w:val="ListParagraph"/>
        <w:numPr>
          <w:ilvl w:val="0"/>
          <w:numId w:val="34"/>
        </w:numPr>
        <w:tabs>
          <w:tab w:pos="822" w:val="left" w:leader="none"/>
        </w:tabs>
        <w:spacing w:line="360" w:lineRule="auto" w:before="5" w:after="0"/>
        <w:ind w:left="822" w:right="115" w:hanging="360"/>
        <w:jc w:val="left"/>
        <w:rPr>
          <w:sz w:val="24"/>
        </w:rPr>
      </w:pPr>
      <w:r>
        <w:rPr>
          <w:sz w:val="24"/>
        </w:rPr>
        <w:t>Las</w:t>
      </w:r>
      <w:r>
        <w:rPr>
          <w:spacing w:val="-15"/>
          <w:sz w:val="24"/>
        </w:rPr>
        <w:t> </w:t>
      </w:r>
      <w:r>
        <w:rPr>
          <w:sz w:val="24"/>
        </w:rPr>
        <w:t>utilidades</w:t>
      </w:r>
      <w:r>
        <w:rPr>
          <w:spacing w:val="-15"/>
          <w:sz w:val="24"/>
        </w:rPr>
        <w:t> </w:t>
      </w:r>
      <w:r>
        <w:rPr>
          <w:sz w:val="24"/>
        </w:rPr>
        <w:t>de</w:t>
      </w:r>
      <w:r>
        <w:rPr>
          <w:spacing w:val="-14"/>
          <w:sz w:val="24"/>
        </w:rPr>
        <w:t> </w:t>
      </w:r>
      <w:r>
        <w:rPr>
          <w:sz w:val="24"/>
        </w:rPr>
        <w:t>las</w:t>
      </w:r>
      <w:r>
        <w:rPr>
          <w:spacing w:val="-14"/>
          <w:sz w:val="24"/>
        </w:rPr>
        <w:t> </w:t>
      </w:r>
      <w:r>
        <w:rPr>
          <w:sz w:val="24"/>
        </w:rPr>
        <w:t>empresas</w:t>
      </w:r>
      <w:r>
        <w:rPr>
          <w:spacing w:val="-13"/>
          <w:sz w:val="24"/>
        </w:rPr>
        <w:t> </w:t>
      </w:r>
      <w:r>
        <w:rPr>
          <w:sz w:val="24"/>
        </w:rPr>
        <w:t>paramunicipales</w:t>
      </w:r>
      <w:r>
        <w:rPr>
          <w:spacing w:val="-12"/>
          <w:sz w:val="24"/>
        </w:rPr>
        <w:t> </w:t>
      </w:r>
      <w:r>
        <w:rPr>
          <w:sz w:val="24"/>
        </w:rPr>
        <w:t>que</w:t>
      </w:r>
      <w:r>
        <w:rPr>
          <w:spacing w:val="-12"/>
          <w:sz w:val="24"/>
        </w:rPr>
        <w:t> </w:t>
      </w:r>
      <w:r>
        <w:rPr>
          <w:sz w:val="24"/>
        </w:rPr>
        <w:t>se</w:t>
      </w:r>
      <w:r>
        <w:rPr>
          <w:spacing w:val="-12"/>
          <w:sz w:val="24"/>
        </w:rPr>
        <w:t> </w:t>
      </w:r>
      <w:r>
        <w:rPr>
          <w:sz w:val="24"/>
        </w:rPr>
        <w:t>crearon</w:t>
      </w:r>
      <w:r>
        <w:rPr>
          <w:spacing w:val="-14"/>
          <w:sz w:val="24"/>
        </w:rPr>
        <w:t> </w:t>
      </w:r>
      <w:r>
        <w:rPr>
          <w:sz w:val="24"/>
        </w:rPr>
        <w:t>dentro</w:t>
      </w:r>
      <w:r>
        <w:rPr>
          <w:spacing w:val="-12"/>
          <w:sz w:val="24"/>
        </w:rPr>
        <w:t> </w:t>
      </w:r>
      <w:r>
        <w:rPr>
          <w:sz w:val="24"/>
        </w:rPr>
        <w:t>de</w:t>
      </w:r>
      <w:r>
        <w:rPr>
          <w:spacing w:val="-12"/>
          <w:sz w:val="24"/>
        </w:rPr>
        <w:t> </w:t>
      </w:r>
      <w:r>
        <w:rPr>
          <w:spacing w:val="2"/>
          <w:sz w:val="24"/>
        </w:rPr>
        <w:t>los </w:t>
      </w:r>
      <w:r>
        <w:rPr>
          <w:sz w:val="24"/>
        </w:rPr>
        <w:t>ámbitos de competencia de los</w:t>
      </w:r>
      <w:r>
        <w:rPr>
          <w:spacing w:val="-18"/>
          <w:sz w:val="24"/>
        </w:rPr>
        <w:t> </w:t>
      </w:r>
      <w:r>
        <w:rPr>
          <w:sz w:val="24"/>
        </w:rPr>
        <w:t>ayuntamientos</w:t>
      </w:r>
    </w:p>
    <w:p>
      <w:pPr>
        <w:pStyle w:val="ListParagraph"/>
        <w:numPr>
          <w:ilvl w:val="0"/>
          <w:numId w:val="34"/>
        </w:numPr>
        <w:tabs>
          <w:tab w:pos="822" w:val="left" w:leader="none"/>
        </w:tabs>
        <w:spacing w:line="360" w:lineRule="auto" w:before="5" w:after="0"/>
        <w:ind w:left="822" w:right="125" w:hanging="360"/>
        <w:jc w:val="left"/>
        <w:rPr>
          <w:sz w:val="24"/>
        </w:rPr>
      </w:pPr>
      <w:r>
        <w:rPr>
          <w:sz w:val="24"/>
        </w:rPr>
        <w:t>Las tasas adicionales que en su caso fijen el Congreso de la Unión y las legislaturas de los estados sobre impuestos federales y</w:t>
      </w:r>
      <w:r>
        <w:rPr>
          <w:spacing w:val="-19"/>
          <w:sz w:val="24"/>
        </w:rPr>
        <w:t> </w:t>
      </w:r>
      <w:r>
        <w:rPr>
          <w:sz w:val="24"/>
        </w:rPr>
        <w:t>estatales</w:t>
      </w:r>
    </w:p>
    <w:p>
      <w:pPr>
        <w:pStyle w:val="ListParagraph"/>
        <w:numPr>
          <w:ilvl w:val="0"/>
          <w:numId w:val="34"/>
        </w:numPr>
        <w:tabs>
          <w:tab w:pos="822" w:val="left" w:leader="none"/>
        </w:tabs>
        <w:spacing w:line="240" w:lineRule="auto" w:before="5" w:after="0"/>
        <w:ind w:left="822" w:right="0" w:hanging="360"/>
        <w:jc w:val="left"/>
        <w:rPr>
          <w:sz w:val="24"/>
        </w:rPr>
      </w:pPr>
      <w:r>
        <w:rPr>
          <w:sz w:val="24"/>
        </w:rPr>
        <w:t>Por los capitales y créditos a favor del</w:t>
      </w:r>
      <w:r>
        <w:rPr>
          <w:spacing w:val="-17"/>
          <w:sz w:val="24"/>
        </w:rPr>
        <w:t> </w:t>
      </w:r>
      <w:r>
        <w:rPr>
          <w:sz w:val="24"/>
        </w:rPr>
        <w:t>municipio</w:t>
      </w:r>
    </w:p>
    <w:p>
      <w:pPr>
        <w:pStyle w:val="ListParagraph"/>
        <w:numPr>
          <w:ilvl w:val="0"/>
          <w:numId w:val="34"/>
        </w:numPr>
        <w:tabs>
          <w:tab w:pos="890" w:val="left" w:leader="none"/>
        </w:tabs>
        <w:spacing w:line="240" w:lineRule="auto" w:before="137" w:after="0"/>
        <w:ind w:left="889" w:right="0" w:hanging="427"/>
        <w:jc w:val="left"/>
        <w:rPr>
          <w:sz w:val="24"/>
        </w:rPr>
      </w:pPr>
      <w:r>
        <w:rPr>
          <w:sz w:val="24"/>
        </w:rPr>
        <w:t>Por las donaciones, herencias y legados que</w:t>
      </w:r>
      <w:r>
        <w:rPr>
          <w:spacing w:val="-15"/>
          <w:sz w:val="24"/>
        </w:rPr>
        <w:t> </w:t>
      </w:r>
      <w:r>
        <w:rPr>
          <w:sz w:val="24"/>
        </w:rPr>
        <w:t>reciba</w:t>
      </w:r>
    </w:p>
    <w:p>
      <w:pPr>
        <w:pStyle w:val="BodyText"/>
        <w:spacing w:before="11"/>
        <w:rPr>
          <w:sz w:val="32"/>
        </w:rPr>
      </w:pPr>
    </w:p>
    <w:p>
      <w:pPr>
        <w:pStyle w:val="BodyText"/>
        <w:ind w:left="102"/>
        <w:jc w:val="both"/>
      </w:pPr>
      <w:r>
        <w:rPr/>
        <w:t>En resumen la hacienda municipal se estructura simple y llanamente en:</w:t>
      </w:r>
    </w:p>
    <w:p>
      <w:pPr>
        <w:pStyle w:val="BodyText"/>
        <w:spacing w:before="9"/>
        <w:rPr>
          <w:sz w:val="32"/>
        </w:rPr>
      </w:pPr>
    </w:p>
    <w:p>
      <w:pPr>
        <w:pStyle w:val="ListParagraph"/>
        <w:numPr>
          <w:ilvl w:val="0"/>
          <w:numId w:val="35"/>
        </w:numPr>
        <w:tabs>
          <w:tab w:pos="822" w:val="left" w:leader="none"/>
        </w:tabs>
        <w:spacing w:line="240" w:lineRule="auto" w:before="0" w:after="0"/>
        <w:ind w:left="822" w:right="0" w:hanging="360"/>
        <w:jc w:val="left"/>
        <w:rPr>
          <w:sz w:val="24"/>
        </w:rPr>
      </w:pPr>
      <w:r>
        <w:rPr>
          <w:sz w:val="24"/>
        </w:rPr>
        <w:t>Ingresos</w:t>
      </w:r>
    </w:p>
    <w:p>
      <w:pPr>
        <w:pStyle w:val="ListParagraph"/>
        <w:numPr>
          <w:ilvl w:val="0"/>
          <w:numId w:val="35"/>
        </w:numPr>
        <w:tabs>
          <w:tab w:pos="822" w:val="left" w:leader="none"/>
        </w:tabs>
        <w:spacing w:line="240" w:lineRule="auto" w:before="139" w:after="0"/>
        <w:ind w:left="822" w:right="0" w:hanging="360"/>
        <w:jc w:val="left"/>
        <w:rPr>
          <w:sz w:val="24"/>
        </w:rPr>
      </w:pPr>
      <w:r>
        <w:rPr>
          <w:sz w:val="24"/>
        </w:rPr>
        <w:t>Egresos</w:t>
      </w:r>
    </w:p>
    <w:p>
      <w:pPr>
        <w:pStyle w:val="ListParagraph"/>
        <w:numPr>
          <w:ilvl w:val="0"/>
          <w:numId w:val="35"/>
        </w:numPr>
        <w:tabs>
          <w:tab w:pos="822" w:val="left" w:leader="none"/>
        </w:tabs>
        <w:spacing w:line="240" w:lineRule="auto" w:before="137" w:after="0"/>
        <w:ind w:left="822" w:right="0" w:hanging="360"/>
        <w:jc w:val="left"/>
        <w:rPr>
          <w:sz w:val="24"/>
        </w:rPr>
      </w:pPr>
      <w:r>
        <w:rPr>
          <w:sz w:val="24"/>
        </w:rPr>
        <w:t>Patrimonio</w:t>
      </w:r>
    </w:p>
    <w:p>
      <w:pPr>
        <w:pStyle w:val="ListParagraph"/>
        <w:numPr>
          <w:ilvl w:val="0"/>
          <w:numId w:val="35"/>
        </w:numPr>
        <w:tabs>
          <w:tab w:pos="822" w:val="left" w:leader="none"/>
        </w:tabs>
        <w:spacing w:line="240" w:lineRule="auto" w:before="139" w:after="0"/>
        <w:ind w:left="822" w:right="0" w:hanging="360"/>
        <w:jc w:val="left"/>
        <w:rPr>
          <w:sz w:val="24"/>
        </w:rPr>
      </w:pPr>
      <w:r>
        <w:rPr>
          <w:sz w:val="24"/>
        </w:rPr>
        <w:t>Deuda</w:t>
      </w:r>
      <w:r>
        <w:rPr>
          <w:spacing w:val="-3"/>
          <w:sz w:val="24"/>
        </w:rPr>
        <w:t> </w:t>
      </w:r>
      <w:r>
        <w:rPr>
          <w:sz w:val="24"/>
        </w:rPr>
        <w:t>pública</w:t>
      </w:r>
    </w:p>
    <w:p>
      <w:pPr>
        <w:pStyle w:val="BodyText"/>
        <w:spacing w:before="8"/>
        <w:rPr>
          <w:sz w:val="32"/>
        </w:rPr>
      </w:pPr>
    </w:p>
    <w:p>
      <w:pPr>
        <w:pStyle w:val="BodyText"/>
        <w:spacing w:line="360" w:lineRule="auto" w:before="1"/>
        <w:ind w:left="102" w:right="115"/>
        <w:jc w:val="both"/>
      </w:pPr>
      <w:r>
        <w:rPr/>
        <w:t>En</w:t>
      </w:r>
      <w:r>
        <w:rPr>
          <w:spacing w:val="-4"/>
        </w:rPr>
        <w:t> </w:t>
      </w:r>
      <w:r>
        <w:rPr/>
        <w:t>su</w:t>
      </w:r>
      <w:r>
        <w:rPr>
          <w:spacing w:val="-4"/>
        </w:rPr>
        <w:t> </w:t>
      </w:r>
      <w:r>
        <w:rPr/>
        <w:t>definición</w:t>
      </w:r>
      <w:r>
        <w:rPr>
          <w:spacing w:val="-2"/>
        </w:rPr>
        <w:t> </w:t>
      </w:r>
      <w:r>
        <w:rPr/>
        <w:t>Hernández</w:t>
      </w:r>
      <w:r>
        <w:rPr>
          <w:spacing w:val="-5"/>
        </w:rPr>
        <w:t> </w:t>
      </w:r>
      <w:r>
        <w:rPr/>
        <w:t>(1991),</w:t>
      </w:r>
      <w:r>
        <w:rPr>
          <w:spacing w:val="-4"/>
        </w:rPr>
        <w:t> </w:t>
      </w:r>
      <w:r>
        <w:rPr/>
        <w:t>cita</w:t>
      </w:r>
      <w:r>
        <w:rPr>
          <w:spacing w:val="-6"/>
        </w:rPr>
        <w:t> </w:t>
      </w:r>
      <w:r>
        <w:rPr/>
        <w:t>una</w:t>
      </w:r>
      <w:r>
        <w:rPr>
          <w:spacing w:val="-4"/>
        </w:rPr>
        <w:t> </w:t>
      </w:r>
      <w:r>
        <w:rPr/>
        <w:t>serie</w:t>
      </w:r>
      <w:r>
        <w:rPr>
          <w:spacing w:val="-4"/>
        </w:rPr>
        <w:t> </w:t>
      </w:r>
      <w:r>
        <w:rPr/>
        <w:t>de</w:t>
      </w:r>
      <w:r>
        <w:rPr>
          <w:spacing w:val="-4"/>
        </w:rPr>
        <w:t> </w:t>
      </w:r>
      <w:r>
        <w:rPr/>
        <w:t>características</w:t>
      </w:r>
      <w:r>
        <w:rPr>
          <w:spacing w:val="-4"/>
        </w:rPr>
        <w:t> </w:t>
      </w:r>
      <w:r>
        <w:rPr/>
        <w:t>bajo</w:t>
      </w:r>
      <w:r>
        <w:rPr>
          <w:spacing w:val="-4"/>
        </w:rPr>
        <w:t> </w:t>
      </w:r>
      <w:r>
        <w:rPr/>
        <w:t>las</w:t>
      </w:r>
      <w:r>
        <w:rPr>
          <w:spacing w:val="-4"/>
        </w:rPr>
        <w:t> </w:t>
      </w:r>
      <w:r>
        <w:rPr/>
        <w:t>cuales se compone la hacienda pública municipal, una de esas, son los recursos municipales, que son los fondos monetarios con que cuenta un ayuntamiento y los ingresos que tiene derecho a recibir de un ejercicio determinado. Estos recursos municipales</w:t>
      </w:r>
      <w:r>
        <w:rPr>
          <w:spacing w:val="-6"/>
        </w:rPr>
        <w:t> </w:t>
      </w:r>
      <w:r>
        <w:rPr/>
        <w:t>sirven</w:t>
      </w:r>
      <w:r>
        <w:rPr>
          <w:spacing w:val="-6"/>
        </w:rPr>
        <w:t> </w:t>
      </w:r>
      <w:r>
        <w:rPr/>
        <w:t>para</w:t>
      </w:r>
      <w:r>
        <w:rPr>
          <w:spacing w:val="-7"/>
        </w:rPr>
        <w:t> </w:t>
      </w:r>
      <w:r>
        <w:rPr/>
        <w:t>cubrir</w:t>
      </w:r>
      <w:r>
        <w:rPr>
          <w:spacing w:val="-7"/>
        </w:rPr>
        <w:t> </w:t>
      </w:r>
      <w:r>
        <w:rPr/>
        <w:t>los</w:t>
      </w:r>
      <w:r>
        <w:rPr>
          <w:spacing w:val="-7"/>
        </w:rPr>
        <w:t> </w:t>
      </w:r>
      <w:r>
        <w:rPr/>
        <w:t>fines</w:t>
      </w:r>
      <w:r>
        <w:rPr>
          <w:spacing w:val="-7"/>
        </w:rPr>
        <w:t> </w:t>
      </w:r>
      <w:r>
        <w:rPr/>
        <w:t>económicos</w:t>
      </w:r>
      <w:r>
        <w:rPr>
          <w:spacing w:val="-4"/>
        </w:rPr>
        <w:t> </w:t>
      </w:r>
      <w:r>
        <w:rPr/>
        <w:t>y</w:t>
      </w:r>
      <w:r>
        <w:rPr>
          <w:spacing w:val="-9"/>
        </w:rPr>
        <w:t> </w:t>
      </w:r>
      <w:r>
        <w:rPr/>
        <w:t>sociales</w:t>
      </w:r>
      <w:r>
        <w:rPr>
          <w:spacing w:val="-6"/>
        </w:rPr>
        <w:t> </w:t>
      </w:r>
      <w:r>
        <w:rPr/>
        <w:t>de</w:t>
      </w:r>
      <w:r>
        <w:rPr>
          <w:spacing w:val="-6"/>
        </w:rPr>
        <w:t> </w:t>
      </w:r>
      <w:r>
        <w:rPr/>
        <w:t>la</w:t>
      </w:r>
      <w:r>
        <w:rPr>
          <w:spacing w:val="-9"/>
        </w:rPr>
        <w:t> </w:t>
      </w:r>
      <w:r>
        <w:rPr/>
        <w:t>comunidad,</w:t>
      </w:r>
      <w:r>
        <w:rPr>
          <w:spacing w:val="-6"/>
        </w:rPr>
        <w:t> </w:t>
      </w:r>
      <w:r>
        <w:rPr/>
        <w:t>así como asegurar su propio</w:t>
      </w:r>
      <w:r>
        <w:rPr>
          <w:spacing w:val="-9"/>
        </w:rPr>
        <w:t> </w:t>
      </w:r>
      <w:r>
        <w:rPr/>
        <w:t>sostenimiento.</w:t>
      </w:r>
    </w:p>
    <w:p>
      <w:pPr>
        <w:pStyle w:val="BodyText"/>
        <w:spacing w:before="1"/>
        <w:rPr>
          <w:sz w:val="21"/>
        </w:rPr>
      </w:pPr>
    </w:p>
    <w:p>
      <w:pPr>
        <w:pStyle w:val="BodyText"/>
        <w:ind w:left="102"/>
        <w:jc w:val="both"/>
      </w:pPr>
      <w:r>
        <w:rPr/>
        <w:t>Los mecanismos con que cuenta el ayuntamiento para conseguir recursos son:</w:t>
      </w:r>
    </w:p>
    <w:p>
      <w:pPr>
        <w:pStyle w:val="BodyText"/>
        <w:spacing w:before="11"/>
        <w:rPr>
          <w:sz w:val="32"/>
        </w:rPr>
      </w:pPr>
    </w:p>
    <w:p>
      <w:pPr>
        <w:pStyle w:val="ListParagraph"/>
        <w:numPr>
          <w:ilvl w:val="0"/>
          <w:numId w:val="36"/>
        </w:numPr>
        <w:tabs>
          <w:tab w:pos="822" w:val="left" w:leader="none"/>
        </w:tabs>
        <w:spacing w:line="240" w:lineRule="auto" w:before="0" w:after="0"/>
        <w:ind w:left="822" w:right="0" w:hanging="360"/>
        <w:jc w:val="left"/>
        <w:rPr>
          <w:sz w:val="24"/>
        </w:rPr>
      </w:pPr>
      <w:r>
        <w:rPr>
          <w:sz w:val="24"/>
        </w:rPr>
        <w:t>La</w:t>
      </w:r>
      <w:r>
        <w:rPr>
          <w:spacing w:val="43"/>
          <w:sz w:val="24"/>
        </w:rPr>
        <w:t> </w:t>
      </w:r>
      <w:r>
        <w:rPr>
          <w:sz w:val="24"/>
        </w:rPr>
        <w:t>Constitución</w:t>
      </w:r>
      <w:r>
        <w:rPr>
          <w:spacing w:val="43"/>
          <w:sz w:val="24"/>
        </w:rPr>
        <w:t> </w:t>
      </w:r>
      <w:r>
        <w:rPr>
          <w:sz w:val="24"/>
        </w:rPr>
        <w:t>en</w:t>
      </w:r>
      <w:r>
        <w:rPr>
          <w:spacing w:val="43"/>
          <w:sz w:val="24"/>
        </w:rPr>
        <w:t> </w:t>
      </w:r>
      <w:r>
        <w:rPr>
          <w:sz w:val="24"/>
        </w:rPr>
        <w:t>el</w:t>
      </w:r>
      <w:r>
        <w:rPr>
          <w:spacing w:val="43"/>
          <w:sz w:val="24"/>
        </w:rPr>
        <w:t> </w:t>
      </w:r>
      <w:r>
        <w:rPr>
          <w:sz w:val="24"/>
        </w:rPr>
        <w:t>artículo</w:t>
      </w:r>
      <w:r>
        <w:rPr>
          <w:spacing w:val="44"/>
          <w:sz w:val="24"/>
        </w:rPr>
        <w:t> </w:t>
      </w:r>
      <w:r>
        <w:rPr>
          <w:sz w:val="24"/>
        </w:rPr>
        <w:t>115</w:t>
      </w:r>
      <w:r>
        <w:rPr>
          <w:spacing w:val="41"/>
          <w:sz w:val="24"/>
        </w:rPr>
        <w:t> </w:t>
      </w:r>
      <w:r>
        <w:rPr>
          <w:sz w:val="24"/>
        </w:rPr>
        <w:t>facultad</w:t>
      </w:r>
      <w:r>
        <w:rPr>
          <w:spacing w:val="41"/>
          <w:sz w:val="24"/>
        </w:rPr>
        <w:t> </w:t>
      </w:r>
      <w:r>
        <w:rPr>
          <w:sz w:val="24"/>
        </w:rPr>
        <w:t>al</w:t>
      </w:r>
      <w:r>
        <w:rPr>
          <w:spacing w:val="42"/>
          <w:sz w:val="24"/>
        </w:rPr>
        <w:t> </w:t>
      </w:r>
      <w:r>
        <w:rPr>
          <w:sz w:val="24"/>
        </w:rPr>
        <w:t>municipio</w:t>
      </w:r>
      <w:r>
        <w:rPr>
          <w:spacing w:val="41"/>
          <w:sz w:val="24"/>
        </w:rPr>
        <w:t> </w:t>
      </w:r>
      <w:r>
        <w:rPr>
          <w:sz w:val="24"/>
        </w:rPr>
        <w:t>para</w:t>
      </w:r>
      <w:r>
        <w:rPr>
          <w:spacing w:val="41"/>
          <w:sz w:val="24"/>
        </w:rPr>
        <w:t> </w:t>
      </w:r>
      <w:r>
        <w:rPr>
          <w:sz w:val="24"/>
        </w:rPr>
        <w:t>recaudar</w:t>
      </w:r>
      <w:r>
        <w:rPr>
          <w:spacing w:val="42"/>
          <w:sz w:val="24"/>
        </w:rPr>
        <w:t> </w:t>
      </w:r>
      <w:r>
        <w:rPr>
          <w:sz w:val="24"/>
        </w:rPr>
        <w:t>lo</w:t>
      </w:r>
    </w:p>
    <w:p>
      <w:pPr>
        <w:spacing w:after="0" w:line="240" w:lineRule="auto"/>
        <w:jc w:val="left"/>
        <w:rPr>
          <w:sz w:val="24"/>
        </w:rPr>
        <w:sectPr>
          <w:footerReference w:type="default" r:id="rId41"/>
          <w:pgSz w:w="12240" w:h="15840"/>
          <w:pgMar w:footer="992" w:header="0" w:top="1360" w:bottom="1180" w:left="1600" w:right="1580"/>
        </w:sectPr>
      </w:pPr>
    </w:p>
    <w:p>
      <w:pPr>
        <w:pStyle w:val="BodyText"/>
        <w:spacing w:before="54"/>
        <w:ind w:left="821"/>
      </w:pPr>
      <w:r>
        <w:rPr/>
        <w:t>ingresos correspondiente a impuestos, derechos y contribuciones</w:t>
      </w:r>
    </w:p>
    <w:p>
      <w:pPr>
        <w:pStyle w:val="ListParagraph"/>
        <w:numPr>
          <w:ilvl w:val="0"/>
          <w:numId w:val="36"/>
        </w:numPr>
        <w:tabs>
          <w:tab w:pos="822" w:val="left" w:leader="none"/>
        </w:tabs>
        <w:spacing w:line="360" w:lineRule="auto" w:before="139" w:after="0"/>
        <w:ind w:left="822" w:right="125" w:hanging="360"/>
        <w:jc w:val="left"/>
        <w:rPr>
          <w:sz w:val="24"/>
        </w:rPr>
      </w:pPr>
      <w:r>
        <w:rPr>
          <w:sz w:val="24"/>
        </w:rPr>
        <w:t>Las participaciones que hace la Federación, a través de las legislaturas de los</w:t>
      </w:r>
      <w:r>
        <w:rPr>
          <w:spacing w:val="-2"/>
          <w:sz w:val="24"/>
        </w:rPr>
        <w:t> </w:t>
      </w:r>
      <w:r>
        <w:rPr>
          <w:sz w:val="24"/>
        </w:rPr>
        <w:t>estados</w:t>
      </w:r>
    </w:p>
    <w:p>
      <w:pPr>
        <w:pStyle w:val="ListParagraph"/>
        <w:numPr>
          <w:ilvl w:val="0"/>
          <w:numId w:val="36"/>
        </w:numPr>
        <w:tabs>
          <w:tab w:pos="822" w:val="left" w:leader="none"/>
        </w:tabs>
        <w:spacing w:line="360" w:lineRule="auto" w:before="5" w:after="0"/>
        <w:ind w:left="822" w:right="125" w:hanging="360"/>
        <w:jc w:val="left"/>
        <w:rPr>
          <w:sz w:val="24"/>
        </w:rPr>
      </w:pPr>
      <w:r>
        <w:rPr>
          <w:sz w:val="24"/>
        </w:rPr>
        <w:t>Al aplicar sanciones a los ciudadanos por incumplimiento de alguna disposición</w:t>
      </w:r>
      <w:r>
        <w:rPr>
          <w:spacing w:val="-9"/>
          <w:sz w:val="24"/>
        </w:rPr>
        <w:t> </w:t>
      </w:r>
      <w:r>
        <w:rPr>
          <w:sz w:val="24"/>
        </w:rPr>
        <w:t>administrativa</w:t>
      </w:r>
    </w:p>
    <w:p>
      <w:pPr>
        <w:pStyle w:val="ListParagraph"/>
        <w:numPr>
          <w:ilvl w:val="0"/>
          <w:numId w:val="36"/>
        </w:numPr>
        <w:tabs>
          <w:tab w:pos="822" w:val="left" w:leader="none"/>
        </w:tabs>
        <w:spacing w:line="360" w:lineRule="auto" w:before="5" w:after="0"/>
        <w:ind w:left="822" w:right="120" w:hanging="360"/>
        <w:jc w:val="left"/>
        <w:rPr>
          <w:sz w:val="24"/>
        </w:rPr>
      </w:pPr>
      <w:r>
        <w:rPr>
          <w:sz w:val="24"/>
        </w:rPr>
        <w:t>Bienes o ingresos de particulares que se realizan a través de cualquier acto jurídico como las</w:t>
      </w:r>
      <w:r>
        <w:rPr>
          <w:spacing w:val="-8"/>
          <w:sz w:val="24"/>
        </w:rPr>
        <w:t> </w:t>
      </w:r>
      <w:r>
        <w:rPr>
          <w:sz w:val="24"/>
        </w:rPr>
        <w:t>donaciones</w:t>
      </w:r>
    </w:p>
    <w:p>
      <w:pPr>
        <w:pStyle w:val="ListParagraph"/>
        <w:numPr>
          <w:ilvl w:val="0"/>
          <w:numId w:val="36"/>
        </w:numPr>
        <w:tabs>
          <w:tab w:pos="822" w:val="left" w:leader="none"/>
        </w:tabs>
        <w:spacing w:line="240" w:lineRule="auto" w:before="5" w:after="0"/>
        <w:ind w:left="822" w:right="0" w:hanging="360"/>
        <w:jc w:val="left"/>
        <w:rPr>
          <w:sz w:val="24"/>
        </w:rPr>
      </w:pPr>
      <w:r>
        <w:rPr>
          <w:sz w:val="24"/>
        </w:rPr>
        <w:t>Créditos</w:t>
      </w:r>
      <w:r>
        <w:rPr>
          <w:spacing w:val="-5"/>
          <w:sz w:val="24"/>
        </w:rPr>
        <w:t> </w:t>
      </w:r>
      <w:r>
        <w:rPr>
          <w:sz w:val="24"/>
        </w:rPr>
        <w:t>financieros</w:t>
      </w:r>
    </w:p>
    <w:p>
      <w:pPr>
        <w:pStyle w:val="ListParagraph"/>
        <w:numPr>
          <w:ilvl w:val="0"/>
          <w:numId w:val="36"/>
        </w:numPr>
        <w:tabs>
          <w:tab w:pos="822" w:val="left" w:leader="none"/>
        </w:tabs>
        <w:spacing w:line="240" w:lineRule="auto" w:before="137" w:after="0"/>
        <w:ind w:left="822" w:right="0" w:hanging="360"/>
        <w:jc w:val="left"/>
        <w:rPr>
          <w:sz w:val="24"/>
        </w:rPr>
      </w:pPr>
      <w:r>
        <w:rPr>
          <w:sz w:val="24"/>
        </w:rPr>
        <w:t>Y demás permitidos por las leyes</w:t>
      </w:r>
      <w:r>
        <w:rPr>
          <w:spacing w:val="-16"/>
          <w:sz w:val="24"/>
        </w:rPr>
        <w:t> </w:t>
      </w:r>
      <w:r>
        <w:rPr>
          <w:sz w:val="24"/>
        </w:rPr>
        <w:t>respectivas</w:t>
      </w:r>
    </w:p>
    <w:p>
      <w:pPr>
        <w:pStyle w:val="BodyText"/>
        <w:rPr>
          <w:sz w:val="33"/>
        </w:rPr>
      </w:pPr>
    </w:p>
    <w:p>
      <w:pPr>
        <w:pStyle w:val="Heading2"/>
      </w:pPr>
      <w:r>
        <w:rPr/>
        <w:t>Ingresos</w:t>
      </w:r>
    </w:p>
    <w:p>
      <w:pPr>
        <w:pStyle w:val="BodyText"/>
        <w:spacing w:before="8"/>
        <w:rPr>
          <w:b/>
          <w:sz w:val="32"/>
        </w:rPr>
      </w:pPr>
    </w:p>
    <w:p>
      <w:pPr>
        <w:pStyle w:val="BodyText"/>
        <w:spacing w:line="360" w:lineRule="auto" w:before="1"/>
        <w:ind w:left="102" w:right="117"/>
        <w:jc w:val="both"/>
        <w:rPr>
          <w:sz w:val="22"/>
        </w:rPr>
      </w:pPr>
      <w:r>
        <w:rPr/>
        <w:t>El municipio tiene dos maneras de conseguir ingresos públicos ya </w:t>
      </w:r>
      <w:r>
        <w:rPr>
          <w:spacing w:val="3"/>
        </w:rPr>
        <w:t>sea </w:t>
      </w:r>
      <w:r>
        <w:rPr/>
        <w:t>de forma ordinaria o extraordinaria. Por lo tanto, los ingresos municipales no son otra cosa más</w:t>
      </w:r>
      <w:r>
        <w:rPr>
          <w:spacing w:val="-10"/>
        </w:rPr>
        <w:t> </w:t>
      </w:r>
      <w:r>
        <w:rPr/>
        <w:t>que</w:t>
      </w:r>
      <w:r>
        <w:rPr>
          <w:spacing w:val="-7"/>
        </w:rPr>
        <w:t> </w:t>
      </w:r>
      <w:r>
        <w:rPr/>
        <w:t>los</w:t>
      </w:r>
      <w:r>
        <w:rPr>
          <w:spacing w:val="-8"/>
        </w:rPr>
        <w:t> </w:t>
      </w:r>
      <w:r>
        <w:rPr/>
        <w:t>recursos</w:t>
      </w:r>
      <w:r>
        <w:rPr>
          <w:spacing w:val="-10"/>
        </w:rPr>
        <w:t> </w:t>
      </w:r>
      <w:r>
        <w:rPr/>
        <w:t>que</w:t>
      </w:r>
      <w:r>
        <w:rPr>
          <w:spacing w:val="-7"/>
        </w:rPr>
        <w:t> </w:t>
      </w:r>
      <w:r>
        <w:rPr/>
        <w:t>percibe</w:t>
      </w:r>
      <w:r>
        <w:rPr>
          <w:spacing w:val="-9"/>
        </w:rPr>
        <w:t> </w:t>
      </w:r>
      <w:r>
        <w:rPr/>
        <w:t>el</w:t>
      </w:r>
      <w:r>
        <w:rPr>
          <w:spacing w:val="-11"/>
        </w:rPr>
        <w:t> </w:t>
      </w:r>
      <w:r>
        <w:rPr/>
        <w:t>municipio</w:t>
      </w:r>
      <w:r>
        <w:rPr>
          <w:spacing w:val="-7"/>
        </w:rPr>
        <w:t> </w:t>
      </w:r>
      <w:r>
        <w:rPr/>
        <w:t>a</w:t>
      </w:r>
      <w:r>
        <w:rPr>
          <w:spacing w:val="-9"/>
        </w:rPr>
        <w:t> </w:t>
      </w:r>
      <w:r>
        <w:rPr/>
        <w:t>través</w:t>
      </w:r>
      <w:r>
        <w:rPr>
          <w:spacing w:val="-10"/>
        </w:rPr>
        <w:t> </w:t>
      </w:r>
      <w:r>
        <w:rPr/>
        <w:t>de</w:t>
      </w:r>
      <w:r>
        <w:rPr>
          <w:spacing w:val="-9"/>
        </w:rPr>
        <w:t> </w:t>
      </w:r>
      <w:r>
        <w:rPr/>
        <w:t>su</w:t>
      </w:r>
      <w:r>
        <w:rPr>
          <w:spacing w:val="-9"/>
        </w:rPr>
        <w:t> </w:t>
      </w:r>
      <w:r>
        <w:rPr/>
        <w:t>tesorería,</w:t>
      </w:r>
      <w:r>
        <w:rPr>
          <w:spacing w:val="-7"/>
        </w:rPr>
        <w:t> </w:t>
      </w:r>
      <w:r>
        <w:rPr/>
        <w:t>por</w:t>
      </w:r>
      <w:r>
        <w:rPr>
          <w:spacing w:val="-11"/>
        </w:rPr>
        <w:t> </w:t>
      </w:r>
      <w:r>
        <w:rPr/>
        <w:t>el</w:t>
      </w:r>
      <w:r>
        <w:rPr>
          <w:spacing w:val="-8"/>
        </w:rPr>
        <w:t> </w:t>
      </w:r>
      <w:r>
        <w:rPr/>
        <w:t>cobro de los conceptos estipulados en la Ley de Ingresos o por</w:t>
      </w:r>
      <w:r>
        <w:rPr>
          <w:spacing w:val="-18"/>
        </w:rPr>
        <w:t> </w:t>
      </w:r>
      <w:r>
        <w:rPr/>
        <w:t>convenios</w:t>
      </w:r>
      <w:r>
        <w:rPr>
          <w:sz w:val="22"/>
        </w:rPr>
        <w:t>.</w:t>
      </w:r>
    </w:p>
    <w:p>
      <w:pPr>
        <w:pStyle w:val="BodyText"/>
        <w:spacing w:before="9"/>
        <w:rPr>
          <w:sz w:val="20"/>
        </w:rPr>
      </w:pPr>
    </w:p>
    <w:p>
      <w:pPr>
        <w:spacing w:before="1"/>
        <w:ind w:left="3400" w:right="0" w:firstLine="0"/>
        <w:jc w:val="left"/>
        <w:rPr>
          <w:b/>
          <w:sz w:val="22"/>
        </w:rPr>
      </w:pPr>
      <w:r>
        <w:rPr>
          <w:b/>
          <w:sz w:val="22"/>
        </w:rPr>
        <w:t>Cuadro 4. Tipos de Ingresos</w:t>
      </w:r>
    </w:p>
    <w:p>
      <w:pPr>
        <w:pStyle w:val="BodyText"/>
        <w:spacing w:before="3"/>
        <w:rPr>
          <w:b/>
          <w:sz w:val="12"/>
        </w:rPr>
      </w:pPr>
    </w:p>
    <w:tbl>
      <w:tblPr>
        <w:tblW w:w="0" w:type="auto"/>
        <w:jc w:val="left"/>
        <w:tblInd w:w="3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0"/>
        <w:gridCol w:w="2692"/>
        <w:gridCol w:w="3405"/>
      </w:tblGrid>
      <w:tr>
        <w:trPr>
          <w:trHeight w:val="498" w:hRule="exact"/>
        </w:trPr>
        <w:tc>
          <w:tcPr>
            <w:tcW w:w="2240" w:type="dxa"/>
            <w:shd w:val="clear" w:color="auto" w:fill="000000"/>
          </w:tcPr>
          <w:p>
            <w:pPr>
              <w:pStyle w:val="TableParagraph"/>
              <w:spacing w:before="5"/>
              <w:ind w:left="107"/>
              <w:rPr>
                <w:b/>
                <w:sz w:val="18"/>
              </w:rPr>
            </w:pPr>
            <w:r>
              <w:rPr>
                <w:b/>
                <w:color w:val="FFFFFF"/>
                <w:sz w:val="18"/>
              </w:rPr>
              <w:t>Tipo de ingreso</w:t>
            </w:r>
          </w:p>
        </w:tc>
        <w:tc>
          <w:tcPr>
            <w:tcW w:w="2692" w:type="dxa"/>
            <w:shd w:val="clear" w:color="auto" w:fill="000000"/>
          </w:tcPr>
          <w:p>
            <w:pPr>
              <w:pStyle w:val="TableParagraph"/>
              <w:spacing w:before="5"/>
              <w:ind w:left="791"/>
              <w:rPr>
                <w:b/>
                <w:sz w:val="18"/>
              </w:rPr>
            </w:pPr>
            <w:r>
              <w:rPr>
                <w:b/>
                <w:color w:val="FFFFFF"/>
                <w:sz w:val="18"/>
              </w:rPr>
              <w:t>Origen del Ingreso</w:t>
            </w:r>
          </w:p>
        </w:tc>
        <w:tc>
          <w:tcPr>
            <w:tcW w:w="3405" w:type="dxa"/>
            <w:shd w:val="clear" w:color="auto" w:fill="000000"/>
          </w:tcPr>
          <w:p>
            <w:pPr>
              <w:pStyle w:val="TableParagraph"/>
              <w:spacing w:before="5"/>
              <w:ind w:left="308"/>
              <w:rPr>
                <w:b/>
                <w:sz w:val="18"/>
              </w:rPr>
            </w:pPr>
            <w:r>
              <w:rPr>
                <w:b/>
                <w:color w:val="FFFFFF"/>
                <w:sz w:val="18"/>
              </w:rPr>
              <w:t>Fuente del ingreso</w:t>
            </w:r>
          </w:p>
        </w:tc>
      </w:tr>
      <w:tr>
        <w:trPr>
          <w:trHeight w:val="1925" w:hRule="exact"/>
        </w:trPr>
        <w:tc>
          <w:tcPr>
            <w:tcW w:w="2240" w:type="dxa"/>
            <w:tcBorders>
              <w:top w:val="single" w:sz="8" w:space="0" w:color="000000"/>
              <w:left w:val="single" w:sz="8" w:space="0" w:color="000000"/>
              <w:bottom w:val="single" w:sz="8" w:space="0" w:color="000000"/>
            </w:tcBorders>
          </w:tcPr>
          <w:p>
            <w:pPr>
              <w:pStyle w:val="TableParagraph"/>
              <w:spacing w:line="201" w:lineRule="exact"/>
              <w:ind w:left="98"/>
              <w:rPr>
                <w:b/>
                <w:sz w:val="18"/>
              </w:rPr>
            </w:pPr>
            <w:r>
              <w:rPr>
                <w:b/>
                <w:sz w:val="18"/>
              </w:rPr>
              <w:t>Ordinario</w:t>
            </w:r>
          </w:p>
        </w:tc>
        <w:tc>
          <w:tcPr>
            <w:tcW w:w="2692" w:type="dxa"/>
            <w:tcBorders>
              <w:top w:val="single" w:sz="8" w:space="0" w:color="000000"/>
              <w:bottom w:val="single" w:sz="8" w:space="0" w:color="000000"/>
            </w:tcBorders>
          </w:tcPr>
          <w:p>
            <w:pPr>
              <w:pStyle w:val="TableParagraph"/>
              <w:spacing w:line="206" w:lineRule="exact"/>
              <w:ind w:left="791"/>
              <w:rPr>
                <w:sz w:val="18"/>
              </w:rPr>
            </w:pPr>
            <w:r>
              <w:rPr>
                <w:sz w:val="18"/>
              </w:rPr>
              <w:t>Propio</w:t>
            </w:r>
          </w:p>
        </w:tc>
        <w:tc>
          <w:tcPr>
            <w:tcW w:w="3405" w:type="dxa"/>
            <w:tcBorders>
              <w:top w:val="single" w:sz="8" w:space="0" w:color="000000"/>
              <w:bottom w:val="single" w:sz="8" w:space="0" w:color="000000"/>
              <w:right w:val="single" w:sz="8" w:space="0" w:color="000000"/>
            </w:tcBorders>
          </w:tcPr>
          <w:p>
            <w:pPr>
              <w:pStyle w:val="TableParagraph"/>
              <w:spacing w:line="276" w:lineRule="auto"/>
              <w:ind w:left="308" w:right="1576"/>
              <w:rPr>
                <w:sz w:val="18"/>
              </w:rPr>
            </w:pPr>
            <w:r>
              <w:rPr>
                <w:sz w:val="18"/>
              </w:rPr>
              <w:t>Impuestos Contribuciones Derechos Productos Aprovechamientos Aportaciones</w:t>
            </w:r>
          </w:p>
        </w:tc>
      </w:tr>
      <w:tr>
        <w:trPr>
          <w:trHeight w:val="1928" w:hRule="exact"/>
        </w:trPr>
        <w:tc>
          <w:tcPr>
            <w:tcW w:w="2240" w:type="dxa"/>
            <w:tcBorders>
              <w:top w:val="single" w:sz="8" w:space="0" w:color="000000"/>
              <w:left w:val="single" w:sz="8" w:space="0" w:color="000000"/>
              <w:bottom w:val="single" w:sz="8" w:space="0" w:color="000000"/>
            </w:tcBorders>
          </w:tcPr>
          <w:p>
            <w:pPr>
              <w:pStyle w:val="TableParagraph"/>
              <w:spacing w:line="204" w:lineRule="exact"/>
              <w:ind w:left="98"/>
              <w:rPr>
                <w:b/>
                <w:sz w:val="18"/>
              </w:rPr>
            </w:pPr>
            <w:r>
              <w:rPr>
                <w:b/>
                <w:sz w:val="18"/>
              </w:rPr>
              <w:t>Extraordinario</w:t>
            </w:r>
          </w:p>
        </w:tc>
        <w:tc>
          <w:tcPr>
            <w:tcW w:w="2692" w:type="dxa"/>
            <w:tcBorders>
              <w:top w:val="single" w:sz="8" w:space="0" w:color="000000"/>
              <w:bottom w:val="single" w:sz="8" w:space="0" w:color="000000"/>
            </w:tcBorders>
          </w:tcPr>
          <w:p>
            <w:pPr>
              <w:pStyle w:val="TableParagraph"/>
              <w:spacing w:line="276" w:lineRule="auto" w:before="1"/>
              <w:ind w:left="791" w:right="496"/>
              <w:rPr>
                <w:sz w:val="18"/>
              </w:rPr>
            </w:pPr>
            <w:r>
              <w:rPr>
                <w:sz w:val="18"/>
              </w:rPr>
              <w:t>Privado  Gobierno Federal Gobierno</w:t>
            </w:r>
            <w:r>
              <w:rPr>
                <w:spacing w:val="-5"/>
                <w:sz w:val="18"/>
              </w:rPr>
              <w:t> </w:t>
            </w:r>
            <w:r>
              <w:rPr>
                <w:sz w:val="18"/>
              </w:rPr>
              <w:t>Estatal</w:t>
            </w:r>
          </w:p>
        </w:tc>
        <w:tc>
          <w:tcPr>
            <w:tcW w:w="3405" w:type="dxa"/>
            <w:tcBorders>
              <w:top w:val="single" w:sz="8" w:space="0" w:color="000000"/>
              <w:bottom w:val="single" w:sz="8" w:space="0" w:color="000000"/>
              <w:right w:val="single" w:sz="8" w:space="0" w:color="000000"/>
            </w:tcBorders>
          </w:tcPr>
          <w:p>
            <w:pPr>
              <w:pStyle w:val="TableParagraph"/>
              <w:spacing w:before="1"/>
              <w:ind w:left="308" w:right="1576"/>
              <w:rPr>
                <w:sz w:val="18"/>
              </w:rPr>
            </w:pPr>
            <w:r>
              <w:rPr>
                <w:sz w:val="18"/>
              </w:rPr>
              <w:t>Participaciones,</w:t>
            </w:r>
          </w:p>
          <w:p>
            <w:pPr>
              <w:pStyle w:val="TableParagraph"/>
              <w:spacing w:line="276" w:lineRule="auto" w:before="30"/>
              <w:ind w:left="308"/>
              <w:rPr>
                <w:sz w:val="18"/>
              </w:rPr>
            </w:pPr>
            <w:r>
              <w:rPr>
                <w:sz w:val="18"/>
              </w:rPr>
              <w:t>Aportaciones Federales (FISMDF, FORTMUNDF)</w:t>
            </w:r>
          </w:p>
          <w:p>
            <w:pPr>
              <w:pStyle w:val="TableParagraph"/>
              <w:spacing w:line="276" w:lineRule="auto"/>
              <w:ind w:left="308" w:right="1966"/>
              <w:rPr>
                <w:sz w:val="18"/>
              </w:rPr>
            </w:pPr>
            <w:r>
              <w:rPr>
                <w:sz w:val="18"/>
              </w:rPr>
              <w:t>Transferencia Asignaciones Subsidios Otras ayudas</w:t>
            </w:r>
          </w:p>
        </w:tc>
      </w:tr>
    </w:tbl>
    <w:p>
      <w:pPr>
        <w:spacing w:line="242" w:lineRule="auto" w:before="0"/>
        <w:ind w:left="322" w:right="776" w:firstLine="0"/>
        <w:jc w:val="left"/>
        <w:rPr>
          <w:sz w:val="20"/>
        </w:rPr>
      </w:pPr>
      <w:r>
        <w:rPr>
          <w:b/>
          <w:sz w:val="20"/>
        </w:rPr>
        <w:t>Fuente</w:t>
      </w:r>
      <w:r>
        <w:rPr>
          <w:sz w:val="20"/>
        </w:rPr>
        <w:t>: Elaboración propia con base en el Consejo de Armonización Contable del Plan de Cuentas (2014).</w:t>
      </w:r>
    </w:p>
    <w:p>
      <w:pPr>
        <w:pStyle w:val="BodyText"/>
        <w:spacing w:before="11"/>
        <w:rPr>
          <w:sz w:val="19"/>
        </w:rPr>
      </w:pPr>
    </w:p>
    <w:p>
      <w:pPr>
        <w:pStyle w:val="BodyText"/>
        <w:spacing w:line="360" w:lineRule="auto"/>
        <w:ind w:left="102"/>
      </w:pPr>
      <w:r>
        <w:rPr/>
        <w:t>En referencia al cuadro que antecede, se entenderá entonces como ingresos ordinarios todos aquellos recursos monetarios que se perciben constantemente   y</w:t>
      </w:r>
    </w:p>
    <w:p>
      <w:pPr>
        <w:spacing w:after="0" w:line="360" w:lineRule="auto"/>
        <w:sectPr>
          <w:footerReference w:type="default" r:id="rId42"/>
          <w:pgSz w:w="12240" w:h="15840"/>
          <w:pgMar w:footer="992" w:header="0" w:top="1360" w:bottom="1180" w:left="1600" w:right="1580"/>
          <w:pgNumType w:start="111"/>
        </w:sectPr>
      </w:pPr>
    </w:p>
    <w:p>
      <w:pPr>
        <w:pStyle w:val="BodyText"/>
        <w:spacing w:before="54"/>
        <w:ind w:left="102"/>
        <w:jc w:val="both"/>
      </w:pPr>
      <w:r>
        <w:rPr/>
        <w:t>de manera regular durante el año fiscal.</w:t>
      </w:r>
    </w:p>
    <w:p>
      <w:pPr>
        <w:pStyle w:val="BodyText"/>
      </w:pPr>
    </w:p>
    <w:p>
      <w:pPr>
        <w:pStyle w:val="BodyText"/>
      </w:pPr>
    </w:p>
    <w:p>
      <w:pPr>
        <w:pStyle w:val="BodyText"/>
        <w:spacing w:line="360" w:lineRule="auto"/>
        <w:ind w:left="102" w:right="120"/>
        <w:jc w:val="both"/>
      </w:pPr>
      <w:r>
        <w:rPr/>
        <w:t>En cuanto a los ingresos extraordinarios, son aquellos que por el contrario de los ordinarios,</w:t>
      </w:r>
      <w:r>
        <w:rPr>
          <w:spacing w:val="-4"/>
        </w:rPr>
        <w:t> </w:t>
      </w:r>
      <w:r>
        <w:rPr/>
        <w:t>no</w:t>
      </w:r>
      <w:r>
        <w:rPr>
          <w:spacing w:val="-4"/>
        </w:rPr>
        <w:t> </w:t>
      </w:r>
      <w:r>
        <w:rPr/>
        <w:t>se</w:t>
      </w:r>
      <w:r>
        <w:rPr>
          <w:spacing w:val="-4"/>
        </w:rPr>
        <w:t> </w:t>
      </w:r>
      <w:r>
        <w:rPr/>
        <w:t>perciben</w:t>
      </w:r>
      <w:r>
        <w:rPr>
          <w:spacing w:val="-4"/>
        </w:rPr>
        <w:t> </w:t>
      </w:r>
      <w:r>
        <w:rPr/>
        <w:t>de</w:t>
      </w:r>
      <w:r>
        <w:rPr>
          <w:spacing w:val="-6"/>
        </w:rPr>
        <w:t> </w:t>
      </w:r>
      <w:r>
        <w:rPr/>
        <w:t>forma</w:t>
      </w:r>
      <w:r>
        <w:rPr>
          <w:spacing w:val="-4"/>
        </w:rPr>
        <w:t> </w:t>
      </w:r>
      <w:r>
        <w:rPr/>
        <w:t>regular</w:t>
      </w:r>
      <w:r>
        <w:rPr>
          <w:spacing w:val="-5"/>
        </w:rPr>
        <w:t> </w:t>
      </w:r>
      <w:r>
        <w:rPr/>
        <w:t>y</w:t>
      </w:r>
      <w:r>
        <w:rPr>
          <w:spacing w:val="-4"/>
        </w:rPr>
        <w:t> </w:t>
      </w:r>
      <w:r>
        <w:rPr/>
        <w:t>constante,</w:t>
      </w:r>
      <w:r>
        <w:rPr>
          <w:spacing w:val="-6"/>
        </w:rPr>
        <w:t> </w:t>
      </w:r>
      <w:r>
        <w:rPr/>
        <w:t>estos</w:t>
      </w:r>
      <w:r>
        <w:rPr>
          <w:spacing w:val="-4"/>
        </w:rPr>
        <w:t> </w:t>
      </w:r>
      <w:r>
        <w:rPr/>
        <w:t>se</w:t>
      </w:r>
      <w:r>
        <w:rPr>
          <w:spacing w:val="-4"/>
        </w:rPr>
        <w:t> </w:t>
      </w:r>
      <w:r>
        <w:rPr/>
        <w:t>pueden</w:t>
      </w:r>
      <w:r>
        <w:rPr>
          <w:spacing w:val="-4"/>
        </w:rPr>
        <w:t> </w:t>
      </w:r>
      <w:r>
        <w:rPr/>
        <w:t>obtener</w:t>
      </w:r>
      <w:r>
        <w:rPr>
          <w:spacing w:val="-7"/>
        </w:rPr>
        <w:t> </w:t>
      </w:r>
      <w:r>
        <w:rPr/>
        <w:t>a través de personas físicas o morales o de otro orden de gobierno, mediante convenios o</w:t>
      </w:r>
      <w:r>
        <w:rPr>
          <w:spacing w:val="-8"/>
        </w:rPr>
        <w:t> </w:t>
      </w:r>
      <w:r>
        <w:rPr/>
        <w:t>decretos.</w:t>
      </w:r>
    </w:p>
    <w:p>
      <w:pPr>
        <w:pStyle w:val="BodyText"/>
        <w:spacing w:before="2"/>
        <w:rPr>
          <w:sz w:val="33"/>
        </w:rPr>
      </w:pPr>
    </w:p>
    <w:p>
      <w:pPr>
        <w:pStyle w:val="Heading2"/>
      </w:pPr>
      <w:r>
        <w:rPr/>
        <w:t>Gasto Público</w:t>
      </w:r>
    </w:p>
    <w:p>
      <w:pPr>
        <w:pStyle w:val="BodyText"/>
        <w:rPr>
          <w:b/>
          <w:sz w:val="33"/>
        </w:rPr>
      </w:pPr>
    </w:p>
    <w:p>
      <w:pPr>
        <w:pStyle w:val="BodyText"/>
        <w:spacing w:line="360" w:lineRule="auto"/>
        <w:ind w:left="102" w:right="119"/>
        <w:jc w:val="both"/>
      </w:pPr>
      <w:r>
        <w:rPr/>
        <w:t>Otro elemento que constituye a la hacienda pública municipal son los egresos que nos es otra cosa que el gasto público.</w:t>
      </w:r>
    </w:p>
    <w:p>
      <w:pPr>
        <w:pStyle w:val="BodyText"/>
        <w:spacing w:before="3"/>
        <w:rPr>
          <w:sz w:val="21"/>
        </w:rPr>
      </w:pPr>
    </w:p>
    <w:p>
      <w:pPr>
        <w:spacing w:before="0"/>
        <w:ind w:left="954" w:right="111" w:firstLine="0"/>
        <w:jc w:val="both"/>
        <w:rPr>
          <w:sz w:val="22"/>
        </w:rPr>
      </w:pPr>
      <w:r>
        <w:rPr>
          <w:sz w:val="22"/>
        </w:rPr>
        <w:t>Las finanzas públicas municipales comprenden también el gasto municipal que</w:t>
      </w:r>
      <w:r>
        <w:rPr>
          <w:spacing w:val="-32"/>
          <w:sz w:val="22"/>
        </w:rPr>
        <w:t> </w:t>
      </w:r>
      <w:r>
        <w:rPr>
          <w:sz w:val="22"/>
        </w:rPr>
        <w:t>se conforma por los gastos de administración, servicios, obras, seguridad, adquisiciones y deuda pública. El gasto municipal determina el presupuesto de egresos, el cual constituye el programa anual de gastos que el municipio debe realizar</w:t>
      </w:r>
      <w:r>
        <w:rPr>
          <w:spacing w:val="-7"/>
          <w:sz w:val="22"/>
        </w:rPr>
        <w:t> </w:t>
      </w:r>
      <w:r>
        <w:rPr>
          <w:sz w:val="22"/>
        </w:rPr>
        <w:t>para</w:t>
      </w:r>
      <w:r>
        <w:rPr>
          <w:spacing w:val="-10"/>
          <w:sz w:val="22"/>
        </w:rPr>
        <w:t> </w:t>
      </w:r>
      <w:r>
        <w:rPr>
          <w:sz w:val="22"/>
        </w:rPr>
        <w:t>el</w:t>
      </w:r>
      <w:r>
        <w:rPr>
          <w:spacing w:val="-11"/>
          <w:sz w:val="22"/>
        </w:rPr>
        <w:t> </w:t>
      </w:r>
      <w:r>
        <w:rPr>
          <w:sz w:val="22"/>
        </w:rPr>
        <w:t>cumplimiento</w:t>
      </w:r>
      <w:r>
        <w:rPr>
          <w:spacing w:val="-10"/>
          <w:sz w:val="22"/>
        </w:rPr>
        <w:t> </w:t>
      </w:r>
      <w:r>
        <w:rPr>
          <w:sz w:val="22"/>
        </w:rPr>
        <w:t>de</w:t>
      </w:r>
      <w:r>
        <w:rPr>
          <w:spacing w:val="-10"/>
          <w:sz w:val="22"/>
        </w:rPr>
        <w:t> </w:t>
      </w:r>
      <w:r>
        <w:rPr>
          <w:sz w:val="22"/>
        </w:rPr>
        <w:t>sus</w:t>
      </w:r>
      <w:r>
        <w:rPr>
          <w:spacing w:val="-13"/>
          <w:sz w:val="22"/>
        </w:rPr>
        <w:t> </w:t>
      </w:r>
      <w:r>
        <w:rPr>
          <w:sz w:val="22"/>
        </w:rPr>
        <w:t>funciones</w:t>
      </w:r>
      <w:r>
        <w:rPr>
          <w:spacing w:val="41"/>
          <w:sz w:val="22"/>
        </w:rPr>
        <w:t> </w:t>
      </w:r>
      <w:r>
        <w:rPr>
          <w:sz w:val="22"/>
        </w:rPr>
        <w:t>y</w:t>
      </w:r>
      <w:r>
        <w:rPr>
          <w:spacing w:val="-12"/>
          <w:sz w:val="22"/>
        </w:rPr>
        <w:t> </w:t>
      </w:r>
      <w:r>
        <w:rPr>
          <w:sz w:val="22"/>
        </w:rPr>
        <w:t>es</w:t>
      </w:r>
      <w:r>
        <w:rPr>
          <w:spacing w:val="-8"/>
          <w:sz w:val="22"/>
        </w:rPr>
        <w:t> </w:t>
      </w:r>
      <w:r>
        <w:rPr>
          <w:sz w:val="22"/>
        </w:rPr>
        <w:t>aprobado</w:t>
      </w:r>
      <w:r>
        <w:rPr>
          <w:spacing w:val="-10"/>
          <w:sz w:val="22"/>
        </w:rPr>
        <w:t> </w:t>
      </w:r>
      <w:r>
        <w:rPr>
          <w:sz w:val="22"/>
        </w:rPr>
        <w:t>por</w:t>
      </w:r>
      <w:r>
        <w:rPr>
          <w:spacing w:val="-9"/>
          <w:sz w:val="22"/>
        </w:rPr>
        <w:t> </w:t>
      </w:r>
      <w:r>
        <w:rPr>
          <w:sz w:val="22"/>
        </w:rPr>
        <w:t>el</w:t>
      </w:r>
      <w:r>
        <w:rPr>
          <w:spacing w:val="-11"/>
          <w:sz w:val="22"/>
        </w:rPr>
        <w:t> </w:t>
      </w:r>
      <w:r>
        <w:rPr>
          <w:sz w:val="22"/>
        </w:rPr>
        <w:t>ayuntamiento, con base a sus ingresos disponibles. Las finanzas municipales comprenden así mismo, la deuda municipal, que son las obligaciones del municipio, derivadas de empréstitos contraídos (Terrazas,</w:t>
      </w:r>
      <w:r>
        <w:rPr>
          <w:spacing w:val="-12"/>
          <w:sz w:val="22"/>
        </w:rPr>
        <w:t> </w:t>
      </w:r>
      <w:r>
        <w:rPr>
          <w:sz w:val="22"/>
        </w:rPr>
        <w:t>2004:78).</w:t>
      </w:r>
    </w:p>
    <w:p>
      <w:pPr>
        <w:pStyle w:val="BodyText"/>
        <w:spacing w:before="7"/>
        <w:rPr>
          <w:sz w:val="20"/>
        </w:rPr>
      </w:pPr>
    </w:p>
    <w:p>
      <w:pPr>
        <w:pStyle w:val="BodyText"/>
        <w:spacing w:line="360" w:lineRule="auto"/>
        <w:ind w:left="102" w:right="117"/>
        <w:jc w:val="both"/>
      </w:pPr>
      <w:r>
        <w:rPr/>
        <w:t>Entender al gasto público como lo recursos financieros que anualmente destina un gobierno para el cumplimiento de sus fines. Las erogaciones que efectúa un ente público, en este caso el municipio para el cumplimiento de sus objetivos. El gasto público se refleja a través del presupuesto de egresos, convirtiéndose en un instrumento vital, por este medio el gobierno municipal dirige y controla el destino</w:t>
      </w:r>
      <w:r>
        <w:rPr>
          <w:spacing w:val="-31"/>
        </w:rPr>
        <w:t> </w:t>
      </w:r>
      <w:r>
        <w:rPr/>
        <w:t>y el monto del gasto</w:t>
      </w:r>
      <w:r>
        <w:rPr>
          <w:spacing w:val="-10"/>
        </w:rPr>
        <w:t> </w:t>
      </w:r>
      <w:r>
        <w:rPr/>
        <w:t>público.</w:t>
      </w:r>
    </w:p>
    <w:p>
      <w:pPr>
        <w:pStyle w:val="BodyText"/>
        <w:spacing w:before="3"/>
        <w:rPr>
          <w:sz w:val="21"/>
        </w:rPr>
      </w:pPr>
    </w:p>
    <w:p>
      <w:pPr>
        <w:pStyle w:val="BodyText"/>
        <w:spacing w:line="360" w:lineRule="auto"/>
        <w:ind w:left="102" w:right="113"/>
        <w:jc w:val="both"/>
      </w:pPr>
      <w:r>
        <w:rPr/>
        <w:t>Por lo tanto, el gasto municipal es desembolso o distribución que debe realizar un ayuntamiento</w:t>
      </w:r>
      <w:r>
        <w:rPr>
          <w:spacing w:val="-7"/>
        </w:rPr>
        <w:t> </w:t>
      </w:r>
      <w:r>
        <w:rPr/>
        <w:t>en</w:t>
      </w:r>
      <w:r>
        <w:rPr>
          <w:spacing w:val="-8"/>
        </w:rPr>
        <w:t> </w:t>
      </w:r>
      <w:r>
        <w:rPr/>
        <w:t>el</w:t>
      </w:r>
      <w:r>
        <w:rPr>
          <w:spacing w:val="-8"/>
        </w:rPr>
        <w:t> </w:t>
      </w:r>
      <w:r>
        <w:rPr/>
        <w:t>ejercicio</w:t>
      </w:r>
      <w:r>
        <w:rPr>
          <w:spacing w:val="-7"/>
        </w:rPr>
        <w:t> </w:t>
      </w:r>
      <w:r>
        <w:rPr/>
        <w:t>de</w:t>
      </w:r>
      <w:r>
        <w:rPr>
          <w:spacing w:val="-7"/>
        </w:rPr>
        <w:t> </w:t>
      </w:r>
      <w:r>
        <w:rPr/>
        <w:t>sus</w:t>
      </w:r>
      <w:r>
        <w:rPr>
          <w:spacing w:val="-8"/>
        </w:rPr>
        <w:t> </w:t>
      </w:r>
      <w:r>
        <w:rPr/>
        <w:t>atribuciones</w:t>
      </w:r>
      <w:r>
        <w:rPr>
          <w:spacing w:val="-8"/>
        </w:rPr>
        <w:t> </w:t>
      </w:r>
      <w:r>
        <w:rPr/>
        <w:t>de</w:t>
      </w:r>
      <w:r>
        <w:rPr>
          <w:spacing w:val="-8"/>
        </w:rPr>
        <w:t> </w:t>
      </w:r>
      <w:r>
        <w:rPr/>
        <w:t>administración</w:t>
      </w:r>
      <w:r>
        <w:rPr>
          <w:spacing w:val="-8"/>
        </w:rPr>
        <w:t> </w:t>
      </w:r>
      <w:r>
        <w:rPr/>
        <w:t>pública.</w:t>
      </w:r>
      <w:r>
        <w:rPr>
          <w:spacing w:val="-7"/>
        </w:rPr>
        <w:t> </w:t>
      </w:r>
      <w:r>
        <w:rPr/>
        <w:t>El</w:t>
      </w:r>
      <w:r>
        <w:rPr>
          <w:spacing w:val="-8"/>
        </w:rPr>
        <w:t> </w:t>
      </w:r>
      <w:r>
        <w:rPr/>
        <w:t>gasto municipal</w:t>
      </w:r>
      <w:r>
        <w:rPr>
          <w:spacing w:val="-19"/>
        </w:rPr>
        <w:t> </w:t>
      </w:r>
      <w:r>
        <w:rPr/>
        <w:t>encierra</w:t>
      </w:r>
      <w:r>
        <w:rPr>
          <w:spacing w:val="-19"/>
        </w:rPr>
        <w:t> </w:t>
      </w:r>
      <w:r>
        <w:rPr/>
        <w:t>las</w:t>
      </w:r>
      <w:r>
        <w:rPr>
          <w:spacing w:val="-22"/>
        </w:rPr>
        <w:t> </w:t>
      </w:r>
      <w:r>
        <w:rPr/>
        <w:t>erogaciones</w:t>
      </w:r>
      <w:r>
        <w:rPr>
          <w:spacing w:val="-22"/>
        </w:rPr>
        <w:t> </w:t>
      </w:r>
      <w:r>
        <w:rPr/>
        <w:t>por</w:t>
      </w:r>
      <w:r>
        <w:rPr>
          <w:spacing w:val="-20"/>
        </w:rPr>
        <w:t> </w:t>
      </w:r>
      <w:r>
        <w:rPr/>
        <w:t>concepto</w:t>
      </w:r>
      <w:r>
        <w:rPr>
          <w:spacing w:val="-19"/>
        </w:rPr>
        <w:t> </w:t>
      </w:r>
      <w:r>
        <w:rPr/>
        <w:t>de:</w:t>
      </w:r>
      <w:r>
        <w:rPr>
          <w:spacing w:val="-16"/>
        </w:rPr>
        <w:t> </w:t>
      </w:r>
      <w:r>
        <w:rPr/>
        <w:t>gasto</w:t>
      </w:r>
      <w:r>
        <w:rPr>
          <w:spacing w:val="-19"/>
        </w:rPr>
        <w:t> </w:t>
      </w:r>
      <w:r>
        <w:rPr/>
        <w:t>corriente,</w:t>
      </w:r>
      <w:r>
        <w:rPr>
          <w:spacing w:val="-22"/>
        </w:rPr>
        <w:t> </w:t>
      </w:r>
      <w:r>
        <w:rPr/>
        <w:t>gasto</w:t>
      </w:r>
      <w:r>
        <w:rPr>
          <w:spacing w:val="-19"/>
        </w:rPr>
        <w:t> </w:t>
      </w:r>
      <w:r>
        <w:rPr/>
        <w:t>de</w:t>
      </w:r>
      <w:r>
        <w:rPr>
          <w:spacing w:val="-19"/>
        </w:rPr>
        <w:t> </w:t>
      </w:r>
      <w:r>
        <w:rPr/>
        <w:t>capital e inversión financiera, así como los pagos de pasivo o deuda pública y transferencias, que realiza la administración municipal, sus organismos descentralizados, las empresas de participación municipal y los fideicomisos adquiridos por el ayuntamiento para llevar a cabo sus</w:t>
      </w:r>
      <w:r>
        <w:rPr>
          <w:spacing w:val="-24"/>
        </w:rPr>
        <w:t> </w:t>
      </w:r>
      <w:r>
        <w:rPr/>
        <w:t>funciones.</w:t>
      </w:r>
    </w:p>
    <w:p>
      <w:pPr>
        <w:pStyle w:val="BodyText"/>
        <w:spacing w:before="3"/>
        <w:rPr>
          <w:sz w:val="21"/>
        </w:rPr>
      </w:pPr>
    </w:p>
    <w:p>
      <w:pPr>
        <w:pStyle w:val="BodyText"/>
        <w:ind w:left="102"/>
        <w:jc w:val="both"/>
      </w:pPr>
      <w:r>
        <w:rPr/>
        <w:t>El primero de ellos que, es el, gasto corriente,   es medular para llevar a cabo  </w:t>
      </w:r>
      <w:r>
        <w:rPr>
          <w:spacing w:val="56"/>
        </w:rPr>
        <w:t> </w:t>
      </w:r>
      <w:r>
        <w:rPr/>
        <w:t>las</w:t>
      </w:r>
    </w:p>
    <w:p>
      <w:pPr>
        <w:spacing w:after="0"/>
        <w:jc w:val="both"/>
        <w:sectPr>
          <w:pgSz w:w="12240" w:h="15840"/>
          <w:pgMar w:header="0" w:footer="992" w:top="1360" w:bottom="1180" w:left="1600" w:right="1580"/>
        </w:sectPr>
      </w:pPr>
    </w:p>
    <w:p>
      <w:pPr>
        <w:pStyle w:val="BodyText"/>
        <w:spacing w:line="362" w:lineRule="auto" w:before="54"/>
        <w:ind w:left="102" w:right="116"/>
        <w:jc w:val="both"/>
      </w:pPr>
      <w:r>
        <w:rPr/>
        <w:t>actividades propias de la estructura administrativa, básicamente es para cubrir el costo directo de la realización de las tareas administrativas.</w:t>
      </w:r>
    </w:p>
    <w:p>
      <w:pPr>
        <w:pStyle w:val="BodyText"/>
        <w:spacing w:before="10"/>
        <w:rPr>
          <w:sz w:val="20"/>
        </w:rPr>
      </w:pPr>
    </w:p>
    <w:p>
      <w:pPr>
        <w:pStyle w:val="BodyText"/>
        <w:spacing w:line="360" w:lineRule="auto"/>
        <w:ind w:left="102" w:right="122"/>
        <w:jc w:val="both"/>
      </w:pPr>
      <w:r>
        <w:rPr/>
        <w:t>Los gastos de inversión son aquellos recursos destinados para la construcción de obras públicas o la realización de acciones públicas, es el gasto que se efectúa y que afecta de manera directa a la población municipal.</w:t>
      </w:r>
    </w:p>
    <w:p>
      <w:pPr>
        <w:pStyle w:val="BodyText"/>
        <w:spacing w:before="3"/>
        <w:rPr>
          <w:sz w:val="21"/>
        </w:rPr>
      </w:pPr>
    </w:p>
    <w:p>
      <w:pPr>
        <w:pStyle w:val="BodyText"/>
        <w:spacing w:line="360" w:lineRule="auto"/>
        <w:ind w:left="102" w:right="119"/>
        <w:jc w:val="both"/>
      </w:pPr>
      <w:r>
        <w:rPr/>
        <w:t>En</w:t>
      </w:r>
      <w:r>
        <w:rPr>
          <w:spacing w:val="-4"/>
        </w:rPr>
        <w:t> </w:t>
      </w:r>
      <w:r>
        <w:rPr/>
        <w:t>los</w:t>
      </w:r>
      <w:r>
        <w:rPr>
          <w:spacing w:val="-6"/>
        </w:rPr>
        <w:t> </w:t>
      </w:r>
      <w:r>
        <w:rPr/>
        <w:t>gastos</w:t>
      </w:r>
      <w:r>
        <w:rPr>
          <w:spacing w:val="-7"/>
        </w:rPr>
        <w:t> </w:t>
      </w:r>
      <w:r>
        <w:rPr/>
        <w:t>de</w:t>
      </w:r>
      <w:r>
        <w:rPr>
          <w:spacing w:val="-6"/>
        </w:rPr>
        <w:t> </w:t>
      </w:r>
      <w:r>
        <w:rPr/>
        <w:t>deuda,</w:t>
      </w:r>
      <w:r>
        <w:rPr>
          <w:spacing w:val="-4"/>
        </w:rPr>
        <w:t> </w:t>
      </w:r>
      <w:r>
        <w:rPr/>
        <w:t>son</w:t>
      </w:r>
      <w:r>
        <w:rPr>
          <w:spacing w:val="-4"/>
        </w:rPr>
        <w:t> </w:t>
      </w:r>
      <w:r>
        <w:rPr/>
        <w:t>los</w:t>
      </w:r>
      <w:r>
        <w:rPr>
          <w:spacing w:val="-6"/>
        </w:rPr>
        <w:t> </w:t>
      </w:r>
      <w:r>
        <w:rPr/>
        <w:t>recursos</w:t>
      </w:r>
      <w:r>
        <w:rPr>
          <w:spacing w:val="-7"/>
        </w:rPr>
        <w:t> </w:t>
      </w:r>
      <w:r>
        <w:rPr/>
        <w:t>destinados</w:t>
      </w:r>
      <w:r>
        <w:rPr>
          <w:spacing w:val="-4"/>
        </w:rPr>
        <w:t> </w:t>
      </w:r>
      <w:r>
        <w:rPr/>
        <w:t>al</w:t>
      </w:r>
      <w:r>
        <w:rPr>
          <w:spacing w:val="-5"/>
        </w:rPr>
        <w:t> </w:t>
      </w:r>
      <w:r>
        <w:rPr/>
        <w:t>cumplimiento</w:t>
      </w:r>
      <w:r>
        <w:rPr>
          <w:spacing w:val="-6"/>
        </w:rPr>
        <w:t> </w:t>
      </w:r>
      <w:r>
        <w:rPr/>
        <w:t>financiero</w:t>
      </w:r>
      <w:r>
        <w:rPr>
          <w:spacing w:val="-6"/>
        </w:rPr>
        <w:t> </w:t>
      </w:r>
      <w:r>
        <w:rPr/>
        <w:t>por empréstitos contraídos por el ayuntamiento, ya sea al sector privado o instancias públicas, como</w:t>
      </w:r>
      <w:r>
        <w:rPr>
          <w:spacing w:val="-6"/>
        </w:rPr>
        <w:t> </w:t>
      </w:r>
      <w:r>
        <w:rPr/>
        <w:t>Manobras.</w:t>
      </w:r>
    </w:p>
    <w:p>
      <w:pPr>
        <w:pStyle w:val="BodyText"/>
        <w:spacing w:before="1"/>
        <w:rPr>
          <w:sz w:val="21"/>
        </w:rPr>
      </w:pPr>
    </w:p>
    <w:p>
      <w:pPr>
        <w:pStyle w:val="Heading2"/>
        <w:spacing w:before="1"/>
      </w:pPr>
      <w:r>
        <w:rPr/>
        <w:t>Patrimonio Municipal</w:t>
      </w:r>
    </w:p>
    <w:p>
      <w:pPr>
        <w:pStyle w:val="BodyText"/>
        <w:rPr>
          <w:b/>
        </w:rPr>
      </w:pPr>
    </w:p>
    <w:p>
      <w:pPr>
        <w:pStyle w:val="BodyText"/>
        <w:rPr>
          <w:b/>
          <w:sz w:val="21"/>
        </w:rPr>
      </w:pPr>
    </w:p>
    <w:p>
      <w:pPr>
        <w:pStyle w:val="BodyText"/>
        <w:spacing w:line="360" w:lineRule="auto" w:before="1"/>
        <w:ind w:left="102" w:right="123"/>
        <w:jc w:val="both"/>
      </w:pPr>
      <w:r>
        <w:rPr>
          <w:u w:val="single"/>
        </w:rPr>
        <w:t>Patrimonio municipal: </w:t>
      </w:r>
      <w:r>
        <w:rPr/>
        <w:t>es un conjunto de bienes, derechos e inversiones, que le pertenecen al municipio para realizar sus funciones y objetivos. Este patrimonio sirve</w:t>
      </w:r>
      <w:r>
        <w:rPr>
          <w:spacing w:val="-9"/>
        </w:rPr>
        <w:t> </w:t>
      </w:r>
      <w:r>
        <w:rPr/>
        <w:t>para</w:t>
      </w:r>
      <w:r>
        <w:rPr>
          <w:spacing w:val="-10"/>
        </w:rPr>
        <w:t> </w:t>
      </w:r>
      <w:r>
        <w:rPr/>
        <w:t>su</w:t>
      </w:r>
      <w:r>
        <w:rPr>
          <w:spacing w:val="-9"/>
        </w:rPr>
        <w:t> </w:t>
      </w:r>
      <w:r>
        <w:rPr/>
        <w:t>explotación</w:t>
      </w:r>
      <w:r>
        <w:rPr>
          <w:spacing w:val="-9"/>
        </w:rPr>
        <w:t> </w:t>
      </w:r>
      <w:r>
        <w:rPr/>
        <w:t>o</w:t>
      </w:r>
      <w:r>
        <w:rPr>
          <w:spacing w:val="-12"/>
        </w:rPr>
        <w:t> </w:t>
      </w:r>
      <w:r>
        <w:rPr/>
        <w:t>aprovechamiento</w:t>
      </w:r>
      <w:r>
        <w:rPr>
          <w:spacing w:val="-14"/>
        </w:rPr>
        <w:t> </w:t>
      </w:r>
      <w:r>
        <w:rPr/>
        <w:t>que</w:t>
      </w:r>
      <w:r>
        <w:rPr>
          <w:spacing w:val="-9"/>
        </w:rPr>
        <w:t> </w:t>
      </w:r>
      <w:r>
        <w:rPr/>
        <w:t>le</w:t>
      </w:r>
      <w:r>
        <w:rPr>
          <w:spacing w:val="-10"/>
        </w:rPr>
        <w:t> </w:t>
      </w:r>
      <w:r>
        <w:rPr/>
        <w:t>permitan</w:t>
      </w:r>
      <w:r>
        <w:rPr>
          <w:spacing w:val="-9"/>
        </w:rPr>
        <w:t> </w:t>
      </w:r>
      <w:r>
        <w:rPr/>
        <w:t>allegarse</w:t>
      </w:r>
      <w:r>
        <w:rPr>
          <w:spacing w:val="-9"/>
        </w:rPr>
        <w:t> </w:t>
      </w:r>
      <w:r>
        <w:rPr/>
        <w:t>de</w:t>
      </w:r>
      <w:r>
        <w:rPr>
          <w:spacing w:val="-12"/>
        </w:rPr>
        <w:t> </w:t>
      </w:r>
      <w:r>
        <w:rPr/>
        <w:t>un</w:t>
      </w:r>
      <w:r>
        <w:rPr>
          <w:spacing w:val="-12"/>
        </w:rPr>
        <w:t> </w:t>
      </w:r>
      <w:r>
        <w:rPr/>
        <w:t>mayor recurso.</w:t>
      </w:r>
    </w:p>
    <w:p>
      <w:pPr>
        <w:pStyle w:val="BodyText"/>
      </w:pPr>
    </w:p>
    <w:p>
      <w:pPr>
        <w:pStyle w:val="BodyText"/>
        <w:spacing w:before="142"/>
        <w:ind w:left="102"/>
        <w:jc w:val="both"/>
      </w:pPr>
      <w:r>
        <w:rPr/>
        <w:t>Los elementos que constituyen el patrimonio municipal son:</w:t>
      </w:r>
    </w:p>
    <w:p>
      <w:pPr>
        <w:pStyle w:val="BodyText"/>
      </w:pPr>
    </w:p>
    <w:p>
      <w:pPr>
        <w:pStyle w:val="BodyText"/>
      </w:pPr>
    </w:p>
    <w:p>
      <w:pPr>
        <w:pStyle w:val="ListParagraph"/>
        <w:numPr>
          <w:ilvl w:val="0"/>
          <w:numId w:val="37"/>
        </w:numPr>
        <w:tabs>
          <w:tab w:pos="822" w:val="left" w:leader="none"/>
        </w:tabs>
        <w:spacing w:line="360" w:lineRule="auto" w:before="0" w:after="0"/>
        <w:ind w:left="822" w:right="123" w:hanging="360"/>
        <w:jc w:val="both"/>
        <w:rPr>
          <w:sz w:val="24"/>
        </w:rPr>
      </w:pPr>
      <w:r>
        <w:rPr>
          <w:sz w:val="24"/>
        </w:rPr>
        <w:t>Los</w:t>
      </w:r>
      <w:r>
        <w:rPr>
          <w:spacing w:val="-17"/>
          <w:sz w:val="24"/>
        </w:rPr>
        <w:t> </w:t>
      </w:r>
      <w:r>
        <w:rPr>
          <w:sz w:val="24"/>
        </w:rPr>
        <w:t>bienes.</w:t>
      </w:r>
      <w:r>
        <w:rPr>
          <w:spacing w:val="-17"/>
          <w:sz w:val="24"/>
        </w:rPr>
        <w:t> </w:t>
      </w:r>
      <w:r>
        <w:rPr>
          <w:sz w:val="24"/>
        </w:rPr>
        <w:t>Recursos</w:t>
      </w:r>
      <w:r>
        <w:rPr>
          <w:spacing w:val="-20"/>
          <w:sz w:val="24"/>
        </w:rPr>
        <w:t> </w:t>
      </w:r>
      <w:r>
        <w:rPr>
          <w:sz w:val="24"/>
        </w:rPr>
        <w:t>materiales</w:t>
      </w:r>
      <w:r>
        <w:rPr>
          <w:spacing w:val="-17"/>
          <w:sz w:val="24"/>
        </w:rPr>
        <w:t> </w:t>
      </w:r>
      <w:r>
        <w:rPr>
          <w:sz w:val="24"/>
        </w:rPr>
        <w:t>cambiables</w:t>
      </w:r>
      <w:r>
        <w:rPr>
          <w:spacing w:val="-19"/>
          <w:sz w:val="24"/>
        </w:rPr>
        <w:t> </w:t>
      </w:r>
      <w:r>
        <w:rPr>
          <w:sz w:val="24"/>
        </w:rPr>
        <w:t>o</w:t>
      </w:r>
      <w:r>
        <w:rPr>
          <w:spacing w:val="-17"/>
          <w:sz w:val="24"/>
        </w:rPr>
        <w:t> </w:t>
      </w:r>
      <w:r>
        <w:rPr>
          <w:sz w:val="24"/>
        </w:rPr>
        <w:t>no</w:t>
      </w:r>
      <w:r>
        <w:rPr>
          <w:spacing w:val="-17"/>
          <w:sz w:val="24"/>
        </w:rPr>
        <w:t> </w:t>
      </w:r>
      <w:r>
        <w:rPr>
          <w:sz w:val="24"/>
        </w:rPr>
        <w:t>cambiables</w:t>
      </w:r>
      <w:r>
        <w:rPr>
          <w:spacing w:val="-17"/>
          <w:sz w:val="24"/>
        </w:rPr>
        <w:t> </w:t>
      </w:r>
      <w:r>
        <w:rPr>
          <w:sz w:val="24"/>
        </w:rPr>
        <w:t>que</w:t>
      </w:r>
      <w:r>
        <w:rPr>
          <w:spacing w:val="-17"/>
          <w:sz w:val="24"/>
        </w:rPr>
        <w:t> </w:t>
      </w:r>
      <w:r>
        <w:rPr>
          <w:sz w:val="24"/>
        </w:rPr>
        <w:t>conforman el patrimonio, los bienes a su vez pueden clasificarse</w:t>
      </w:r>
      <w:r>
        <w:rPr>
          <w:spacing w:val="-14"/>
          <w:sz w:val="24"/>
        </w:rPr>
        <w:t> </w:t>
      </w:r>
      <w:r>
        <w:rPr>
          <w:sz w:val="24"/>
        </w:rPr>
        <w:t>en:</w:t>
      </w:r>
    </w:p>
    <w:p>
      <w:pPr>
        <w:pStyle w:val="ListParagraph"/>
        <w:numPr>
          <w:ilvl w:val="1"/>
          <w:numId w:val="37"/>
        </w:numPr>
        <w:tabs>
          <w:tab w:pos="1542" w:val="left" w:leader="none"/>
        </w:tabs>
        <w:spacing w:line="360" w:lineRule="auto" w:before="2" w:after="0"/>
        <w:ind w:left="1542" w:right="121" w:hanging="360"/>
        <w:jc w:val="both"/>
        <w:rPr>
          <w:sz w:val="24"/>
        </w:rPr>
      </w:pPr>
      <w:r>
        <w:rPr>
          <w:sz w:val="24"/>
        </w:rPr>
        <w:t>Bienes de dominio público. Pueden ser de uso común (inmuebles) o los destinados a un servicio público (alumbrado</w:t>
      </w:r>
      <w:r>
        <w:rPr>
          <w:spacing w:val="-19"/>
          <w:sz w:val="24"/>
        </w:rPr>
        <w:t> </w:t>
      </w:r>
      <w:r>
        <w:rPr>
          <w:sz w:val="24"/>
        </w:rPr>
        <w:t>público).</w:t>
      </w:r>
    </w:p>
    <w:p>
      <w:pPr>
        <w:pStyle w:val="ListParagraph"/>
        <w:numPr>
          <w:ilvl w:val="1"/>
          <w:numId w:val="37"/>
        </w:numPr>
        <w:tabs>
          <w:tab w:pos="1542" w:val="left" w:leader="none"/>
        </w:tabs>
        <w:spacing w:line="360" w:lineRule="auto" w:before="2" w:after="0"/>
        <w:ind w:left="1542" w:right="116" w:hanging="360"/>
        <w:jc w:val="both"/>
        <w:rPr>
          <w:sz w:val="24"/>
        </w:rPr>
      </w:pPr>
      <w:r>
        <w:rPr>
          <w:sz w:val="24"/>
        </w:rPr>
        <w:t>Bienes de dominio privado: son los inmuebles y los muebles, como son los vehículos, mobiliario de las dependencias, escritorios, archiveros y los expedientes de las oficinas, mapas, libros,</w:t>
      </w:r>
      <w:r>
        <w:rPr>
          <w:spacing w:val="-21"/>
          <w:sz w:val="24"/>
        </w:rPr>
        <w:t> </w:t>
      </w:r>
      <w:r>
        <w:rPr>
          <w:sz w:val="24"/>
        </w:rPr>
        <w:t>planos.</w:t>
      </w:r>
    </w:p>
    <w:p>
      <w:pPr>
        <w:pStyle w:val="ListParagraph"/>
        <w:numPr>
          <w:ilvl w:val="0"/>
          <w:numId w:val="37"/>
        </w:numPr>
        <w:tabs>
          <w:tab w:pos="822" w:val="left" w:leader="none"/>
        </w:tabs>
        <w:spacing w:line="360" w:lineRule="auto" w:before="5" w:after="0"/>
        <w:ind w:left="822" w:right="123" w:hanging="360"/>
        <w:jc w:val="both"/>
        <w:rPr>
          <w:sz w:val="24"/>
        </w:rPr>
      </w:pPr>
      <w:r>
        <w:rPr>
          <w:sz w:val="24"/>
        </w:rPr>
        <w:t>Los</w:t>
      </w:r>
      <w:r>
        <w:rPr>
          <w:spacing w:val="-12"/>
          <w:sz w:val="24"/>
        </w:rPr>
        <w:t> </w:t>
      </w:r>
      <w:r>
        <w:rPr>
          <w:sz w:val="24"/>
        </w:rPr>
        <w:t>derechos.</w:t>
      </w:r>
      <w:r>
        <w:rPr>
          <w:spacing w:val="-11"/>
          <w:sz w:val="24"/>
        </w:rPr>
        <w:t> </w:t>
      </w:r>
      <w:r>
        <w:rPr>
          <w:sz w:val="24"/>
        </w:rPr>
        <w:t>Es</w:t>
      </w:r>
      <w:r>
        <w:rPr>
          <w:spacing w:val="-12"/>
          <w:sz w:val="24"/>
        </w:rPr>
        <w:t> </w:t>
      </w:r>
      <w:r>
        <w:rPr>
          <w:sz w:val="24"/>
        </w:rPr>
        <w:t>la</w:t>
      </w:r>
      <w:r>
        <w:rPr>
          <w:spacing w:val="-11"/>
          <w:sz w:val="24"/>
        </w:rPr>
        <w:t> </w:t>
      </w:r>
      <w:r>
        <w:rPr>
          <w:sz w:val="24"/>
        </w:rPr>
        <w:t>facultad</w:t>
      </w:r>
      <w:r>
        <w:rPr>
          <w:spacing w:val="-11"/>
          <w:sz w:val="24"/>
        </w:rPr>
        <w:t> </w:t>
      </w:r>
      <w:r>
        <w:rPr>
          <w:sz w:val="24"/>
        </w:rPr>
        <w:t>que</w:t>
      </w:r>
      <w:r>
        <w:rPr>
          <w:spacing w:val="-11"/>
          <w:sz w:val="24"/>
        </w:rPr>
        <w:t> </w:t>
      </w:r>
      <w:r>
        <w:rPr>
          <w:sz w:val="24"/>
        </w:rPr>
        <w:t>tiene</w:t>
      </w:r>
      <w:r>
        <w:rPr>
          <w:spacing w:val="-11"/>
          <w:sz w:val="24"/>
        </w:rPr>
        <w:t> </w:t>
      </w:r>
      <w:r>
        <w:rPr>
          <w:sz w:val="24"/>
        </w:rPr>
        <w:t>el</w:t>
      </w:r>
      <w:r>
        <w:rPr>
          <w:spacing w:val="-12"/>
          <w:sz w:val="24"/>
        </w:rPr>
        <w:t> </w:t>
      </w:r>
      <w:r>
        <w:rPr>
          <w:sz w:val="24"/>
        </w:rPr>
        <w:t>municipio</w:t>
      </w:r>
      <w:r>
        <w:rPr>
          <w:spacing w:val="47"/>
          <w:sz w:val="24"/>
        </w:rPr>
        <w:t> </w:t>
      </w:r>
      <w:r>
        <w:rPr>
          <w:sz w:val="24"/>
        </w:rPr>
        <w:t>de</w:t>
      </w:r>
      <w:r>
        <w:rPr>
          <w:spacing w:val="-11"/>
          <w:sz w:val="24"/>
        </w:rPr>
        <w:t> </w:t>
      </w:r>
      <w:r>
        <w:rPr>
          <w:sz w:val="24"/>
        </w:rPr>
        <w:t>disponer</w:t>
      </w:r>
      <w:r>
        <w:rPr>
          <w:spacing w:val="-12"/>
          <w:sz w:val="24"/>
        </w:rPr>
        <w:t> </w:t>
      </w:r>
      <w:r>
        <w:rPr>
          <w:sz w:val="24"/>
        </w:rPr>
        <w:t>de</w:t>
      </w:r>
      <w:r>
        <w:rPr>
          <w:spacing w:val="-11"/>
          <w:sz w:val="24"/>
        </w:rPr>
        <w:t> </w:t>
      </w:r>
      <w:r>
        <w:rPr>
          <w:sz w:val="24"/>
        </w:rPr>
        <w:t>una</w:t>
      </w:r>
      <w:r>
        <w:rPr>
          <w:spacing w:val="-8"/>
          <w:sz w:val="24"/>
        </w:rPr>
        <w:t> </w:t>
      </w:r>
      <w:r>
        <w:rPr>
          <w:sz w:val="24"/>
        </w:rPr>
        <w:t>cosa, que se traducen en rendimientos provenientes de aprovechamientos a que son sometidos los</w:t>
      </w:r>
      <w:r>
        <w:rPr>
          <w:spacing w:val="-9"/>
          <w:sz w:val="24"/>
        </w:rPr>
        <w:t> </w:t>
      </w:r>
      <w:r>
        <w:rPr>
          <w:sz w:val="24"/>
        </w:rPr>
        <w:t>bienes</w:t>
      </w:r>
    </w:p>
    <w:p>
      <w:pPr>
        <w:pStyle w:val="ListParagraph"/>
        <w:numPr>
          <w:ilvl w:val="0"/>
          <w:numId w:val="37"/>
        </w:numPr>
        <w:tabs>
          <w:tab w:pos="822" w:val="left" w:leader="none"/>
        </w:tabs>
        <w:spacing w:line="360" w:lineRule="auto" w:before="2" w:after="0"/>
        <w:ind w:left="822" w:right="123" w:hanging="360"/>
        <w:jc w:val="both"/>
        <w:rPr>
          <w:sz w:val="24"/>
        </w:rPr>
      </w:pPr>
      <w:r>
        <w:rPr>
          <w:sz w:val="24"/>
        </w:rPr>
        <w:t>Inversiones. Son los títulos o valores (acciones y obligaciones) emitidos por sujetos de crédito y adquiridos por el gobierno municipal, para hacerlos productivos o cuidar que no se</w:t>
      </w:r>
      <w:r>
        <w:rPr>
          <w:spacing w:val="-14"/>
          <w:sz w:val="24"/>
        </w:rPr>
        <w:t> </w:t>
      </w:r>
      <w:r>
        <w:rPr>
          <w:sz w:val="24"/>
        </w:rPr>
        <w:t>desvaloricen.</w:t>
      </w:r>
    </w:p>
    <w:p>
      <w:pPr>
        <w:spacing w:after="0" w:line="360" w:lineRule="auto"/>
        <w:jc w:val="both"/>
        <w:rPr>
          <w:sz w:val="24"/>
        </w:rPr>
        <w:sectPr>
          <w:pgSz w:w="12240" w:h="15840"/>
          <w:pgMar w:header="0" w:footer="992" w:top="1360" w:bottom="1180" w:left="1600" w:right="1580"/>
        </w:sectPr>
      </w:pPr>
    </w:p>
    <w:p>
      <w:pPr>
        <w:pStyle w:val="BodyText"/>
        <w:spacing w:before="54"/>
        <w:ind w:left="102" w:right="3182"/>
      </w:pPr>
      <w:r>
        <w:rPr>
          <w:u w:val="single"/>
        </w:rPr>
        <w:t>Deuda pública municipal:</w:t>
      </w:r>
    </w:p>
    <w:p>
      <w:pPr>
        <w:pStyle w:val="BodyText"/>
        <w:spacing w:before="11"/>
        <w:rPr>
          <w:sz w:val="26"/>
        </w:rPr>
      </w:pPr>
    </w:p>
    <w:p>
      <w:pPr>
        <w:pStyle w:val="BodyText"/>
        <w:spacing w:line="360" w:lineRule="auto" w:before="69"/>
        <w:ind w:left="102" w:right="122"/>
        <w:jc w:val="both"/>
      </w:pPr>
      <w:r>
        <w:rPr/>
        <w:t>Representa el volumen de recursos provenientes de obligaciones crediticias o empréstitos contraídos por los ayuntamientos. Esta deuda debe ser destinada a obras</w:t>
      </w:r>
      <w:r>
        <w:rPr>
          <w:spacing w:val="-14"/>
        </w:rPr>
        <w:t> </w:t>
      </w:r>
      <w:r>
        <w:rPr/>
        <w:t>o</w:t>
      </w:r>
      <w:r>
        <w:rPr>
          <w:spacing w:val="-13"/>
        </w:rPr>
        <w:t> </w:t>
      </w:r>
      <w:r>
        <w:rPr/>
        <w:t>acciones,</w:t>
      </w:r>
      <w:r>
        <w:rPr>
          <w:spacing w:val="-13"/>
        </w:rPr>
        <w:t> </w:t>
      </w:r>
      <w:r>
        <w:rPr/>
        <w:t>que</w:t>
      </w:r>
      <w:r>
        <w:rPr>
          <w:spacing w:val="-13"/>
        </w:rPr>
        <w:t> </w:t>
      </w:r>
      <w:r>
        <w:rPr/>
        <w:t>en</w:t>
      </w:r>
      <w:r>
        <w:rPr>
          <w:spacing w:val="-13"/>
        </w:rPr>
        <w:t> </w:t>
      </w:r>
      <w:r>
        <w:rPr/>
        <w:t>forma</w:t>
      </w:r>
      <w:r>
        <w:rPr>
          <w:spacing w:val="-13"/>
        </w:rPr>
        <w:t> </w:t>
      </w:r>
      <w:r>
        <w:rPr/>
        <w:t>directa</w:t>
      </w:r>
      <w:r>
        <w:rPr>
          <w:spacing w:val="-13"/>
        </w:rPr>
        <w:t> </w:t>
      </w:r>
      <w:r>
        <w:rPr/>
        <w:t>o</w:t>
      </w:r>
      <w:r>
        <w:rPr>
          <w:spacing w:val="-13"/>
        </w:rPr>
        <w:t> </w:t>
      </w:r>
      <w:r>
        <w:rPr/>
        <w:t>indirecta</w:t>
      </w:r>
      <w:r>
        <w:rPr>
          <w:spacing w:val="-13"/>
        </w:rPr>
        <w:t> </w:t>
      </w:r>
      <w:r>
        <w:rPr/>
        <w:t>produzcan</w:t>
      </w:r>
      <w:r>
        <w:rPr>
          <w:spacing w:val="-13"/>
        </w:rPr>
        <w:t> </w:t>
      </w:r>
      <w:r>
        <w:rPr/>
        <w:t>una</w:t>
      </w:r>
      <w:r>
        <w:rPr>
          <w:spacing w:val="-13"/>
        </w:rPr>
        <w:t> </w:t>
      </w:r>
      <w:r>
        <w:rPr/>
        <w:t>rentabilidad</w:t>
      </w:r>
      <w:r>
        <w:rPr>
          <w:spacing w:val="-12"/>
        </w:rPr>
        <w:t> </w:t>
      </w:r>
      <w:r>
        <w:rPr/>
        <w:t>social cuantificable, que se traduzca en beneficios para la</w:t>
      </w:r>
      <w:r>
        <w:rPr>
          <w:spacing w:val="-19"/>
        </w:rPr>
        <w:t> </w:t>
      </w:r>
      <w:r>
        <w:rPr/>
        <w:t>población.</w:t>
      </w:r>
    </w:p>
    <w:p>
      <w:pPr>
        <w:pStyle w:val="BodyText"/>
      </w:pPr>
    </w:p>
    <w:p>
      <w:pPr>
        <w:pStyle w:val="BodyText"/>
      </w:pPr>
    </w:p>
    <w:p>
      <w:pPr>
        <w:pStyle w:val="Heading1"/>
        <w:spacing w:before="171"/>
        <w:ind w:left="1477"/>
      </w:pPr>
      <w:bookmarkStart w:name="_TOC_250016" w:id="36"/>
      <w:bookmarkEnd w:id="36"/>
      <w:r>
        <w:rPr/>
        <w:t>3.7.1 Aportaciones Federales para Municipios</w:t>
      </w:r>
    </w:p>
    <w:p>
      <w:pPr>
        <w:pStyle w:val="BodyText"/>
        <w:rPr>
          <w:b/>
          <w:sz w:val="28"/>
        </w:rPr>
      </w:pPr>
    </w:p>
    <w:p>
      <w:pPr>
        <w:pStyle w:val="BodyText"/>
        <w:rPr>
          <w:b/>
          <w:sz w:val="28"/>
        </w:rPr>
      </w:pPr>
    </w:p>
    <w:p>
      <w:pPr>
        <w:pStyle w:val="BodyText"/>
        <w:spacing w:before="6"/>
        <w:rPr>
          <w:b/>
          <w:sz w:val="30"/>
        </w:rPr>
      </w:pPr>
    </w:p>
    <w:p>
      <w:pPr>
        <w:pStyle w:val="BodyText"/>
        <w:spacing w:line="360" w:lineRule="auto"/>
        <w:ind w:left="102" w:right="116"/>
        <w:jc w:val="both"/>
      </w:pPr>
      <w:r>
        <w:rPr/>
        <w:t>Antes de definir que son las aportaciones federales y cuáles de estas corresponde a</w:t>
      </w:r>
      <w:r>
        <w:rPr>
          <w:spacing w:val="-5"/>
        </w:rPr>
        <w:t> </w:t>
      </w:r>
      <w:r>
        <w:rPr/>
        <w:t>los</w:t>
      </w:r>
      <w:r>
        <w:rPr>
          <w:spacing w:val="-5"/>
        </w:rPr>
        <w:t> </w:t>
      </w:r>
      <w:r>
        <w:rPr/>
        <w:t>municipios,</w:t>
      </w:r>
      <w:r>
        <w:rPr>
          <w:spacing w:val="-7"/>
        </w:rPr>
        <w:t> </w:t>
      </w:r>
      <w:r>
        <w:rPr/>
        <w:t>es</w:t>
      </w:r>
      <w:r>
        <w:rPr>
          <w:spacing w:val="-5"/>
        </w:rPr>
        <w:t> </w:t>
      </w:r>
      <w:r>
        <w:rPr/>
        <w:t>sumamente</w:t>
      </w:r>
      <w:r>
        <w:rPr>
          <w:spacing w:val="-4"/>
        </w:rPr>
        <w:t> </w:t>
      </w:r>
      <w:r>
        <w:rPr/>
        <w:t>importante</w:t>
      </w:r>
      <w:r>
        <w:rPr>
          <w:spacing w:val="-5"/>
        </w:rPr>
        <w:t> </w:t>
      </w:r>
      <w:r>
        <w:rPr/>
        <w:t>hablar</w:t>
      </w:r>
      <w:r>
        <w:rPr>
          <w:spacing w:val="-6"/>
        </w:rPr>
        <w:t> </w:t>
      </w:r>
      <w:r>
        <w:rPr/>
        <w:t>acerca</w:t>
      </w:r>
      <w:r>
        <w:rPr>
          <w:spacing w:val="-8"/>
        </w:rPr>
        <w:t> </w:t>
      </w:r>
      <w:r>
        <w:rPr/>
        <w:t>de</w:t>
      </w:r>
      <w:r>
        <w:rPr>
          <w:spacing w:val="-5"/>
        </w:rPr>
        <w:t> </w:t>
      </w:r>
      <w:r>
        <w:rPr/>
        <w:t>las</w:t>
      </w:r>
      <w:r>
        <w:rPr>
          <w:spacing w:val="-5"/>
        </w:rPr>
        <w:t> </w:t>
      </w:r>
      <w:r>
        <w:rPr/>
        <w:t>transferencias;</w:t>
      </w:r>
      <w:r>
        <w:rPr>
          <w:spacing w:val="-5"/>
        </w:rPr>
        <w:t> </w:t>
      </w:r>
      <w:r>
        <w:rPr/>
        <w:t>las transferencias de acuerdo al federalismo fiscal son mecanismos que auxilian a los gobiernos federalistas para enfrentar las diferencias regionales y corrige los desequilibrios fiscales de un nivel de gobierno a</w:t>
      </w:r>
      <w:r>
        <w:rPr>
          <w:spacing w:val="-17"/>
        </w:rPr>
        <w:t> </w:t>
      </w:r>
      <w:r>
        <w:rPr/>
        <w:t>otro.</w:t>
      </w:r>
    </w:p>
    <w:p>
      <w:pPr>
        <w:pStyle w:val="BodyText"/>
        <w:rPr>
          <w:sz w:val="21"/>
        </w:rPr>
      </w:pPr>
    </w:p>
    <w:p>
      <w:pPr>
        <w:spacing w:before="1"/>
        <w:ind w:left="954" w:right="115" w:firstLine="0"/>
        <w:jc w:val="both"/>
        <w:rPr>
          <w:sz w:val="22"/>
        </w:rPr>
      </w:pPr>
      <w:r>
        <w:rPr>
          <w:sz w:val="22"/>
        </w:rPr>
        <w:t>En diciembre de 1997 es aprobada, en el Congreso de la Unión, una iniciativa del ejecutivo federal para modificar la Ley de Coordinación Fiscal que incluía la creación de una nueva figura, las Aportaciones Federales. El objetivo fue dar institucionalidad a las transferencias federales a estados y municipios, destinadas a la atención de responsabilidades relativas a la educación básica, servicios de salud y a la infraestructura municipal que la federación les venía delegando como parte del programa de descentralización (Terrazas, 2004:82).</w:t>
      </w:r>
    </w:p>
    <w:p>
      <w:pPr>
        <w:pStyle w:val="BodyText"/>
        <w:rPr>
          <w:sz w:val="22"/>
        </w:rPr>
      </w:pPr>
    </w:p>
    <w:p>
      <w:pPr>
        <w:pStyle w:val="BodyText"/>
        <w:rPr>
          <w:sz w:val="22"/>
        </w:rPr>
      </w:pPr>
    </w:p>
    <w:p>
      <w:pPr>
        <w:pStyle w:val="BodyText"/>
        <w:spacing w:before="9"/>
        <w:rPr>
          <w:sz w:val="19"/>
        </w:rPr>
      </w:pPr>
    </w:p>
    <w:p>
      <w:pPr>
        <w:pStyle w:val="BodyText"/>
        <w:spacing w:line="360" w:lineRule="auto"/>
        <w:ind w:left="102" w:right="115"/>
        <w:jc w:val="both"/>
      </w:pPr>
      <w:r>
        <w:rPr/>
        <w:t>El Sistema Nacional de Coordinación Fiscal en México, consistente en acuerdos y convenios</w:t>
      </w:r>
      <w:r>
        <w:rPr>
          <w:spacing w:val="-10"/>
        </w:rPr>
        <w:t> </w:t>
      </w:r>
      <w:r>
        <w:rPr/>
        <w:t>entre</w:t>
      </w:r>
      <w:r>
        <w:rPr>
          <w:spacing w:val="-10"/>
        </w:rPr>
        <w:t> </w:t>
      </w:r>
      <w:r>
        <w:rPr/>
        <w:t>la</w:t>
      </w:r>
      <w:r>
        <w:rPr>
          <w:spacing w:val="-10"/>
        </w:rPr>
        <w:t> </w:t>
      </w:r>
      <w:r>
        <w:rPr/>
        <w:t>Federación</w:t>
      </w:r>
      <w:r>
        <w:rPr>
          <w:spacing w:val="-9"/>
        </w:rPr>
        <w:t> </w:t>
      </w:r>
      <w:r>
        <w:rPr/>
        <w:t>y</w:t>
      </w:r>
      <w:r>
        <w:rPr>
          <w:spacing w:val="-12"/>
        </w:rPr>
        <w:t> </w:t>
      </w:r>
      <w:r>
        <w:rPr/>
        <w:t>las</w:t>
      </w:r>
      <w:r>
        <w:rPr>
          <w:spacing w:val="-10"/>
        </w:rPr>
        <w:t> </w:t>
      </w:r>
      <w:r>
        <w:rPr/>
        <w:t>entidades</w:t>
      </w:r>
      <w:r>
        <w:rPr>
          <w:spacing w:val="-12"/>
        </w:rPr>
        <w:t> </w:t>
      </w:r>
      <w:r>
        <w:rPr/>
        <w:t>federativas,</w:t>
      </w:r>
      <w:r>
        <w:rPr>
          <w:spacing w:val="-10"/>
        </w:rPr>
        <w:t> </w:t>
      </w:r>
      <w:r>
        <w:rPr/>
        <w:t>ha</w:t>
      </w:r>
      <w:r>
        <w:rPr>
          <w:spacing w:val="-9"/>
        </w:rPr>
        <w:t> </w:t>
      </w:r>
      <w:r>
        <w:rPr/>
        <w:t>delimitado</w:t>
      </w:r>
      <w:r>
        <w:rPr>
          <w:spacing w:val="-9"/>
        </w:rPr>
        <w:t> </w:t>
      </w:r>
      <w:r>
        <w:rPr>
          <w:spacing w:val="2"/>
        </w:rPr>
        <w:t>las</w:t>
      </w:r>
      <w:r>
        <w:rPr>
          <w:spacing w:val="-12"/>
        </w:rPr>
        <w:t> </w:t>
      </w:r>
      <w:r>
        <w:rPr/>
        <w:t>fuentes de recursos a las que puede acceder cada orden de gobierno. Es también el mecanismo que establece la participación que corresponde a la Federación, Estados</w:t>
      </w:r>
      <w:r>
        <w:rPr>
          <w:spacing w:val="-9"/>
        </w:rPr>
        <w:t> </w:t>
      </w:r>
      <w:r>
        <w:rPr/>
        <w:t>y</w:t>
      </w:r>
      <w:r>
        <w:rPr>
          <w:spacing w:val="-12"/>
        </w:rPr>
        <w:t> </w:t>
      </w:r>
      <w:r>
        <w:rPr/>
        <w:t>Municipios,</w:t>
      </w:r>
      <w:r>
        <w:rPr>
          <w:spacing w:val="-11"/>
        </w:rPr>
        <w:t> </w:t>
      </w:r>
      <w:r>
        <w:rPr/>
        <w:t>de</w:t>
      </w:r>
      <w:r>
        <w:rPr>
          <w:spacing w:val="-8"/>
        </w:rPr>
        <w:t> </w:t>
      </w:r>
      <w:r>
        <w:rPr/>
        <w:t>los</w:t>
      </w:r>
      <w:r>
        <w:rPr>
          <w:spacing w:val="-9"/>
        </w:rPr>
        <w:t> </w:t>
      </w:r>
      <w:r>
        <w:rPr/>
        <w:t>ingresos</w:t>
      </w:r>
      <w:r>
        <w:rPr>
          <w:spacing w:val="-12"/>
        </w:rPr>
        <w:t> </w:t>
      </w:r>
      <w:r>
        <w:rPr/>
        <w:t>federales;</w:t>
      </w:r>
      <w:r>
        <w:rPr>
          <w:spacing w:val="-9"/>
        </w:rPr>
        <w:t> </w:t>
      </w:r>
      <w:r>
        <w:rPr/>
        <w:t>la</w:t>
      </w:r>
      <w:r>
        <w:rPr>
          <w:spacing w:val="-11"/>
        </w:rPr>
        <w:t> </w:t>
      </w:r>
      <w:r>
        <w:rPr/>
        <w:t>distribución</w:t>
      </w:r>
      <w:r>
        <w:rPr>
          <w:spacing w:val="-10"/>
        </w:rPr>
        <w:t> </w:t>
      </w:r>
      <w:r>
        <w:rPr/>
        <w:t>entre</w:t>
      </w:r>
      <w:r>
        <w:rPr>
          <w:spacing w:val="-11"/>
        </w:rPr>
        <w:t> </w:t>
      </w:r>
      <w:r>
        <w:rPr/>
        <w:t>ellos</w:t>
      </w:r>
      <w:r>
        <w:rPr>
          <w:spacing w:val="-9"/>
        </w:rPr>
        <w:t> </w:t>
      </w:r>
      <w:r>
        <w:rPr/>
        <w:t>de</w:t>
      </w:r>
      <w:r>
        <w:rPr>
          <w:spacing w:val="-8"/>
        </w:rPr>
        <w:t> </w:t>
      </w:r>
      <w:r>
        <w:rPr/>
        <w:t>dichas participaciones y aportaciones de acuerdo a las reglas de colaboración administrativa entre las diversas autoridades</w:t>
      </w:r>
      <w:r>
        <w:rPr>
          <w:spacing w:val="-17"/>
        </w:rPr>
        <w:t> </w:t>
      </w:r>
      <w:r>
        <w:rPr/>
        <w:t>fiscales.</w:t>
      </w:r>
    </w:p>
    <w:p>
      <w:pPr>
        <w:pStyle w:val="BodyText"/>
        <w:spacing w:before="3"/>
        <w:rPr>
          <w:sz w:val="21"/>
        </w:rPr>
      </w:pPr>
    </w:p>
    <w:p>
      <w:pPr>
        <w:pStyle w:val="BodyText"/>
        <w:spacing w:line="360" w:lineRule="auto"/>
        <w:ind w:left="102" w:right="118"/>
        <w:jc w:val="both"/>
      </w:pPr>
      <w:r>
        <w:rPr/>
        <w:t>Los recursos federales llegan a los Municipios a través de diversas vertientes. Los mecanismos</w:t>
      </w:r>
      <w:r>
        <w:rPr>
          <w:spacing w:val="-16"/>
        </w:rPr>
        <w:t> </w:t>
      </w:r>
      <w:r>
        <w:rPr/>
        <w:t>más</w:t>
      </w:r>
      <w:r>
        <w:rPr>
          <w:spacing w:val="-16"/>
        </w:rPr>
        <w:t> </w:t>
      </w:r>
      <w:r>
        <w:rPr/>
        <w:t>conocidos</w:t>
      </w:r>
      <w:r>
        <w:rPr>
          <w:spacing w:val="-14"/>
        </w:rPr>
        <w:t> </w:t>
      </w:r>
      <w:r>
        <w:rPr/>
        <w:t>son</w:t>
      </w:r>
      <w:r>
        <w:rPr>
          <w:spacing w:val="-16"/>
        </w:rPr>
        <w:t> </w:t>
      </w:r>
      <w:r>
        <w:rPr/>
        <w:t>aquellos</w:t>
      </w:r>
      <w:r>
        <w:rPr>
          <w:spacing w:val="-14"/>
        </w:rPr>
        <w:t> </w:t>
      </w:r>
      <w:r>
        <w:rPr/>
        <w:t>que</w:t>
      </w:r>
      <w:r>
        <w:rPr>
          <w:spacing w:val="-15"/>
        </w:rPr>
        <w:t> </w:t>
      </w:r>
      <w:r>
        <w:rPr/>
        <w:t>tienen</w:t>
      </w:r>
      <w:r>
        <w:rPr>
          <w:spacing w:val="-15"/>
        </w:rPr>
        <w:t> </w:t>
      </w:r>
      <w:r>
        <w:rPr/>
        <w:t>que</w:t>
      </w:r>
      <w:r>
        <w:rPr>
          <w:spacing w:val="-13"/>
        </w:rPr>
        <w:t> </w:t>
      </w:r>
      <w:r>
        <w:rPr/>
        <w:t>ver</w:t>
      </w:r>
      <w:r>
        <w:rPr>
          <w:spacing w:val="-15"/>
        </w:rPr>
        <w:t> </w:t>
      </w:r>
      <w:r>
        <w:rPr/>
        <w:t>con</w:t>
      </w:r>
      <w:r>
        <w:rPr>
          <w:spacing w:val="-13"/>
        </w:rPr>
        <w:t> </w:t>
      </w:r>
      <w:r>
        <w:rPr/>
        <w:t>las</w:t>
      </w:r>
      <w:r>
        <w:rPr>
          <w:spacing w:val="-18"/>
        </w:rPr>
        <w:t> </w:t>
      </w:r>
      <w:r>
        <w:rPr/>
        <w:t>participaciones</w:t>
      </w:r>
    </w:p>
    <w:p>
      <w:pPr>
        <w:spacing w:after="0" w:line="360" w:lineRule="auto"/>
        <w:jc w:val="both"/>
        <w:sectPr>
          <w:pgSz w:w="12240" w:h="15840"/>
          <w:pgMar w:header="0" w:footer="992" w:top="1360" w:bottom="1180" w:left="1600" w:right="1580"/>
        </w:sectPr>
      </w:pPr>
    </w:p>
    <w:p>
      <w:pPr>
        <w:pStyle w:val="BodyText"/>
        <w:spacing w:line="360" w:lineRule="auto" w:before="54"/>
        <w:ind w:left="102" w:right="100"/>
        <w:jc w:val="both"/>
      </w:pPr>
      <w:r>
        <w:rPr/>
        <w:t>y </w:t>
      </w:r>
      <w:r>
        <w:rPr>
          <w:u w:val="single"/>
        </w:rPr>
        <w:t>aportaciones federales</w:t>
      </w:r>
      <w:r>
        <w:rPr/>
        <w:t>, estas últimas son administradas directamente por los gobiernos municipales y son entregadas utilizando fórmulas y criterios contenidos en distintos ordenamientos jurídicos.</w:t>
      </w:r>
    </w:p>
    <w:p>
      <w:pPr>
        <w:pStyle w:val="BodyText"/>
        <w:spacing w:before="3"/>
        <w:rPr>
          <w:sz w:val="21"/>
        </w:rPr>
      </w:pPr>
    </w:p>
    <w:p>
      <w:pPr>
        <w:pStyle w:val="Heading2"/>
      </w:pPr>
      <w:r>
        <w:rPr/>
        <w:t>Transferencias</w:t>
      </w:r>
    </w:p>
    <w:p>
      <w:pPr>
        <w:pStyle w:val="BodyText"/>
        <w:spacing w:before="8"/>
        <w:rPr>
          <w:b/>
          <w:sz w:val="32"/>
        </w:rPr>
      </w:pPr>
    </w:p>
    <w:p>
      <w:pPr>
        <w:pStyle w:val="BodyText"/>
        <w:spacing w:line="360" w:lineRule="auto" w:before="1"/>
        <w:ind w:left="102" w:right="100"/>
        <w:jc w:val="both"/>
      </w:pPr>
      <w:r>
        <w:rPr/>
        <w:t>Para enfrentar las diferencias regionales, una gran cantidad de países federales recurren a las transferencias que consisten en el otorgamiento de recursos de un ámbito gubernamental a otro. Surgen porque el gobierno federal obtiene la mayor parte</w:t>
      </w:r>
      <w:r>
        <w:rPr>
          <w:spacing w:val="-9"/>
        </w:rPr>
        <w:t> </w:t>
      </w:r>
      <w:r>
        <w:rPr/>
        <w:t>de</w:t>
      </w:r>
      <w:r>
        <w:rPr>
          <w:spacing w:val="-8"/>
        </w:rPr>
        <w:t> </w:t>
      </w:r>
      <w:r>
        <w:rPr/>
        <w:t>los</w:t>
      </w:r>
      <w:r>
        <w:rPr>
          <w:spacing w:val="-9"/>
        </w:rPr>
        <w:t> </w:t>
      </w:r>
      <w:r>
        <w:rPr/>
        <w:t>ingresos</w:t>
      </w:r>
      <w:r>
        <w:rPr>
          <w:spacing w:val="-9"/>
        </w:rPr>
        <w:t> </w:t>
      </w:r>
      <w:r>
        <w:rPr/>
        <w:t>de</w:t>
      </w:r>
      <w:r>
        <w:rPr>
          <w:spacing w:val="-8"/>
        </w:rPr>
        <w:t> </w:t>
      </w:r>
      <w:r>
        <w:rPr/>
        <w:t>una</w:t>
      </w:r>
      <w:r>
        <w:rPr>
          <w:spacing w:val="-6"/>
        </w:rPr>
        <w:t> </w:t>
      </w:r>
      <w:r>
        <w:rPr/>
        <w:t>nación</w:t>
      </w:r>
      <w:r>
        <w:rPr>
          <w:spacing w:val="-8"/>
        </w:rPr>
        <w:t> </w:t>
      </w:r>
      <w:r>
        <w:rPr/>
        <w:t>y</w:t>
      </w:r>
      <w:r>
        <w:rPr>
          <w:spacing w:val="-12"/>
        </w:rPr>
        <w:t> </w:t>
      </w:r>
      <w:r>
        <w:rPr/>
        <w:t>obviamente</w:t>
      </w:r>
      <w:r>
        <w:rPr>
          <w:spacing w:val="-10"/>
        </w:rPr>
        <w:t> </w:t>
      </w:r>
      <w:r>
        <w:rPr/>
        <w:t>tendrá</w:t>
      </w:r>
      <w:r>
        <w:rPr>
          <w:spacing w:val="-9"/>
        </w:rPr>
        <w:t> </w:t>
      </w:r>
      <w:r>
        <w:rPr/>
        <w:t>que</w:t>
      </w:r>
      <w:r>
        <w:rPr>
          <w:spacing w:val="-8"/>
        </w:rPr>
        <w:t> </w:t>
      </w:r>
      <w:r>
        <w:rPr/>
        <w:t>apoyar</w:t>
      </w:r>
      <w:r>
        <w:rPr>
          <w:spacing w:val="-10"/>
        </w:rPr>
        <w:t> </w:t>
      </w:r>
      <w:r>
        <w:rPr/>
        <w:t>a</w:t>
      </w:r>
      <w:r>
        <w:rPr>
          <w:spacing w:val="-8"/>
        </w:rPr>
        <w:t> </w:t>
      </w:r>
      <w:r>
        <w:rPr/>
        <w:t>los</w:t>
      </w:r>
      <w:r>
        <w:rPr>
          <w:spacing w:val="-9"/>
        </w:rPr>
        <w:t> </w:t>
      </w:r>
      <w:r>
        <w:rPr/>
        <w:t>otros</w:t>
      </w:r>
      <w:r>
        <w:rPr>
          <w:spacing w:val="-9"/>
        </w:rPr>
        <w:t> </w:t>
      </w:r>
      <w:r>
        <w:rPr/>
        <w:t>dos ámbitos de</w:t>
      </w:r>
      <w:r>
        <w:rPr>
          <w:spacing w:val="-7"/>
        </w:rPr>
        <w:t> </w:t>
      </w:r>
      <w:r>
        <w:rPr/>
        <w:t>gobierno.</w:t>
      </w:r>
    </w:p>
    <w:p>
      <w:pPr>
        <w:pStyle w:val="BodyText"/>
        <w:spacing w:before="3"/>
        <w:rPr>
          <w:sz w:val="21"/>
        </w:rPr>
      </w:pPr>
    </w:p>
    <w:p>
      <w:pPr>
        <w:pStyle w:val="BodyText"/>
        <w:spacing w:line="360" w:lineRule="auto"/>
        <w:ind w:left="102" w:right="101"/>
        <w:jc w:val="both"/>
      </w:pPr>
      <w:r>
        <w:rPr/>
        <w:t>Las transferencias son un elemento importante de la teoría del federalismo fiscal y estas coadyuvan a corregir los desequilibrios fiscales tanto verticales como horizontales, dado que en los gobiernos federales llegan a controlar en la mayoría de los casos las fuentes impositivas, por lo regular el gobierno federal es quien maneja los impuestos con mayor capacidad recaudatoria y que tienen una relación directa con el incremento del ingreso, que para el caso de los gobiernos locales no es así.</w:t>
      </w:r>
    </w:p>
    <w:p>
      <w:pPr>
        <w:pStyle w:val="BodyText"/>
        <w:spacing w:before="1"/>
        <w:rPr>
          <w:sz w:val="21"/>
        </w:rPr>
      </w:pPr>
    </w:p>
    <w:p>
      <w:pPr>
        <w:pStyle w:val="BodyText"/>
        <w:spacing w:line="360" w:lineRule="auto"/>
        <w:ind w:left="102" w:right="103"/>
        <w:jc w:val="both"/>
      </w:pPr>
      <w:r>
        <w:rPr/>
        <w:t>Hay</w:t>
      </w:r>
      <w:r>
        <w:rPr>
          <w:spacing w:val="-17"/>
        </w:rPr>
        <w:t> </w:t>
      </w:r>
      <w:r>
        <w:rPr/>
        <w:t>una</w:t>
      </w:r>
      <w:r>
        <w:rPr>
          <w:spacing w:val="-14"/>
        </w:rPr>
        <w:t> </w:t>
      </w:r>
      <w:r>
        <w:rPr/>
        <w:t>gran</w:t>
      </w:r>
      <w:r>
        <w:rPr>
          <w:spacing w:val="-14"/>
        </w:rPr>
        <w:t> </w:t>
      </w:r>
      <w:r>
        <w:rPr/>
        <w:t>variedad</w:t>
      </w:r>
      <w:r>
        <w:rPr>
          <w:spacing w:val="-17"/>
        </w:rPr>
        <w:t> </w:t>
      </w:r>
      <w:r>
        <w:rPr/>
        <w:t>de</w:t>
      </w:r>
      <w:r>
        <w:rPr>
          <w:spacing w:val="-14"/>
        </w:rPr>
        <w:t> </w:t>
      </w:r>
      <w:r>
        <w:rPr/>
        <w:t>transferencias</w:t>
      </w:r>
      <w:r>
        <w:rPr>
          <w:spacing w:val="-14"/>
        </w:rPr>
        <w:t> </w:t>
      </w:r>
      <w:r>
        <w:rPr/>
        <w:t>y</w:t>
      </w:r>
      <w:r>
        <w:rPr>
          <w:spacing w:val="-17"/>
        </w:rPr>
        <w:t> </w:t>
      </w:r>
      <w:r>
        <w:rPr/>
        <w:t>esto</w:t>
      </w:r>
      <w:r>
        <w:rPr>
          <w:spacing w:val="-14"/>
        </w:rPr>
        <w:t> </w:t>
      </w:r>
      <w:r>
        <w:rPr/>
        <w:t>responde</w:t>
      </w:r>
      <w:r>
        <w:rPr>
          <w:spacing w:val="-14"/>
        </w:rPr>
        <w:t> </w:t>
      </w:r>
      <w:r>
        <w:rPr/>
        <w:t>de</w:t>
      </w:r>
      <w:r>
        <w:rPr>
          <w:spacing w:val="-16"/>
        </w:rPr>
        <w:t> </w:t>
      </w:r>
      <w:r>
        <w:rPr/>
        <w:t>acuerdo</w:t>
      </w:r>
      <w:r>
        <w:rPr>
          <w:spacing w:val="-16"/>
        </w:rPr>
        <w:t> </w:t>
      </w:r>
      <w:r>
        <w:rPr/>
        <w:t>a</w:t>
      </w:r>
      <w:r>
        <w:rPr>
          <w:spacing w:val="-14"/>
        </w:rPr>
        <w:t> </w:t>
      </w:r>
      <w:r>
        <w:rPr/>
        <w:t>la</w:t>
      </w:r>
      <w:r>
        <w:rPr>
          <w:spacing w:val="-14"/>
        </w:rPr>
        <w:t> </w:t>
      </w:r>
      <w:r>
        <w:rPr/>
        <w:t>necesidad concreta, en ocasiones se les denomina a un mismo tipo con varios nombres. Sin embargo Astudillo Moya (2009) presenta su</w:t>
      </w:r>
      <w:r>
        <w:rPr>
          <w:spacing w:val="-18"/>
        </w:rPr>
        <w:t> </w:t>
      </w:r>
      <w:r>
        <w:rPr/>
        <w:t>clasificación:</w:t>
      </w:r>
    </w:p>
    <w:p>
      <w:pPr>
        <w:spacing w:after="0" w:line="360" w:lineRule="auto"/>
        <w:jc w:val="both"/>
        <w:sectPr>
          <w:pgSz w:w="12240" w:h="15840"/>
          <w:pgMar w:header="0" w:footer="992" w:top="1360" w:bottom="1180" w:left="1600" w:right="1600"/>
        </w:sectPr>
      </w:pPr>
    </w:p>
    <w:p>
      <w:pPr>
        <w:spacing w:before="51"/>
        <w:ind w:left="2118" w:right="0" w:firstLine="0"/>
        <w:jc w:val="left"/>
        <w:rPr>
          <w:b/>
          <w:sz w:val="22"/>
        </w:rPr>
      </w:pPr>
      <w:r>
        <w:rPr>
          <w:b/>
          <w:sz w:val="22"/>
        </w:rPr>
        <w:t>Cuadro 5.  Clasificación de las Transferencias</w:t>
      </w:r>
    </w:p>
    <w:p>
      <w:pPr>
        <w:pStyle w:val="BodyText"/>
        <w:spacing w:before="11"/>
        <w:rPr>
          <w:b/>
          <w:sz w:val="28"/>
        </w:rPr>
      </w:pPr>
    </w:p>
    <w:tbl>
      <w:tblPr>
        <w:tblW w:w="0" w:type="auto"/>
        <w:jc w:val="left"/>
        <w:tblInd w:w="3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2"/>
        <w:gridCol w:w="4175"/>
      </w:tblGrid>
      <w:tr>
        <w:trPr>
          <w:trHeight w:val="733" w:hRule="exact"/>
        </w:trPr>
        <w:tc>
          <w:tcPr>
            <w:tcW w:w="4162" w:type="dxa"/>
            <w:tcBorders>
              <w:bottom w:val="single" w:sz="17" w:space="0" w:color="000000"/>
            </w:tcBorders>
          </w:tcPr>
          <w:p>
            <w:pPr>
              <w:pStyle w:val="TableParagraph"/>
              <w:spacing w:line="227" w:lineRule="exact"/>
              <w:ind w:left="98"/>
              <w:rPr>
                <w:b/>
                <w:sz w:val="20"/>
              </w:rPr>
            </w:pPr>
            <w:r>
              <w:rPr>
                <w:b/>
                <w:sz w:val="20"/>
              </w:rPr>
              <w:t>Según las condiciones</w:t>
            </w:r>
          </w:p>
        </w:tc>
        <w:tc>
          <w:tcPr>
            <w:tcW w:w="4175" w:type="dxa"/>
            <w:tcBorders>
              <w:bottom w:val="single" w:sz="17" w:space="0" w:color="000000"/>
            </w:tcBorders>
          </w:tcPr>
          <w:p>
            <w:pPr>
              <w:pStyle w:val="TableParagraph"/>
              <w:numPr>
                <w:ilvl w:val="0"/>
                <w:numId w:val="38"/>
              </w:numPr>
              <w:tabs>
                <w:tab w:pos="818" w:val="left" w:leader="none"/>
                <w:tab w:pos="819" w:val="left" w:leader="none"/>
              </w:tabs>
              <w:spacing w:line="225" w:lineRule="exact" w:before="0" w:after="0"/>
              <w:ind w:left="818" w:right="0" w:hanging="360"/>
              <w:jc w:val="left"/>
              <w:rPr>
                <w:b/>
                <w:sz w:val="20"/>
              </w:rPr>
            </w:pPr>
            <w:r>
              <w:rPr>
                <w:b/>
                <w:sz w:val="20"/>
              </w:rPr>
              <w:t>Condicionales</w:t>
            </w:r>
          </w:p>
          <w:p>
            <w:pPr>
              <w:pStyle w:val="TableParagraph"/>
              <w:numPr>
                <w:ilvl w:val="0"/>
                <w:numId w:val="38"/>
              </w:numPr>
              <w:tabs>
                <w:tab w:pos="818" w:val="left" w:leader="none"/>
                <w:tab w:pos="819" w:val="left" w:leader="none"/>
              </w:tabs>
              <w:spacing w:line="240" w:lineRule="auto" w:before="0" w:after="0"/>
              <w:ind w:left="818" w:right="0" w:hanging="360"/>
              <w:jc w:val="left"/>
              <w:rPr>
                <w:b/>
                <w:sz w:val="20"/>
              </w:rPr>
            </w:pPr>
            <w:r>
              <w:rPr>
                <w:b/>
                <w:sz w:val="20"/>
              </w:rPr>
              <w:t>Incondicionales</w:t>
            </w:r>
          </w:p>
        </w:tc>
      </w:tr>
      <w:tr>
        <w:trPr>
          <w:trHeight w:val="731" w:hRule="exact"/>
        </w:trPr>
        <w:tc>
          <w:tcPr>
            <w:tcW w:w="4162" w:type="dxa"/>
            <w:tcBorders>
              <w:top w:val="single" w:sz="17" w:space="0" w:color="000000"/>
            </w:tcBorders>
            <w:shd w:val="clear" w:color="auto" w:fill="C0C0C0"/>
          </w:tcPr>
          <w:p>
            <w:pPr>
              <w:pStyle w:val="TableParagraph"/>
              <w:spacing w:line="276" w:lineRule="auto"/>
              <w:ind w:left="98"/>
              <w:rPr>
                <w:b/>
                <w:sz w:val="20"/>
              </w:rPr>
            </w:pPr>
            <w:r>
              <w:rPr>
                <w:b/>
                <w:sz w:val="20"/>
              </w:rPr>
              <w:t>Según la relación monto de los recursos con el costo del servicio</w:t>
            </w:r>
          </w:p>
        </w:tc>
        <w:tc>
          <w:tcPr>
            <w:tcW w:w="4175" w:type="dxa"/>
            <w:tcBorders>
              <w:top w:val="single" w:sz="17" w:space="0" w:color="000000"/>
            </w:tcBorders>
            <w:shd w:val="clear" w:color="auto" w:fill="C0C0C0"/>
          </w:tcPr>
          <w:p>
            <w:pPr>
              <w:pStyle w:val="TableParagraph"/>
              <w:numPr>
                <w:ilvl w:val="0"/>
                <w:numId w:val="39"/>
              </w:numPr>
              <w:tabs>
                <w:tab w:pos="818" w:val="left" w:leader="none"/>
                <w:tab w:pos="819" w:val="left" w:leader="none"/>
              </w:tabs>
              <w:spacing w:line="227" w:lineRule="exact" w:before="0" w:after="0"/>
              <w:ind w:left="818" w:right="0" w:hanging="360"/>
              <w:jc w:val="left"/>
              <w:rPr>
                <w:sz w:val="20"/>
              </w:rPr>
            </w:pPr>
            <w:r>
              <w:rPr>
                <w:sz w:val="20"/>
              </w:rPr>
              <w:t>Globales</w:t>
            </w:r>
            <w:r>
              <w:rPr>
                <w:spacing w:val="-11"/>
                <w:sz w:val="20"/>
              </w:rPr>
              <w:t> </w:t>
            </w:r>
            <w:r>
              <w:rPr>
                <w:sz w:val="20"/>
              </w:rPr>
              <w:t>en</w:t>
            </w:r>
            <w:r>
              <w:rPr>
                <w:spacing w:val="-12"/>
                <w:sz w:val="20"/>
              </w:rPr>
              <w:t> </w:t>
            </w:r>
            <w:r>
              <w:rPr>
                <w:sz w:val="20"/>
              </w:rPr>
              <w:t>bloqueo</w:t>
            </w:r>
            <w:r>
              <w:rPr>
                <w:spacing w:val="-12"/>
                <w:sz w:val="20"/>
              </w:rPr>
              <w:t> </w:t>
            </w:r>
            <w:r>
              <w:rPr>
                <w:sz w:val="20"/>
              </w:rPr>
              <w:t>o</w:t>
            </w:r>
            <w:r>
              <w:rPr>
                <w:spacing w:val="-11"/>
                <w:sz w:val="20"/>
              </w:rPr>
              <w:t> </w:t>
            </w:r>
            <w:r>
              <w:rPr>
                <w:sz w:val="20"/>
              </w:rPr>
              <w:t>no</w:t>
            </w:r>
            <w:r>
              <w:rPr>
                <w:spacing w:val="-12"/>
                <w:sz w:val="20"/>
              </w:rPr>
              <w:t> </w:t>
            </w:r>
            <w:r>
              <w:rPr>
                <w:sz w:val="20"/>
              </w:rPr>
              <w:t>graduadas</w:t>
            </w:r>
          </w:p>
          <w:p>
            <w:pPr>
              <w:pStyle w:val="TableParagraph"/>
              <w:numPr>
                <w:ilvl w:val="0"/>
                <w:numId w:val="39"/>
              </w:numPr>
              <w:tabs>
                <w:tab w:pos="818" w:val="left" w:leader="none"/>
                <w:tab w:pos="819" w:val="left" w:leader="none"/>
              </w:tabs>
              <w:spacing w:line="229" w:lineRule="exact" w:before="0" w:after="0"/>
              <w:ind w:left="818" w:right="0" w:hanging="360"/>
              <w:jc w:val="left"/>
              <w:rPr>
                <w:sz w:val="20"/>
              </w:rPr>
            </w:pPr>
            <w:r>
              <w:rPr>
                <w:sz w:val="20"/>
              </w:rPr>
              <w:t>Graduadas</w:t>
            </w:r>
          </w:p>
        </w:tc>
      </w:tr>
      <w:tr>
        <w:trPr>
          <w:trHeight w:val="721" w:hRule="exact"/>
        </w:trPr>
        <w:tc>
          <w:tcPr>
            <w:tcW w:w="4162" w:type="dxa"/>
          </w:tcPr>
          <w:p>
            <w:pPr>
              <w:pStyle w:val="TableParagraph"/>
              <w:spacing w:line="230" w:lineRule="exact"/>
              <w:ind w:left="98"/>
              <w:rPr>
                <w:b/>
                <w:sz w:val="20"/>
              </w:rPr>
            </w:pPr>
            <w:r>
              <w:rPr>
                <w:b/>
                <w:sz w:val="20"/>
              </w:rPr>
              <w:t>Según la limitación de su cuantía</w:t>
            </w:r>
          </w:p>
        </w:tc>
        <w:tc>
          <w:tcPr>
            <w:tcW w:w="4175" w:type="dxa"/>
          </w:tcPr>
          <w:p>
            <w:pPr>
              <w:pStyle w:val="TableParagraph"/>
              <w:numPr>
                <w:ilvl w:val="0"/>
                <w:numId w:val="40"/>
              </w:numPr>
              <w:tabs>
                <w:tab w:pos="818" w:val="left" w:leader="none"/>
                <w:tab w:pos="819" w:val="left" w:leader="none"/>
              </w:tabs>
              <w:spacing w:line="229" w:lineRule="exact" w:before="0" w:after="0"/>
              <w:ind w:left="818" w:right="0" w:hanging="360"/>
              <w:jc w:val="left"/>
              <w:rPr>
                <w:sz w:val="20"/>
              </w:rPr>
            </w:pPr>
            <w:r>
              <w:rPr>
                <w:sz w:val="20"/>
              </w:rPr>
              <w:t>Con tope, cerradas o de fin</w:t>
            </w:r>
            <w:r>
              <w:rPr>
                <w:spacing w:val="-10"/>
                <w:sz w:val="20"/>
              </w:rPr>
              <w:t> </w:t>
            </w:r>
            <w:r>
              <w:rPr>
                <w:sz w:val="20"/>
              </w:rPr>
              <w:t>cerrado</w:t>
            </w:r>
          </w:p>
          <w:p>
            <w:pPr>
              <w:pStyle w:val="TableParagraph"/>
              <w:numPr>
                <w:ilvl w:val="0"/>
                <w:numId w:val="40"/>
              </w:numPr>
              <w:tabs>
                <w:tab w:pos="818" w:val="left" w:leader="none"/>
                <w:tab w:pos="819" w:val="left" w:leader="none"/>
              </w:tabs>
              <w:spacing w:line="229" w:lineRule="exact" w:before="0" w:after="0"/>
              <w:ind w:left="818" w:right="0" w:hanging="360"/>
              <w:jc w:val="left"/>
              <w:rPr>
                <w:sz w:val="20"/>
              </w:rPr>
            </w:pPr>
            <w:r>
              <w:rPr>
                <w:sz w:val="20"/>
              </w:rPr>
              <w:t>Sin tope, abiertas o de fin</w:t>
            </w:r>
            <w:r>
              <w:rPr>
                <w:spacing w:val="-12"/>
                <w:sz w:val="20"/>
              </w:rPr>
              <w:t> </w:t>
            </w:r>
            <w:r>
              <w:rPr>
                <w:sz w:val="20"/>
              </w:rPr>
              <w:t>abierto</w:t>
            </w:r>
          </w:p>
        </w:tc>
      </w:tr>
      <w:tr>
        <w:trPr>
          <w:trHeight w:val="1180" w:hRule="exact"/>
        </w:trPr>
        <w:tc>
          <w:tcPr>
            <w:tcW w:w="4162" w:type="dxa"/>
            <w:shd w:val="clear" w:color="auto" w:fill="C0C0C0"/>
          </w:tcPr>
          <w:p>
            <w:pPr>
              <w:pStyle w:val="TableParagraph"/>
              <w:spacing w:line="228" w:lineRule="exact"/>
              <w:ind w:left="98"/>
              <w:rPr>
                <w:b/>
                <w:sz w:val="20"/>
              </w:rPr>
            </w:pPr>
            <w:r>
              <w:rPr>
                <w:b/>
                <w:sz w:val="20"/>
              </w:rPr>
              <w:t>Según el gobierno otorgante o recipiente</w:t>
            </w:r>
          </w:p>
        </w:tc>
        <w:tc>
          <w:tcPr>
            <w:tcW w:w="4175" w:type="dxa"/>
            <w:shd w:val="clear" w:color="auto" w:fill="C0C0C0"/>
          </w:tcPr>
          <w:p>
            <w:pPr>
              <w:pStyle w:val="TableParagraph"/>
              <w:numPr>
                <w:ilvl w:val="0"/>
                <w:numId w:val="41"/>
              </w:numPr>
              <w:tabs>
                <w:tab w:pos="818" w:val="left" w:leader="none"/>
                <w:tab w:pos="819" w:val="left" w:leader="none"/>
              </w:tabs>
              <w:spacing w:line="227" w:lineRule="exact" w:before="0" w:after="0"/>
              <w:ind w:left="818" w:right="0" w:hanging="360"/>
              <w:jc w:val="left"/>
              <w:rPr>
                <w:sz w:val="20"/>
              </w:rPr>
            </w:pPr>
            <w:r>
              <w:rPr>
                <w:sz w:val="20"/>
              </w:rPr>
              <w:t>Federación de</w:t>
            </w:r>
            <w:r>
              <w:rPr>
                <w:spacing w:val="-7"/>
                <w:sz w:val="20"/>
              </w:rPr>
              <w:t> </w:t>
            </w:r>
            <w:r>
              <w:rPr>
                <w:sz w:val="20"/>
              </w:rPr>
              <w:t>estado</w:t>
            </w:r>
          </w:p>
          <w:p>
            <w:pPr>
              <w:pStyle w:val="TableParagraph"/>
              <w:numPr>
                <w:ilvl w:val="0"/>
                <w:numId w:val="41"/>
              </w:numPr>
              <w:tabs>
                <w:tab w:pos="818" w:val="left" w:leader="none"/>
                <w:tab w:pos="819" w:val="left" w:leader="none"/>
              </w:tabs>
              <w:spacing w:line="229" w:lineRule="exact" w:before="0" w:after="0"/>
              <w:ind w:left="818" w:right="0" w:hanging="360"/>
              <w:jc w:val="left"/>
              <w:rPr>
                <w:sz w:val="20"/>
              </w:rPr>
            </w:pPr>
            <w:r>
              <w:rPr>
                <w:sz w:val="20"/>
              </w:rPr>
              <w:t>Federación a estado a</w:t>
            </w:r>
            <w:r>
              <w:rPr>
                <w:spacing w:val="-8"/>
                <w:sz w:val="20"/>
              </w:rPr>
              <w:t> </w:t>
            </w:r>
            <w:r>
              <w:rPr>
                <w:sz w:val="20"/>
              </w:rPr>
              <w:t>municipio</w:t>
            </w:r>
          </w:p>
          <w:p>
            <w:pPr>
              <w:pStyle w:val="TableParagraph"/>
              <w:numPr>
                <w:ilvl w:val="0"/>
                <w:numId w:val="41"/>
              </w:numPr>
              <w:tabs>
                <w:tab w:pos="818" w:val="left" w:leader="none"/>
                <w:tab w:pos="819" w:val="left" w:leader="none"/>
              </w:tabs>
              <w:spacing w:line="240" w:lineRule="auto" w:before="0" w:after="0"/>
              <w:ind w:left="818" w:right="0" w:hanging="360"/>
              <w:jc w:val="left"/>
              <w:rPr>
                <w:sz w:val="20"/>
              </w:rPr>
            </w:pPr>
            <w:r>
              <w:rPr>
                <w:sz w:val="20"/>
              </w:rPr>
              <w:t>Federación a</w:t>
            </w:r>
            <w:r>
              <w:rPr>
                <w:spacing w:val="-6"/>
                <w:sz w:val="20"/>
              </w:rPr>
              <w:t> </w:t>
            </w:r>
            <w:r>
              <w:rPr>
                <w:sz w:val="20"/>
              </w:rPr>
              <w:t>municipio</w:t>
            </w:r>
          </w:p>
          <w:p>
            <w:pPr>
              <w:pStyle w:val="TableParagraph"/>
              <w:numPr>
                <w:ilvl w:val="0"/>
                <w:numId w:val="41"/>
              </w:numPr>
              <w:tabs>
                <w:tab w:pos="818" w:val="left" w:leader="none"/>
                <w:tab w:pos="819" w:val="left" w:leader="none"/>
              </w:tabs>
              <w:spacing w:line="240" w:lineRule="auto" w:before="1" w:after="0"/>
              <w:ind w:left="818" w:right="0" w:hanging="360"/>
              <w:jc w:val="left"/>
              <w:rPr>
                <w:sz w:val="20"/>
              </w:rPr>
            </w:pPr>
            <w:r>
              <w:rPr>
                <w:sz w:val="20"/>
              </w:rPr>
              <w:t>Estado a</w:t>
            </w:r>
            <w:r>
              <w:rPr>
                <w:spacing w:val="-6"/>
                <w:sz w:val="20"/>
              </w:rPr>
              <w:t> </w:t>
            </w:r>
            <w:r>
              <w:rPr>
                <w:sz w:val="20"/>
              </w:rPr>
              <w:t>municipio</w:t>
            </w:r>
          </w:p>
        </w:tc>
      </w:tr>
      <w:tr>
        <w:trPr>
          <w:trHeight w:val="720" w:hRule="exact"/>
        </w:trPr>
        <w:tc>
          <w:tcPr>
            <w:tcW w:w="4162" w:type="dxa"/>
          </w:tcPr>
          <w:p>
            <w:pPr>
              <w:pStyle w:val="TableParagraph"/>
              <w:spacing w:line="227" w:lineRule="exact"/>
              <w:ind w:left="98"/>
              <w:rPr>
                <w:b/>
                <w:sz w:val="20"/>
              </w:rPr>
            </w:pPr>
            <w:r>
              <w:rPr>
                <w:b/>
                <w:sz w:val="20"/>
              </w:rPr>
              <w:t>Según la intención distributiva</w:t>
            </w:r>
          </w:p>
        </w:tc>
        <w:tc>
          <w:tcPr>
            <w:tcW w:w="4175" w:type="dxa"/>
          </w:tcPr>
          <w:p>
            <w:pPr>
              <w:pStyle w:val="TableParagraph"/>
              <w:numPr>
                <w:ilvl w:val="0"/>
                <w:numId w:val="42"/>
              </w:numPr>
              <w:tabs>
                <w:tab w:pos="818" w:val="left" w:leader="none"/>
                <w:tab w:pos="819" w:val="left" w:leader="none"/>
              </w:tabs>
              <w:spacing w:line="227" w:lineRule="exact" w:before="0" w:after="0"/>
              <w:ind w:left="818" w:right="0" w:hanging="360"/>
              <w:jc w:val="left"/>
              <w:rPr>
                <w:sz w:val="20"/>
              </w:rPr>
            </w:pPr>
            <w:r>
              <w:rPr>
                <w:sz w:val="20"/>
              </w:rPr>
              <w:t>Igualadoras</w:t>
            </w:r>
          </w:p>
          <w:p>
            <w:pPr>
              <w:pStyle w:val="TableParagraph"/>
              <w:numPr>
                <w:ilvl w:val="0"/>
                <w:numId w:val="42"/>
              </w:numPr>
              <w:tabs>
                <w:tab w:pos="818" w:val="left" w:leader="none"/>
                <w:tab w:pos="819" w:val="left" w:leader="none"/>
              </w:tabs>
              <w:spacing w:line="240" w:lineRule="auto" w:before="0" w:after="0"/>
              <w:ind w:left="818" w:right="0" w:hanging="360"/>
              <w:jc w:val="left"/>
              <w:rPr>
                <w:sz w:val="20"/>
              </w:rPr>
            </w:pPr>
            <w:r>
              <w:rPr>
                <w:sz w:val="20"/>
              </w:rPr>
              <w:t>No</w:t>
            </w:r>
            <w:r>
              <w:rPr>
                <w:spacing w:val="-7"/>
                <w:sz w:val="20"/>
              </w:rPr>
              <w:t> </w:t>
            </w:r>
            <w:r>
              <w:rPr>
                <w:sz w:val="20"/>
              </w:rPr>
              <w:t>igualadoras</w:t>
            </w:r>
          </w:p>
        </w:tc>
      </w:tr>
      <w:tr>
        <w:trPr>
          <w:trHeight w:val="950" w:hRule="exact"/>
        </w:trPr>
        <w:tc>
          <w:tcPr>
            <w:tcW w:w="4162" w:type="dxa"/>
            <w:shd w:val="clear" w:color="auto" w:fill="C0C0C0"/>
          </w:tcPr>
          <w:p>
            <w:pPr>
              <w:pStyle w:val="TableParagraph"/>
              <w:spacing w:line="227" w:lineRule="exact"/>
              <w:ind w:left="98"/>
              <w:rPr>
                <w:b/>
                <w:sz w:val="20"/>
              </w:rPr>
            </w:pPr>
            <w:r>
              <w:rPr>
                <w:b/>
                <w:sz w:val="20"/>
              </w:rPr>
              <w:t>Según la respuesta de los receptores</w:t>
            </w:r>
          </w:p>
        </w:tc>
        <w:tc>
          <w:tcPr>
            <w:tcW w:w="4175" w:type="dxa"/>
            <w:shd w:val="clear" w:color="auto" w:fill="C0C0C0"/>
          </w:tcPr>
          <w:p>
            <w:pPr>
              <w:pStyle w:val="TableParagraph"/>
              <w:numPr>
                <w:ilvl w:val="0"/>
                <w:numId w:val="43"/>
              </w:numPr>
              <w:tabs>
                <w:tab w:pos="818" w:val="left" w:leader="none"/>
                <w:tab w:pos="819" w:val="left" w:leader="none"/>
              </w:tabs>
              <w:spacing w:line="227" w:lineRule="exact" w:before="0" w:after="0"/>
              <w:ind w:left="818" w:right="0" w:hanging="360"/>
              <w:jc w:val="left"/>
              <w:rPr>
                <w:sz w:val="20"/>
              </w:rPr>
            </w:pPr>
            <w:r>
              <w:rPr>
                <w:sz w:val="20"/>
              </w:rPr>
              <w:t>Neutrales</w:t>
            </w:r>
          </w:p>
          <w:p>
            <w:pPr>
              <w:pStyle w:val="TableParagraph"/>
              <w:numPr>
                <w:ilvl w:val="0"/>
                <w:numId w:val="43"/>
              </w:numPr>
              <w:tabs>
                <w:tab w:pos="818" w:val="left" w:leader="none"/>
                <w:tab w:pos="819" w:val="left" w:leader="none"/>
              </w:tabs>
              <w:spacing w:line="240" w:lineRule="auto" w:before="0" w:after="0"/>
              <w:ind w:left="818" w:right="0" w:hanging="360"/>
              <w:jc w:val="left"/>
              <w:rPr>
                <w:sz w:val="20"/>
              </w:rPr>
            </w:pPr>
            <w:r>
              <w:rPr>
                <w:sz w:val="20"/>
              </w:rPr>
              <w:t>Sustitutivas</w:t>
            </w:r>
          </w:p>
          <w:p>
            <w:pPr>
              <w:pStyle w:val="TableParagraph"/>
              <w:numPr>
                <w:ilvl w:val="0"/>
                <w:numId w:val="43"/>
              </w:numPr>
              <w:tabs>
                <w:tab w:pos="818" w:val="left" w:leader="none"/>
                <w:tab w:pos="819" w:val="left" w:leader="none"/>
              </w:tabs>
              <w:spacing w:line="240" w:lineRule="auto" w:before="0" w:after="0"/>
              <w:ind w:left="818" w:right="0" w:hanging="360"/>
              <w:jc w:val="left"/>
              <w:rPr>
                <w:sz w:val="20"/>
              </w:rPr>
            </w:pPr>
            <w:r>
              <w:rPr>
                <w:sz w:val="20"/>
              </w:rPr>
              <w:t>Estimulantes</w:t>
            </w:r>
          </w:p>
        </w:tc>
      </w:tr>
      <w:tr>
        <w:trPr>
          <w:trHeight w:val="720" w:hRule="exact"/>
        </w:trPr>
        <w:tc>
          <w:tcPr>
            <w:tcW w:w="4162" w:type="dxa"/>
          </w:tcPr>
          <w:p>
            <w:pPr>
              <w:pStyle w:val="TableParagraph"/>
              <w:spacing w:line="276" w:lineRule="auto"/>
              <w:ind w:left="98"/>
              <w:rPr>
                <w:b/>
                <w:sz w:val="20"/>
              </w:rPr>
            </w:pPr>
            <w:r>
              <w:rPr>
                <w:b/>
                <w:sz w:val="20"/>
              </w:rPr>
              <w:t>Equilibradoras según las condiciones requeridas</w:t>
            </w:r>
          </w:p>
        </w:tc>
        <w:tc>
          <w:tcPr>
            <w:tcW w:w="4175" w:type="dxa"/>
          </w:tcPr>
          <w:p>
            <w:pPr>
              <w:pStyle w:val="TableParagraph"/>
              <w:numPr>
                <w:ilvl w:val="0"/>
                <w:numId w:val="44"/>
              </w:numPr>
              <w:tabs>
                <w:tab w:pos="818" w:val="left" w:leader="none"/>
                <w:tab w:pos="819" w:val="left" w:leader="none"/>
              </w:tabs>
              <w:spacing w:line="227" w:lineRule="exact" w:before="0" w:after="0"/>
              <w:ind w:left="818" w:right="0" w:hanging="360"/>
              <w:jc w:val="left"/>
              <w:rPr>
                <w:sz w:val="20"/>
              </w:rPr>
            </w:pPr>
            <w:r>
              <w:rPr>
                <w:sz w:val="20"/>
              </w:rPr>
              <w:t>Equilibradoras</w:t>
            </w:r>
          </w:p>
          <w:p>
            <w:pPr>
              <w:pStyle w:val="TableParagraph"/>
              <w:numPr>
                <w:ilvl w:val="0"/>
                <w:numId w:val="44"/>
              </w:numPr>
              <w:tabs>
                <w:tab w:pos="818" w:val="left" w:leader="none"/>
                <w:tab w:pos="819" w:val="left" w:leader="none"/>
              </w:tabs>
              <w:spacing w:line="240" w:lineRule="auto" w:before="0" w:after="0"/>
              <w:ind w:left="818" w:right="0" w:hanging="360"/>
              <w:jc w:val="left"/>
              <w:rPr>
                <w:sz w:val="20"/>
              </w:rPr>
            </w:pPr>
            <w:r>
              <w:rPr>
                <w:sz w:val="20"/>
              </w:rPr>
              <w:t>Abiertas o</w:t>
            </w:r>
            <w:r>
              <w:rPr>
                <w:spacing w:val="-7"/>
                <w:sz w:val="20"/>
              </w:rPr>
              <w:t> </w:t>
            </w:r>
            <w:r>
              <w:rPr>
                <w:sz w:val="20"/>
              </w:rPr>
              <w:t>cerradas</w:t>
            </w:r>
          </w:p>
        </w:tc>
      </w:tr>
      <w:tr>
        <w:trPr>
          <w:trHeight w:val="720" w:hRule="exact"/>
        </w:trPr>
        <w:tc>
          <w:tcPr>
            <w:tcW w:w="4162" w:type="dxa"/>
            <w:shd w:val="clear" w:color="auto" w:fill="C0C0C0"/>
          </w:tcPr>
          <w:p>
            <w:pPr>
              <w:pStyle w:val="TableParagraph"/>
              <w:spacing w:line="276" w:lineRule="auto"/>
              <w:ind w:left="98"/>
              <w:rPr>
                <w:b/>
                <w:sz w:val="20"/>
              </w:rPr>
            </w:pPr>
            <w:r>
              <w:rPr>
                <w:b/>
                <w:sz w:val="20"/>
              </w:rPr>
              <w:t>Según la capacidad impositiva de los receptores</w:t>
            </w:r>
          </w:p>
        </w:tc>
        <w:tc>
          <w:tcPr>
            <w:tcW w:w="4175" w:type="dxa"/>
            <w:shd w:val="clear" w:color="auto" w:fill="C0C0C0"/>
          </w:tcPr>
          <w:p>
            <w:pPr>
              <w:pStyle w:val="TableParagraph"/>
              <w:numPr>
                <w:ilvl w:val="0"/>
                <w:numId w:val="45"/>
              </w:numPr>
              <w:tabs>
                <w:tab w:pos="818" w:val="left" w:leader="none"/>
                <w:tab w:pos="819" w:val="left" w:leader="none"/>
              </w:tabs>
              <w:spacing w:line="227" w:lineRule="exact" w:before="0" w:after="0"/>
              <w:ind w:left="818" w:right="0" w:hanging="360"/>
              <w:jc w:val="left"/>
              <w:rPr>
                <w:sz w:val="20"/>
              </w:rPr>
            </w:pPr>
            <w:r>
              <w:rPr>
                <w:sz w:val="20"/>
              </w:rPr>
              <w:t>Equivalentes</w:t>
            </w:r>
          </w:p>
          <w:p>
            <w:pPr>
              <w:pStyle w:val="TableParagraph"/>
              <w:numPr>
                <w:ilvl w:val="0"/>
                <w:numId w:val="45"/>
              </w:numPr>
              <w:tabs>
                <w:tab w:pos="818" w:val="left" w:leader="none"/>
                <w:tab w:pos="819" w:val="left" w:leader="none"/>
              </w:tabs>
              <w:spacing w:line="240" w:lineRule="auto" w:before="0" w:after="0"/>
              <w:ind w:left="818" w:right="0" w:hanging="360"/>
              <w:jc w:val="left"/>
              <w:rPr>
                <w:sz w:val="20"/>
              </w:rPr>
            </w:pPr>
            <w:r>
              <w:rPr>
                <w:sz w:val="20"/>
              </w:rPr>
              <w:t>Diferenciales</w:t>
            </w:r>
          </w:p>
        </w:tc>
      </w:tr>
    </w:tbl>
    <w:p>
      <w:pPr>
        <w:spacing w:line="227" w:lineRule="exact" w:before="0"/>
        <w:ind w:left="378" w:right="3182" w:firstLine="0"/>
        <w:jc w:val="left"/>
        <w:rPr>
          <w:sz w:val="20"/>
        </w:rPr>
      </w:pPr>
      <w:r>
        <w:rPr>
          <w:b/>
          <w:sz w:val="20"/>
        </w:rPr>
        <w:t>Fuente</w:t>
      </w:r>
      <w:r>
        <w:rPr>
          <w:sz w:val="20"/>
        </w:rPr>
        <w:t>: Astudillo Moya, Marcela, 2009, pág. 56-57</w:t>
      </w:r>
    </w:p>
    <w:p>
      <w:pPr>
        <w:pStyle w:val="BodyText"/>
        <w:rPr>
          <w:sz w:val="20"/>
        </w:rPr>
      </w:pPr>
    </w:p>
    <w:p>
      <w:pPr>
        <w:pStyle w:val="BodyText"/>
        <w:rPr>
          <w:sz w:val="20"/>
        </w:rPr>
      </w:pPr>
    </w:p>
    <w:p>
      <w:pPr>
        <w:pStyle w:val="BodyText"/>
        <w:spacing w:before="8"/>
        <w:rPr>
          <w:sz w:val="27"/>
        </w:rPr>
      </w:pPr>
    </w:p>
    <w:p>
      <w:pPr>
        <w:pStyle w:val="BodyText"/>
        <w:spacing w:line="360" w:lineRule="auto"/>
        <w:ind w:left="102" w:right="119"/>
        <w:jc w:val="both"/>
      </w:pPr>
      <w:r>
        <w:rPr/>
        <w:t>De</w:t>
      </w:r>
      <w:r>
        <w:rPr>
          <w:spacing w:val="-14"/>
        </w:rPr>
        <w:t> </w:t>
      </w:r>
      <w:r>
        <w:rPr/>
        <w:t>esta</w:t>
      </w:r>
      <w:r>
        <w:rPr>
          <w:spacing w:val="-14"/>
        </w:rPr>
        <w:t> </w:t>
      </w:r>
      <w:r>
        <w:rPr/>
        <w:t>clasificación</w:t>
      </w:r>
      <w:r>
        <w:rPr>
          <w:spacing w:val="-16"/>
        </w:rPr>
        <w:t> </w:t>
      </w:r>
      <w:r>
        <w:rPr/>
        <w:t>las</w:t>
      </w:r>
      <w:r>
        <w:rPr>
          <w:spacing w:val="-15"/>
        </w:rPr>
        <w:t> </w:t>
      </w:r>
      <w:r>
        <w:rPr/>
        <w:t>que</w:t>
      </w:r>
      <w:r>
        <w:rPr>
          <w:spacing w:val="-14"/>
        </w:rPr>
        <w:t> </w:t>
      </w:r>
      <w:r>
        <w:rPr/>
        <w:t>interesan</w:t>
      </w:r>
      <w:r>
        <w:rPr>
          <w:spacing w:val="-14"/>
        </w:rPr>
        <w:t> </w:t>
      </w:r>
      <w:r>
        <w:rPr/>
        <w:t>son</w:t>
      </w:r>
      <w:r>
        <w:rPr>
          <w:spacing w:val="-16"/>
        </w:rPr>
        <w:t> </w:t>
      </w:r>
      <w:r>
        <w:rPr/>
        <w:t>las</w:t>
      </w:r>
      <w:r>
        <w:rPr>
          <w:spacing w:val="-17"/>
        </w:rPr>
        <w:t> </w:t>
      </w:r>
      <w:r>
        <w:rPr/>
        <w:t>transferencias</w:t>
      </w:r>
      <w:r>
        <w:rPr>
          <w:spacing w:val="-17"/>
        </w:rPr>
        <w:t> </w:t>
      </w:r>
      <w:r>
        <w:rPr/>
        <w:t>según</w:t>
      </w:r>
      <w:r>
        <w:rPr>
          <w:spacing w:val="-16"/>
        </w:rPr>
        <w:t> </w:t>
      </w:r>
      <w:r>
        <w:rPr/>
        <w:t>las</w:t>
      </w:r>
      <w:r>
        <w:rPr>
          <w:spacing w:val="-15"/>
        </w:rPr>
        <w:t> </w:t>
      </w:r>
      <w:r>
        <w:rPr/>
        <w:t>condiciones, las del gobierno otorgante y recipiente y según la intención distributiva, para entender la naturaleza de las aportaciones federales en</w:t>
      </w:r>
      <w:r>
        <w:rPr>
          <w:spacing w:val="-26"/>
        </w:rPr>
        <w:t> </w:t>
      </w:r>
      <w:r>
        <w:rPr/>
        <w:t>México.</w:t>
      </w:r>
    </w:p>
    <w:p>
      <w:pPr>
        <w:pStyle w:val="BodyText"/>
        <w:spacing w:before="3"/>
        <w:rPr>
          <w:sz w:val="21"/>
        </w:rPr>
      </w:pPr>
    </w:p>
    <w:p>
      <w:pPr>
        <w:pStyle w:val="BodyText"/>
        <w:spacing w:line="360" w:lineRule="auto"/>
        <w:ind w:left="102" w:right="115"/>
        <w:jc w:val="both"/>
      </w:pPr>
      <w:r>
        <w:rPr/>
        <w:t>Siguiendo con la clasificación que realiza Astudillo Moya (2009). Se observa desde un punto de vista del destino de los fondos, las transferencias pueden ser condicionales o incondicionales. En el primer caso el gobierno otorgante define los fines para los que el receptor tiene que utilizar los fondos. Las desventajas de éste es que son un obstáculo para tomar en cuenta las necesidades particulares de</w:t>
      </w:r>
      <w:r>
        <w:rPr>
          <w:spacing w:val="-39"/>
        </w:rPr>
        <w:t> </w:t>
      </w:r>
      <w:r>
        <w:rPr/>
        <w:t>que quien</w:t>
      </w:r>
      <w:r>
        <w:rPr>
          <w:spacing w:val="-7"/>
        </w:rPr>
        <w:t> </w:t>
      </w:r>
      <w:r>
        <w:rPr/>
        <w:t>recibe</w:t>
      </w:r>
      <w:r>
        <w:rPr>
          <w:spacing w:val="-7"/>
        </w:rPr>
        <w:t> </w:t>
      </w:r>
      <w:r>
        <w:rPr/>
        <w:t>este</w:t>
      </w:r>
      <w:r>
        <w:rPr>
          <w:spacing w:val="-9"/>
        </w:rPr>
        <w:t> </w:t>
      </w:r>
      <w:r>
        <w:rPr/>
        <w:t>tipo</w:t>
      </w:r>
      <w:r>
        <w:rPr>
          <w:spacing w:val="-12"/>
        </w:rPr>
        <w:t> </w:t>
      </w:r>
      <w:r>
        <w:rPr/>
        <w:t>de</w:t>
      </w:r>
      <w:r>
        <w:rPr>
          <w:spacing w:val="-9"/>
        </w:rPr>
        <w:t> </w:t>
      </w:r>
      <w:r>
        <w:rPr/>
        <w:t>transferencias,</w:t>
      </w:r>
      <w:r>
        <w:rPr>
          <w:spacing w:val="-9"/>
        </w:rPr>
        <w:t> </w:t>
      </w:r>
      <w:r>
        <w:rPr/>
        <w:t>dando</w:t>
      </w:r>
      <w:r>
        <w:rPr>
          <w:spacing w:val="-7"/>
        </w:rPr>
        <w:t> </w:t>
      </w:r>
      <w:r>
        <w:rPr/>
        <w:t>lugar</w:t>
      </w:r>
      <w:r>
        <w:rPr>
          <w:spacing w:val="-8"/>
        </w:rPr>
        <w:t> </w:t>
      </w:r>
      <w:r>
        <w:rPr/>
        <w:t>a</w:t>
      </w:r>
      <w:r>
        <w:rPr>
          <w:spacing w:val="-9"/>
        </w:rPr>
        <w:t> </w:t>
      </w:r>
      <w:r>
        <w:rPr/>
        <w:t>que</w:t>
      </w:r>
      <w:r>
        <w:rPr>
          <w:spacing w:val="-9"/>
        </w:rPr>
        <w:t> </w:t>
      </w:r>
      <w:r>
        <w:rPr/>
        <w:t>el</w:t>
      </w:r>
      <w:r>
        <w:rPr>
          <w:spacing w:val="-8"/>
        </w:rPr>
        <w:t> </w:t>
      </w:r>
      <w:r>
        <w:rPr/>
        <w:t>otorgante</w:t>
      </w:r>
      <w:r>
        <w:rPr>
          <w:spacing w:val="-9"/>
        </w:rPr>
        <w:t> </w:t>
      </w:r>
      <w:r>
        <w:rPr/>
        <w:t>casi</w:t>
      </w:r>
      <w:r>
        <w:rPr>
          <w:spacing w:val="-11"/>
        </w:rPr>
        <w:t> </w:t>
      </w:r>
      <w:r>
        <w:rPr/>
        <w:t>elimine la libertad e independencia fiscal de quien recibe el beneficio. Para el caso de las transferencias incondicionadas el nivel gubernamental que la concede no señala</w:t>
      </w:r>
      <w:r>
        <w:rPr>
          <w:spacing w:val="-27"/>
        </w:rPr>
        <w:t> </w:t>
      </w:r>
      <w:r>
        <w:rPr/>
        <w:t>el</w:t>
      </w:r>
    </w:p>
    <w:p>
      <w:pPr>
        <w:spacing w:after="0" w:line="360" w:lineRule="auto"/>
        <w:jc w:val="both"/>
        <w:sectPr>
          <w:pgSz w:w="12240" w:h="15840"/>
          <w:pgMar w:header="0" w:footer="992" w:top="1360" w:bottom="1180" w:left="1600" w:right="1580"/>
        </w:sectPr>
      </w:pPr>
    </w:p>
    <w:p>
      <w:pPr>
        <w:pStyle w:val="BodyText"/>
        <w:spacing w:line="362" w:lineRule="auto" w:before="54"/>
        <w:ind w:left="102" w:right="122"/>
        <w:jc w:val="both"/>
      </w:pPr>
      <w:r>
        <w:rPr/>
        <w:t>destino</w:t>
      </w:r>
      <w:r>
        <w:rPr>
          <w:spacing w:val="-6"/>
        </w:rPr>
        <w:t> </w:t>
      </w:r>
      <w:r>
        <w:rPr/>
        <w:t>de</w:t>
      </w:r>
      <w:r>
        <w:rPr>
          <w:spacing w:val="-6"/>
        </w:rPr>
        <w:t> </w:t>
      </w:r>
      <w:r>
        <w:rPr/>
        <w:t>los</w:t>
      </w:r>
      <w:r>
        <w:rPr>
          <w:spacing w:val="-6"/>
        </w:rPr>
        <w:t> </w:t>
      </w:r>
      <w:r>
        <w:rPr/>
        <w:t>fondos,</w:t>
      </w:r>
      <w:r>
        <w:rPr>
          <w:spacing w:val="-9"/>
        </w:rPr>
        <w:t> </w:t>
      </w:r>
      <w:r>
        <w:rPr/>
        <w:t>por</w:t>
      </w:r>
      <w:r>
        <w:rPr>
          <w:spacing w:val="-5"/>
        </w:rPr>
        <w:t> </w:t>
      </w:r>
      <w:r>
        <w:rPr/>
        <w:t>lo</w:t>
      </w:r>
      <w:r>
        <w:rPr>
          <w:spacing w:val="-6"/>
        </w:rPr>
        <w:t> </w:t>
      </w:r>
      <w:r>
        <w:rPr/>
        <w:t>que</w:t>
      </w:r>
      <w:r>
        <w:rPr>
          <w:spacing w:val="-6"/>
        </w:rPr>
        <w:t> </w:t>
      </w:r>
      <w:r>
        <w:rPr/>
        <w:t>el</w:t>
      </w:r>
      <w:r>
        <w:rPr>
          <w:spacing w:val="-5"/>
        </w:rPr>
        <w:t> </w:t>
      </w:r>
      <w:r>
        <w:rPr/>
        <w:t>gobierno</w:t>
      </w:r>
      <w:r>
        <w:rPr>
          <w:spacing w:val="-6"/>
        </w:rPr>
        <w:t> </w:t>
      </w:r>
      <w:r>
        <w:rPr/>
        <w:t>receptor</w:t>
      </w:r>
      <w:r>
        <w:rPr>
          <w:spacing w:val="-5"/>
        </w:rPr>
        <w:t> </w:t>
      </w:r>
      <w:r>
        <w:rPr/>
        <w:t>tiene</w:t>
      </w:r>
      <w:r>
        <w:rPr>
          <w:spacing w:val="-6"/>
        </w:rPr>
        <w:t> </w:t>
      </w:r>
      <w:r>
        <w:rPr/>
        <w:t>la</w:t>
      </w:r>
      <w:r>
        <w:rPr>
          <w:spacing w:val="-6"/>
        </w:rPr>
        <w:t> </w:t>
      </w:r>
      <w:r>
        <w:rPr/>
        <w:t>absoluta</w:t>
      </w:r>
      <w:r>
        <w:rPr>
          <w:spacing w:val="-4"/>
        </w:rPr>
        <w:t> </w:t>
      </w:r>
      <w:r>
        <w:rPr/>
        <w:t>libertad</w:t>
      </w:r>
      <w:r>
        <w:rPr>
          <w:spacing w:val="-6"/>
        </w:rPr>
        <w:t> </w:t>
      </w:r>
      <w:r>
        <w:rPr/>
        <w:t>para emplearlos según sus</w:t>
      </w:r>
      <w:r>
        <w:rPr>
          <w:spacing w:val="-13"/>
        </w:rPr>
        <w:t> </w:t>
      </w:r>
      <w:r>
        <w:rPr/>
        <w:t>prioridades.</w:t>
      </w:r>
    </w:p>
    <w:p>
      <w:pPr>
        <w:pStyle w:val="BodyText"/>
        <w:spacing w:before="10"/>
        <w:rPr>
          <w:sz w:val="20"/>
        </w:rPr>
      </w:pPr>
    </w:p>
    <w:p>
      <w:pPr>
        <w:pStyle w:val="BodyText"/>
        <w:spacing w:line="360" w:lineRule="auto"/>
        <w:ind w:left="102" w:right="118"/>
        <w:jc w:val="both"/>
      </w:pPr>
      <w:r>
        <w:rPr/>
        <w:t>En</w:t>
      </w:r>
      <w:r>
        <w:rPr>
          <w:spacing w:val="-6"/>
        </w:rPr>
        <w:t> </w:t>
      </w:r>
      <w:r>
        <w:rPr/>
        <w:t>cuanto</w:t>
      </w:r>
      <w:r>
        <w:rPr>
          <w:spacing w:val="-6"/>
        </w:rPr>
        <w:t> </w:t>
      </w:r>
      <w:r>
        <w:rPr/>
        <w:t>a</w:t>
      </w:r>
      <w:r>
        <w:rPr>
          <w:spacing w:val="-6"/>
        </w:rPr>
        <w:t> </w:t>
      </w:r>
      <w:r>
        <w:rPr/>
        <w:t>la</w:t>
      </w:r>
      <w:r>
        <w:rPr>
          <w:spacing w:val="-6"/>
        </w:rPr>
        <w:t> </w:t>
      </w:r>
      <w:r>
        <w:rPr/>
        <w:t>intención</w:t>
      </w:r>
      <w:r>
        <w:rPr>
          <w:spacing w:val="-6"/>
        </w:rPr>
        <w:t> </w:t>
      </w:r>
      <w:r>
        <w:rPr/>
        <w:t>distributiva,</w:t>
      </w:r>
      <w:r>
        <w:rPr>
          <w:spacing w:val="-6"/>
        </w:rPr>
        <w:t> </w:t>
      </w:r>
      <w:r>
        <w:rPr/>
        <w:t>son</w:t>
      </w:r>
      <w:r>
        <w:rPr>
          <w:spacing w:val="-6"/>
        </w:rPr>
        <w:t> </w:t>
      </w:r>
      <w:r>
        <w:rPr/>
        <w:t>de</w:t>
      </w:r>
      <w:r>
        <w:rPr>
          <w:spacing w:val="-6"/>
        </w:rPr>
        <w:t> </w:t>
      </w:r>
      <w:r>
        <w:rPr/>
        <w:t>corte</w:t>
      </w:r>
      <w:r>
        <w:rPr>
          <w:spacing w:val="-6"/>
        </w:rPr>
        <w:t> </w:t>
      </w:r>
      <w:r>
        <w:rPr/>
        <w:t>igualadoras</w:t>
      </w:r>
      <w:r>
        <w:rPr>
          <w:spacing w:val="-7"/>
        </w:rPr>
        <w:t> </w:t>
      </w:r>
      <w:r>
        <w:rPr/>
        <w:t>y</w:t>
      </w:r>
      <w:r>
        <w:rPr>
          <w:spacing w:val="-9"/>
        </w:rPr>
        <w:t> </w:t>
      </w:r>
      <w:r>
        <w:rPr/>
        <w:t>no</w:t>
      </w:r>
      <w:r>
        <w:rPr>
          <w:spacing w:val="-6"/>
        </w:rPr>
        <w:t> </w:t>
      </w:r>
      <w:r>
        <w:rPr/>
        <w:t>igualadoras.</w:t>
      </w:r>
      <w:r>
        <w:rPr>
          <w:spacing w:val="-6"/>
        </w:rPr>
        <w:t> </w:t>
      </w:r>
      <w:r>
        <w:rPr/>
        <w:t>Las primeras se otorgan de acuerdo al nivel de pobreza de la población receptora y en las segundas son en relación al monto de los impuestos</w:t>
      </w:r>
      <w:r>
        <w:rPr>
          <w:spacing w:val="-29"/>
        </w:rPr>
        <w:t> </w:t>
      </w:r>
      <w:r>
        <w:rPr/>
        <w:t>recaudados.</w:t>
      </w:r>
    </w:p>
    <w:p>
      <w:pPr>
        <w:pStyle w:val="BodyText"/>
        <w:spacing w:before="3"/>
        <w:rPr>
          <w:sz w:val="21"/>
        </w:rPr>
      </w:pPr>
    </w:p>
    <w:p>
      <w:pPr>
        <w:pStyle w:val="Heading2"/>
      </w:pPr>
      <w:r>
        <w:rPr/>
        <w:t>Caso de México (Transferencias del gobierno central)</w:t>
      </w:r>
    </w:p>
    <w:p>
      <w:pPr>
        <w:pStyle w:val="BodyText"/>
        <w:spacing w:before="8"/>
        <w:rPr>
          <w:b/>
          <w:sz w:val="32"/>
        </w:rPr>
      </w:pPr>
    </w:p>
    <w:p>
      <w:pPr>
        <w:pStyle w:val="BodyText"/>
        <w:spacing w:line="360" w:lineRule="auto" w:before="1"/>
        <w:ind w:left="102" w:right="115"/>
        <w:jc w:val="both"/>
      </w:pPr>
      <w:r>
        <w:rPr/>
        <w:t>Este arreglo institucional de transferencias donde el gobierno federal recibe los ingresos pero el gasto es realizado por los gobiernos municipales, implica un desfase de los ingresos en relación con las necesidades crecientes de gasto municipal.</w:t>
      </w:r>
      <w:r>
        <w:rPr>
          <w:spacing w:val="-16"/>
        </w:rPr>
        <w:t> </w:t>
      </w:r>
      <w:r>
        <w:rPr/>
        <w:t>A</w:t>
      </w:r>
      <w:r>
        <w:rPr>
          <w:spacing w:val="-18"/>
        </w:rPr>
        <w:t> </w:t>
      </w:r>
      <w:r>
        <w:rPr/>
        <w:t>este</w:t>
      </w:r>
      <w:r>
        <w:rPr>
          <w:spacing w:val="-18"/>
        </w:rPr>
        <w:t> </w:t>
      </w:r>
      <w:r>
        <w:rPr/>
        <w:t>desfase</w:t>
      </w:r>
      <w:r>
        <w:rPr>
          <w:spacing w:val="-16"/>
        </w:rPr>
        <w:t> </w:t>
      </w:r>
      <w:r>
        <w:rPr/>
        <w:t>se</w:t>
      </w:r>
      <w:r>
        <w:rPr>
          <w:spacing w:val="-16"/>
        </w:rPr>
        <w:t> </w:t>
      </w:r>
      <w:r>
        <w:rPr/>
        <w:t>le</w:t>
      </w:r>
      <w:r>
        <w:rPr>
          <w:spacing w:val="-16"/>
        </w:rPr>
        <w:t> </w:t>
      </w:r>
      <w:r>
        <w:rPr/>
        <w:t>conoce</w:t>
      </w:r>
      <w:r>
        <w:rPr>
          <w:spacing w:val="-16"/>
        </w:rPr>
        <w:t> </w:t>
      </w:r>
      <w:r>
        <w:rPr/>
        <w:t>como</w:t>
      </w:r>
      <w:r>
        <w:rPr>
          <w:spacing w:val="-16"/>
        </w:rPr>
        <w:t> </w:t>
      </w:r>
      <w:r>
        <w:rPr/>
        <w:t>dependencia</w:t>
      </w:r>
      <w:r>
        <w:rPr>
          <w:spacing w:val="-16"/>
        </w:rPr>
        <w:t> </w:t>
      </w:r>
      <w:r>
        <w:rPr/>
        <w:t>financiera;</w:t>
      </w:r>
      <w:r>
        <w:rPr>
          <w:spacing w:val="-17"/>
        </w:rPr>
        <w:t> </w:t>
      </w:r>
      <w:r>
        <w:rPr/>
        <w:t>los</w:t>
      </w:r>
      <w:r>
        <w:rPr>
          <w:spacing w:val="-16"/>
        </w:rPr>
        <w:t> </w:t>
      </w:r>
      <w:r>
        <w:rPr/>
        <w:t>municipios dependen de las transferencias que le otorga el gobierno federal para llevar a</w:t>
      </w:r>
      <w:r>
        <w:rPr>
          <w:spacing w:val="-42"/>
        </w:rPr>
        <w:t> </w:t>
      </w:r>
      <w:r>
        <w:rPr/>
        <w:t>cabo la mayor parte de sus</w:t>
      </w:r>
      <w:r>
        <w:rPr>
          <w:spacing w:val="-11"/>
        </w:rPr>
        <w:t> </w:t>
      </w:r>
      <w:r>
        <w:rPr/>
        <w:t>funciones.</w:t>
      </w:r>
    </w:p>
    <w:p>
      <w:pPr>
        <w:pStyle w:val="BodyText"/>
        <w:spacing w:before="1"/>
        <w:rPr>
          <w:sz w:val="21"/>
        </w:rPr>
      </w:pPr>
    </w:p>
    <w:p>
      <w:pPr>
        <w:pStyle w:val="BodyText"/>
        <w:spacing w:line="360" w:lineRule="auto"/>
        <w:ind w:left="102" w:right="116"/>
        <w:jc w:val="both"/>
      </w:pPr>
      <w:r>
        <w:rPr/>
        <w:t>Por</w:t>
      </w:r>
      <w:r>
        <w:rPr>
          <w:spacing w:val="-12"/>
        </w:rPr>
        <w:t> </w:t>
      </w:r>
      <w:r>
        <w:rPr/>
        <w:t>lo</w:t>
      </w:r>
      <w:r>
        <w:rPr>
          <w:spacing w:val="-13"/>
        </w:rPr>
        <w:t> </w:t>
      </w:r>
      <w:r>
        <w:rPr/>
        <w:t>tanto</w:t>
      </w:r>
      <w:r>
        <w:rPr>
          <w:spacing w:val="-13"/>
        </w:rPr>
        <w:t> </w:t>
      </w:r>
      <w:r>
        <w:rPr/>
        <w:t>en</w:t>
      </w:r>
      <w:r>
        <w:rPr>
          <w:spacing w:val="-13"/>
        </w:rPr>
        <w:t> </w:t>
      </w:r>
      <w:r>
        <w:rPr/>
        <w:t>México,</w:t>
      </w:r>
      <w:r>
        <w:rPr>
          <w:spacing w:val="-11"/>
        </w:rPr>
        <w:t> </w:t>
      </w:r>
      <w:r>
        <w:rPr/>
        <w:t>una</w:t>
      </w:r>
      <w:r>
        <w:rPr>
          <w:spacing w:val="-13"/>
        </w:rPr>
        <w:t> </w:t>
      </w:r>
      <w:r>
        <w:rPr/>
        <w:t>manera</w:t>
      </w:r>
      <w:r>
        <w:rPr>
          <w:spacing w:val="-14"/>
        </w:rPr>
        <w:t> </w:t>
      </w:r>
      <w:r>
        <w:rPr/>
        <w:t>de</w:t>
      </w:r>
      <w:r>
        <w:rPr>
          <w:spacing w:val="-13"/>
        </w:rPr>
        <w:t> </w:t>
      </w:r>
      <w:r>
        <w:rPr/>
        <w:t>superar</w:t>
      </w:r>
      <w:r>
        <w:rPr>
          <w:spacing w:val="-12"/>
        </w:rPr>
        <w:t> </w:t>
      </w:r>
      <w:r>
        <w:rPr/>
        <w:t>este</w:t>
      </w:r>
      <w:r>
        <w:rPr>
          <w:spacing w:val="-13"/>
        </w:rPr>
        <w:t> </w:t>
      </w:r>
      <w:r>
        <w:rPr/>
        <w:t>desfase</w:t>
      </w:r>
      <w:r>
        <w:rPr>
          <w:spacing w:val="-13"/>
        </w:rPr>
        <w:t> </w:t>
      </w:r>
      <w:r>
        <w:rPr/>
        <w:t>de</w:t>
      </w:r>
      <w:r>
        <w:rPr>
          <w:spacing w:val="-11"/>
        </w:rPr>
        <w:t> </w:t>
      </w:r>
      <w:r>
        <w:rPr/>
        <w:t>ingresos</w:t>
      </w:r>
      <w:r>
        <w:rPr>
          <w:spacing w:val="-12"/>
        </w:rPr>
        <w:t> </w:t>
      </w:r>
      <w:r>
        <w:rPr/>
        <w:t>es</w:t>
      </w:r>
      <w:r>
        <w:rPr>
          <w:spacing w:val="-14"/>
        </w:rPr>
        <w:t> </w:t>
      </w:r>
      <w:r>
        <w:rPr/>
        <w:t>a</w:t>
      </w:r>
      <w:r>
        <w:rPr>
          <w:spacing w:val="-13"/>
        </w:rPr>
        <w:t> </w:t>
      </w:r>
      <w:r>
        <w:rPr/>
        <w:t>través del sistema de transferencias, las cuales se dividen en dos tipos: condicionadas y no condicionadas; las primeras son recursos que envía el gobierno central a los gobiernos municipales, con la condición de ser utilizados en rubros regulados por normas</w:t>
      </w:r>
      <w:r>
        <w:rPr>
          <w:spacing w:val="-7"/>
        </w:rPr>
        <w:t> </w:t>
      </w:r>
      <w:r>
        <w:rPr/>
        <w:t>de</w:t>
      </w:r>
      <w:r>
        <w:rPr>
          <w:spacing w:val="-8"/>
        </w:rPr>
        <w:t> </w:t>
      </w:r>
      <w:r>
        <w:rPr/>
        <w:t>carácter</w:t>
      </w:r>
      <w:r>
        <w:rPr>
          <w:spacing w:val="-7"/>
        </w:rPr>
        <w:t> </w:t>
      </w:r>
      <w:r>
        <w:rPr/>
        <w:t>general.</w:t>
      </w:r>
      <w:r>
        <w:rPr>
          <w:spacing w:val="-7"/>
        </w:rPr>
        <w:t> </w:t>
      </w:r>
      <w:r>
        <w:rPr/>
        <w:t>En</w:t>
      </w:r>
      <w:r>
        <w:rPr>
          <w:spacing w:val="-6"/>
        </w:rPr>
        <w:t> </w:t>
      </w:r>
      <w:r>
        <w:rPr/>
        <w:t>México,</w:t>
      </w:r>
      <w:r>
        <w:rPr>
          <w:spacing w:val="-6"/>
        </w:rPr>
        <w:t> </w:t>
      </w:r>
      <w:r>
        <w:rPr/>
        <w:t>estos</w:t>
      </w:r>
      <w:r>
        <w:rPr>
          <w:spacing w:val="-7"/>
        </w:rPr>
        <w:t> </w:t>
      </w:r>
      <w:r>
        <w:rPr/>
        <w:t>se</w:t>
      </w:r>
      <w:r>
        <w:rPr>
          <w:spacing w:val="-6"/>
        </w:rPr>
        <w:t> </w:t>
      </w:r>
      <w:r>
        <w:rPr/>
        <w:t>manejaron</w:t>
      </w:r>
      <w:r>
        <w:rPr>
          <w:spacing w:val="-8"/>
        </w:rPr>
        <w:t> </w:t>
      </w:r>
      <w:r>
        <w:rPr/>
        <w:t>en</w:t>
      </w:r>
      <w:r>
        <w:rPr>
          <w:spacing w:val="-8"/>
        </w:rPr>
        <w:t> </w:t>
      </w:r>
      <w:r>
        <w:rPr/>
        <w:t>el</w:t>
      </w:r>
      <w:r>
        <w:rPr>
          <w:spacing w:val="-7"/>
        </w:rPr>
        <w:t> </w:t>
      </w:r>
      <w:r>
        <w:rPr/>
        <w:t>pasado con</w:t>
      </w:r>
      <w:r>
        <w:rPr>
          <w:spacing w:val="-8"/>
        </w:rPr>
        <w:t> </w:t>
      </w:r>
      <w:r>
        <w:rPr/>
        <w:t>base en convenios entre la federación y los estados, pero a partir de 1998 se conocen como </w:t>
      </w:r>
      <w:r>
        <w:rPr>
          <w:b/>
        </w:rPr>
        <w:t>“aportaciones” </w:t>
      </w:r>
      <w:r>
        <w:rPr/>
        <w:t>de la federación y se destinan al gasto municipal en salud, seguridad pública, educación entre otros. “En cuanto a las transferencias no condicionadas son las que reciben los gobiernos municipales para gastarlas discrecionalmente. En México estas transferencias se denominan </w:t>
      </w:r>
      <w:r>
        <w:rPr>
          <w:b/>
        </w:rPr>
        <w:t>“participaciones”,</w:t>
      </w:r>
      <w:r>
        <w:rPr>
          <w:b/>
          <w:spacing w:val="-15"/>
        </w:rPr>
        <w:t> </w:t>
      </w:r>
      <w:r>
        <w:rPr/>
        <w:t>y</w:t>
      </w:r>
      <w:r>
        <w:rPr>
          <w:spacing w:val="-17"/>
        </w:rPr>
        <w:t> </w:t>
      </w:r>
      <w:r>
        <w:rPr/>
        <w:t>surgieron</w:t>
      </w:r>
      <w:r>
        <w:rPr>
          <w:spacing w:val="-15"/>
        </w:rPr>
        <w:t> </w:t>
      </w:r>
      <w:r>
        <w:rPr/>
        <w:t>en</w:t>
      </w:r>
      <w:r>
        <w:rPr>
          <w:spacing w:val="-16"/>
        </w:rPr>
        <w:t> </w:t>
      </w:r>
      <w:r>
        <w:rPr/>
        <w:t>1980</w:t>
      </w:r>
      <w:r>
        <w:rPr>
          <w:spacing w:val="-16"/>
        </w:rPr>
        <w:t> </w:t>
      </w:r>
      <w:r>
        <w:rPr/>
        <w:t>para</w:t>
      </w:r>
      <w:r>
        <w:rPr>
          <w:spacing w:val="-17"/>
        </w:rPr>
        <w:t> </w:t>
      </w:r>
      <w:r>
        <w:rPr/>
        <w:t>compensar</w:t>
      </w:r>
      <w:r>
        <w:rPr>
          <w:spacing w:val="-16"/>
        </w:rPr>
        <w:t> </w:t>
      </w:r>
      <w:r>
        <w:rPr/>
        <w:t>los</w:t>
      </w:r>
      <w:r>
        <w:rPr>
          <w:spacing w:val="-15"/>
        </w:rPr>
        <w:t> </w:t>
      </w:r>
      <w:r>
        <w:rPr/>
        <w:t>recursos</w:t>
      </w:r>
      <w:r>
        <w:rPr>
          <w:spacing w:val="-16"/>
        </w:rPr>
        <w:t> </w:t>
      </w:r>
      <w:r>
        <w:rPr/>
        <w:t>que</w:t>
      </w:r>
      <w:r>
        <w:rPr>
          <w:spacing w:val="-15"/>
        </w:rPr>
        <w:t> </w:t>
      </w:r>
      <w:r>
        <w:rPr/>
        <w:t>perdieron los estados al adherirse a la Ley de Coordinación Fiscal” (Ibarra,</w:t>
      </w:r>
      <w:r>
        <w:rPr>
          <w:spacing w:val="-19"/>
        </w:rPr>
        <w:t> </w:t>
      </w:r>
      <w:r>
        <w:rPr/>
        <w:t>2010).</w:t>
      </w:r>
    </w:p>
    <w:p>
      <w:pPr>
        <w:pStyle w:val="BodyText"/>
        <w:spacing w:before="1"/>
        <w:rPr>
          <w:sz w:val="21"/>
        </w:rPr>
      </w:pPr>
    </w:p>
    <w:p>
      <w:pPr>
        <w:pStyle w:val="Heading2"/>
      </w:pPr>
      <w:r>
        <w:rPr/>
        <w:t>¿Qué son las aportaciones?</w:t>
      </w:r>
    </w:p>
    <w:p>
      <w:pPr>
        <w:pStyle w:val="BodyText"/>
        <w:spacing w:before="11"/>
        <w:rPr>
          <w:b/>
          <w:sz w:val="32"/>
        </w:rPr>
      </w:pPr>
    </w:p>
    <w:p>
      <w:pPr>
        <w:pStyle w:val="BodyText"/>
        <w:spacing w:line="360" w:lineRule="auto"/>
        <w:ind w:left="102" w:right="116"/>
        <w:jc w:val="both"/>
      </w:pPr>
      <w:r>
        <w:rPr/>
        <w:t>Las</w:t>
      </w:r>
      <w:r>
        <w:rPr>
          <w:spacing w:val="-19"/>
        </w:rPr>
        <w:t> </w:t>
      </w:r>
      <w:r>
        <w:rPr/>
        <w:t>aportaciones</w:t>
      </w:r>
      <w:r>
        <w:rPr>
          <w:spacing w:val="-19"/>
        </w:rPr>
        <w:t> </w:t>
      </w:r>
      <w:r>
        <w:rPr/>
        <w:t>federales</w:t>
      </w:r>
      <w:r>
        <w:rPr>
          <w:spacing w:val="-16"/>
        </w:rPr>
        <w:t> </w:t>
      </w:r>
      <w:r>
        <w:rPr/>
        <w:t>(ramo</w:t>
      </w:r>
      <w:r>
        <w:rPr>
          <w:spacing w:val="-18"/>
        </w:rPr>
        <w:t> </w:t>
      </w:r>
      <w:r>
        <w:rPr/>
        <w:t>33)</w:t>
      </w:r>
      <w:r>
        <w:rPr>
          <w:spacing w:val="-19"/>
        </w:rPr>
        <w:t> </w:t>
      </w:r>
      <w:r>
        <w:rPr/>
        <w:t>son</w:t>
      </w:r>
      <w:r>
        <w:rPr>
          <w:spacing w:val="-18"/>
        </w:rPr>
        <w:t> </w:t>
      </w:r>
      <w:r>
        <w:rPr/>
        <w:t>una</w:t>
      </w:r>
      <w:r>
        <w:rPr>
          <w:spacing w:val="-18"/>
        </w:rPr>
        <w:t> </w:t>
      </w:r>
      <w:r>
        <w:rPr/>
        <w:t>asignación</w:t>
      </w:r>
      <w:r>
        <w:rPr>
          <w:spacing w:val="-17"/>
        </w:rPr>
        <w:t> </w:t>
      </w:r>
      <w:r>
        <w:rPr/>
        <w:t>prevista</w:t>
      </w:r>
      <w:r>
        <w:rPr>
          <w:spacing w:val="-18"/>
        </w:rPr>
        <w:t> </w:t>
      </w:r>
      <w:r>
        <w:rPr/>
        <w:t>en</w:t>
      </w:r>
      <w:r>
        <w:rPr>
          <w:spacing w:val="-18"/>
        </w:rPr>
        <w:t> </w:t>
      </w:r>
      <w:r>
        <w:rPr/>
        <w:t>el</w:t>
      </w:r>
      <w:r>
        <w:rPr>
          <w:spacing w:val="-19"/>
        </w:rPr>
        <w:t> </w:t>
      </w:r>
      <w:r>
        <w:rPr/>
        <w:t>presupuesto de egresos de la Federación, que se transfiere a las haciendas de los estados y de éstas a los municipios, para que se utilicen en la consecución de los objetivos </w:t>
      </w:r>
      <w:r>
        <w:rPr>
          <w:spacing w:val="2"/>
        </w:rPr>
        <w:t> </w:t>
      </w:r>
      <w:r>
        <w:rPr/>
        <w:t>que</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fija la Ley de Coordinación Fiscal. Actualmente las aportaciones federales se integran por ocho fondos de los cuales sólo interesan los que son destinados a los gobiernos municipales y de los que más adelante se abordara el tema. Las aportaciones</w:t>
      </w:r>
      <w:r>
        <w:rPr>
          <w:spacing w:val="-7"/>
        </w:rPr>
        <w:t> </w:t>
      </w:r>
      <w:r>
        <w:rPr/>
        <w:t>“son</w:t>
      </w:r>
      <w:r>
        <w:rPr>
          <w:spacing w:val="-6"/>
        </w:rPr>
        <w:t> </w:t>
      </w:r>
      <w:r>
        <w:rPr/>
        <w:t>recursos</w:t>
      </w:r>
      <w:r>
        <w:rPr>
          <w:spacing w:val="-7"/>
        </w:rPr>
        <w:t> </w:t>
      </w:r>
      <w:r>
        <w:rPr/>
        <w:t>que</w:t>
      </w:r>
      <w:r>
        <w:rPr>
          <w:spacing w:val="-6"/>
        </w:rPr>
        <w:t> </w:t>
      </w:r>
      <w:r>
        <w:rPr/>
        <w:t>la</w:t>
      </w:r>
      <w:r>
        <w:rPr>
          <w:spacing w:val="-9"/>
        </w:rPr>
        <w:t> </w:t>
      </w:r>
      <w:r>
        <w:rPr/>
        <w:t>federación</w:t>
      </w:r>
      <w:r>
        <w:rPr>
          <w:spacing w:val="-8"/>
        </w:rPr>
        <w:t> </w:t>
      </w:r>
      <w:r>
        <w:rPr/>
        <w:t>transfiere</w:t>
      </w:r>
      <w:r>
        <w:rPr>
          <w:spacing w:val="-9"/>
        </w:rPr>
        <w:t> </w:t>
      </w:r>
      <w:r>
        <w:rPr/>
        <w:t>a</w:t>
      </w:r>
      <w:r>
        <w:rPr>
          <w:spacing w:val="-6"/>
        </w:rPr>
        <w:t> </w:t>
      </w:r>
      <w:r>
        <w:rPr/>
        <w:t>las</w:t>
      </w:r>
      <w:r>
        <w:rPr>
          <w:spacing w:val="-6"/>
        </w:rPr>
        <w:t> </w:t>
      </w:r>
      <w:r>
        <w:rPr/>
        <w:t>haciendas</w:t>
      </w:r>
      <w:r>
        <w:rPr>
          <w:spacing w:val="-7"/>
        </w:rPr>
        <w:t> </w:t>
      </w:r>
      <w:r>
        <w:rPr/>
        <w:t>públicas</w:t>
      </w:r>
      <w:r>
        <w:rPr>
          <w:spacing w:val="-9"/>
        </w:rPr>
        <w:t> </w:t>
      </w:r>
      <w:r>
        <w:rPr/>
        <w:t>de los estados y municipios, condicionando su gasto a la consecución y cumplimiento de los objetivos que establece la Ley de Coordinación Fiscal” (Ibarra,</w:t>
      </w:r>
      <w:r>
        <w:rPr>
          <w:spacing w:val="-21"/>
        </w:rPr>
        <w:t> </w:t>
      </w:r>
      <w:r>
        <w:rPr/>
        <w:t>2010).</w:t>
      </w:r>
    </w:p>
    <w:p>
      <w:pPr>
        <w:pStyle w:val="BodyText"/>
      </w:pPr>
    </w:p>
    <w:p>
      <w:pPr>
        <w:pStyle w:val="BodyText"/>
      </w:pPr>
    </w:p>
    <w:p>
      <w:pPr>
        <w:pStyle w:val="Heading1"/>
        <w:numPr>
          <w:ilvl w:val="3"/>
          <w:numId w:val="46"/>
        </w:numPr>
        <w:tabs>
          <w:tab w:pos="1455" w:val="left" w:leader="none"/>
        </w:tabs>
        <w:spacing w:line="240" w:lineRule="auto" w:before="169" w:after="0"/>
        <w:ind w:left="627" w:right="535" w:hanging="108"/>
        <w:jc w:val="left"/>
      </w:pPr>
      <w:r>
        <w:rPr/>
        <w:t>Fondo de Aportaciones para la Infraestructura Social Municipal y de las Demarcaciones Territoriales del</w:t>
      </w:r>
      <w:r>
        <w:rPr>
          <w:spacing w:val="-24"/>
        </w:rPr>
        <w:t> </w:t>
      </w:r>
      <w:r>
        <w:rPr/>
        <w:t>Distrito</w:t>
      </w:r>
    </w:p>
    <w:p>
      <w:pPr>
        <w:spacing w:before="2"/>
        <w:ind w:left="733" w:right="750" w:firstLine="0"/>
        <w:jc w:val="center"/>
        <w:rPr>
          <w:b/>
          <w:sz w:val="28"/>
        </w:rPr>
      </w:pPr>
      <w:r>
        <w:rPr>
          <w:b/>
          <w:sz w:val="28"/>
        </w:rPr>
        <w:t>Federal (FISMDF)</w:t>
      </w:r>
    </w:p>
    <w:p>
      <w:pPr>
        <w:pStyle w:val="BodyText"/>
        <w:rPr>
          <w:b/>
          <w:sz w:val="28"/>
        </w:rPr>
      </w:pPr>
    </w:p>
    <w:p>
      <w:pPr>
        <w:pStyle w:val="BodyText"/>
        <w:rPr>
          <w:b/>
          <w:sz w:val="28"/>
        </w:rPr>
      </w:pPr>
    </w:p>
    <w:p>
      <w:pPr>
        <w:pStyle w:val="BodyText"/>
        <w:spacing w:before="5"/>
        <w:rPr>
          <w:b/>
          <w:sz w:val="30"/>
        </w:rPr>
      </w:pPr>
    </w:p>
    <w:p>
      <w:pPr>
        <w:pStyle w:val="BodyText"/>
        <w:spacing w:line="360" w:lineRule="auto" w:before="1"/>
        <w:ind w:left="102" w:right="116"/>
        <w:jc w:val="both"/>
      </w:pPr>
      <w:r>
        <w:rPr/>
        <w:t>A partir de 1998, con la creación del ramo 33 en el Presupuesto de Egresos de la Federación, la parte del gasto social destinada a la construcción de infraestructura básica se comenzó a canalizar a través del Fondo de Aportaciones para la Infraestructura</w:t>
      </w:r>
      <w:r>
        <w:rPr>
          <w:spacing w:val="-13"/>
        </w:rPr>
        <w:t> </w:t>
      </w:r>
      <w:r>
        <w:rPr/>
        <w:t>Social</w:t>
      </w:r>
      <w:r>
        <w:rPr>
          <w:spacing w:val="-13"/>
        </w:rPr>
        <w:t> </w:t>
      </w:r>
      <w:r>
        <w:rPr/>
        <w:t>(FAIS),</w:t>
      </w:r>
      <w:r>
        <w:rPr>
          <w:spacing w:val="-13"/>
        </w:rPr>
        <w:t> </w:t>
      </w:r>
      <w:r>
        <w:rPr/>
        <w:t>que</w:t>
      </w:r>
      <w:r>
        <w:rPr>
          <w:spacing w:val="-12"/>
        </w:rPr>
        <w:t> </w:t>
      </w:r>
      <w:r>
        <w:rPr/>
        <w:t>se</w:t>
      </w:r>
      <w:r>
        <w:rPr>
          <w:spacing w:val="-12"/>
        </w:rPr>
        <w:t> </w:t>
      </w:r>
      <w:r>
        <w:rPr/>
        <w:t>divide</w:t>
      </w:r>
      <w:r>
        <w:rPr>
          <w:spacing w:val="-12"/>
        </w:rPr>
        <w:t> </w:t>
      </w:r>
      <w:r>
        <w:rPr/>
        <w:t>a</w:t>
      </w:r>
      <w:r>
        <w:rPr>
          <w:spacing w:val="-12"/>
        </w:rPr>
        <w:t> </w:t>
      </w:r>
      <w:r>
        <w:rPr/>
        <w:t>su</w:t>
      </w:r>
      <w:r>
        <w:rPr>
          <w:spacing w:val="-12"/>
        </w:rPr>
        <w:t> </w:t>
      </w:r>
      <w:r>
        <w:rPr/>
        <w:t>vez,</w:t>
      </w:r>
      <w:r>
        <w:rPr>
          <w:spacing w:val="-9"/>
        </w:rPr>
        <w:t> </w:t>
      </w:r>
      <w:r>
        <w:rPr/>
        <w:t>en</w:t>
      </w:r>
      <w:r>
        <w:rPr>
          <w:spacing w:val="-12"/>
        </w:rPr>
        <w:t> </w:t>
      </w:r>
      <w:r>
        <w:rPr/>
        <w:t>estatal</w:t>
      </w:r>
      <w:r>
        <w:rPr>
          <w:spacing w:val="40"/>
        </w:rPr>
        <w:t> </w:t>
      </w:r>
      <w:r>
        <w:rPr/>
        <w:t>y</w:t>
      </w:r>
      <w:r>
        <w:rPr>
          <w:spacing w:val="-15"/>
        </w:rPr>
        <w:t> </w:t>
      </w:r>
      <w:r>
        <w:rPr/>
        <w:t>municipal.</w:t>
      </w:r>
      <w:r>
        <w:rPr>
          <w:spacing w:val="-13"/>
        </w:rPr>
        <w:t> </w:t>
      </w:r>
      <w:r>
        <w:rPr/>
        <w:t>El</w:t>
      </w:r>
      <w:r>
        <w:rPr>
          <w:spacing w:val="-13"/>
        </w:rPr>
        <w:t> </w:t>
      </w:r>
      <w:r>
        <w:rPr/>
        <w:t>ramo 33 se estableció dentro de la Ley de Coordinación Fiscal, con la cual se aseguraba la</w:t>
      </w:r>
      <w:r>
        <w:rPr>
          <w:spacing w:val="-5"/>
        </w:rPr>
        <w:t> </w:t>
      </w:r>
      <w:r>
        <w:rPr/>
        <w:t>transferencia</w:t>
      </w:r>
      <w:r>
        <w:rPr>
          <w:spacing w:val="-7"/>
        </w:rPr>
        <w:t> </w:t>
      </w:r>
      <w:r>
        <w:rPr/>
        <w:t>hacia</w:t>
      </w:r>
      <w:r>
        <w:rPr>
          <w:spacing w:val="-5"/>
        </w:rPr>
        <w:t> </w:t>
      </w:r>
      <w:r>
        <w:rPr/>
        <w:t>los</w:t>
      </w:r>
      <w:r>
        <w:rPr>
          <w:spacing w:val="-5"/>
        </w:rPr>
        <w:t> </w:t>
      </w:r>
      <w:r>
        <w:rPr/>
        <w:t>estados</w:t>
      </w:r>
      <w:r>
        <w:rPr>
          <w:spacing w:val="-5"/>
        </w:rPr>
        <w:t> </w:t>
      </w:r>
      <w:r>
        <w:rPr/>
        <w:t>y</w:t>
      </w:r>
      <w:r>
        <w:rPr>
          <w:spacing w:val="-8"/>
        </w:rPr>
        <w:t> </w:t>
      </w:r>
      <w:r>
        <w:rPr/>
        <w:t>municipios</w:t>
      </w:r>
      <w:r>
        <w:rPr>
          <w:spacing w:val="-5"/>
        </w:rPr>
        <w:t> </w:t>
      </w:r>
      <w:r>
        <w:rPr/>
        <w:t>independientemente</w:t>
      </w:r>
      <w:r>
        <w:rPr>
          <w:spacing w:val="-7"/>
        </w:rPr>
        <w:t> </w:t>
      </w:r>
      <w:r>
        <w:rPr/>
        <w:t>de</w:t>
      </w:r>
      <w:r>
        <w:rPr>
          <w:spacing w:val="-5"/>
        </w:rPr>
        <w:t> </w:t>
      </w:r>
      <w:r>
        <w:rPr/>
        <w:t>los</w:t>
      </w:r>
      <w:r>
        <w:rPr>
          <w:spacing w:val="-5"/>
        </w:rPr>
        <w:t> </w:t>
      </w:r>
      <w:r>
        <w:rPr/>
        <w:t>cambios políticos, y a ser un ingreso seguro que se contempla dentro del presupuesto de la federación hacia los</w:t>
      </w:r>
      <w:r>
        <w:rPr>
          <w:spacing w:val="-8"/>
        </w:rPr>
        <w:t> </w:t>
      </w:r>
      <w:r>
        <w:rPr/>
        <w:t>municipios.</w:t>
      </w:r>
    </w:p>
    <w:p>
      <w:pPr>
        <w:pStyle w:val="BodyText"/>
        <w:spacing w:before="3"/>
        <w:rPr>
          <w:sz w:val="21"/>
        </w:rPr>
      </w:pPr>
    </w:p>
    <w:p>
      <w:pPr>
        <w:pStyle w:val="BodyText"/>
        <w:spacing w:line="360" w:lineRule="auto"/>
        <w:ind w:left="102" w:right="119"/>
        <w:jc w:val="both"/>
      </w:pPr>
      <w:r>
        <w:rPr/>
        <w:t>Los recursos de este fondo se descentralizan etiquetados para cumplir con su objetivo</w:t>
      </w:r>
      <w:r>
        <w:rPr>
          <w:spacing w:val="-5"/>
        </w:rPr>
        <w:t> </w:t>
      </w:r>
      <w:r>
        <w:rPr/>
        <w:t>de</w:t>
      </w:r>
      <w:r>
        <w:rPr>
          <w:spacing w:val="-7"/>
        </w:rPr>
        <w:t> </w:t>
      </w:r>
      <w:r>
        <w:rPr/>
        <w:t>realizar</w:t>
      </w:r>
      <w:r>
        <w:rPr>
          <w:spacing w:val="-6"/>
        </w:rPr>
        <w:t> </w:t>
      </w:r>
      <w:r>
        <w:rPr/>
        <w:t>obras</w:t>
      </w:r>
      <w:r>
        <w:rPr>
          <w:spacing w:val="-5"/>
        </w:rPr>
        <w:t> </w:t>
      </w:r>
      <w:r>
        <w:rPr/>
        <w:t>y</w:t>
      </w:r>
      <w:r>
        <w:rPr>
          <w:spacing w:val="-8"/>
        </w:rPr>
        <w:t> </w:t>
      </w:r>
      <w:r>
        <w:rPr/>
        <w:t>acciones</w:t>
      </w:r>
      <w:r>
        <w:rPr>
          <w:spacing w:val="-8"/>
        </w:rPr>
        <w:t> </w:t>
      </w:r>
      <w:r>
        <w:rPr/>
        <w:t>sociales</w:t>
      </w:r>
      <w:r>
        <w:rPr>
          <w:spacing w:val="-8"/>
        </w:rPr>
        <w:t> </w:t>
      </w:r>
      <w:r>
        <w:rPr/>
        <w:t>básicas</w:t>
      </w:r>
      <w:r>
        <w:rPr>
          <w:spacing w:val="-5"/>
        </w:rPr>
        <w:t> </w:t>
      </w:r>
      <w:r>
        <w:rPr/>
        <w:t>que</w:t>
      </w:r>
      <w:r>
        <w:rPr>
          <w:spacing w:val="-7"/>
        </w:rPr>
        <w:t> </w:t>
      </w:r>
      <w:r>
        <w:rPr/>
        <w:t>beneficien</w:t>
      </w:r>
      <w:r>
        <w:rPr>
          <w:spacing w:val="-7"/>
        </w:rPr>
        <w:t> </w:t>
      </w:r>
      <w:r>
        <w:rPr/>
        <w:t>a</w:t>
      </w:r>
      <w:r>
        <w:rPr>
          <w:spacing w:val="-5"/>
        </w:rPr>
        <w:t> </w:t>
      </w:r>
      <w:r>
        <w:rPr/>
        <w:t>la</w:t>
      </w:r>
      <w:r>
        <w:rPr>
          <w:spacing w:val="-7"/>
        </w:rPr>
        <w:t> </w:t>
      </w:r>
      <w:r>
        <w:rPr/>
        <w:t>población en condiciones de rezago social y extrema pobreza, esto significa que queda claramente definido que los recursos no deben utilizarse para otros</w:t>
      </w:r>
      <w:r>
        <w:rPr>
          <w:spacing w:val="-15"/>
        </w:rPr>
        <w:t> </w:t>
      </w:r>
      <w:r>
        <w:rPr/>
        <w:t>fines.</w:t>
      </w:r>
    </w:p>
    <w:p>
      <w:pPr>
        <w:pStyle w:val="BodyText"/>
        <w:spacing w:before="1"/>
        <w:rPr>
          <w:sz w:val="21"/>
        </w:rPr>
      </w:pPr>
    </w:p>
    <w:p>
      <w:pPr>
        <w:pStyle w:val="BodyText"/>
        <w:spacing w:line="360" w:lineRule="auto" w:before="1"/>
        <w:ind w:left="102" w:right="122"/>
        <w:jc w:val="both"/>
      </w:pPr>
      <w:r>
        <w:rPr/>
        <w:t>El Fondo de Aportaciones para la Infraestructura Social se integra de dos subfondos: el Fondo de Aportaciones para la Infraestructura Social Estatal y el Fondo de Aportaciones para la Infraestructura Social Municipal y de las Demarcaciones Territoriales del Distrito Federal. Cabe destacar que a partir de la reforma</w:t>
      </w:r>
      <w:r>
        <w:rPr>
          <w:spacing w:val="-13"/>
        </w:rPr>
        <w:t> </w:t>
      </w:r>
      <w:r>
        <w:rPr/>
        <w:t>del</w:t>
      </w:r>
      <w:r>
        <w:rPr>
          <w:spacing w:val="-14"/>
        </w:rPr>
        <w:t> </w:t>
      </w:r>
      <w:r>
        <w:rPr/>
        <w:t>03</w:t>
      </w:r>
      <w:r>
        <w:rPr>
          <w:spacing w:val="-13"/>
        </w:rPr>
        <w:t> </w:t>
      </w:r>
      <w:r>
        <w:rPr/>
        <w:t>de</w:t>
      </w:r>
      <w:r>
        <w:rPr>
          <w:spacing w:val="-13"/>
        </w:rPr>
        <w:t> </w:t>
      </w:r>
      <w:r>
        <w:rPr/>
        <w:t>diciembre</w:t>
      </w:r>
      <w:r>
        <w:rPr>
          <w:spacing w:val="-14"/>
        </w:rPr>
        <w:t> </w:t>
      </w:r>
      <w:r>
        <w:rPr/>
        <w:t>de</w:t>
      </w:r>
      <w:r>
        <w:rPr>
          <w:spacing w:val="-13"/>
        </w:rPr>
        <w:t> </w:t>
      </w:r>
      <w:r>
        <w:rPr/>
        <w:t>2014,</w:t>
      </w:r>
      <w:r>
        <w:rPr>
          <w:spacing w:val="-11"/>
        </w:rPr>
        <w:t> </w:t>
      </w:r>
      <w:r>
        <w:rPr/>
        <w:t>ya</w:t>
      </w:r>
      <w:r>
        <w:rPr>
          <w:spacing w:val="-11"/>
        </w:rPr>
        <w:t> </w:t>
      </w:r>
      <w:r>
        <w:rPr/>
        <w:t>se</w:t>
      </w:r>
      <w:r>
        <w:rPr>
          <w:spacing w:val="-13"/>
        </w:rPr>
        <w:t> </w:t>
      </w:r>
      <w:r>
        <w:rPr/>
        <w:t>incluye</w:t>
      </w:r>
      <w:r>
        <w:rPr>
          <w:spacing w:val="-11"/>
        </w:rPr>
        <w:t> </w:t>
      </w:r>
      <w:r>
        <w:rPr/>
        <w:t>a</w:t>
      </w:r>
      <w:r>
        <w:rPr>
          <w:spacing w:val="-11"/>
        </w:rPr>
        <w:t> </w:t>
      </w:r>
      <w:r>
        <w:rPr/>
        <w:t>las</w:t>
      </w:r>
      <w:r>
        <w:rPr>
          <w:spacing w:val="-11"/>
        </w:rPr>
        <w:t> </w:t>
      </w:r>
      <w:r>
        <w:rPr/>
        <w:t>demarcaciones</w:t>
      </w:r>
      <w:r>
        <w:rPr>
          <w:spacing w:val="-12"/>
        </w:rPr>
        <w:t> </w:t>
      </w:r>
      <w:r>
        <w:rPr/>
        <w:t>territoriales del Distrito</w:t>
      </w:r>
      <w:r>
        <w:rPr>
          <w:spacing w:val="-4"/>
        </w:rPr>
        <w:t> </w:t>
      </w:r>
      <w:r>
        <w:rPr/>
        <w:t>Federal.</w:t>
      </w:r>
    </w:p>
    <w:p>
      <w:pPr>
        <w:spacing w:after="0" w:line="360" w:lineRule="auto"/>
        <w:jc w:val="both"/>
        <w:sectPr>
          <w:pgSz w:w="12240" w:h="15840"/>
          <w:pgMar w:header="0" w:footer="992" w:top="1360" w:bottom="1180" w:left="1600" w:right="1580"/>
        </w:sectPr>
      </w:pPr>
    </w:p>
    <w:p>
      <w:pPr>
        <w:pStyle w:val="BodyText"/>
        <w:spacing w:line="360" w:lineRule="auto" w:before="54"/>
        <w:ind w:left="102" w:right="119"/>
        <w:jc w:val="both"/>
      </w:pPr>
      <w:r>
        <w:rPr/>
        <w:t>El Fondo de Aportaciones para la Infraestructura Social (FAIS), se trata de uno de los ocho fondos que forman el ramo 33, que tiene como objetivo fundamental de acuerdo a la Ley de Coordinación Fiscal, el financiamiento de obras y acciones sociales básicas, que beneficien directamente a sectores de población en condiciones de rezago social y pobreza extrema. Según lo dispuesto en los lineamientos, la SEDESOL es la dependencia encargada de coordinar y dar seguimiento al uso que hagan las entidades federativas, municipios y Demarcaciones Territoriales del Distrito Federal  de los recursos del FAIS.</w:t>
      </w:r>
    </w:p>
    <w:p>
      <w:pPr>
        <w:pStyle w:val="BodyText"/>
        <w:spacing w:before="1"/>
        <w:rPr>
          <w:sz w:val="21"/>
        </w:rPr>
      </w:pPr>
    </w:p>
    <w:p>
      <w:pPr>
        <w:pStyle w:val="BodyText"/>
        <w:spacing w:line="360" w:lineRule="auto" w:before="1"/>
        <w:ind w:left="102" w:right="122"/>
        <w:jc w:val="both"/>
      </w:pPr>
      <w:r>
        <w:rPr/>
        <w:t>En este sentido, la operación del FAIS, depende en mucha parte de la creación de un espacio de coordinación institucional, capaz de armonizar las acciones sociales de los tres órdenes de gobierno, de esta manera, en la operación del FAIS, la coordinación intergubernamental es una pieza medular para el combate a las disparidades</w:t>
      </w:r>
      <w:r>
        <w:rPr>
          <w:spacing w:val="-7"/>
        </w:rPr>
        <w:t> </w:t>
      </w:r>
      <w:r>
        <w:rPr/>
        <w:t>regionales</w:t>
      </w:r>
      <w:r>
        <w:rPr>
          <w:spacing w:val="-7"/>
        </w:rPr>
        <w:t> </w:t>
      </w:r>
      <w:r>
        <w:rPr/>
        <w:t>y</w:t>
      </w:r>
      <w:r>
        <w:rPr>
          <w:spacing w:val="-7"/>
        </w:rPr>
        <w:t> </w:t>
      </w:r>
      <w:r>
        <w:rPr/>
        <w:t>de</w:t>
      </w:r>
      <w:r>
        <w:rPr>
          <w:spacing w:val="-6"/>
        </w:rPr>
        <w:t> </w:t>
      </w:r>
      <w:r>
        <w:rPr/>
        <w:t>combate</w:t>
      </w:r>
      <w:r>
        <w:rPr>
          <w:spacing w:val="-6"/>
        </w:rPr>
        <w:t> </w:t>
      </w:r>
      <w:r>
        <w:rPr/>
        <w:t>a</w:t>
      </w:r>
      <w:r>
        <w:rPr>
          <w:spacing w:val="-6"/>
        </w:rPr>
        <w:t> </w:t>
      </w:r>
      <w:r>
        <w:rPr/>
        <w:t>la</w:t>
      </w:r>
      <w:r>
        <w:rPr>
          <w:spacing w:val="-9"/>
        </w:rPr>
        <w:t> </w:t>
      </w:r>
      <w:r>
        <w:rPr/>
        <w:t>pobreza.</w:t>
      </w:r>
      <w:r>
        <w:rPr>
          <w:spacing w:val="-6"/>
        </w:rPr>
        <w:t> </w:t>
      </w:r>
      <w:r>
        <w:rPr/>
        <w:t>Se</w:t>
      </w:r>
      <w:r>
        <w:rPr>
          <w:spacing w:val="-6"/>
        </w:rPr>
        <w:t> </w:t>
      </w:r>
      <w:r>
        <w:rPr/>
        <w:t>trata</w:t>
      </w:r>
      <w:r>
        <w:rPr>
          <w:spacing w:val="-6"/>
        </w:rPr>
        <w:t> </w:t>
      </w:r>
      <w:r>
        <w:rPr/>
        <w:t>de</w:t>
      </w:r>
      <w:r>
        <w:rPr>
          <w:spacing w:val="-6"/>
        </w:rPr>
        <w:t> </w:t>
      </w:r>
      <w:r>
        <w:rPr/>
        <w:t>ordenar</w:t>
      </w:r>
      <w:r>
        <w:rPr>
          <w:spacing w:val="-7"/>
        </w:rPr>
        <w:t> </w:t>
      </w:r>
      <w:r>
        <w:rPr/>
        <w:t>y</w:t>
      </w:r>
      <w:r>
        <w:rPr>
          <w:spacing w:val="-9"/>
        </w:rPr>
        <w:t> </w:t>
      </w:r>
      <w:r>
        <w:rPr/>
        <w:t>coordinar la actuación pública para la creación de obras de infraestructura social que tengan incidencia directa o indirecta en el combate a las carencias de la pobreza multidimensional</w:t>
      </w:r>
      <w:r>
        <w:rPr>
          <w:spacing w:val="-15"/>
        </w:rPr>
        <w:t> </w:t>
      </w:r>
      <w:r>
        <w:rPr/>
        <w:t>por</w:t>
      </w:r>
      <w:r>
        <w:rPr>
          <w:spacing w:val="-13"/>
        </w:rPr>
        <w:t> </w:t>
      </w:r>
      <w:r>
        <w:rPr/>
        <w:t>lo</w:t>
      </w:r>
      <w:r>
        <w:rPr>
          <w:spacing w:val="-14"/>
        </w:rPr>
        <w:t> </w:t>
      </w:r>
      <w:r>
        <w:rPr/>
        <w:t>que</w:t>
      </w:r>
      <w:r>
        <w:rPr>
          <w:spacing w:val="-12"/>
        </w:rPr>
        <w:t> </w:t>
      </w:r>
      <w:r>
        <w:rPr/>
        <w:t>cada</w:t>
      </w:r>
      <w:r>
        <w:rPr>
          <w:spacing w:val="-12"/>
        </w:rPr>
        <w:t> </w:t>
      </w:r>
      <w:r>
        <w:rPr/>
        <w:t>orden</w:t>
      </w:r>
      <w:r>
        <w:rPr>
          <w:spacing w:val="-14"/>
        </w:rPr>
        <w:t> </w:t>
      </w:r>
      <w:r>
        <w:rPr/>
        <w:t>de</w:t>
      </w:r>
      <w:r>
        <w:rPr>
          <w:spacing w:val="-12"/>
        </w:rPr>
        <w:t> </w:t>
      </w:r>
      <w:r>
        <w:rPr/>
        <w:t>gobierno</w:t>
      </w:r>
      <w:r>
        <w:rPr>
          <w:spacing w:val="-12"/>
        </w:rPr>
        <w:t> </w:t>
      </w:r>
      <w:r>
        <w:rPr/>
        <w:t>constituye</w:t>
      </w:r>
      <w:r>
        <w:rPr>
          <w:spacing w:val="-12"/>
        </w:rPr>
        <w:t> </w:t>
      </w:r>
      <w:r>
        <w:rPr/>
        <w:t>una</w:t>
      </w:r>
      <w:r>
        <w:rPr>
          <w:spacing w:val="-14"/>
        </w:rPr>
        <w:t> </w:t>
      </w:r>
      <w:r>
        <w:rPr/>
        <w:t>pieza</w:t>
      </w:r>
      <w:r>
        <w:rPr>
          <w:spacing w:val="-12"/>
        </w:rPr>
        <w:t> </w:t>
      </w:r>
      <w:r>
        <w:rPr/>
        <w:t>clave</w:t>
      </w:r>
      <w:r>
        <w:rPr>
          <w:spacing w:val="-12"/>
        </w:rPr>
        <w:t> </w:t>
      </w:r>
      <w:r>
        <w:rPr/>
        <w:t>para lograr los objetivos para el cual se creó el</w:t>
      </w:r>
      <w:r>
        <w:rPr>
          <w:spacing w:val="-11"/>
        </w:rPr>
        <w:t> </w:t>
      </w:r>
      <w:r>
        <w:rPr/>
        <w:t>fondo.</w:t>
      </w:r>
    </w:p>
    <w:p>
      <w:pPr>
        <w:pStyle w:val="BodyText"/>
        <w:spacing w:before="3"/>
        <w:rPr>
          <w:sz w:val="21"/>
        </w:rPr>
      </w:pPr>
    </w:p>
    <w:p>
      <w:pPr>
        <w:pStyle w:val="BodyText"/>
        <w:spacing w:line="360" w:lineRule="auto"/>
        <w:ind w:left="102" w:right="116"/>
        <w:jc w:val="both"/>
      </w:pPr>
      <w:r>
        <w:rPr/>
        <w:t>La coordinación intergubernamental para el uso de los recursos FAIS es que los gobiernos estatales adecuan las acciones sociales que define el gobierno federal a las necesidades sociales de cada entidad, con sus propias políticas sociales, para de alguna forma los resultados se traduzcan en una mayor efectividad en la aplicación de los recursos. La actuación del gobierno municipal es sumamente relevante por su tan cercana relación con la comunidad, constituyen el mejor vehículo</w:t>
      </w:r>
      <w:r>
        <w:rPr>
          <w:spacing w:val="-7"/>
        </w:rPr>
        <w:t> </w:t>
      </w:r>
      <w:r>
        <w:rPr/>
        <w:t>para</w:t>
      </w:r>
      <w:r>
        <w:rPr>
          <w:spacing w:val="-8"/>
        </w:rPr>
        <w:t> </w:t>
      </w:r>
      <w:r>
        <w:rPr/>
        <w:t>la</w:t>
      </w:r>
      <w:r>
        <w:rPr>
          <w:spacing w:val="-7"/>
        </w:rPr>
        <w:t> </w:t>
      </w:r>
      <w:r>
        <w:rPr/>
        <w:t>implementación</w:t>
      </w:r>
      <w:r>
        <w:rPr>
          <w:spacing w:val="-7"/>
        </w:rPr>
        <w:t> </w:t>
      </w:r>
      <w:r>
        <w:rPr/>
        <w:t>de</w:t>
      </w:r>
      <w:r>
        <w:rPr>
          <w:spacing w:val="-8"/>
        </w:rPr>
        <w:t> </w:t>
      </w:r>
      <w:r>
        <w:rPr/>
        <w:t>políticas</w:t>
      </w:r>
      <w:r>
        <w:rPr>
          <w:spacing w:val="-8"/>
        </w:rPr>
        <w:t> </w:t>
      </w:r>
      <w:r>
        <w:rPr/>
        <w:t>y</w:t>
      </w:r>
      <w:r>
        <w:rPr>
          <w:spacing w:val="-9"/>
        </w:rPr>
        <w:t> </w:t>
      </w:r>
      <w:r>
        <w:rPr/>
        <w:t>acciones</w:t>
      </w:r>
      <w:r>
        <w:rPr>
          <w:spacing w:val="-8"/>
        </w:rPr>
        <w:t> </w:t>
      </w:r>
      <w:r>
        <w:rPr/>
        <w:t>sociales</w:t>
      </w:r>
      <w:r>
        <w:rPr>
          <w:spacing w:val="-8"/>
        </w:rPr>
        <w:t> </w:t>
      </w:r>
      <w:r>
        <w:rPr/>
        <w:t>de</w:t>
      </w:r>
      <w:r>
        <w:rPr>
          <w:spacing w:val="-8"/>
        </w:rPr>
        <w:t> </w:t>
      </w:r>
      <w:r>
        <w:rPr/>
        <w:t>impacto</w:t>
      </w:r>
      <w:r>
        <w:rPr>
          <w:spacing w:val="-7"/>
        </w:rPr>
        <w:t> </w:t>
      </w:r>
      <w:r>
        <w:rPr/>
        <w:t>directo e indirecto en las comunidades, de acuerdo a sus</w:t>
      </w:r>
      <w:r>
        <w:rPr>
          <w:spacing w:val="-22"/>
        </w:rPr>
        <w:t> </w:t>
      </w:r>
      <w:r>
        <w:rPr/>
        <w:t>particularidades.</w:t>
      </w:r>
    </w:p>
    <w:p>
      <w:pPr>
        <w:pStyle w:val="BodyText"/>
        <w:spacing w:before="3"/>
        <w:rPr>
          <w:sz w:val="21"/>
        </w:rPr>
      </w:pPr>
    </w:p>
    <w:p>
      <w:pPr>
        <w:pStyle w:val="BodyText"/>
        <w:spacing w:line="360" w:lineRule="auto"/>
        <w:ind w:left="102" w:right="120"/>
        <w:jc w:val="both"/>
      </w:pPr>
      <w:r>
        <w:rPr/>
        <w:t>Con fecha 9 de diciembre de 2013, se publicó en el Diario Oficial de la Federación un</w:t>
      </w:r>
      <w:r>
        <w:rPr>
          <w:spacing w:val="-19"/>
        </w:rPr>
        <w:t> </w:t>
      </w:r>
      <w:r>
        <w:rPr/>
        <w:t>decreto</w:t>
      </w:r>
      <w:r>
        <w:rPr>
          <w:spacing w:val="-21"/>
        </w:rPr>
        <w:t> </w:t>
      </w:r>
      <w:r>
        <w:rPr/>
        <w:t>por</w:t>
      </w:r>
      <w:r>
        <w:rPr>
          <w:spacing w:val="-20"/>
        </w:rPr>
        <w:t> </w:t>
      </w:r>
      <w:r>
        <w:rPr/>
        <w:t>el</w:t>
      </w:r>
      <w:r>
        <w:rPr>
          <w:spacing w:val="-20"/>
        </w:rPr>
        <w:t> </w:t>
      </w:r>
      <w:r>
        <w:rPr/>
        <w:t>que</w:t>
      </w:r>
      <w:r>
        <w:rPr>
          <w:spacing w:val="-19"/>
        </w:rPr>
        <w:t> </w:t>
      </w:r>
      <w:r>
        <w:rPr/>
        <w:t>se</w:t>
      </w:r>
      <w:r>
        <w:rPr>
          <w:spacing w:val="-19"/>
        </w:rPr>
        <w:t> </w:t>
      </w:r>
      <w:r>
        <w:rPr/>
        <w:t>reformaron,</w:t>
      </w:r>
      <w:r>
        <w:rPr>
          <w:spacing w:val="-19"/>
        </w:rPr>
        <w:t> </w:t>
      </w:r>
      <w:r>
        <w:rPr/>
        <w:t>adicionaron</w:t>
      </w:r>
      <w:r>
        <w:rPr>
          <w:spacing w:val="-19"/>
        </w:rPr>
        <w:t> </w:t>
      </w:r>
      <w:r>
        <w:rPr/>
        <w:t>y</w:t>
      </w:r>
      <w:r>
        <w:rPr>
          <w:spacing w:val="-22"/>
        </w:rPr>
        <w:t> </w:t>
      </w:r>
      <w:r>
        <w:rPr/>
        <w:t>derogaron</w:t>
      </w:r>
      <w:r>
        <w:rPr>
          <w:spacing w:val="-19"/>
        </w:rPr>
        <w:t> </w:t>
      </w:r>
      <w:r>
        <w:rPr/>
        <w:t>diversas</w:t>
      </w:r>
      <w:r>
        <w:rPr>
          <w:spacing w:val="-20"/>
        </w:rPr>
        <w:t> </w:t>
      </w:r>
      <w:r>
        <w:rPr/>
        <w:t>disposiciones de la Ley de Coordinación Fiscal, y que a partir del 1 de enero de 2014 entraron</w:t>
      </w:r>
      <w:r>
        <w:rPr>
          <w:spacing w:val="-32"/>
        </w:rPr>
        <w:t> </w:t>
      </w:r>
      <w:r>
        <w:rPr/>
        <w:t>en vigencia. En dicha reforma, se efectuaron grandes cambios muy transcendentales, principalmente para el FAIS, entre las modificaciones están las</w:t>
      </w:r>
      <w:r>
        <w:rPr>
          <w:spacing w:val="-27"/>
        </w:rPr>
        <w:t> </w:t>
      </w:r>
      <w:r>
        <w:rPr/>
        <w:t>siguientes:</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1.-</w:t>
      </w:r>
      <w:r>
        <w:rPr>
          <w:spacing w:val="-10"/>
        </w:rPr>
        <w:t> </w:t>
      </w:r>
      <w:r>
        <w:rPr/>
        <w:t>Con</w:t>
      </w:r>
      <w:r>
        <w:rPr>
          <w:spacing w:val="-10"/>
        </w:rPr>
        <w:t> </w:t>
      </w:r>
      <w:r>
        <w:rPr/>
        <w:t>el</w:t>
      </w:r>
      <w:r>
        <w:rPr>
          <w:spacing w:val="-10"/>
        </w:rPr>
        <w:t> </w:t>
      </w:r>
      <w:r>
        <w:rPr/>
        <w:t>objetivo</w:t>
      </w:r>
      <w:r>
        <w:rPr>
          <w:spacing w:val="-9"/>
        </w:rPr>
        <w:t> </w:t>
      </w:r>
      <w:r>
        <w:rPr/>
        <w:t>de</w:t>
      </w:r>
      <w:r>
        <w:rPr>
          <w:spacing w:val="-9"/>
        </w:rPr>
        <w:t> </w:t>
      </w:r>
      <w:r>
        <w:rPr/>
        <w:t>que</w:t>
      </w:r>
      <w:r>
        <w:rPr>
          <w:spacing w:val="-9"/>
        </w:rPr>
        <w:t> </w:t>
      </w:r>
      <w:r>
        <w:rPr/>
        <w:t>los</w:t>
      </w:r>
      <w:r>
        <w:rPr>
          <w:spacing w:val="-10"/>
        </w:rPr>
        <w:t> </w:t>
      </w:r>
      <w:r>
        <w:rPr/>
        <w:t>receptores</w:t>
      </w:r>
      <w:r>
        <w:rPr>
          <w:spacing w:val="-10"/>
        </w:rPr>
        <w:t> </w:t>
      </w:r>
      <w:r>
        <w:rPr/>
        <w:t>de</w:t>
      </w:r>
      <w:r>
        <w:rPr>
          <w:spacing w:val="-9"/>
        </w:rPr>
        <w:t> </w:t>
      </w:r>
      <w:r>
        <w:rPr/>
        <w:t>los</w:t>
      </w:r>
      <w:r>
        <w:rPr>
          <w:spacing w:val="-10"/>
        </w:rPr>
        <w:t> </w:t>
      </w:r>
      <w:r>
        <w:rPr/>
        <w:t>recursos</w:t>
      </w:r>
      <w:r>
        <w:rPr>
          <w:spacing w:val="-5"/>
        </w:rPr>
        <w:t> </w:t>
      </w:r>
      <w:r>
        <w:rPr/>
        <w:t>del</w:t>
      </w:r>
      <w:r>
        <w:rPr>
          <w:spacing w:val="-10"/>
        </w:rPr>
        <w:t> </w:t>
      </w:r>
      <w:r>
        <w:rPr/>
        <w:t>Fondo</w:t>
      </w:r>
      <w:r>
        <w:rPr>
          <w:spacing w:val="-11"/>
        </w:rPr>
        <w:t> </w:t>
      </w:r>
      <w:r>
        <w:rPr/>
        <w:t>de</w:t>
      </w:r>
      <w:r>
        <w:rPr>
          <w:spacing w:val="-9"/>
        </w:rPr>
        <w:t> </w:t>
      </w:r>
      <w:r>
        <w:rPr/>
        <w:t>Aportaciones para la Infraestructura Social, beneficien a la población en pobreza extrema, y ejerzan los recursos de forma más eficiente para atender las carencias de la población y con la posibilidad de potenciar su incidencia en el abatimiento de las mismas, se estableció que por medio de la Secretaría de Desarrollo Social se publicará</w:t>
      </w:r>
      <w:r>
        <w:rPr>
          <w:spacing w:val="-7"/>
        </w:rPr>
        <w:t> </w:t>
      </w:r>
      <w:r>
        <w:rPr/>
        <w:t>un</w:t>
      </w:r>
      <w:r>
        <w:rPr>
          <w:spacing w:val="-3"/>
        </w:rPr>
        <w:t> </w:t>
      </w:r>
      <w:r>
        <w:rPr>
          <w:b/>
        </w:rPr>
        <w:t>Informe</w:t>
      </w:r>
      <w:r>
        <w:rPr>
          <w:b/>
          <w:spacing w:val="-6"/>
        </w:rPr>
        <w:t> </w:t>
      </w:r>
      <w:r>
        <w:rPr>
          <w:b/>
        </w:rPr>
        <w:t>anual</w:t>
      </w:r>
      <w:r>
        <w:rPr>
          <w:b/>
          <w:spacing w:val="-4"/>
        </w:rPr>
        <w:t> </w:t>
      </w:r>
      <w:r>
        <w:rPr>
          <w:b/>
        </w:rPr>
        <w:t>sobre</w:t>
      </w:r>
      <w:r>
        <w:rPr>
          <w:b/>
          <w:spacing w:val="-6"/>
        </w:rPr>
        <w:t> </w:t>
      </w:r>
      <w:r>
        <w:rPr>
          <w:b/>
        </w:rPr>
        <w:t>la</w:t>
      </w:r>
      <w:r>
        <w:rPr>
          <w:b/>
          <w:spacing w:val="-5"/>
        </w:rPr>
        <w:t> </w:t>
      </w:r>
      <w:r>
        <w:rPr>
          <w:b/>
        </w:rPr>
        <w:t>situación</w:t>
      </w:r>
      <w:r>
        <w:rPr>
          <w:b/>
          <w:spacing w:val="-5"/>
        </w:rPr>
        <w:t> </w:t>
      </w:r>
      <w:r>
        <w:rPr>
          <w:b/>
        </w:rPr>
        <w:t>de</w:t>
      </w:r>
      <w:r>
        <w:rPr>
          <w:b/>
          <w:spacing w:val="-6"/>
        </w:rPr>
        <w:t> </w:t>
      </w:r>
      <w:r>
        <w:rPr>
          <w:b/>
        </w:rPr>
        <w:t>pobreza</w:t>
      </w:r>
      <w:r>
        <w:rPr>
          <w:b/>
          <w:spacing w:val="-3"/>
        </w:rPr>
        <w:t> </w:t>
      </w:r>
      <w:r>
        <w:rPr>
          <w:b/>
        </w:rPr>
        <w:t>y</w:t>
      </w:r>
      <w:r>
        <w:rPr>
          <w:b/>
          <w:spacing w:val="-10"/>
        </w:rPr>
        <w:t> </w:t>
      </w:r>
      <w:r>
        <w:rPr>
          <w:b/>
        </w:rPr>
        <w:t>rezago</w:t>
      </w:r>
      <w:r>
        <w:rPr>
          <w:b/>
          <w:spacing w:val="-5"/>
        </w:rPr>
        <w:t> </w:t>
      </w:r>
      <w:r>
        <w:rPr>
          <w:b/>
        </w:rPr>
        <w:t>social</w:t>
      </w:r>
      <w:r>
        <w:rPr>
          <w:b/>
          <w:spacing w:val="-2"/>
        </w:rPr>
        <w:t> </w:t>
      </w:r>
      <w:r>
        <w:rPr/>
        <w:t>de</w:t>
      </w:r>
      <w:r>
        <w:rPr>
          <w:spacing w:val="-6"/>
        </w:rPr>
        <w:t> </w:t>
      </w:r>
      <w:r>
        <w:rPr/>
        <w:t>los estados y sus respectivos municipios, con base en lo que establece la Ley General de Desarrollo Social para la medición de la pobreza. Este informe tiene como finalidad que los estados y municipios puedan determinar las obras y acciones prioritarias a realizar con los recursos del citado</w:t>
      </w:r>
      <w:r>
        <w:rPr>
          <w:spacing w:val="-15"/>
        </w:rPr>
        <w:t> </w:t>
      </w:r>
      <w:r>
        <w:rPr/>
        <w:t>fondo.</w:t>
      </w:r>
    </w:p>
    <w:p>
      <w:pPr>
        <w:pStyle w:val="BodyText"/>
        <w:spacing w:before="1"/>
        <w:rPr>
          <w:sz w:val="21"/>
        </w:rPr>
      </w:pPr>
    </w:p>
    <w:p>
      <w:pPr>
        <w:spacing w:line="360" w:lineRule="auto" w:before="0"/>
        <w:ind w:left="102" w:right="116" w:firstLine="0"/>
        <w:jc w:val="both"/>
        <w:rPr>
          <w:sz w:val="24"/>
        </w:rPr>
      </w:pPr>
      <w:r>
        <w:rPr>
          <w:sz w:val="24"/>
        </w:rPr>
        <w:t>2.-</w:t>
      </w:r>
      <w:r>
        <w:rPr>
          <w:spacing w:val="-11"/>
          <w:sz w:val="24"/>
        </w:rPr>
        <w:t> </w:t>
      </w:r>
      <w:r>
        <w:rPr>
          <w:sz w:val="24"/>
        </w:rPr>
        <w:t>Se</w:t>
      </w:r>
      <w:r>
        <w:rPr>
          <w:spacing w:val="-12"/>
          <w:sz w:val="24"/>
        </w:rPr>
        <w:t> </w:t>
      </w:r>
      <w:r>
        <w:rPr>
          <w:sz w:val="24"/>
        </w:rPr>
        <w:t>establecieron</w:t>
      </w:r>
      <w:r>
        <w:rPr>
          <w:spacing w:val="-9"/>
          <w:sz w:val="24"/>
        </w:rPr>
        <w:t> </w:t>
      </w:r>
      <w:r>
        <w:rPr>
          <w:sz w:val="24"/>
        </w:rPr>
        <w:t>los</w:t>
      </w:r>
      <w:r>
        <w:rPr>
          <w:spacing w:val="-8"/>
          <w:sz w:val="24"/>
        </w:rPr>
        <w:t> </w:t>
      </w:r>
      <w:r>
        <w:rPr>
          <w:b/>
          <w:sz w:val="24"/>
        </w:rPr>
        <w:t>Lineamientos</w:t>
      </w:r>
      <w:r>
        <w:rPr>
          <w:b/>
          <w:spacing w:val="-10"/>
          <w:sz w:val="24"/>
        </w:rPr>
        <w:t> </w:t>
      </w:r>
      <w:r>
        <w:rPr>
          <w:b/>
          <w:sz w:val="24"/>
        </w:rPr>
        <w:t>generales</w:t>
      </w:r>
      <w:r>
        <w:rPr>
          <w:b/>
          <w:spacing w:val="-9"/>
          <w:sz w:val="24"/>
        </w:rPr>
        <w:t> </w:t>
      </w:r>
      <w:r>
        <w:rPr>
          <w:b/>
          <w:sz w:val="24"/>
        </w:rPr>
        <w:t>para</w:t>
      </w:r>
      <w:r>
        <w:rPr>
          <w:b/>
          <w:spacing w:val="-9"/>
          <w:sz w:val="24"/>
        </w:rPr>
        <w:t> </w:t>
      </w:r>
      <w:r>
        <w:rPr>
          <w:b/>
          <w:sz w:val="24"/>
        </w:rPr>
        <w:t>la</w:t>
      </w:r>
      <w:r>
        <w:rPr>
          <w:b/>
          <w:spacing w:val="-9"/>
          <w:sz w:val="24"/>
        </w:rPr>
        <w:t> </w:t>
      </w:r>
      <w:r>
        <w:rPr>
          <w:b/>
          <w:sz w:val="24"/>
        </w:rPr>
        <w:t>operación</w:t>
      </w:r>
      <w:r>
        <w:rPr>
          <w:b/>
          <w:spacing w:val="-10"/>
          <w:sz w:val="24"/>
        </w:rPr>
        <w:t> </w:t>
      </w:r>
      <w:r>
        <w:rPr>
          <w:b/>
          <w:sz w:val="24"/>
        </w:rPr>
        <w:t>del</w:t>
      </w:r>
      <w:r>
        <w:rPr>
          <w:b/>
          <w:spacing w:val="-10"/>
          <w:sz w:val="24"/>
        </w:rPr>
        <w:t> </w:t>
      </w:r>
      <w:r>
        <w:rPr>
          <w:b/>
          <w:sz w:val="24"/>
        </w:rPr>
        <w:t>Fondo</w:t>
      </w:r>
      <w:r>
        <w:rPr>
          <w:b/>
          <w:spacing w:val="-10"/>
          <w:sz w:val="24"/>
        </w:rPr>
        <w:t> </w:t>
      </w:r>
      <w:r>
        <w:rPr>
          <w:b/>
          <w:sz w:val="24"/>
        </w:rPr>
        <w:t>de Aportaciones</w:t>
      </w:r>
      <w:r>
        <w:rPr>
          <w:b/>
          <w:spacing w:val="-6"/>
          <w:sz w:val="24"/>
        </w:rPr>
        <w:t> </w:t>
      </w:r>
      <w:r>
        <w:rPr>
          <w:b/>
          <w:sz w:val="24"/>
        </w:rPr>
        <w:t>para</w:t>
      </w:r>
      <w:r>
        <w:rPr>
          <w:b/>
          <w:spacing w:val="-6"/>
          <w:sz w:val="24"/>
        </w:rPr>
        <w:t> </w:t>
      </w:r>
      <w:r>
        <w:rPr>
          <w:b/>
          <w:sz w:val="24"/>
        </w:rPr>
        <w:t>la</w:t>
      </w:r>
      <w:r>
        <w:rPr>
          <w:b/>
          <w:spacing w:val="-8"/>
          <w:sz w:val="24"/>
        </w:rPr>
        <w:t> </w:t>
      </w:r>
      <w:r>
        <w:rPr>
          <w:b/>
          <w:sz w:val="24"/>
        </w:rPr>
        <w:t>Infraestructura</w:t>
      </w:r>
      <w:r>
        <w:rPr>
          <w:b/>
          <w:spacing w:val="-6"/>
          <w:sz w:val="24"/>
        </w:rPr>
        <w:t> </w:t>
      </w:r>
      <w:r>
        <w:rPr>
          <w:b/>
          <w:sz w:val="24"/>
        </w:rPr>
        <w:t>Social</w:t>
      </w:r>
      <w:r>
        <w:rPr>
          <w:sz w:val="24"/>
        </w:rPr>
        <w:t>,</w:t>
      </w:r>
      <w:r>
        <w:rPr>
          <w:spacing w:val="-6"/>
          <w:sz w:val="24"/>
        </w:rPr>
        <w:t> </w:t>
      </w:r>
      <w:r>
        <w:rPr>
          <w:sz w:val="24"/>
        </w:rPr>
        <w:t>además</w:t>
      </w:r>
      <w:r>
        <w:rPr>
          <w:spacing w:val="-7"/>
          <w:sz w:val="24"/>
        </w:rPr>
        <w:t> </w:t>
      </w:r>
      <w:r>
        <w:rPr>
          <w:sz w:val="24"/>
        </w:rPr>
        <w:t>con</w:t>
      </w:r>
      <w:r>
        <w:rPr>
          <w:spacing w:val="-8"/>
          <w:sz w:val="24"/>
        </w:rPr>
        <w:t> </w:t>
      </w:r>
      <w:r>
        <w:rPr>
          <w:sz w:val="24"/>
        </w:rPr>
        <w:t>el</w:t>
      </w:r>
      <w:r>
        <w:rPr>
          <w:spacing w:val="-10"/>
          <w:sz w:val="24"/>
        </w:rPr>
        <w:t> </w:t>
      </w:r>
      <w:r>
        <w:rPr>
          <w:sz w:val="24"/>
        </w:rPr>
        <w:t>fin</w:t>
      </w:r>
      <w:r>
        <w:rPr>
          <w:spacing w:val="-6"/>
          <w:sz w:val="24"/>
        </w:rPr>
        <w:t> </w:t>
      </w:r>
      <w:r>
        <w:rPr>
          <w:sz w:val="24"/>
        </w:rPr>
        <w:t>de</w:t>
      </w:r>
      <w:r>
        <w:rPr>
          <w:spacing w:val="-8"/>
          <w:sz w:val="24"/>
        </w:rPr>
        <w:t> </w:t>
      </w:r>
      <w:r>
        <w:rPr>
          <w:sz w:val="24"/>
        </w:rPr>
        <w:t>establecer</w:t>
      </w:r>
      <w:r>
        <w:rPr>
          <w:spacing w:val="-7"/>
          <w:sz w:val="24"/>
        </w:rPr>
        <w:t> </w:t>
      </w:r>
      <w:r>
        <w:rPr>
          <w:sz w:val="24"/>
        </w:rPr>
        <w:t>con claridad el destino de los recursos del Fondo, se enlistan los mismos en grandes rubros, y se detallarán en el </w:t>
      </w:r>
      <w:r>
        <w:rPr>
          <w:b/>
          <w:sz w:val="24"/>
        </w:rPr>
        <w:t>catálogo de acciones de los Lineamientos </w:t>
      </w:r>
      <w:r>
        <w:rPr>
          <w:sz w:val="24"/>
        </w:rPr>
        <w:t>que</w:t>
      </w:r>
      <w:r>
        <w:rPr>
          <w:spacing w:val="-26"/>
          <w:sz w:val="24"/>
        </w:rPr>
        <w:t> </w:t>
      </w:r>
      <w:r>
        <w:rPr>
          <w:sz w:val="24"/>
        </w:rPr>
        <w:t>para tal efecto emita la Secretaría de Desarrollo</w:t>
      </w:r>
      <w:r>
        <w:rPr>
          <w:spacing w:val="-19"/>
          <w:sz w:val="24"/>
        </w:rPr>
        <w:t> </w:t>
      </w:r>
      <w:r>
        <w:rPr>
          <w:sz w:val="24"/>
        </w:rPr>
        <w:t>Social.</w:t>
      </w:r>
    </w:p>
    <w:p>
      <w:pPr>
        <w:pStyle w:val="BodyText"/>
        <w:spacing w:before="3"/>
        <w:rPr>
          <w:sz w:val="21"/>
        </w:rPr>
      </w:pPr>
    </w:p>
    <w:p>
      <w:pPr>
        <w:pStyle w:val="BodyText"/>
        <w:spacing w:line="360" w:lineRule="auto"/>
        <w:ind w:left="102" w:right="124"/>
        <w:jc w:val="both"/>
      </w:pPr>
      <w:r>
        <w:rPr/>
        <w:t>3.- La Secretaria de Desarrollo Social deberá proporcionar capacitación, a los estados y sus respectivos municipios, sobre el funcionamiento del Fondo de Aportaciones para la Infraestructura Social Municipal.</w:t>
      </w:r>
    </w:p>
    <w:p>
      <w:pPr>
        <w:pStyle w:val="BodyText"/>
        <w:spacing w:before="1"/>
        <w:rPr>
          <w:sz w:val="21"/>
        </w:rPr>
      </w:pPr>
    </w:p>
    <w:p>
      <w:pPr>
        <w:pStyle w:val="BodyText"/>
        <w:spacing w:line="360" w:lineRule="auto"/>
        <w:ind w:left="102" w:right="118"/>
        <w:jc w:val="both"/>
        <w:rPr>
          <w:b/>
        </w:rPr>
      </w:pPr>
      <w:r>
        <w:rPr/>
        <w:t>4.- Se canalizaron recursos para las Demarcaciones Territoriales del Distrito Federal, por lo que ahora el fondo se denomina “Fondo para Infraestructura Social Municipal, se denominará Fondo para la Infraestructura Social Municipal y de las </w:t>
      </w:r>
      <w:r>
        <w:rPr>
          <w:b/>
        </w:rPr>
        <w:t>Demarcaciones Territoriales del Distrito Federal (FISM-DF).</w:t>
      </w:r>
    </w:p>
    <w:p>
      <w:pPr>
        <w:pStyle w:val="BodyText"/>
        <w:spacing w:before="1"/>
        <w:rPr>
          <w:b/>
          <w:sz w:val="21"/>
        </w:rPr>
      </w:pPr>
    </w:p>
    <w:p>
      <w:pPr>
        <w:pStyle w:val="BodyText"/>
        <w:spacing w:line="362" w:lineRule="auto"/>
        <w:ind w:left="102" w:right="124"/>
        <w:jc w:val="both"/>
      </w:pPr>
      <w:r>
        <w:rPr/>
        <w:t>5.- Dentro del destino del recurso se incluye ahora aquellos dirigidos hacia el mantenimiento de infraestructura.</w:t>
      </w:r>
    </w:p>
    <w:p>
      <w:pPr>
        <w:pStyle w:val="BodyText"/>
        <w:spacing w:before="10"/>
        <w:rPr>
          <w:sz w:val="20"/>
        </w:rPr>
      </w:pPr>
    </w:p>
    <w:p>
      <w:pPr>
        <w:pStyle w:val="BodyText"/>
        <w:spacing w:line="360" w:lineRule="auto"/>
        <w:ind w:left="102" w:right="125"/>
        <w:jc w:val="both"/>
      </w:pPr>
      <w:r>
        <w:rPr/>
        <w:t>6.- Y, con esta reforma resaltan conceptos como: pobreza multidimensional, carencias sociales, zonas de atención prioritaria, clasificación de proyectos</w:t>
      </w:r>
    </w:p>
    <w:p>
      <w:pPr>
        <w:pStyle w:val="BodyText"/>
        <w:spacing w:before="1"/>
        <w:rPr>
          <w:sz w:val="21"/>
        </w:rPr>
      </w:pPr>
    </w:p>
    <w:p>
      <w:pPr>
        <w:pStyle w:val="Heading2"/>
      </w:pPr>
      <w:r>
        <w:rPr/>
        <w:t>Marco Normativo Federal</w:t>
      </w:r>
    </w:p>
    <w:p>
      <w:pPr>
        <w:spacing w:after="0"/>
        <w:sectPr>
          <w:footerReference w:type="default" r:id="rId43"/>
          <w:pgSz w:w="12240" w:h="15840"/>
          <w:pgMar w:footer="992" w:header="0" w:top="1360" w:bottom="1180" w:left="1600" w:right="1580"/>
        </w:sectPr>
      </w:pPr>
    </w:p>
    <w:p>
      <w:pPr>
        <w:spacing w:line="360" w:lineRule="auto" w:before="53"/>
        <w:ind w:left="102" w:right="115" w:firstLine="0"/>
        <w:jc w:val="both"/>
        <w:rPr>
          <w:sz w:val="22"/>
        </w:rPr>
      </w:pPr>
      <w:r>
        <w:rPr>
          <w:sz w:val="22"/>
        </w:rPr>
        <w:t>En</w:t>
      </w:r>
      <w:r>
        <w:rPr>
          <w:spacing w:val="-5"/>
          <w:sz w:val="22"/>
        </w:rPr>
        <w:t> </w:t>
      </w:r>
      <w:r>
        <w:rPr>
          <w:sz w:val="22"/>
        </w:rPr>
        <w:t>este</w:t>
      </w:r>
      <w:r>
        <w:rPr>
          <w:spacing w:val="-5"/>
          <w:sz w:val="22"/>
        </w:rPr>
        <w:t> </w:t>
      </w:r>
      <w:r>
        <w:rPr>
          <w:sz w:val="22"/>
        </w:rPr>
        <w:t>apartado</w:t>
      </w:r>
      <w:r>
        <w:rPr>
          <w:spacing w:val="-8"/>
          <w:sz w:val="22"/>
        </w:rPr>
        <w:t> </w:t>
      </w:r>
      <w:r>
        <w:rPr>
          <w:sz w:val="22"/>
        </w:rPr>
        <w:t>se</w:t>
      </w:r>
      <w:r>
        <w:rPr>
          <w:spacing w:val="-5"/>
          <w:sz w:val="22"/>
        </w:rPr>
        <w:t> </w:t>
      </w:r>
      <w:r>
        <w:rPr>
          <w:sz w:val="22"/>
        </w:rPr>
        <w:t>plantean</w:t>
      </w:r>
      <w:r>
        <w:rPr>
          <w:spacing w:val="-5"/>
          <w:sz w:val="22"/>
        </w:rPr>
        <w:t> </w:t>
      </w:r>
      <w:r>
        <w:rPr>
          <w:sz w:val="22"/>
        </w:rPr>
        <w:t>las</w:t>
      </w:r>
      <w:r>
        <w:rPr>
          <w:spacing w:val="-5"/>
          <w:sz w:val="22"/>
        </w:rPr>
        <w:t> </w:t>
      </w:r>
      <w:r>
        <w:rPr>
          <w:sz w:val="22"/>
        </w:rPr>
        <w:t>disposiciones</w:t>
      </w:r>
      <w:r>
        <w:rPr>
          <w:spacing w:val="-8"/>
          <w:sz w:val="22"/>
        </w:rPr>
        <w:t> </w:t>
      </w:r>
      <w:r>
        <w:rPr>
          <w:sz w:val="22"/>
        </w:rPr>
        <w:t>federales,</w:t>
      </w:r>
      <w:r>
        <w:rPr>
          <w:spacing w:val="-7"/>
          <w:sz w:val="22"/>
        </w:rPr>
        <w:t> </w:t>
      </w:r>
      <w:r>
        <w:rPr>
          <w:sz w:val="22"/>
        </w:rPr>
        <w:t>que</w:t>
      </w:r>
      <w:r>
        <w:rPr>
          <w:spacing w:val="-6"/>
          <w:sz w:val="22"/>
        </w:rPr>
        <w:t> </w:t>
      </w:r>
      <w:r>
        <w:rPr>
          <w:sz w:val="22"/>
        </w:rPr>
        <w:t>dan</w:t>
      </w:r>
      <w:r>
        <w:rPr>
          <w:spacing w:val="-10"/>
          <w:sz w:val="22"/>
        </w:rPr>
        <w:t> </w:t>
      </w:r>
      <w:r>
        <w:rPr>
          <w:sz w:val="22"/>
        </w:rPr>
        <w:t>fundamento</w:t>
      </w:r>
      <w:r>
        <w:rPr>
          <w:spacing w:val="-3"/>
          <w:sz w:val="22"/>
        </w:rPr>
        <w:t> </w:t>
      </w:r>
      <w:r>
        <w:rPr>
          <w:sz w:val="22"/>
        </w:rPr>
        <w:t>jurídico</w:t>
      </w:r>
      <w:r>
        <w:rPr>
          <w:spacing w:val="-5"/>
          <w:sz w:val="22"/>
        </w:rPr>
        <w:t> </w:t>
      </w:r>
      <w:r>
        <w:rPr>
          <w:sz w:val="22"/>
        </w:rPr>
        <w:t>a</w:t>
      </w:r>
      <w:r>
        <w:rPr>
          <w:spacing w:val="-5"/>
          <w:sz w:val="22"/>
        </w:rPr>
        <w:t> </w:t>
      </w:r>
      <w:r>
        <w:rPr>
          <w:sz w:val="22"/>
        </w:rPr>
        <w:t>la operatividad del Fondo de Infraestructura Social, así como a los dos subfondos en los que se divide: el Fondo de Aportaciones para la Infraestructura Social Estatal y el Fondo de Aportaciones para la Infraestructura Social Municipal y de las Demarcaciones Territoriales del Distrito</w:t>
      </w:r>
      <w:r>
        <w:rPr>
          <w:spacing w:val="-6"/>
          <w:sz w:val="22"/>
        </w:rPr>
        <w:t> </w:t>
      </w:r>
      <w:r>
        <w:rPr>
          <w:sz w:val="22"/>
        </w:rPr>
        <w:t>Federal.</w:t>
      </w:r>
    </w:p>
    <w:p>
      <w:pPr>
        <w:pStyle w:val="BodyText"/>
        <w:spacing w:before="10"/>
        <w:rPr>
          <w:sz w:val="20"/>
        </w:rPr>
      </w:pPr>
    </w:p>
    <w:p>
      <w:pPr>
        <w:spacing w:before="1"/>
        <w:ind w:left="214" w:right="0" w:firstLine="0"/>
        <w:jc w:val="left"/>
        <w:rPr>
          <w:b/>
          <w:sz w:val="22"/>
        </w:rPr>
      </w:pPr>
      <w:r>
        <w:rPr>
          <w:b/>
          <w:sz w:val="22"/>
        </w:rPr>
        <w:t>Cuadro 6.  Normatividad Federal de Operación del Fondo de Infraestructura Social</w:t>
      </w:r>
    </w:p>
    <w:p>
      <w:pPr>
        <w:pStyle w:val="BodyText"/>
        <w:rPr>
          <w:b/>
          <w:sz w:val="20"/>
        </w:rPr>
      </w:pPr>
    </w:p>
    <w:p>
      <w:pPr>
        <w:pStyle w:val="BodyText"/>
        <w:spacing w:before="3"/>
        <w:rPr>
          <w:b/>
          <w:sz w:val="1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48"/>
        <w:gridCol w:w="2230"/>
        <w:gridCol w:w="1934"/>
        <w:gridCol w:w="2208"/>
      </w:tblGrid>
      <w:tr>
        <w:trPr>
          <w:trHeight w:val="1073" w:hRule="exact"/>
        </w:trPr>
        <w:tc>
          <w:tcPr>
            <w:tcW w:w="2448" w:type="dxa"/>
            <w:shd w:val="clear" w:color="auto" w:fill="000000"/>
          </w:tcPr>
          <w:p>
            <w:pPr>
              <w:pStyle w:val="TableParagraph"/>
              <w:spacing w:before="16"/>
              <w:ind w:left="568"/>
              <w:rPr>
                <w:b/>
                <w:sz w:val="20"/>
              </w:rPr>
            </w:pPr>
            <w:r>
              <w:rPr>
                <w:b/>
                <w:color w:val="FFFFFF"/>
                <w:sz w:val="20"/>
              </w:rPr>
              <w:t>Normatividad</w:t>
            </w:r>
          </w:p>
        </w:tc>
        <w:tc>
          <w:tcPr>
            <w:tcW w:w="2230" w:type="dxa"/>
            <w:shd w:val="clear" w:color="auto" w:fill="000000"/>
          </w:tcPr>
          <w:p>
            <w:pPr>
              <w:pStyle w:val="TableParagraph"/>
              <w:spacing w:line="276" w:lineRule="auto" w:before="16"/>
              <w:ind w:left="137" w:right="279"/>
              <w:jc w:val="center"/>
              <w:rPr>
                <w:b/>
                <w:sz w:val="20"/>
              </w:rPr>
            </w:pPr>
            <w:r>
              <w:rPr>
                <w:b/>
                <w:color w:val="FFFFFF"/>
                <w:sz w:val="20"/>
              </w:rPr>
              <w:t>Matriz de Inversión para el Desarrollo Social (MIDS)</w:t>
            </w:r>
          </w:p>
        </w:tc>
        <w:tc>
          <w:tcPr>
            <w:tcW w:w="1934" w:type="dxa"/>
            <w:shd w:val="clear" w:color="auto" w:fill="000000"/>
          </w:tcPr>
          <w:p>
            <w:pPr>
              <w:pStyle w:val="TableParagraph"/>
              <w:spacing w:before="16"/>
              <w:ind w:left="217"/>
              <w:rPr>
                <w:b/>
                <w:sz w:val="20"/>
              </w:rPr>
            </w:pPr>
            <w:r>
              <w:rPr>
                <w:b/>
                <w:color w:val="FFFFFF"/>
                <w:sz w:val="20"/>
              </w:rPr>
              <w:t>Reporte SFU</w:t>
            </w:r>
          </w:p>
        </w:tc>
        <w:tc>
          <w:tcPr>
            <w:tcW w:w="2208" w:type="dxa"/>
            <w:shd w:val="clear" w:color="auto" w:fill="000000"/>
          </w:tcPr>
          <w:p>
            <w:pPr>
              <w:pStyle w:val="TableParagraph"/>
              <w:spacing w:before="16"/>
              <w:ind w:left="393"/>
              <w:rPr>
                <w:b/>
                <w:sz w:val="20"/>
              </w:rPr>
            </w:pPr>
            <w:r>
              <w:rPr>
                <w:b/>
                <w:color w:val="FFFFFF"/>
                <w:sz w:val="20"/>
              </w:rPr>
              <w:t>Capacitación</w:t>
            </w:r>
          </w:p>
        </w:tc>
      </w:tr>
      <w:tr>
        <w:trPr>
          <w:trHeight w:val="3737" w:hRule="exact"/>
        </w:trPr>
        <w:tc>
          <w:tcPr>
            <w:tcW w:w="2448" w:type="dxa"/>
            <w:tcBorders>
              <w:left w:val="single" w:sz="8" w:space="0" w:color="000000"/>
              <w:bottom w:val="single" w:sz="8" w:space="0" w:color="000000"/>
            </w:tcBorders>
          </w:tcPr>
          <w:p>
            <w:pPr>
              <w:pStyle w:val="TableParagraph"/>
              <w:numPr>
                <w:ilvl w:val="0"/>
                <w:numId w:val="47"/>
              </w:numPr>
              <w:tabs>
                <w:tab w:pos="818" w:val="left" w:leader="none"/>
                <w:tab w:pos="819" w:val="left" w:leader="none"/>
                <w:tab w:pos="2039" w:val="left" w:leader="none"/>
              </w:tabs>
              <w:spacing w:line="240" w:lineRule="auto" w:before="0" w:after="0"/>
              <w:ind w:left="818" w:right="135" w:hanging="360"/>
              <w:jc w:val="left"/>
              <w:rPr>
                <w:b/>
                <w:sz w:val="18"/>
              </w:rPr>
            </w:pPr>
            <w:r>
              <w:rPr>
                <w:b/>
                <w:sz w:val="18"/>
              </w:rPr>
              <w:t>Lineamientos generales para la operación</w:t>
              <w:tab/>
              <w:t>del FAIS</w:t>
            </w:r>
          </w:p>
          <w:p>
            <w:pPr>
              <w:pStyle w:val="TableParagraph"/>
              <w:numPr>
                <w:ilvl w:val="0"/>
                <w:numId w:val="47"/>
              </w:numPr>
              <w:tabs>
                <w:tab w:pos="818" w:val="left" w:leader="none"/>
                <w:tab w:pos="819" w:val="left" w:leader="none"/>
              </w:tabs>
              <w:spacing w:line="206" w:lineRule="exact" w:before="0" w:after="0"/>
              <w:ind w:left="818" w:right="0" w:hanging="360"/>
              <w:jc w:val="left"/>
              <w:rPr>
                <w:b/>
                <w:sz w:val="18"/>
              </w:rPr>
            </w:pPr>
            <w:r>
              <w:rPr>
                <w:b/>
                <w:sz w:val="18"/>
              </w:rPr>
              <w:t>PRODIMDF</w:t>
            </w:r>
          </w:p>
          <w:p>
            <w:pPr>
              <w:pStyle w:val="TableParagraph"/>
              <w:numPr>
                <w:ilvl w:val="0"/>
                <w:numId w:val="47"/>
              </w:numPr>
              <w:tabs>
                <w:tab w:pos="818" w:val="left" w:leader="none"/>
                <w:tab w:pos="819" w:val="left" w:leader="none"/>
              </w:tabs>
              <w:spacing w:line="207" w:lineRule="exact" w:before="2" w:after="0"/>
              <w:ind w:left="818" w:right="0" w:hanging="360"/>
              <w:jc w:val="left"/>
              <w:rPr>
                <w:b/>
                <w:sz w:val="18"/>
              </w:rPr>
            </w:pPr>
            <w:r>
              <w:rPr>
                <w:b/>
                <w:sz w:val="18"/>
              </w:rPr>
              <w:t>Calculo</w:t>
            </w:r>
          </w:p>
          <w:p>
            <w:pPr>
              <w:pStyle w:val="TableParagraph"/>
              <w:numPr>
                <w:ilvl w:val="0"/>
                <w:numId w:val="47"/>
              </w:numPr>
              <w:tabs>
                <w:tab w:pos="818" w:val="left" w:leader="none"/>
                <w:tab w:pos="819" w:val="left" w:leader="none"/>
              </w:tabs>
              <w:spacing w:line="206" w:lineRule="exact" w:before="0" w:after="0"/>
              <w:ind w:left="818" w:right="0" w:hanging="360"/>
              <w:jc w:val="left"/>
              <w:rPr>
                <w:b/>
                <w:sz w:val="18"/>
              </w:rPr>
            </w:pPr>
            <w:r>
              <w:rPr>
                <w:b/>
                <w:sz w:val="18"/>
              </w:rPr>
              <w:t>Circulares</w:t>
            </w:r>
          </w:p>
          <w:p>
            <w:pPr>
              <w:pStyle w:val="TableParagraph"/>
              <w:numPr>
                <w:ilvl w:val="0"/>
                <w:numId w:val="47"/>
              </w:numPr>
              <w:tabs>
                <w:tab w:pos="818" w:val="left" w:leader="none"/>
                <w:tab w:pos="819" w:val="left" w:leader="none"/>
              </w:tabs>
              <w:spacing w:line="240" w:lineRule="auto" w:before="0" w:after="0"/>
              <w:ind w:left="818" w:right="215" w:hanging="360"/>
              <w:jc w:val="left"/>
              <w:rPr>
                <w:b/>
                <w:sz w:val="18"/>
              </w:rPr>
            </w:pPr>
            <w:r>
              <w:rPr>
                <w:b/>
                <w:sz w:val="18"/>
              </w:rPr>
              <w:t>Direccionamient o</w:t>
            </w:r>
          </w:p>
          <w:p>
            <w:pPr>
              <w:pStyle w:val="TableParagraph"/>
              <w:numPr>
                <w:ilvl w:val="0"/>
                <w:numId w:val="47"/>
              </w:numPr>
              <w:tabs>
                <w:tab w:pos="818" w:val="left" w:leader="none"/>
                <w:tab w:pos="819" w:val="left" w:leader="none"/>
              </w:tabs>
              <w:spacing w:line="207" w:lineRule="exact" w:before="2" w:after="0"/>
              <w:ind w:left="818" w:right="0" w:hanging="360"/>
              <w:jc w:val="left"/>
              <w:rPr>
                <w:b/>
                <w:sz w:val="18"/>
              </w:rPr>
            </w:pPr>
            <w:r>
              <w:rPr>
                <w:b/>
                <w:sz w:val="18"/>
              </w:rPr>
              <w:t>Normativos</w:t>
            </w:r>
          </w:p>
          <w:p>
            <w:pPr>
              <w:pStyle w:val="TableParagraph"/>
              <w:numPr>
                <w:ilvl w:val="0"/>
                <w:numId w:val="47"/>
              </w:numPr>
              <w:tabs>
                <w:tab w:pos="818" w:val="left" w:leader="none"/>
                <w:tab w:pos="819" w:val="left" w:leader="none"/>
              </w:tabs>
              <w:spacing w:line="206" w:lineRule="exact" w:before="0" w:after="0"/>
              <w:ind w:left="818" w:right="0" w:hanging="360"/>
              <w:jc w:val="left"/>
              <w:rPr>
                <w:b/>
                <w:sz w:val="18"/>
              </w:rPr>
            </w:pPr>
            <w:r>
              <w:rPr>
                <w:b/>
                <w:sz w:val="18"/>
              </w:rPr>
              <w:t>Convenios</w:t>
            </w:r>
          </w:p>
          <w:p>
            <w:pPr>
              <w:pStyle w:val="TableParagraph"/>
              <w:numPr>
                <w:ilvl w:val="0"/>
                <w:numId w:val="47"/>
              </w:numPr>
              <w:tabs>
                <w:tab w:pos="818" w:val="left" w:leader="none"/>
                <w:tab w:pos="819" w:val="left" w:leader="none"/>
              </w:tabs>
              <w:spacing w:line="240" w:lineRule="auto" w:before="0" w:after="0"/>
              <w:ind w:left="818" w:right="407" w:hanging="360"/>
              <w:jc w:val="left"/>
              <w:rPr>
                <w:b/>
                <w:sz w:val="18"/>
              </w:rPr>
            </w:pPr>
            <w:r>
              <w:rPr>
                <w:b/>
                <w:sz w:val="18"/>
              </w:rPr>
              <w:t>Publicaciones estados</w:t>
            </w:r>
          </w:p>
          <w:p>
            <w:pPr>
              <w:pStyle w:val="TableParagraph"/>
              <w:numPr>
                <w:ilvl w:val="0"/>
                <w:numId w:val="47"/>
              </w:numPr>
              <w:tabs>
                <w:tab w:pos="818" w:val="left" w:leader="none"/>
                <w:tab w:pos="819" w:val="left" w:leader="none"/>
              </w:tabs>
              <w:spacing w:line="240" w:lineRule="auto" w:before="2" w:after="0"/>
              <w:ind w:left="818" w:right="407" w:hanging="360"/>
              <w:jc w:val="left"/>
              <w:rPr>
                <w:b/>
                <w:sz w:val="18"/>
              </w:rPr>
            </w:pPr>
            <w:r>
              <w:rPr>
                <w:b/>
                <w:sz w:val="18"/>
              </w:rPr>
              <w:t>Publicaciones DOF</w:t>
            </w:r>
          </w:p>
          <w:p>
            <w:pPr>
              <w:pStyle w:val="TableParagraph"/>
              <w:numPr>
                <w:ilvl w:val="0"/>
                <w:numId w:val="47"/>
              </w:numPr>
              <w:tabs>
                <w:tab w:pos="818" w:val="left" w:leader="none"/>
                <w:tab w:pos="819" w:val="left" w:leader="none"/>
                <w:tab w:pos="2089" w:val="left" w:leader="none"/>
              </w:tabs>
              <w:spacing w:line="240" w:lineRule="auto" w:before="0" w:after="0"/>
              <w:ind w:left="818" w:right="136" w:hanging="360"/>
              <w:jc w:val="left"/>
              <w:rPr>
                <w:b/>
                <w:sz w:val="18"/>
              </w:rPr>
            </w:pPr>
            <w:r>
              <w:rPr>
                <w:b/>
                <w:sz w:val="18"/>
              </w:rPr>
              <w:t>Manual</w:t>
              <w:tab/>
              <w:t>de Coordinación Técnico</w:t>
            </w:r>
            <w:r>
              <w:rPr>
                <w:b/>
                <w:spacing w:val="-4"/>
                <w:sz w:val="18"/>
              </w:rPr>
              <w:t> </w:t>
            </w:r>
            <w:r>
              <w:rPr>
                <w:b/>
                <w:sz w:val="18"/>
              </w:rPr>
              <w:t>social</w:t>
            </w:r>
          </w:p>
        </w:tc>
        <w:tc>
          <w:tcPr>
            <w:tcW w:w="2230" w:type="dxa"/>
            <w:tcBorders>
              <w:bottom w:val="single" w:sz="8" w:space="0" w:color="000000"/>
            </w:tcBorders>
          </w:tcPr>
          <w:p>
            <w:pPr>
              <w:pStyle w:val="TableParagraph"/>
              <w:numPr>
                <w:ilvl w:val="0"/>
                <w:numId w:val="48"/>
              </w:numPr>
              <w:tabs>
                <w:tab w:pos="797" w:val="left" w:leader="none"/>
                <w:tab w:pos="798" w:val="left" w:leader="none"/>
              </w:tabs>
              <w:spacing w:line="206" w:lineRule="exact" w:before="0" w:after="0"/>
              <w:ind w:left="797" w:right="0" w:hanging="360"/>
              <w:jc w:val="left"/>
              <w:rPr>
                <w:sz w:val="18"/>
              </w:rPr>
            </w:pPr>
            <w:r>
              <w:rPr>
                <w:sz w:val="18"/>
              </w:rPr>
              <w:t>ZAP</w:t>
            </w:r>
          </w:p>
          <w:p>
            <w:pPr>
              <w:pStyle w:val="TableParagraph"/>
              <w:numPr>
                <w:ilvl w:val="0"/>
                <w:numId w:val="48"/>
              </w:numPr>
              <w:tabs>
                <w:tab w:pos="797" w:val="left" w:leader="none"/>
                <w:tab w:pos="798" w:val="left" w:leader="none"/>
                <w:tab w:pos="1872" w:val="left" w:leader="none"/>
              </w:tabs>
              <w:spacing w:line="240" w:lineRule="auto" w:before="2" w:after="0"/>
              <w:ind w:left="797" w:right="215" w:hanging="360"/>
              <w:jc w:val="left"/>
              <w:rPr>
                <w:sz w:val="18"/>
              </w:rPr>
            </w:pPr>
            <w:r>
              <w:rPr>
                <w:sz w:val="18"/>
              </w:rPr>
              <w:t>Enlace</w:t>
              <w:tab/>
              <w:t>al SIPSO</w:t>
            </w:r>
          </w:p>
          <w:p>
            <w:pPr>
              <w:pStyle w:val="TableParagraph"/>
              <w:numPr>
                <w:ilvl w:val="0"/>
                <w:numId w:val="48"/>
              </w:numPr>
              <w:tabs>
                <w:tab w:pos="797" w:val="left" w:leader="none"/>
                <w:tab w:pos="798" w:val="left" w:leader="none"/>
              </w:tabs>
              <w:spacing w:line="240" w:lineRule="auto" w:before="0" w:after="0"/>
              <w:ind w:left="797" w:right="217" w:hanging="360"/>
              <w:jc w:val="left"/>
              <w:rPr>
                <w:sz w:val="18"/>
              </w:rPr>
            </w:pPr>
            <w:r>
              <w:rPr>
                <w:sz w:val="18"/>
              </w:rPr>
              <w:t>Base de datos MID</w:t>
            </w:r>
          </w:p>
          <w:p>
            <w:pPr>
              <w:pStyle w:val="TableParagraph"/>
              <w:numPr>
                <w:ilvl w:val="0"/>
                <w:numId w:val="48"/>
              </w:numPr>
              <w:tabs>
                <w:tab w:pos="797" w:val="left" w:leader="none"/>
                <w:tab w:pos="798" w:val="left" w:leader="none"/>
              </w:tabs>
              <w:spacing w:line="240" w:lineRule="auto" w:before="2" w:after="0"/>
              <w:ind w:left="797" w:right="277" w:hanging="360"/>
              <w:jc w:val="left"/>
              <w:rPr>
                <w:sz w:val="18"/>
              </w:rPr>
            </w:pPr>
            <w:r>
              <w:rPr>
                <w:sz w:val="18"/>
              </w:rPr>
              <w:t>Presentacione s</w:t>
            </w:r>
            <w:r>
              <w:rPr>
                <w:spacing w:val="-3"/>
                <w:sz w:val="18"/>
              </w:rPr>
              <w:t> </w:t>
            </w:r>
            <w:r>
              <w:rPr>
                <w:sz w:val="18"/>
              </w:rPr>
              <w:t>MID</w:t>
            </w:r>
          </w:p>
          <w:p>
            <w:pPr>
              <w:pStyle w:val="TableParagraph"/>
              <w:numPr>
                <w:ilvl w:val="0"/>
                <w:numId w:val="48"/>
              </w:numPr>
              <w:tabs>
                <w:tab w:pos="797" w:val="left" w:leader="none"/>
                <w:tab w:pos="798" w:val="left" w:leader="none"/>
              </w:tabs>
              <w:spacing w:line="206" w:lineRule="exact" w:before="0" w:after="0"/>
              <w:ind w:left="797" w:right="0" w:hanging="360"/>
              <w:jc w:val="left"/>
              <w:rPr>
                <w:sz w:val="18"/>
              </w:rPr>
            </w:pPr>
            <w:r>
              <w:rPr>
                <w:sz w:val="18"/>
              </w:rPr>
              <w:t>Programa</w:t>
            </w:r>
          </w:p>
          <w:p>
            <w:pPr>
              <w:pStyle w:val="TableParagraph"/>
              <w:ind w:left="797" w:right="182"/>
              <w:rPr>
                <w:sz w:val="18"/>
              </w:rPr>
            </w:pPr>
            <w:r>
              <w:rPr>
                <w:sz w:val="18"/>
              </w:rPr>
              <w:t>federal para la concurrencia del FAIS</w:t>
            </w:r>
          </w:p>
        </w:tc>
        <w:tc>
          <w:tcPr>
            <w:tcW w:w="1934" w:type="dxa"/>
            <w:tcBorders>
              <w:bottom w:val="single" w:sz="8" w:space="0" w:color="000000"/>
            </w:tcBorders>
          </w:tcPr>
          <w:p>
            <w:pPr>
              <w:pStyle w:val="TableParagraph"/>
              <w:numPr>
                <w:ilvl w:val="0"/>
                <w:numId w:val="49"/>
              </w:numPr>
              <w:tabs>
                <w:tab w:pos="718" w:val="left" w:leader="none"/>
                <w:tab w:pos="719" w:val="left" w:leader="none"/>
              </w:tabs>
              <w:spacing w:line="240" w:lineRule="auto" w:before="0" w:after="0"/>
              <w:ind w:left="718" w:right="371" w:hanging="360"/>
              <w:jc w:val="left"/>
              <w:rPr>
                <w:sz w:val="18"/>
              </w:rPr>
            </w:pPr>
            <w:r>
              <w:rPr>
                <w:sz w:val="18"/>
              </w:rPr>
              <w:t>Reportes trimestrale s</w:t>
            </w:r>
            <w:r>
              <w:rPr>
                <w:spacing w:val="1"/>
                <w:sz w:val="18"/>
              </w:rPr>
              <w:t> </w:t>
            </w:r>
            <w:r>
              <w:rPr>
                <w:sz w:val="18"/>
              </w:rPr>
              <w:t>SFU</w:t>
            </w:r>
          </w:p>
          <w:p>
            <w:pPr>
              <w:pStyle w:val="TableParagraph"/>
              <w:numPr>
                <w:ilvl w:val="0"/>
                <w:numId w:val="49"/>
              </w:numPr>
              <w:tabs>
                <w:tab w:pos="719" w:val="left" w:leader="none"/>
              </w:tabs>
              <w:spacing w:line="240" w:lineRule="auto" w:before="0" w:after="0"/>
              <w:ind w:left="718" w:right="482" w:hanging="360"/>
              <w:jc w:val="both"/>
              <w:rPr>
                <w:sz w:val="18"/>
              </w:rPr>
            </w:pPr>
            <w:r>
              <w:rPr>
                <w:sz w:val="18"/>
              </w:rPr>
              <w:t>Reportes estatales (FISE)</w:t>
            </w:r>
          </w:p>
          <w:p>
            <w:pPr>
              <w:pStyle w:val="TableParagraph"/>
              <w:numPr>
                <w:ilvl w:val="0"/>
                <w:numId w:val="49"/>
              </w:numPr>
              <w:tabs>
                <w:tab w:pos="718" w:val="left" w:leader="none"/>
                <w:tab w:pos="719" w:val="left" w:leader="none"/>
              </w:tabs>
              <w:spacing w:line="240" w:lineRule="auto" w:before="0" w:after="0"/>
              <w:ind w:left="718" w:right="350" w:hanging="360"/>
              <w:jc w:val="left"/>
              <w:rPr>
                <w:sz w:val="18"/>
              </w:rPr>
            </w:pPr>
            <w:r>
              <w:rPr>
                <w:sz w:val="18"/>
              </w:rPr>
              <w:t>Reportes municipale s</w:t>
            </w:r>
            <w:r>
              <w:rPr>
                <w:spacing w:val="-3"/>
                <w:sz w:val="18"/>
              </w:rPr>
              <w:t> </w:t>
            </w:r>
            <w:r>
              <w:rPr>
                <w:sz w:val="18"/>
              </w:rPr>
              <w:t>(FISM)</w:t>
            </w:r>
          </w:p>
          <w:p>
            <w:pPr>
              <w:pStyle w:val="TableParagraph"/>
              <w:numPr>
                <w:ilvl w:val="0"/>
                <w:numId w:val="49"/>
              </w:numPr>
              <w:tabs>
                <w:tab w:pos="718" w:val="left" w:leader="none"/>
                <w:tab w:pos="719" w:val="left" w:leader="none"/>
                <w:tab w:pos="1442" w:val="left" w:leader="none"/>
              </w:tabs>
              <w:spacing w:line="240" w:lineRule="auto" w:before="2" w:after="0"/>
              <w:ind w:left="718" w:right="287" w:hanging="360"/>
              <w:jc w:val="left"/>
              <w:rPr>
                <w:sz w:val="18"/>
              </w:rPr>
            </w:pPr>
            <w:r>
              <w:rPr>
                <w:sz w:val="18"/>
              </w:rPr>
              <w:t>Matriz</w:t>
              <w:tab/>
              <w:t>de indicadores para resultados (MIR)</w:t>
            </w:r>
          </w:p>
        </w:tc>
        <w:tc>
          <w:tcPr>
            <w:tcW w:w="2208" w:type="dxa"/>
            <w:tcBorders>
              <w:bottom w:val="single" w:sz="8" w:space="0" w:color="000000"/>
              <w:right w:val="single" w:sz="8" w:space="0" w:color="000000"/>
            </w:tcBorders>
          </w:tcPr>
          <w:p>
            <w:pPr>
              <w:pStyle w:val="TableParagraph"/>
              <w:numPr>
                <w:ilvl w:val="0"/>
                <w:numId w:val="50"/>
              </w:numPr>
              <w:tabs>
                <w:tab w:pos="650" w:val="left" w:leader="none"/>
                <w:tab w:pos="651" w:val="left" w:leader="none"/>
                <w:tab w:pos="1902" w:val="left" w:leader="none"/>
              </w:tabs>
              <w:spacing w:line="240" w:lineRule="auto" w:before="0" w:after="0"/>
              <w:ind w:left="650" w:right="93" w:hanging="361"/>
              <w:jc w:val="left"/>
              <w:rPr>
                <w:sz w:val="18"/>
              </w:rPr>
            </w:pPr>
            <w:r>
              <w:rPr>
                <w:sz w:val="18"/>
              </w:rPr>
              <w:t>Capacitación</w:t>
              <w:tab/>
              <w:t>en línea</w:t>
            </w:r>
          </w:p>
          <w:p>
            <w:pPr>
              <w:pStyle w:val="TableParagraph"/>
              <w:numPr>
                <w:ilvl w:val="0"/>
                <w:numId w:val="50"/>
              </w:numPr>
              <w:tabs>
                <w:tab w:pos="650" w:val="left" w:leader="none"/>
                <w:tab w:pos="651" w:val="left" w:leader="none"/>
              </w:tabs>
              <w:spacing w:line="240" w:lineRule="auto" w:before="0" w:after="0"/>
              <w:ind w:left="650" w:right="153" w:hanging="361"/>
              <w:jc w:val="left"/>
              <w:rPr>
                <w:sz w:val="18"/>
              </w:rPr>
            </w:pPr>
            <w:r>
              <w:rPr>
                <w:sz w:val="18"/>
              </w:rPr>
              <w:t>Videoconferencia s</w:t>
            </w:r>
          </w:p>
          <w:p>
            <w:pPr>
              <w:pStyle w:val="TableParagraph"/>
              <w:numPr>
                <w:ilvl w:val="0"/>
                <w:numId w:val="50"/>
              </w:numPr>
              <w:tabs>
                <w:tab w:pos="650" w:val="left" w:leader="none"/>
                <w:tab w:pos="651" w:val="left" w:leader="none"/>
              </w:tabs>
              <w:spacing w:line="206" w:lineRule="exact" w:before="0" w:after="0"/>
              <w:ind w:left="650" w:right="0" w:hanging="361"/>
              <w:jc w:val="left"/>
              <w:rPr>
                <w:sz w:val="18"/>
              </w:rPr>
            </w:pPr>
            <w:r>
              <w:rPr>
                <w:sz w:val="18"/>
              </w:rPr>
              <w:t>Capacitaciones</w:t>
            </w:r>
          </w:p>
        </w:tc>
      </w:tr>
    </w:tbl>
    <w:p>
      <w:pPr>
        <w:spacing w:line="230" w:lineRule="exact" w:before="0"/>
        <w:ind w:left="102" w:right="0" w:firstLine="0"/>
        <w:jc w:val="both"/>
        <w:rPr>
          <w:sz w:val="20"/>
        </w:rPr>
      </w:pPr>
      <w:r>
        <w:rPr>
          <w:sz w:val="20"/>
        </w:rPr>
        <w:t>Fuente: </w:t>
      </w:r>
      <w:hyperlink r:id="rId45">
        <w:r>
          <w:rPr>
            <w:sz w:val="20"/>
          </w:rPr>
          <w:t>www.sedesol.gob.mx/en/SEDESOL/Informe_fais</w:t>
        </w:r>
      </w:hyperlink>
      <w:r>
        <w:rPr>
          <w:sz w:val="20"/>
        </w:rPr>
        <w:t> (2015).</w:t>
      </w:r>
    </w:p>
    <w:p>
      <w:pPr>
        <w:pStyle w:val="BodyText"/>
        <w:rPr>
          <w:sz w:val="20"/>
        </w:rPr>
      </w:pPr>
    </w:p>
    <w:p>
      <w:pPr>
        <w:pStyle w:val="BodyText"/>
        <w:rPr>
          <w:sz w:val="20"/>
        </w:rPr>
      </w:pPr>
    </w:p>
    <w:p>
      <w:pPr>
        <w:pStyle w:val="BodyText"/>
        <w:spacing w:before="6"/>
        <w:rPr>
          <w:sz w:val="27"/>
        </w:rPr>
      </w:pPr>
    </w:p>
    <w:p>
      <w:pPr>
        <w:pStyle w:val="BodyText"/>
        <w:spacing w:line="360" w:lineRule="auto"/>
        <w:ind w:left="102" w:right="115"/>
        <w:jc w:val="both"/>
      </w:pPr>
      <w:r>
        <w:rPr/>
        <w:t>En el cuadro 6 se muestra los cambios derivado de la reforma ya mencionada, en donde la Secretaria de Desarrollo Social, se dio a la tarea de que en su página de internet, se encontraran con cada una de las herramientas de apoyo así como de aquellas instrumentos a los cuales los gobiernos locales tienen que dar cabal cumplimiento,</w:t>
      </w:r>
      <w:r>
        <w:rPr>
          <w:spacing w:val="-9"/>
        </w:rPr>
        <w:t> </w:t>
      </w:r>
      <w:r>
        <w:rPr/>
        <w:t>esto</w:t>
      </w:r>
      <w:r>
        <w:rPr>
          <w:spacing w:val="-8"/>
        </w:rPr>
        <w:t> </w:t>
      </w:r>
      <w:r>
        <w:rPr/>
        <w:t>con</w:t>
      </w:r>
      <w:r>
        <w:rPr>
          <w:spacing w:val="-11"/>
        </w:rPr>
        <w:t> </w:t>
      </w:r>
      <w:r>
        <w:rPr/>
        <w:t>la</w:t>
      </w:r>
      <w:r>
        <w:rPr>
          <w:spacing w:val="-9"/>
        </w:rPr>
        <w:t> </w:t>
      </w:r>
      <w:r>
        <w:rPr/>
        <w:t>finalidad</w:t>
      </w:r>
      <w:r>
        <w:rPr>
          <w:spacing w:val="-8"/>
        </w:rPr>
        <w:t> </w:t>
      </w:r>
      <w:r>
        <w:rPr/>
        <w:t>de</w:t>
      </w:r>
      <w:r>
        <w:rPr>
          <w:spacing w:val="-8"/>
        </w:rPr>
        <w:t> </w:t>
      </w:r>
      <w:r>
        <w:rPr/>
        <w:t>coadyuvar</w:t>
      </w:r>
      <w:r>
        <w:rPr>
          <w:spacing w:val="-10"/>
        </w:rPr>
        <w:t> </w:t>
      </w:r>
      <w:r>
        <w:rPr/>
        <w:t>con</w:t>
      </w:r>
      <w:r>
        <w:rPr>
          <w:spacing w:val="-8"/>
        </w:rPr>
        <w:t> </w:t>
      </w:r>
      <w:r>
        <w:rPr/>
        <w:t>el</w:t>
      </w:r>
      <w:r>
        <w:rPr>
          <w:spacing w:val="-10"/>
        </w:rPr>
        <w:t> </w:t>
      </w:r>
      <w:r>
        <w:rPr/>
        <w:t>adecuado</w:t>
      </w:r>
      <w:r>
        <w:rPr>
          <w:spacing w:val="-11"/>
        </w:rPr>
        <w:t> </w:t>
      </w:r>
      <w:r>
        <w:rPr/>
        <w:t>manejo</w:t>
      </w:r>
      <w:r>
        <w:rPr>
          <w:spacing w:val="-9"/>
        </w:rPr>
        <w:t> </w:t>
      </w:r>
      <w:r>
        <w:rPr/>
        <w:t>del</w:t>
      </w:r>
      <w:r>
        <w:rPr>
          <w:spacing w:val="-12"/>
        </w:rPr>
        <w:t> </w:t>
      </w:r>
      <w:r>
        <w:rPr/>
        <w:t>fondo ya citado, por lo que tanto los municipios como los estados podrán contar con las utilidades que den auxilio a la hora de ejecutar el recurso. Dentro del rubro de normativos</w:t>
      </w:r>
      <w:r>
        <w:rPr>
          <w:spacing w:val="-14"/>
        </w:rPr>
        <w:t> </w:t>
      </w:r>
      <w:r>
        <w:rPr/>
        <w:t>cuando</w:t>
      </w:r>
      <w:r>
        <w:rPr>
          <w:spacing w:val="-13"/>
        </w:rPr>
        <w:t> </w:t>
      </w:r>
      <w:r>
        <w:rPr/>
        <w:t>se</w:t>
      </w:r>
      <w:r>
        <w:rPr>
          <w:spacing w:val="-15"/>
        </w:rPr>
        <w:t> </w:t>
      </w:r>
      <w:r>
        <w:rPr/>
        <w:t>ingresa</w:t>
      </w:r>
      <w:r>
        <w:rPr>
          <w:spacing w:val="-10"/>
        </w:rPr>
        <w:t> </w:t>
      </w:r>
      <w:r>
        <w:rPr/>
        <w:t>a</w:t>
      </w:r>
      <w:r>
        <w:rPr>
          <w:spacing w:val="-13"/>
        </w:rPr>
        <w:t> </w:t>
      </w:r>
      <w:r>
        <w:rPr/>
        <w:t>la</w:t>
      </w:r>
      <w:r>
        <w:rPr>
          <w:spacing w:val="-16"/>
        </w:rPr>
        <w:t> </w:t>
      </w:r>
      <w:r>
        <w:rPr/>
        <w:t>página</w:t>
      </w:r>
      <w:r>
        <w:rPr>
          <w:spacing w:val="-12"/>
        </w:rPr>
        <w:t> </w:t>
      </w:r>
      <w:r>
        <w:rPr/>
        <w:t>web</w:t>
      </w:r>
      <w:r>
        <w:rPr>
          <w:spacing w:val="-15"/>
        </w:rPr>
        <w:t> </w:t>
      </w:r>
      <w:r>
        <w:rPr/>
        <w:t>de</w:t>
      </w:r>
      <w:r>
        <w:rPr>
          <w:spacing w:val="-13"/>
        </w:rPr>
        <w:t> </w:t>
      </w:r>
      <w:r>
        <w:rPr/>
        <w:t>la</w:t>
      </w:r>
      <w:r>
        <w:rPr>
          <w:spacing w:val="-16"/>
        </w:rPr>
        <w:t> </w:t>
      </w:r>
      <w:r>
        <w:rPr/>
        <w:t>Secretaría</w:t>
      </w:r>
      <w:r>
        <w:rPr>
          <w:spacing w:val="-13"/>
        </w:rPr>
        <w:t> </w:t>
      </w:r>
      <w:r>
        <w:rPr/>
        <w:t>de</w:t>
      </w:r>
      <w:r>
        <w:rPr>
          <w:spacing w:val="-13"/>
        </w:rPr>
        <w:t> </w:t>
      </w:r>
      <w:r>
        <w:rPr/>
        <w:t>Desarrollo</w:t>
      </w:r>
      <w:r>
        <w:rPr>
          <w:spacing w:val="-13"/>
        </w:rPr>
        <w:t> </w:t>
      </w:r>
      <w:r>
        <w:rPr/>
        <w:t>Social; se</w:t>
      </w:r>
      <w:r>
        <w:rPr>
          <w:spacing w:val="-8"/>
        </w:rPr>
        <w:t> </w:t>
      </w:r>
      <w:r>
        <w:rPr/>
        <w:t>halla</w:t>
      </w:r>
      <w:r>
        <w:rPr>
          <w:spacing w:val="-10"/>
        </w:rPr>
        <w:t> </w:t>
      </w:r>
      <w:r>
        <w:rPr/>
        <w:t>la</w:t>
      </w:r>
      <w:r>
        <w:rPr>
          <w:spacing w:val="-9"/>
        </w:rPr>
        <w:t> </w:t>
      </w:r>
      <w:r>
        <w:rPr/>
        <w:t>normatividad</w:t>
      </w:r>
      <w:r>
        <w:rPr>
          <w:spacing w:val="-8"/>
        </w:rPr>
        <w:t> </w:t>
      </w:r>
      <w:r>
        <w:rPr/>
        <w:t>jurídica</w:t>
      </w:r>
      <w:r>
        <w:rPr>
          <w:spacing w:val="-11"/>
        </w:rPr>
        <w:t> </w:t>
      </w:r>
      <w:r>
        <w:rPr/>
        <w:t>federal</w:t>
      </w:r>
      <w:r>
        <w:rPr>
          <w:spacing w:val="-9"/>
        </w:rPr>
        <w:t> </w:t>
      </w:r>
      <w:r>
        <w:rPr/>
        <w:t>que</w:t>
      </w:r>
      <w:r>
        <w:rPr>
          <w:spacing w:val="-11"/>
        </w:rPr>
        <w:t> </w:t>
      </w:r>
      <w:r>
        <w:rPr/>
        <w:t>es</w:t>
      </w:r>
      <w:r>
        <w:rPr>
          <w:spacing w:val="-9"/>
        </w:rPr>
        <w:t> </w:t>
      </w:r>
      <w:r>
        <w:rPr/>
        <w:t>la</w:t>
      </w:r>
      <w:r>
        <w:rPr>
          <w:spacing w:val="-9"/>
        </w:rPr>
        <w:t> </w:t>
      </w:r>
      <w:r>
        <w:rPr/>
        <w:t>Ley</w:t>
      </w:r>
      <w:r>
        <w:rPr>
          <w:spacing w:val="-12"/>
        </w:rPr>
        <w:t> </w:t>
      </w:r>
      <w:r>
        <w:rPr/>
        <w:t>Coordinación</w:t>
      </w:r>
      <w:r>
        <w:rPr>
          <w:spacing w:val="-13"/>
        </w:rPr>
        <w:t> </w:t>
      </w:r>
      <w:r>
        <w:rPr/>
        <w:t>Fiscal,</w:t>
      </w:r>
      <w:r>
        <w:rPr>
          <w:spacing w:val="-9"/>
        </w:rPr>
        <w:t> </w:t>
      </w:r>
      <w:r>
        <w:rPr/>
        <w:t>Catalogo FAIS, Reglamento Interior SEDESOL, Ley General de Desarrollo Social, Ley Federal  de  Presupuesto  y  Responsabilidad  Hacendaria,  los  Lineamientos</w:t>
      </w:r>
      <w:r>
        <w:rPr>
          <w:spacing w:val="-24"/>
        </w:rPr>
        <w:t> </w:t>
      </w:r>
      <w:r>
        <w:rPr/>
        <w:t>para</w:t>
      </w:r>
    </w:p>
    <w:p>
      <w:pPr>
        <w:spacing w:after="0" w:line="360" w:lineRule="auto"/>
        <w:jc w:val="both"/>
        <w:sectPr>
          <w:footerReference w:type="default" r:id="rId44"/>
          <w:pgSz w:w="12240" w:h="15840"/>
          <w:pgMar w:footer="992" w:header="0" w:top="1360" w:bottom="1180" w:left="1600" w:right="1580"/>
          <w:pgNumType w:start="121"/>
        </w:sectPr>
      </w:pPr>
    </w:p>
    <w:p>
      <w:pPr>
        <w:pStyle w:val="BodyText"/>
        <w:spacing w:line="360" w:lineRule="auto" w:before="54"/>
        <w:ind w:left="102" w:right="117"/>
        <w:jc w:val="both"/>
      </w:pPr>
      <w:r>
        <w:rPr/>
        <w:t>reportar recursos del Ramo 33, el Sistema Formato Único, Constitución Política Federal, la Ley de Ingresos respectiva, la Ley General de Contabilidad Gubernamental,</w:t>
      </w:r>
      <w:r>
        <w:rPr>
          <w:spacing w:val="-13"/>
        </w:rPr>
        <w:t> </w:t>
      </w:r>
      <w:r>
        <w:rPr/>
        <w:t>Ley</w:t>
      </w:r>
      <w:r>
        <w:rPr>
          <w:spacing w:val="-13"/>
        </w:rPr>
        <w:t> </w:t>
      </w:r>
      <w:r>
        <w:rPr/>
        <w:t>Orgánica</w:t>
      </w:r>
      <w:r>
        <w:rPr>
          <w:spacing w:val="-10"/>
        </w:rPr>
        <w:t> </w:t>
      </w:r>
      <w:r>
        <w:rPr/>
        <w:t>de</w:t>
      </w:r>
      <w:r>
        <w:rPr>
          <w:spacing w:val="-12"/>
        </w:rPr>
        <w:t> </w:t>
      </w:r>
      <w:r>
        <w:rPr/>
        <w:t>la</w:t>
      </w:r>
      <w:r>
        <w:rPr>
          <w:spacing w:val="-12"/>
        </w:rPr>
        <w:t> </w:t>
      </w:r>
      <w:r>
        <w:rPr/>
        <w:t>Administración</w:t>
      </w:r>
      <w:r>
        <w:rPr>
          <w:spacing w:val="-11"/>
        </w:rPr>
        <w:t> </w:t>
      </w:r>
      <w:r>
        <w:rPr/>
        <w:t>Pública</w:t>
      </w:r>
      <w:r>
        <w:rPr>
          <w:spacing w:val="-9"/>
        </w:rPr>
        <w:t> </w:t>
      </w:r>
      <w:r>
        <w:rPr/>
        <w:t>Federal,</w:t>
      </w:r>
      <w:r>
        <w:rPr>
          <w:spacing w:val="-15"/>
        </w:rPr>
        <w:t> </w:t>
      </w:r>
      <w:r>
        <w:rPr/>
        <w:t>el</w:t>
      </w:r>
      <w:r>
        <w:rPr>
          <w:spacing w:val="-11"/>
        </w:rPr>
        <w:t> </w:t>
      </w:r>
      <w:r>
        <w:rPr/>
        <w:t>Presupuesto de Egresos de la Federación para el ejercicio fiscal correspondiente, Reglamento interno del Comité de Proyectos especiales, con la metodología para la medición multidimensional</w:t>
      </w:r>
      <w:r>
        <w:rPr>
          <w:spacing w:val="-7"/>
        </w:rPr>
        <w:t> </w:t>
      </w:r>
      <w:r>
        <w:rPr/>
        <w:t>de</w:t>
      </w:r>
      <w:r>
        <w:rPr>
          <w:spacing w:val="-6"/>
        </w:rPr>
        <w:t> </w:t>
      </w:r>
      <w:r>
        <w:rPr/>
        <w:t>la</w:t>
      </w:r>
      <w:r>
        <w:rPr>
          <w:spacing w:val="-9"/>
        </w:rPr>
        <w:t> </w:t>
      </w:r>
      <w:r>
        <w:rPr/>
        <w:t>pobreza,</w:t>
      </w:r>
      <w:r>
        <w:rPr>
          <w:spacing w:val="-6"/>
        </w:rPr>
        <w:t> </w:t>
      </w:r>
      <w:r>
        <w:rPr/>
        <w:t>Criterios</w:t>
      </w:r>
      <w:r>
        <w:rPr>
          <w:spacing w:val="-7"/>
        </w:rPr>
        <w:t> </w:t>
      </w:r>
      <w:r>
        <w:rPr/>
        <w:t>y</w:t>
      </w:r>
      <w:r>
        <w:rPr>
          <w:spacing w:val="-9"/>
        </w:rPr>
        <w:t> </w:t>
      </w:r>
      <w:r>
        <w:rPr/>
        <w:t>evaluación</w:t>
      </w:r>
      <w:r>
        <w:rPr>
          <w:spacing w:val="-8"/>
        </w:rPr>
        <w:t> </w:t>
      </w:r>
      <w:r>
        <w:rPr/>
        <w:t>del</w:t>
      </w:r>
      <w:r>
        <w:rPr>
          <w:spacing w:val="-7"/>
        </w:rPr>
        <w:t> </w:t>
      </w:r>
      <w:r>
        <w:rPr/>
        <w:t>FAIS,</w:t>
      </w:r>
      <w:r>
        <w:rPr>
          <w:spacing w:val="-6"/>
        </w:rPr>
        <w:t> </w:t>
      </w:r>
      <w:r>
        <w:rPr/>
        <w:t>y</w:t>
      </w:r>
      <w:r>
        <w:rPr>
          <w:spacing w:val="-9"/>
        </w:rPr>
        <w:t> </w:t>
      </w:r>
      <w:r>
        <w:rPr/>
        <w:t>la</w:t>
      </w:r>
      <w:r>
        <w:rPr>
          <w:spacing w:val="-4"/>
        </w:rPr>
        <w:t> </w:t>
      </w:r>
      <w:r>
        <w:rPr/>
        <w:t>Información</w:t>
      </w:r>
      <w:r>
        <w:rPr>
          <w:spacing w:val="-8"/>
        </w:rPr>
        <w:t> </w:t>
      </w:r>
      <w:r>
        <w:rPr/>
        <w:t>de la Matriz de Indicadores para</w:t>
      </w:r>
      <w:r>
        <w:rPr>
          <w:spacing w:val="-14"/>
        </w:rPr>
        <w:t> </w:t>
      </w:r>
      <w:r>
        <w:rPr/>
        <w:t>Resultados.</w:t>
      </w:r>
    </w:p>
    <w:p>
      <w:pPr>
        <w:pStyle w:val="BodyText"/>
        <w:spacing w:before="3"/>
        <w:rPr>
          <w:sz w:val="21"/>
        </w:rPr>
      </w:pPr>
    </w:p>
    <w:p>
      <w:pPr>
        <w:pStyle w:val="Heading2"/>
      </w:pPr>
      <w:r>
        <w:rPr/>
        <w:t>Distribución del recurso</w:t>
      </w:r>
    </w:p>
    <w:p>
      <w:pPr>
        <w:pStyle w:val="BodyText"/>
        <w:spacing w:before="9"/>
        <w:rPr>
          <w:b/>
          <w:sz w:val="32"/>
        </w:rPr>
      </w:pPr>
    </w:p>
    <w:p>
      <w:pPr>
        <w:pStyle w:val="BodyText"/>
        <w:spacing w:line="360" w:lineRule="auto"/>
        <w:ind w:left="102" w:right="118"/>
        <w:jc w:val="both"/>
      </w:pPr>
      <w:r>
        <w:rPr/>
        <w:t>El Ejecutivo Federal, a través de la Secretaría de Desarrollo Social, distribuye el Fondo de Aportaciones para la Infraestructura Social entre los Estados, y de estos hacia los municipios, considerando criterios de pobreza extrema para la aplicación de la fórmula y procedimiento previstos en el artículo 34 de la Ley de Coordinación Fiscal.</w:t>
      </w:r>
      <w:r>
        <w:rPr>
          <w:spacing w:val="-16"/>
        </w:rPr>
        <w:t> </w:t>
      </w:r>
      <w:r>
        <w:rPr/>
        <w:t>La</w:t>
      </w:r>
      <w:r>
        <w:rPr>
          <w:spacing w:val="-16"/>
        </w:rPr>
        <w:t> </w:t>
      </w:r>
      <w:r>
        <w:rPr/>
        <w:t>determinación</w:t>
      </w:r>
      <w:r>
        <w:rPr>
          <w:spacing w:val="-16"/>
        </w:rPr>
        <w:t> </w:t>
      </w:r>
      <w:r>
        <w:rPr/>
        <w:t>de</w:t>
      </w:r>
      <w:r>
        <w:rPr>
          <w:spacing w:val="-16"/>
        </w:rPr>
        <w:t> </w:t>
      </w:r>
      <w:r>
        <w:rPr/>
        <w:t>los</w:t>
      </w:r>
      <w:r>
        <w:rPr>
          <w:spacing w:val="-16"/>
        </w:rPr>
        <w:t> </w:t>
      </w:r>
      <w:r>
        <w:rPr/>
        <w:t>valores</w:t>
      </w:r>
      <w:r>
        <w:rPr>
          <w:spacing w:val="-16"/>
        </w:rPr>
        <w:t> </w:t>
      </w:r>
      <w:r>
        <w:rPr/>
        <w:t>que</w:t>
      </w:r>
      <w:r>
        <w:rPr>
          <w:spacing w:val="-16"/>
        </w:rPr>
        <w:t> </w:t>
      </w:r>
      <w:r>
        <w:rPr/>
        <w:t>se</w:t>
      </w:r>
      <w:r>
        <w:rPr>
          <w:spacing w:val="-18"/>
        </w:rPr>
        <w:t> </w:t>
      </w:r>
      <w:r>
        <w:rPr/>
        <w:t>calculan</w:t>
      </w:r>
      <w:r>
        <w:rPr>
          <w:spacing w:val="-16"/>
        </w:rPr>
        <w:t> </w:t>
      </w:r>
      <w:r>
        <w:rPr/>
        <w:t>con</w:t>
      </w:r>
      <w:r>
        <w:rPr>
          <w:spacing w:val="-16"/>
        </w:rPr>
        <w:t> </w:t>
      </w:r>
      <w:r>
        <w:rPr/>
        <w:t>base</w:t>
      </w:r>
      <w:r>
        <w:rPr>
          <w:spacing w:val="-16"/>
        </w:rPr>
        <w:t> </w:t>
      </w:r>
      <w:r>
        <w:rPr/>
        <w:t>en</w:t>
      </w:r>
      <w:r>
        <w:rPr>
          <w:spacing w:val="-16"/>
        </w:rPr>
        <w:t> </w:t>
      </w:r>
      <w:r>
        <w:rPr/>
        <w:t>la</w:t>
      </w:r>
      <w:r>
        <w:rPr>
          <w:spacing w:val="-18"/>
        </w:rPr>
        <w:t> </w:t>
      </w:r>
      <w:r>
        <w:rPr/>
        <w:t>fórmula</w:t>
      </w:r>
      <w:r>
        <w:rPr>
          <w:spacing w:val="-16"/>
        </w:rPr>
        <w:t> </w:t>
      </w:r>
      <w:r>
        <w:rPr/>
        <w:t>antes mencionada,</w:t>
      </w:r>
      <w:r>
        <w:rPr>
          <w:spacing w:val="-14"/>
        </w:rPr>
        <w:t> </w:t>
      </w:r>
      <w:r>
        <w:rPr/>
        <w:t>sirven</w:t>
      </w:r>
      <w:r>
        <w:rPr>
          <w:spacing w:val="-10"/>
        </w:rPr>
        <w:t> </w:t>
      </w:r>
      <w:r>
        <w:rPr/>
        <w:t>para</w:t>
      </w:r>
      <w:r>
        <w:rPr>
          <w:spacing w:val="-12"/>
        </w:rPr>
        <w:t> </w:t>
      </w:r>
      <w:r>
        <w:rPr/>
        <w:t>el</w:t>
      </w:r>
      <w:r>
        <w:rPr>
          <w:spacing w:val="-13"/>
        </w:rPr>
        <w:t> </w:t>
      </w:r>
      <w:r>
        <w:rPr/>
        <w:t>propio</w:t>
      </w:r>
      <w:r>
        <w:rPr>
          <w:spacing w:val="-12"/>
        </w:rPr>
        <w:t> </w:t>
      </w:r>
      <w:r>
        <w:rPr/>
        <w:t>cálculo</w:t>
      </w:r>
      <w:r>
        <w:rPr>
          <w:spacing w:val="-14"/>
        </w:rPr>
        <w:t> </w:t>
      </w:r>
      <w:r>
        <w:rPr/>
        <w:t>que</w:t>
      </w:r>
      <w:r>
        <w:rPr>
          <w:spacing w:val="-14"/>
        </w:rPr>
        <w:t> </w:t>
      </w:r>
      <w:r>
        <w:rPr/>
        <w:t>los</w:t>
      </w:r>
      <w:r>
        <w:rPr>
          <w:spacing w:val="-12"/>
        </w:rPr>
        <w:t> </w:t>
      </w:r>
      <w:r>
        <w:rPr/>
        <w:t>estados</w:t>
      </w:r>
      <w:r>
        <w:rPr>
          <w:spacing w:val="-15"/>
        </w:rPr>
        <w:t> </w:t>
      </w:r>
      <w:r>
        <w:rPr/>
        <w:t>efectúan</w:t>
      </w:r>
      <w:r>
        <w:rPr>
          <w:spacing w:val="-12"/>
        </w:rPr>
        <w:t> </w:t>
      </w:r>
      <w:r>
        <w:rPr/>
        <w:t>en</w:t>
      </w:r>
      <w:r>
        <w:rPr>
          <w:spacing w:val="-12"/>
        </w:rPr>
        <w:t> </w:t>
      </w:r>
      <w:r>
        <w:rPr/>
        <w:t>esta</w:t>
      </w:r>
      <w:r>
        <w:rPr>
          <w:spacing w:val="-12"/>
        </w:rPr>
        <w:t> </w:t>
      </w:r>
      <w:r>
        <w:rPr/>
        <w:t>materia.</w:t>
      </w:r>
    </w:p>
    <w:p>
      <w:pPr>
        <w:pStyle w:val="BodyText"/>
        <w:spacing w:before="1"/>
        <w:rPr>
          <w:sz w:val="21"/>
        </w:rPr>
      </w:pPr>
    </w:p>
    <w:p>
      <w:pPr>
        <w:pStyle w:val="Heading2"/>
      </w:pPr>
      <w:r>
        <w:rPr/>
        <w:t>Destino</w:t>
      </w:r>
    </w:p>
    <w:p>
      <w:pPr>
        <w:pStyle w:val="BodyText"/>
        <w:rPr>
          <w:b/>
          <w:sz w:val="33"/>
        </w:rPr>
      </w:pPr>
    </w:p>
    <w:p>
      <w:pPr>
        <w:pStyle w:val="BodyText"/>
        <w:spacing w:line="360" w:lineRule="auto"/>
        <w:ind w:left="102" w:right="123"/>
        <w:jc w:val="both"/>
      </w:pPr>
      <w:r>
        <w:rPr/>
        <w:t>Destino exclusivo para el financiamiento de obras, acciones sociales básicas e inversiones que beneficien directamente a población en pobreza extrema, localidades con alto o muy alto nivel de rezago social conforme a lo previsto en la Ley General de Desarrollo Social, y en las zonas de atención prioritaria, conforme en los siguientes rubros:</w:t>
      </w:r>
    </w:p>
    <w:p>
      <w:pPr>
        <w:pStyle w:val="BodyText"/>
        <w:spacing w:before="1"/>
        <w:rPr>
          <w:sz w:val="21"/>
        </w:rPr>
      </w:pPr>
    </w:p>
    <w:p>
      <w:pPr>
        <w:pStyle w:val="ListParagraph"/>
        <w:numPr>
          <w:ilvl w:val="0"/>
          <w:numId w:val="51"/>
        </w:numPr>
        <w:tabs>
          <w:tab w:pos="323" w:val="left" w:leader="none"/>
        </w:tabs>
        <w:spacing w:line="240" w:lineRule="auto" w:before="0" w:after="0"/>
        <w:ind w:left="322" w:right="0" w:hanging="220"/>
        <w:jc w:val="both"/>
        <w:rPr>
          <w:sz w:val="24"/>
        </w:rPr>
      </w:pPr>
      <w:r>
        <w:rPr>
          <w:sz w:val="24"/>
        </w:rPr>
        <w:t>Agua potable</w:t>
      </w:r>
      <w:r>
        <w:rPr>
          <w:spacing w:val="-6"/>
          <w:sz w:val="24"/>
        </w:rPr>
        <w:t> </w:t>
      </w:r>
      <w:r>
        <w:rPr>
          <w:sz w:val="24"/>
        </w:rPr>
        <w:t>•</w:t>
      </w:r>
    </w:p>
    <w:p>
      <w:pPr>
        <w:pStyle w:val="BodyText"/>
        <w:rPr>
          <w:sz w:val="33"/>
        </w:rPr>
      </w:pPr>
    </w:p>
    <w:p>
      <w:pPr>
        <w:pStyle w:val="ListParagraph"/>
        <w:numPr>
          <w:ilvl w:val="0"/>
          <w:numId w:val="51"/>
        </w:numPr>
        <w:tabs>
          <w:tab w:pos="323" w:val="left" w:leader="none"/>
        </w:tabs>
        <w:spacing w:line="240" w:lineRule="auto" w:before="0" w:after="0"/>
        <w:ind w:left="322" w:right="0" w:hanging="220"/>
        <w:jc w:val="both"/>
        <w:rPr>
          <w:sz w:val="24"/>
        </w:rPr>
      </w:pPr>
      <w:r>
        <w:rPr>
          <w:sz w:val="24"/>
        </w:rPr>
        <w:t>Alcantarillado;</w:t>
      </w:r>
      <w:r>
        <w:rPr>
          <w:spacing w:val="-4"/>
          <w:sz w:val="24"/>
        </w:rPr>
        <w:t> </w:t>
      </w:r>
      <w:r>
        <w:rPr>
          <w:sz w:val="24"/>
        </w:rPr>
        <w:t>•</w:t>
      </w:r>
    </w:p>
    <w:p>
      <w:pPr>
        <w:pStyle w:val="BodyText"/>
        <w:spacing w:before="8"/>
        <w:rPr>
          <w:sz w:val="32"/>
        </w:rPr>
      </w:pPr>
    </w:p>
    <w:p>
      <w:pPr>
        <w:pStyle w:val="BodyText"/>
        <w:spacing w:line="360" w:lineRule="auto" w:before="1"/>
        <w:ind w:left="102" w:right="118"/>
        <w:jc w:val="both"/>
      </w:pPr>
      <w:r>
        <w:rPr/>
        <w:t>Infraestructura básica del sector salud y educativo; Mejoramiento de vivienda; Caminos rurales; y Mantenimiento de Infraestructura conforme a lo señalado en el catálogo de acciones establecido en los Lineamientos del Fondo que emita la Secretaría de Desarrollo Social.</w:t>
      </w:r>
    </w:p>
    <w:p>
      <w:pPr>
        <w:pStyle w:val="BodyText"/>
        <w:spacing w:before="1"/>
        <w:rPr>
          <w:sz w:val="21"/>
        </w:rPr>
      </w:pPr>
    </w:p>
    <w:p>
      <w:pPr>
        <w:pStyle w:val="ListParagraph"/>
        <w:numPr>
          <w:ilvl w:val="0"/>
          <w:numId w:val="51"/>
        </w:numPr>
        <w:tabs>
          <w:tab w:pos="323" w:val="left" w:leader="none"/>
        </w:tabs>
        <w:spacing w:line="240" w:lineRule="auto" w:before="0" w:after="0"/>
        <w:ind w:left="322" w:right="0" w:hanging="220"/>
        <w:jc w:val="both"/>
        <w:rPr>
          <w:sz w:val="24"/>
        </w:rPr>
      </w:pPr>
      <w:r>
        <w:rPr>
          <w:sz w:val="24"/>
        </w:rPr>
        <w:t>Drenaje y</w:t>
      </w:r>
      <w:r>
        <w:rPr>
          <w:spacing w:val="-7"/>
          <w:sz w:val="24"/>
        </w:rPr>
        <w:t> </w:t>
      </w:r>
      <w:r>
        <w:rPr>
          <w:sz w:val="24"/>
        </w:rPr>
        <w:t>letrinas;</w:t>
      </w:r>
    </w:p>
    <w:p>
      <w:pPr>
        <w:spacing w:after="0" w:line="240" w:lineRule="auto"/>
        <w:jc w:val="both"/>
        <w:rPr>
          <w:sz w:val="24"/>
        </w:rPr>
        <w:sectPr>
          <w:pgSz w:w="12240" w:h="15840"/>
          <w:pgMar w:header="0" w:footer="992" w:top="1360" w:bottom="1180" w:left="1600" w:right="1580"/>
        </w:sectPr>
      </w:pPr>
    </w:p>
    <w:p>
      <w:pPr>
        <w:pStyle w:val="ListParagraph"/>
        <w:numPr>
          <w:ilvl w:val="0"/>
          <w:numId w:val="51"/>
        </w:numPr>
        <w:tabs>
          <w:tab w:pos="323" w:val="left" w:leader="none"/>
        </w:tabs>
        <w:spacing w:line="240" w:lineRule="auto" w:before="54" w:after="0"/>
        <w:ind w:left="322" w:right="0" w:hanging="220"/>
        <w:jc w:val="both"/>
        <w:rPr>
          <w:sz w:val="24"/>
        </w:rPr>
      </w:pPr>
      <w:r>
        <w:rPr>
          <w:sz w:val="24"/>
        </w:rPr>
        <w:t>Urbanización;</w:t>
      </w:r>
    </w:p>
    <w:p>
      <w:pPr>
        <w:pStyle w:val="BodyText"/>
        <w:rPr>
          <w:sz w:val="33"/>
        </w:rPr>
      </w:pPr>
    </w:p>
    <w:p>
      <w:pPr>
        <w:pStyle w:val="ListParagraph"/>
        <w:numPr>
          <w:ilvl w:val="0"/>
          <w:numId w:val="51"/>
        </w:numPr>
        <w:tabs>
          <w:tab w:pos="323" w:val="left" w:leader="none"/>
        </w:tabs>
        <w:spacing w:line="240" w:lineRule="auto" w:before="0" w:after="0"/>
        <w:ind w:left="322" w:right="0" w:hanging="220"/>
        <w:jc w:val="both"/>
        <w:rPr>
          <w:sz w:val="24"/>
        </w:rPr>
      </w:pPr>
      <w:r>
        <w:rPr>
          <w:sz w:val="24"/>
        </w:rPr>
        <w:t>Electrificación rural y de colonias</w:t>
      </w:r>
      <w:r>
        <w:rPr>
          <w:spacing w:val="-10"/>
          <w:sz w:val="24"/>
        </w:rPr>
        <w:t> </w:t>
      </w:r>
      <w:r>
        <w:rPr>
          <w:sz w:val="24"/>
        </w:rPr>
        <w:t>pobres;</w:t>
      </w:r>
    </w:p>
    <w:p>
      <w:pPr>
        <w:pStyle w:val="BodyText"/>
        <w:spacing w:before="8"/>
        <w:rPr>
          <w:sz w:val="32"/>
        </w:rPr>
      </w:pPr>
    </w:p>
    <w:p>
      <w:pPr>
        <w:pStyle w:val="ListParagraph"/>
        <w:numPr>
          <w:ilvl w:val="0"/>
          <w:numId w:val="51"/>
        </w:numPr>
        <w:tabs>
          <w:tab w:pos="323" w:val="left" w:leader="none"/>
        </w:tabs>
        <w:spacing w:line="240" w:lineRule="auto" w:before="1" w:after="0"/>
        <w:ind w:left="322" w:right="0" w:hanging="220"/>
        <w:jc w:val="both"/>
        <w:rPr>
          <w:sz w:val="24"/>
        </w:rPr>
      </w:pPr>
      <w:r>
        <w:rPr>
          <w:sz w:val="24"/>
        </w:rPr>
        <w:t>Mantenimiento de</w:t>
      </w:r>
      <w:r>
        <w:rPr>
          <w:spacing w:val="-9"/>
          <w:sz w:val="24"/>
        </w:rPr>
        <w:t> </w:t>
      </w:r>
      <w:r>
        <w:rPr>
          <w:sz w:val="24"/>
        </w:rPr>
        <w:t>Infraestructura</w:t>
      </w:r>
    </w:p>
    <w:p>
      <w:pPr>
        <w:pStyle w:val="BodyText"/>
        <w:spacing w:before="11"/>
        <w:rPr>
          <w:sz w:val="32"/>
        </w:rPr>
      </w:pPr>
    </w:p>
    <w:p>
      <w:pPr>
        <w:pStyle w:val="BodyText"/>
        <w:spacing w:line="360" w:lineRule="auto"/>
        <w:ind w:left="102" w:right="117"/>
        <w:jc w:val="both"/>
      </w:pPr>
      <w:r>
        <w:rPr/>
        <w:t>Hasta un 2% para la realización de un Programa de Desarrollo Institucional y</w:t>
      </w:r>
      <w:r>
        <w:rPr>
          <w:spacing w:val="-37"/>
        </w:rPr>
        <w:t> </w:t>
      </w:r>
      <w:r>
        <w:rPr/>
        <w:t>hasta un 3% para aplicarlos como gastos indirectos para la verificación y seguimiento de las obras y acciones, así como para la realización de estudios y la evaluación de proyectos</w:t>
      </w:r>
      <w:r>
        <w:rPr>
          <w:spacing w:val="-14"/>
        </w:rPr>
        <w:t> </w:t>
      </w:r>
      <w:r>
        <w:rPr/>
        <w:t>que</w:t>
      </w:r>
      <w:r>
        <w:rPr>
          <w:spacing w:val="-13"/>
        </w:rPr>
        <w:t> </w:t>
      </w:r>
      <w:r>
        <w:rPr/>
        <w:t>cumplan</w:t>
      </w:r>
      <w:r>
        <w:rPr>
          <w:spacing w:val="-13"/>
        </w:rPr>
        <w:t> </w:t>
      </w:r>
      <w:r>
        <w:rPr/>
        <w:t>con</w:t>
      </w:r>
      <w:r>
        <w:rPr>
          <w:spacing w:val="-15"/>
        </w:rPr>
        <w:t> </w:t>
      </w:r>
      <w:r>
        <w:rPr/>
        <w:t>los</w:t>
      </w:r>
      <w:r>
        <w:rPr>
          <w:spacing w:val="-16"/>
        </w:rPr>
        <w:t> </w:t>
      </w:r>
      <w:r>
        <w:rPr/>
        <w:t>fines</w:t>
      </w:r>
      <w:r>
        <w:rPr>
          <w:spacing w:val="-14"/>
        </w:rPr>
        <w:t> </w:t>
      </w:r>
      <w:r>
        <w:rPr/>
        <w:t>del</w:t>
      </w:r>
      <w:r>
        <w:rPr>
          <w:spacing w:val="-12"/>
        </w:rPr>
        <w:t> </w:t>
      </w:r>
      <w:r>
        <w:rPr/>
        <w:t>artículo</w:t>
      </w:r>
      <w:r>
        <w:rPr>
          <w:spacing w:val="-13"/>
        </w:rPr>
        <w:t> </w:t>
      </w:r>
      <w:r>
        <w:rPr/>
        <w:t>33</w:t>
      </w:r>
      <w:r>
        <w:rPr>
          <w:spacing w:val="-15"/>
        </w:rPr>
        <w:t> </w:t>
      </w:r>
      <w:r>
        <w:rPr/>
        <w:t>de</w:t>
      </w:r>
      <w:r>
        <w:rPr>
          <w:spacing w:val="-15"/>
        </w:rPr>
        <w:t> </w:t>
      </w:r>
      <w:r>
        <w:rPr/>
        <w:t>la</w:t>
      </w:r>
      <w:r>
        <w:rPr>
          <w:spacing w:val="-13"/>
        </w:rPr>
        <w:t> </w:t>
      </w:r>
      <w:r>
        <w:rPr/>
        <w:t>Ley</w:t>
      </w:r>
      <w:r>
        <w:rPr>
          <w:spacing w:val="-16"/>
        </w:rPr>
        <w:t> </w:t>
      </w:r>
      <w:r>
        <w:rPr/>
        <w:t>de</w:t>
      </w:r>
      <w:r>
        <w:rPr>
          <w:spacing w:val="-13"/>
        </w:rPr>
        <w:t> </w:t>
      </w:r>
      <w:r>
        <w:rPr/>
        <w:t>Coordinación</w:t>
      </w:r>
      <w:r>
        <w:rPr>
          <w:spacing w:val="-13"/>
        </w:rPr>
        <w:t> </w:t>
      </w:r>
      <w:r>
        <w:rPr/>
        <w:t>Fiscal</w:t>
      </w:r>
    </w:p>
    <w:p>
      <w:pPr>
        <w:pStyle w:val="BodyText"/>
      </w:pPr>
    </w:p>
    <w:p>
      <w:pPr>
        <w:pStyle w:val="Heading1"/>
        <w:numPr>
          <w:ilvl w:val="3"/>
          <w:numId w:val="46"/>
        </w:numPr>
        <w:tabs>
          <w:tab w:pos="1407" w:val="left" w:leader="none"/>
        </w:tabs>
        <w:spacing w:line="240" w:lineRule="auto" w:before="208" w:after="0"/>
        <w:ind w:left="543" w:right="493" w:hanging="72"/>
        <w:jc w:val="left"/>
      </w:pPr>
      <w:r>
        <w:rPr/>
        <w:t>Fondo de Aportaciones para el Fortalecimiento de los Municipios y de las Demarcaciones Territoriales del</w:t>
      </w:r>
      <w:r>
        <w:rPr>
          <w:spacing w:val="-27"/>
        </w:rPr>
        <w:t> </w:t>
      </w:r>
      <w:r>
        <w:rPr/>
        <w:t>Distrito</w:t>
      </w:r>
    </w:p>
    <w:p>
      <w:pPr>
        <w:spacing w:line="322" w:lineRule="exact" w:before="0"/>
        <w:ind w:left="733" w:right="751" w:firstLine="0"/>
        <w:jc w:val="center"/>
        <w:rPr>
          <w:b/>
          <w:sz w:val="28"/>
        </w:rPr>
      </w:pPr>
      <w:r>
        <w:rPr>
          <w:b/>
          <w:sz w:val="28"/>
        </w:rPr>
        <w:t>Federal (FORTAMUNDF)</w:t>
      </w:r>
    </w:p>
    <w:p>
      <w:pPr>
        <w:pStyle w:val="BodyText"/>
        <w:rPr>
          <w:b/>
          <w:sz w:val="28"/>
        </w:rPr>
      </w:pPr>
    </w:p>
    <w:p>
      <w:pPr>
        <w:pStyle w:val="BodyText"/>
        <w:rPr>
          <w:b/>
          <w:sz w:val="28"/>
        </w:rPr>
      </w:pPr>
    </w:p>
    <w:p>
      <w:pPr>
        <w:pStyle w:val="BodyText"/>
        <w:spacing w:before="5"/>
        <w:rPr>
          <w:b/>
          <w:sz w:val="30"/>
        </w:rPr>
      </w:pPr>
    </w:p>
    <w:p>
      <w:pPr>
        <w:pStyle w:val="BodyText"/>
        <w:spacing w:line="360" w:lineRule="auto" w:before="1"/>
        <w:ind w:left="102" w:right="118"/>
        <w:jc w:val="both"/>
      </w:pPr>
      <w:r>
        <w:rPr/>
        <w:t>El</w:t>
      </w:r>
      <w:r>
        <w:rPr>
          <w:spacing w:val="-5"/>
        </w:rPr>
        <w:t> </w:t>
      </w:r>
      <w:r>
        <w:rPr/>
        <w:t>marco</w:t>
      </w:r>
      <w:r>
        <w:rPr>
          <w:spacing w:val="-4"/>
        </w:rPr>
        <w:t> </w:t>
      </w:r>
      <w:r>
        <w:rPr/>
        <w:t>legal</w:t>
      </w:r>
      <w:r>
        <w:rPr>
          <w:spacing w:val="-5"/>
        </w:rPr>
        <w:t> </w:t>
      </w:r>
      <w:r>
        <w:rPr/>
        <w:t>del</w:t>
      </w:r>
      <w:r>
        <w:rPr>
          <w:spacing w:val="-5"/>
        </w:rPr>
        <w:t> </w:t>
      </w:r>
      <w:r>
        <w:rPr/>
        <w:t>Fondo</w:t>
      </w:r>
      <w:r>
        <w:rPr>
          <w:spacing w:val="-6"/>
        </w:rPr>
        <w:t> </w:t>
      </w:r>
      <w:r>
        <w:rPr/>
        <w:t>de</w:t>
      </w:r>
      <w:r>
        <w:rPr>
          <w:spacing w:val="-6"/>
        </w:rPr>
        <w:t> </w:t>
      </w:r>
      <w:r>
        <w:rPr/>
        <w:t>Aportaciones</w:t>
      </w:r>
      <w:r>
        <w:rPr>
          <w:spacing w:val="-4"/>
        </w:rPr>
        <w:t> </w:t>
      </w:r>
      <w:r>
        <w:rPr/>
        <w:t>para</w:t>
      </w:r>
      <w:r>
        <w:rPr>
          <w:spacing w:val="-4"/>
        </w:rPr>
        <w:t> </w:t>
      </w:r>
      <w:r>
        <w:rPr/>
        <w:t>el</w:t>
      </w:r>
      <w:r>
        <w:rPr>
          <w:spacing w:val="-5"/>
        </w:rPr>
        <w:t> </w:t>
      </w:r>
      <w:r>
        <w:rPr/>
        <w:t>Fortalecimiento</w:t>
      </w:r>
      <w:r>
        <w:rPr>
          <w:spacing w:val="-5"/>
        </w:rPr>
        <w:t> </w:t>
      </w:r>
      <w:r>
        <w:rPr/>
        <w:t>de</w:t>
      </w:r>
      <w:r>
        <w:rPr>
          <w:spacing w:val="-4"/>
        </w:rPr>
        <w:t> </w:t>
      </w:r>
      <w:r>
        <w:rPr/>
        <w:t>los</w:t>
      </w:r>
      <w:r>
        <w:rPr>
          <w:spacing w:val="-4"/>
        </w:rPr>
        <w:t> </w:t>
      </w:r>
      <w:r>
        <w:rPr/>
        <w:t>Municipios y de las Demarcaciones Territoriales del Distrito Federal se encuentra en la Ley de Coordinación Fiscal, que en el artículo 25 que establece su creación; en el artículo 36</w:t>
      </w:r>
      <w:r>
        <w:rPr>
          <w:spacing w:val="-11"/>
        </w:rPr>
        <w:t> </w:t>
      </w:r>
      <w:r>
        <w:rPr/>
        <w:t>se</w:t>
      </w:r>
      <w:r>
        <w:rPr>
          <w:spacing w:val="-13"/>
        </w:rPr>
        <w:t> </w:t>
      </w:r>
      <w:r>
        <w:rPr/>
        <w:t>describe</w:t>
      </w:r>
      <w:r>
        <w:rPr>
          <w:spacing w:val="-11"/>
        </w:rPr>
        <w:t> </w:t>
      </w:r>
      <w:r>
        <w:rPr/>
        <w:t>la</w:t>
      </w:r>
      <w:r>
        <w:rPr>
          <w:spacing w:val="-13"/>
        </w:rPr>
        <w:t> </w:t>
      </w:r>
      <w:r>
        <w:rPr/>
        <w:t>fórmula</w:t>
      </w:r>
      <w:r>
        <w:rPr>
          <w:spacing w:val="-11"/>
        </w:rPr>
        <w:t> </w:t>
      </w:r>
      <w:r>
        <w:rPr/>
        <w:t>para</w:t>
      </w:r>
      <w:r>
        <w:rPr>
          <w:spacing w:val="-14"/>
        </w:rPr>
        <w:t> </w:t>
      </w:r>
      <w:r>
        <w:rPr/>
        <w:t>su</w:t>
      </w:r>
      <w:r>
        <w:rPr>
          <w:spacing w:val="-11"/>
        </w:rPr>
        <w:t> </w:t>
      </w:r>
      <w:r>
        <w:rPr/>
        <w:t>distribución;</w:t>
      </w:r>
      <w:r>
        <w:rPr>
          <w:spacing w:val="-11"/>
        </w:rPr>
        <w:t> </w:t>
      </w:r>
      <w:r>
        <w:rPr/>
        <w:t>en</w:t>
      </w:r>
      <w:r>
        <w:rPr>
          <w:spacing w:val="-11"/>
        </w:rPr>
        <w:t> </w:t>
      </w:r>
      <w:r>
        <w:rPr/>
        <w:t>los</w:t>
      </w:r>
      <w:r>
        <w:rPr>
          <w:spacing w:val="-13"/>
        </w:rPr>
        <w:t> </w:t>
      </w:r>
      <w:r>
        <w:rPr/>
        <w:t>artículos</w:t>
      </w:r>
      <w:r>
        <w:rPr>
          <w:spacing w:val="-11"/>
        </w:rPr>
        <w:t> </w:t>
      </w:r>
      <w:r>
        <w:rPr/>
        <w:t>37</w:t>
      </w:r>
      <w:r>
        <w:rPr>
          <w:spacing w:val="-11"/>
        </w:rPr>
        <w:t> </w:t>
      </w:r>
      <w:r>
        <w:rPr/>
        <w:t>y</w:t>
      </w:r>
      <w:r>
        <w:rPr>
          <w:spacing w:val="-14"/>
        </w:rPr>
        <w:t> </w:t>
      </w:r>
      <w:r>
        <w:rPr/>
        <w:t>51</w:t>
      </w:r>
      <w:r>
        <w:rPr>
          <w:spacing w:val="-11"/>
        </w:rPr>
        <w:t> </w:t>
      </w:r>
      <w:r>
        <w:rPr/>
        <w:t>se</w:t>
      </w:r>
      <w:r>
        <w:rPr>
          <w:spacing w:val="-11"/>
        </w:rPr>
        <w:t> </w:t>
      </w:r>
      <w:r>
        <w:rPr/>
        <w:t>establecen los objetivos del Fondo y las acciones que se pueden realizar con estos recursos, así como la obligación de informar a sus habitantes, los montos que reciban las obras</w:t>
      </w:r>
      <w:r>
        <w:rPr>
          <w:spacing w:val="-15"/>
        </w:rPr>
        <w:t> </w:t>
      </w:r>
      <w:r>
        <w:rPr/>
        <w:t>y</w:t>
      </w:r>
      <w:r>
        <w:rPr>
          <w:spacing w:val="-16"/>
        </w:rPr>
        <w:t> </w:t>
      </w:r>
      <w:r>
        <w:rPr/>
        <w:t>acciones</w:t>
      </w:r>
      <w:r>
        <w:rPr>
          <w:spacing w:val="-16"/>
        </w:rPr>
        <w:t> </w:t>
      </w:r>
      <w:r>
        <w:rPr/>
        <w:t>a</w:t>
      </w:r>
      <w:r>
        <w:rPr>
          <w:spacing w:val="-15"/>
        </w:rPr>
        <w:t> </w:t>
      </w:r>
      <w:r>
        <w:rPr/>
        <w:t>realizar,</w:t>
      </w:r>
      <w:r>
        <w:rPr>
          <w:spacing w:val="-15"/>
        </w:rPr>
        <w:t> </w:t>
      </w:r>
      <w:r>
        <w:rPr/>
        <w:t>el</w:t>
      </w:r>
      <w:r>
        <w:rPr>
          <w:spacing w:val="-15"/>
        </w:rPr>
        <w:t> </w:t>
      </w:r>
      <w:r>
        <w:rPr/>
        <w:t>costo</w:t>
      </w:r>
      <w:r>
        <w:rPr>
          <w:spacing w:val="-15"/>
        </w:rPr>
        <w:t> </w:t>
      </w:r>
      <w:r>
        <w:rPr/>
        <w:t>de</w:t>
      </w:r>
      <w:r>
        <w:rPr>
          <w:spacing w:val="-14"/>
        </w:rPr>
        <w:t> </w:t>
      </w:r>
      <w:r>
        <w:rPr/>
        <w:t>cada</w:t>
      </w:r>
      <w:r>
        <w:rPr>
          <w:spacing w:val="-15"/>
        </w:rPr>
        <w:t> </w:t>
      </w:r>
      <w:r>
        <w:rPr/>
        <w:t>una,</w:t>
      </w:r>
      <w:r>
        <w:rPr>
          <w:spacing w:val="-16"/>
        </w:rPr>
        <w:t> </w:t>
      </w:r>
      <w:r>
        <w:rPr/>
        <w:t>su</w:t>
      </w:r>
      <w:r>
        <w:rPr>
          <w:spacing w:val="-16"/>
        </w:rPr>
        <w:t> </w:t>
      </w:r>
      <w:r>
        <w:rPr/>
        <w:t>ubicación,</w:t>
      </w:r>
      <w:r>
        <w:rPr>
          <w:spacing w:val="-16"/>
        </w:rPr>
        <w:t> </w:t>
      </w:r>
      <w:r>
        <w:rPr/>
        <w:t>metas,</w:t>
      </w:r>
      <w:r>
        <w:rPr>
          <w:spacing w:val="-14"/>
        </w:rPr>
        <w:t> </w:t>
      </w:r>
      <w:r>
        <w:rPr/>
        <w:t>beneficiarios, los</w:t>
      </w:r>
      <w:r>
        <w:rPr>
          <w:spacing w:val="-6"/>
        </w:rPr>
        <w:t> </w:t>
      </w:r>
      <w:r>
        <w:rPr/>
        <w:t>resultados</w:t>
      </w:r>
      <w:r>
        <w:rPr>
          <w:spacing w:val="-9"/>
        </w:rPr>
        <w:t> </w:t>
      </w:r>
      <w:r>
        <w:rPr/>
        <w:t>alcanzados,</w:t>
      </w:r>
      <w:r>
        <w:rPr>
          <w:spacing w:val="-6"/>
        </w:rPr>
        <w:t> </w:t>
      </w:r>
      <w:r>
        <w:rPr/>
        <w:t>conforme</w:t>
      </w:r>
      <w:r>
        <w:rPr>
          <w:spacing w:val="-8"/>
        </w:rPr>
        <w:t> </w:t>
      </w:r>
      <w:r>
        <w:rPr/>
        <w:t>al</w:t>
      </w:r>
      <w:r>
        <w:rPr>
          <w:spacing w:val="-10"/>
        </w:rPr>
        <w:t> </w:t>
      </w:r>
      <w:r>
        <w:rPr/>
        <w:t>artículo</w:t>
      </w:r>
      <w:r>
        <w:rPr>
          <w:spacing w:val="-6"/>
        </w:rPr>
        <w:t> </w:t>
      </w:r>
      <w:r>
        <w:rPr/>
        <w:t>33</w:t>
      </w:r>
      <w:r>
        <w:rPr>
          <w:spacing w:val="-8"/>
        </w:rPr>
        <w:t> </w:t>
      </w:r>
      <w:r>
        <w:rPr/>
        <w:t>apartado</w:t>
      </w:r>
      <w:r>
        <w:rPr>
          <w:spacing w:val="-6"/>
        </w:rPr>
        <w:t> </w:t>
      </w:r>
      <w:r>
        <w:rPr/>
        <w:t>B,</w:t>
      </w:r>
      <w:r>
        <w:rPr>
          <w:spacing w:val="-9"/>
        </w:rPr>
        <w:t> </w:t>
      </w:r>
      <w:r>
        <w:rPr/>
        <w:t>fracción</w:t>
      </w:r>
      <w:r>
        <w:rPr>
          <w:spacing w:val="-6"/>
        </w:rPr>
        <w:t> </w:t>
      </w:r>
      <w:r>
        <w:rPr/>
        <w:t>II,</w:t>
      </w:r>
      <w:r>
        <w:rPr>
          <w:spacing w:val="-6"/>
        </w:rPr>
        <w:t> </w:t>
      </w:r>
      <w:r>
        <w:rPr/>
        <w:t>incisos</w:t>
      </w:r>
      <w:r>
        <w:rPr>
          <w:spacing w:val="-9"/>
        </w:rPr>
        <w:t> </w:t>
      </w:r>
      <w:r>
        <w:rPr/>
        <w:t>a) y c); el artículo 48 establece la obligación de reportar a la Federación y publicarlos en</w:t>
      </w:r>
      <w:r>
        <w:rPr>
          <w:spacing w:val="-6"/>
        </w:rPr>
        <w:t> </w:t>
      </w:r>
      <w:r>
        <w:rPr/>
        <w:t>los</w:t>
      </w:r>
      <w:r>
        <w:rPr>
          <w:spacing w:val="-9"/>
        </w:rPr>
        <w:t> </w:t>
      </w:r>
      <w:r>
        <w:rPr/>
        <w:t>medios</w:t>
      </w:r>
      <w:r>
        <w:rPr>
          <w:spacing w:val="-9"/>
        </w:rPr>
        <w:t> </w:t>
      </w:r>
      <w:r>
        <w:rPr/>
        <w:t>oficiales</w:t>
      </w:r>
      <w:r>
        <w:rPr>
          <w:spacing w:val="-9"/>
        </w:rPr>
        <w:t> </w:t>
      </w:r>
      <w:r>
        <w:rPr/>
        <w:t>locales</w:t>
      </w:r>
      <w:r>
        <w:rPr>
          <w:spacing w:val="-9"/>
        </w:rPr>
        <w:t> </w:t>
      </w:r>
      <w:r>
        <w:rPr/>
        <w:t>de</w:t>
      </w:r>
      <w:r>
        <w:rPr>
          <w:spacing w:val="-8"/>
        </w:rPr>
        <w:t> </w:t>
      </w:r>
      <w:r>
        <w:rPr/>
        <w:t>difusión</w:t>
      </w:r>
      <w:r>
        <w:rPr>
          <w:spacing w:val="-8"/>
        </w:rPr>
        <w:t> </w:t>
      </w:r>
      <w:r>
        <w:rPr/>
        <w:t>e</w:t>
      </w:r>
      <w:r>
        <w:rPr>
          <w:spacing w:val="-6"/>
        </w:rPr>
        <w:t> </w:t>
      </w:r>
      <w:r>
        <w:rPr/>
        <w:t>internet;</w:t>
      </w:r>
      <w:r>
        <w:rPr>
          <w:spacing w:val="-8"/>
        </w:rPr>
        <w:t> </w:t>
      </w:r>
      <w:r>
        <w:rPr/>
        <w:t>en</w:t>
      </w:r>
      <w:r>
        <w:rPr>
          <w:spacing w:val="-8"/>
        </w:rPr>
        <w:t> </w:t>
      </w:r>
      <w:r>
        <w:rPr/>
        <w:t>el</w:t>
      </w:r>
      <w:r>
        <w:rPr>
          <w:spacing w:val="-7"/>
        </w:rPr>
        <w:t> </w:t>
      </w:r>
      <w:r>
        <w:rPr/>
        <w:t>artículo</w:t>
      </w:r>
      <w:r>
        <w:rPr>
          <w:spacing w:val="-9"/>
        </w:rPr>
        <w:t> </w:t>
      </w:r>
      <w:r>
        <w:rPr/>
        <w:t>49</w:t>
      </w:r>
      <w:r>
        <w:rPr>
          <w:spacing w:val="-6"/>
        </w:rPr>
        <w:t> </w:t>
      </w:r>
      <w:r>
        <w:rPr/>
        <w:t>se</w:t>
      </w:r>
      <w:r>
        <w:rPr>
          <w:spacing w:val="-8"/>
        </w:rPr>
        <w:t> </w:t>
      </w:r>
      <w:r>
        <w:rPr/>
        <w:t>establecen las autoridades con atribuciones para el control, la evaluación y fiscalización del manejo de los</w:t>
      </w:r>
      <w:r>
        <w:rPr>
          <w:spacing w:val="-10"/>
        </w:rPr>
        <w:t> </w:t>
      </w:r>
      <w:r>
        <w:rPr/>
        <w:t>recursos.</w:t>
      </w:r>
    </w:p>
    <w:p>
      <w:pPr>
        <w:pStyle w:val="BodyText"/>
        <w:spacing w:before="3"/>
        <w:rPr>
          <w:sz w:val="21"/>
        </w:rPr>
      </w:pPr>
    </w:p>
    <w:p>
      <w:pPr>
        <w:pStyle w:val="Heading2"/>
      </w:pPr>
      <w:r>
        <w:rPr/>
        <w:t>Distribución del recurso</w:t>
      </w:r>
    </w:p>
    <w:p>
      <w:pPr>
        <w:pStyle w:val="BodyText"/>
        <w:spacing w:before="8"/>
        <w:rPr>
          <w:b/>
          <w:sz w:val="32"/>
        </w:rPr>
      </w:pPr>
    </w:p>
    <w:p>
      <w:pPr>
        <w:pStyle w:val="BodyText"/>
        <w:spacing w:line="360" w:lineRule="auto" w:before="1"/>
        <w:ind w:left="102" w:right="116"/>
        <w:jc w:val="both"/>
      </w:pPr>
      <w:r>
        <w:rPr/>
        <w:t>El</w:t>
      </w:r>
      <w:r>
        <w:rPr>
          <w:spacing w:val="-14"/>
        </w:rPr>
        <w:t> </w:t>
      </w:r>
      <w:r>
        <w:rPr/>
        <w:t>FORTAMUNDF</w:t>
      </w:r>
      <w:r>
        <w:rPr>
          <w:spacing w:val="-15"/>
        </w:rPr>
        <w:t> </w:t>
      </w:r>
      <w:r>
        <w:rPr/>
        <w:t>son</w:t>
      </w:r>
      <w:r>
        <w:rPr>
          <w:spacing w:val="-16"/>
        </w:rPr>
        <w:t> </w:t>
      </w:r>
      <w:r>
        <w:rPr/>
        <w:t>recursos</w:t>
      </w:r>
      <w:r>
        <w:rPr>
          <w:spacing w:val="-14"/>
        </w:rPr>
        <w:t> </w:t>
      </w:r>
      <w:r>
        <w:rPr/>
        <w:t>que</w:t>
      </w:r>
      <w:r>
        <w:rPr>
          <w:spacing w:val="-13"/>
        </w:rPr>
        <w:t> </w:t>
      </w:r>
      <w:r>
        <w:rPr/>
        <w:t>la</w:t>
      </w:r>
      <w:r>
        <w:rPr>
          <w:spacing w:val="-13"/>
        </w:rPr>
        <w:t> </w:t>
      </w:r>
      <w:r>
        <w:rPr/>
        <w:t>Federación</w:t>
      </w:r>
      <w:r>
        <w:rPr>
          <w:spacing w:val="-13"/>
        </w:rPr>
        <w:t> </w:t>
      </w:r>
      <w:r>
        <w:rPr/>
        <w:t>transfiere</w:t>
      </w:r>
      <w:r>
        <w:rPr>
          <w:spacing w:val="-14"/>
        </w:rPr>
        <w:t> </w:t>
      </w:r>
      <w:r>
        <w:rPr/>
        <w:t>a</w:t>
      </w:r>
      <w:r>
        <w:rPr>
          <w:spacing w:val="-13"/>
        </w:rPr>
        <w:t> </w:t>
      </w:r>
      <w:r>
        <w:rPr/>
        <w:t>los</w:t>
      </w:r>
      <w:r>
        <w:rPr>
          <w:spacing w:val="-13"/>
        </w:rPr>
        <w:t> </w:t>
      </w:r>
      <w:r>
        <w:rPr/>
        <w:t>Estados</w:t>
      </w:r>
      <w:r>
        <w:rPr>
          <w:spacing w:val="-14"/>
        </w:rPr>
        <w:t> </w:t>
      </w:r>
      <w:r>
        <w:rPr/>
        <w:t>tomando como base la proporción del número de habitantes por Entidad Federativa entre</w:t>
      </w:r>
      <w:r>
        <w:rPr>
          <w:spacing w:val="33"/>
        </w:rPr>
        <w:t> </w:t>
      </w:r>
      <w:r>
        <w:rPr/>
        <w:t>el</w:t>
      </w:r>
    </w:p>
    <w:p>
      <w:pPr>
        <w:spacing w:after="0" w:line="360" w:lineRule="auto"/>
        <w:jc w:val="both"/>
        <w:sectPr>
          <w:pgSz w:w="12240" w:h="15840"/>
          <w:pgMar w:header="0" w:footer="992" w:top="1360" w:bottom="1180" w:left="1600" w:right="1580"/>
        </w:sectPr>
      </w:pPr>
    </w:p>
    <w:p>
      <w:pPr>
        <w:pStyle w:val="BodyText"/>
        <w:spacing w:line="360" w:lineRule="auto" w:before="54"/>
        <w:ind w:left="102" w:right="117"/>
        <w:jc w:val="both"/>
      </w:pPr>
      <w:r>
        <w:rPr/>
        <w:t>total</w:t>
      </w:r>
      <w:r>
        <w:rPr>
          <w:spacing w:val="-10"/>
        </w:rPr>
        <w:t> </w:t>
      </w:r>
      <w:r>
        <w:rPr/>
        <w:t>nacional;</w:t>
      </w:r>
      <w:r>
        <w:rPr>
          <w:spacing w:val="-9"/>
        </w:rPr>
        <w:t> </w:t>
      </w:r>
      <w:r>
        <w:rPr/>
        <w:t>a</w:t>
      </w:r>
      <w:r>
        <w:rPr>
          <w:spacing w:val="-8"/>
        </w:rPr>
        <w:t> </w:t>
      </w:r>
      <w:r>
        <w:rPr/>
        <w:t>su</w:t>
      </w:r>
      <w:r>
        <w:rPr>
          <w:spacing w:val="-8"/>
        </w:rPr>
        <w:t> </w:t>
      </w:r>
      <w:r>
        <w:rPr/>
        <w:t>vez,</w:t>
      </w:r>
      <w:r>
        <w:rPr>
          <w:spacing w:val="-9"/>
        </w:rPr>
        <w:t> </w:t>
      </w:r>
      <w:r>
        <w:rPr/>
        <w:t>cada</w:t>
      </w:r>
      <w:r>
        <w:rPr>
          <w:spacing w:val="-11"/>
        </w:rPr>
        <w:t> </w:t>
      </w:r>
      <w:r>
        <w:rPr/>
        <w:t>Estado</w:t>
      </w:r>
      <w:r>
        <w:rPr>
          <w:spacing w:val="-8"/>
        </w:rPr>
        <w:t> </w:t>
      </w:r>
      <w:r>
        <w:rPr/>
        <w:t>los</w:t>
      </w:r>
      <w:r>
        <w:rPr>
          <w:spacing w:val="-12"/>
        </w:rPr>
        <w:t> </w:t>
      </w:r>
      <w:r>
        <w:rPr/>
        <w:t>distribuye</w:t>
      </w:r>
      <w:r>
        <w:rPr>
          <w:spacing w:val="-8"/>
        </w:rPr>
        <w:t> </w:t>
      </w:r>
      <w:r>
        <w:rPr/>
        <w:t>a</w:t>
      </w:r>
      <w:r>
        <w:rPr>
          <w:spacing w:val="-8"/>
        </w:rPr>
        <w:t> </w:t>
      </w:r>
      <w:r>
        <w:rPr/>
        <w:t>cada</w:t>
      </w:r>
      <w:r>
        <w:rPr>
          <w:spacing w:val="-8"/>
        </w:rPr>
        <w:t> </w:t>
      </w:r>
      <w:r>
        <w:rPr/>
        <w:t>uno</w:t>
      </w:r>
      <w:r>
        <w:rPr>
          <w:spacing w:val="-8"/>
        </w:rPr>
        <w:t> </w:t>
      </w:r>
      <w:r>
        <w:rPr/>
        <w:t>de</w:t>
      </w:r>
      <w:r>
        <w:rPr>
          <w:spacing w:val="-8"/>
        </w:rPr>
        <w:t> </w:t>
      </w:r>
      <w:r>
        <w:rPr/>
        <w:t>sus</w:t>
      </w:r>
      <w:r>
        <w:rPr>
          <w:spacing w:val="-9"/>
        </w:rPr>
        <w:t> </w:t>
      </w:r>
      <w:r>
        <w:rPr/>
        <w:t>municipios</w:t>
      </w:r>
      <w:r>
        <w:rPr>
          <w:spacing w:val="-9"/>
        </w:rPr>
        <w:t> </w:t>
      </w:r>
      <w:r>
        <w:rPr/>
        <w:t>en proporción directa del número de habitantes de cada uno de ellos, entre el número de habitantes de la Entidad Federativa en su</w:t>
      </w:r>
      <w:r>
        <w:rPr>
          <w:spacing w:val="-17"/>
        </w:rPr>
        <w:t> </w:t>
      </w:r>
      <w:r>
        <w:rPr/>
        <w:t>conjunto.</w:t>
      </w:r>
    </w:p>
    <w:p>
      <w:pPr>
        <w:pStyle w:val="BodyText"/>
        <w:spacing w:before="3"/>
        <w:rPr>
          <w:sz w:val="21"/>
        </w:rPr>
      </w:pPr>
    </w:p>
    <w:p>
      <w:pPr>
        <w:pStyle w:val="Heading2"/>
      </w:pPr>
      <w:r>
        <w:rPr/>
        <w:t>Destino</w:t>
      </w:r>
    </w:p>
    <w:p>
      <w:pPr>
        <w:pStyle w:val="BodyText"/>
        <w:spacing w:before="8"/>
        <w:rPr>
          <w:b/>
          <w:sz w:val="32"/>
        </w:rPr>
      </w:pPr>
    </w:p>
    <w:p>
      <w:pPr>
        <w:pStyle w:val="BodyText"/>
        <w:spacing w:line="360" w:lineRule="auto" w:before="1"/>
        <w:ind w:left="102" w:right="116"/>
        <w:jc w:val="both"/>
      </w:pPr>
      <w:r>
        <w:rPr/>
        <w:t>El FORTAMUNDF se ejerce en los términos que aprueban los Ayuntamientos, en los fines establecidos en la Ley de Coordinación Fiscal, que establece que estos recursos</w:t>
      </w:r>
      <w:r>
        <w:rPr>
          <w:spacing w:val="-8"/>
        </w:rPr>
        <w:t> </w:t>
      </w:r>
      <w:r>
        <w:rPr/>
        <w:t>se</w:t>
      </w:r>
      <w:r>
        <w:rPr>
          <w:spacing w:val="-9"/>
        </w:rPr>
        <w:t> </w:t>
      </w:r>
      <w:r>
        <w:rPr/>
        <w:t>deben</w:t>
      </w:r>
      <w:r>
        <w:rPr>
          <w:spacing w:val="-9"/>
        </w:rPr>
        <w:t> </w:t>
      </w:r>
      <w:r>
        <w:rPr/>
        <w:t>destinar</w:t>
      </w:r>
      <w:r>
        <w:rPr>
          <w:spacing w:val="-8"/>
        </w:rPr>
        <w:t> </w:t>
      </w:r>
      <w:r>
        <w:rPr/>
        <w:t>a</w:t>
      </w:r>
      <w:r>
        <w:rPr>
          <w:spacing w:val="-9"/>
        </w:rPr>
        <w:t> </w:t>
      </w:r>
      <w:r>
        <w:rPr/>
        <w:t>la</w:t>
      </w:r>
      <w:r>
        <w:rPr>
          <w:spacing w:val="-9"/>
        </w:rPr>
        <w:t> </w:t>
      </w:r>
      <w:r>
        <w:rPr/>
        <w:t>satisfacción</w:t>
      </w:r>
      <w:r>
        <w:rPr>
          <w:spacing w:val="-9"/>
        </w:rPr>
        <w:t> </w:t>
      </w:r>
      <w:r>
        <w:rPr/>
        <w:t>de</w:t>
      </w:r>
      <w:r>
        <w:rPr>
          <w:spacing w:val="-7"/>
        </w:rPr>
        <w:t> </w:t>
      </w:r>
      <w:r>
        <w:rPr/>
        <w:t>sus</w:t>
      </w:r>
      <w:r>
        <w:rPr>
          <w:spacing w:val="-9"/>
        </w:rPr>
        <w:t> </w:t>
      </w:r>
      <w:r>
        <w:rPr/>
        <w:t>requerimientos,</w:t>
      </w:r>
      <w:r>
        <w:rPr>
          <w:spacing w:val="-11"/>
        </w:rPr>
        <w:t> </w:t>
      </w:r>
      <w:r>
        <w:rPr/>
        <w:t>dando</w:t>
      </w:r>
      <w:r>
        <w:rPr>
          <w:spacing w:val="-9"/>
        </w:rPr>
        <w:t> </w:t>
      </w:r>
      <w:r>
        <w:rPr/>
        <w:t>prioridad al cumplimiento de sus obligaciones financieras, al pago de derechos y aprovechamientos por concepto de agua, descargas de aguas residuales, a la modernización de los sistemas de recaudación locales, mantenimiento de infraestructura, y a la atención de las necesidades directamente vinculadas con la seguridad</w:t>
      </w:r>
      <w:r>
        <w:rPr>
          <w:spacing w:val="-10"/>
        </w:rPr>
        <w:t> </w:t>
      </w:r>
      <w:r>
        <w:rPr/>
        <w:t>pública</w:t>
      </w:r>
      <w:r>
        <w:rPr>
          <w:spacing w:val="-10"/>
        </w:rPr>
        <w:t> </w:t>
      </w:r>
      <w:r>
        <w:rPr/>
        <w:t>de</w:t>
      </w:r>
      <w:r>
        <w:rPr>
          <w:spacing w:val="-8"/>
        </w:rPr>
        <w:t> </w:t>
      </w:r>
      <w:r>
        <w:rPr/>
        <w:t>sus</w:t>
      </w:r>
      <w:r>
        <w:rPr>
          <w:spacing w:val="-9"/>
        </w:rPr>
        <w:t> </w:t>
      </w:r>
      <w:r>
        <w:rPr/>
        <w:t>habitantes.</w:t>
      </w:r>
      <w:r>
        <w:rPr>
          <w:spacing w:val="-8"/>
        </w:rPr>
        <w:t> </w:t>
      </w:r>
      <w:r>
        <w:rPr/>
        <w:t>Respecto</w:t>
      </w:r>
      <w:r>
        <w:rPr>
          <w:spacing w:val="-8"/>
        </w:rPr>
        <w:t> </w:t>
      </w:r>
      <w:r>
        <w:rPr/>
        <w:t>de</w:t>
      </w:r>
      <w:r>
        <w:rPr>
          <w:spacing w:val="-8"/>
        </w:rPr>
        <w:t> </w:t>
      </w:r>
      <w:r>
        <w:rPr/>
        <w:t>las</w:t>
      </w:r>
      <w:r>
        <w:rPr>
          <w:spacing w:val="-11"/>
        </w:rPr>
        <w:t> </w:t>
      </w:r>
      <w:r>
        <w:rPr/>
        <w:t>aportaciones</w:t>
      </w:r>
      <w:r>
        <w:rPr>
          <w:spacing w:val="-13"/>
        </w:rPr>
        <w:t> </w:t>
      </w:r>
      <w:r>
        <w:rPr/>
        <w:t>que</w:t>
      </w:r>
      <w:r>
        <w:rPr>
          <w:spacing w:val="-8"/>
        </w:rPr>
        <w:t> </w:t>
      </w:r>
      <w:r>
        <w:rPr/>
        <w:t>reciban</w:t>
      </w:r>
      <w:r>
        <w:rPr>
          <w:spacing w:val="-8"/>
        </w:rPr>
        <w:t> </w:t>
      </w:r>
      <w:r>
        <w:rPr/>
        <w:t>con cargo al Fondo a que se refiere este artículo, los municipios y las demarcaciones territoriales del Distrito Federal tendrán las mismas obligaciones a que se refiere el artículo</w:t>
      </w:r>
      <w:r>
        <w:rPr>
          <w:spacing w:val="-4"/>
        </w:rPr>
        <w:t> </w:t>
      </w:r>
      <w:r>
        <w:rPr/>
        <w:t>33,</w:t>
      </w:r>
      <w:r>
        <w:rPr>
          <w:spacing w:val="-4"/>
        </w:rPr>
        <w:t> </w:t>
      </w:r>
      <w:r>
        <w:rPr/>
        <w:t>apartado</w:t>
      </w:r>
      <w:r>
        <w:rPr>
          <w:spacing w:val="-6"/>
        </w:rPr>
        <w:t> </w:t>
      </w:r>
      <w:r>
        <w:rPr/>
        <w:t>B,</w:t>
      </w:r>
      <w:r>
        <w:rPr>
          <w:spacing w:val="-6"/>
        </w:rPr>
        <w:t> </w:t>
      </w:r>
      <w:r>
        <w:rPr/>
        <w:t>fracción</w:t>
      </w:r>
      <w:r>
        <w:rPr>
          <w:spacing w:val="-4"/>
        </w:rPr>
        <w:t> </w:t>
      </w:r>
      <w:r>
        <w:rPr/>
        <w:t>II,</w:t>
      </w:r>
      <w:r>
        <w:rPr>
          <w:spacing w:val="-4"/>
        </w:rPr>
        <w:t> </w:t>
      </w:r>
      <w:r>
        <w:rPr/>
        <w:t>incisos</w:t>
      </w:r>
      <w:r>
        <w:rPr>
          <w:spacing w:val="-4"/>
        </w:rPr>
        <w:t> </w:t>
      </w:r>
      <w:r>
        <w:rPr/>
        <w:t>a)</w:t>
      </w:r>
      <w:r>
        <w:rPr>
          <w:spacing w:val="-10"/>
        </w:rPr>
        <w:t> </w:t>
      </w:r>
      <w:r>
        <w:rPr/>
        <w:t>y</w:t>
      </w:r>
      <w:r>
        <w:rPr>
          <w:spacing w:val="-7"/>
        </w:rPr>
        <w:t> </w:t>
      </w:r>
      <w:r>
        <w:rPr/>
        <w:t>c),</w:t>
      </w:r>
      <w:r>
        <w:rPr>
          <w:spacing w:val="-5"/>
        </w:rPr>
        <w:t> </w:t>
      </w:r>
      <w:r>
        <w:rPr/>
        <w:t>de</w:t>
      </w:r>
      <w:r>
        <w:rPr>
          <w:spacing w:val="-4"/>
        </w:rPr>
        <w:t> </w:t>
      </w:r>
      <w:r>
        <w:rPr/>
        <w:t>la</w:t>
      </w:r>
      <w:r>
        <w:rPr>
          <w:spacing w:val="-6"/>
        </w:rPr>
        <w:t> </w:t>
      </w:r>
      <w:r>
        <w:rPr/>
        <w:t>Ley</w:t>
      </w:r>
      <w:r>
        <w:rPr>
          <w:spacing w:val="-7"/>
        </w:rPr>
        <w:t> </w:t>
      </w:r>
      <w:r>
        <w:rPr/>
        <w:t>de</w:t>
      </w:r>
      <w:r>
        <w:rPr>
          <w:spacing w:val="-4"/>
        </w:rPr>
        <w:t> </w:t>
      </w:r>
      <w:r>
        <w:rPr/>
        <w:t>Coordinación</w:t>
      </w:r>
      <w:r>
        <w:rPr>
          <w:spacing w:val="-5"/>
        </w:rPr>
        <w:t> </w:t>
      </w:r>
      <w:r>
        <w:rPr/>
        <w:t>Fiscal.</w:t>
      </w:r>
    </w:p>
    <w:p>
      <w:pPr>
        <w:pStyle w:val="BodyText"/>
        <w:spacing w:before="4"/>
        <w:rPr>
          <w:sz w:val="21"/>
        </w:rPr>
      </w:pPr>
    </w:p>
    <w:p>
      <w:pPr>
        <w:pStyle w:val="BodyText"/>
        <w:spacing w:line="360" w:lineRule="auto"/>
        <w:ind w:left="102" w:right="123"/>
        <w:jc w:val="both"/>
      </w:pPr>
      <w:r>
        <w:rPr/>
        <w:t>Es importante mencionar que el artículo 7 fracción IX del Presupuesto de Egresos de la Federación para el ejercicio fiscal 2015, señala que el Consejo Nacional de Seguridad Pública promoverá que al menos el 20% de los recursos del FORTAMUNDF se destinen a la atención de necesidades directamente vinculadas con la seguridad pública.</w:t>
      </w:r>
    </w:p>
    <w:p>
      <w:pPr>
        <w:spacing w:after="0" w:line="360" w:lineRule="auto"/>
        <w:jc w:val="both"/>
        <w:sectPr>
          <w:pgSz w:w="12240" w:h="15840"/>
          <w:pgMar w:header="0" w:footer="992" w:top="1360" w:bottom="1180" w:left="1600" w:right="1580"/>
        </w:sectPr>
      </w:pPr>
    </w:p>
    <w:p>
      <w:pPr>
        <w:pStyle w:val="Heading1"/>
        <w:spacing w:before="52"/>
        <w:ind w:right="747"/>
        <w:jc w:val="center"/>
      </w:pPr>
      <w:bookmarkStart w:name="_TOC_250015" w:id="37"/>
      <w:bookmarkEnd w:id="37"/>
      <w:r>
        <w:rPr/>
        <w:t>Capítulo IV</w:t>
      </w:r>
    </w:p>
    <w:p>
      <w:pPr>
        <w:pStyle w:val="BodyText"/>
        <w:spacing w:before="10"/>
        <w:rPr>
          <w:b/>
          <w:sz w:val="41"/>
        </w:rPr>
      </w:pPr>
    </w:p>
    <w:p>
      <w:pPr>
        <w:pStyle w:val="Heading1"/>
        <w:spacing w:before="1"/>
        <w:ind w:left="102" w:firstLine="38"/>
        <w:jc w:val="both"/>
      </w:pPr>
      <w:bookmarkStart w:name="_TOC_250014" w:id="38"/>
      <w:bookmarkEnd w:id="38"/>
      <w:r>
        <w:rPr/>
        <w:t>Operatividad del FISMDF y FORTAMUNDF en el Estado de México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line="360" w:lineRule="auto" w:before="229"/>
        <w:ind w:left="102" w:right="115"/>
        <w:jc w:val="both"/>
      </w:pPr>
      <w:r>
        <w:rPr/>
        <w:t>Como</w:t>
      </w:r>
      <w:r>
        <w:rPr>
          <w:spacing w:val="-11"/>
        </w:rPr>
        <w:t> </w:t>
      </w:r>
      <w:r>
        <w:rPr/>
        <w:t>se</w:t>
      </w:r>
      <w:r>
        <w:rPr>
          <w:spacing w:val="-8"/>
        </w:rPr>
        <w:t> </w:t>
      </w:r>
      <w:r>
        <w:rPr/>
        <w:t>sabe</w:t>
      </w:r>
      <w:r>
        <w:rPr>
          <w:spacing w:val="-8"/>
        </w:rPr>
        <w:t> </w:t>
      </w:r>
      <w:r>
        <w:rPr/>
        <w:t>el</w:t>
      </w:r>
      <w:r>
        <w:rPr>
          <w:spacing w:val="-14"/>
        </w:rPr>
        <w:t> </w:t>
      </w:r>
      <w:r>
        <w:rPr/>
        <w:t>federalismo</w:t>
      </w:r>
      <w:r>
        <w:rPr>
          <w:spacing w:val="-11"/>
        </w:rPr>
        <w:t> </w:t>
      </w:r>
      <w:r>
        <w:rPr/>
        <w:t>es</w:t>
      </w:r>
      <w:r>
        <w:rPr>
          <w:spacing w:val="-12"/>
        </w:rPr>
        <w:t> </w:t>
      </w:r>
      <w:r>
        <w:rPr/>
        <w:t>un</w:t>
      </w:r>
      <w:r>
        <w:rPr>
          <w:spacing w:val="-11"/>
        </w:rPr>
        <w:t> </w:t>
      </w:r>
      <w:r>
        <w:rPr/>
        <w:t>arreglo</w:t>
      </w:r>
      <w:r>
        <w:rPr>
          <w:spacing w:val="-9"/>
        </w:rPr>
        <w:t> </w:t>
      </w:r>
      <w:r>
        <w:rPr/>
        <w:t>institucional</w:t>
      </w:r>
      <w:r>
        <w:rPr>
          <w:spacing w:val="-10"/>
        </w:rPr>
        <w:t> </w:t>
      </w:r>
      <w:r>
        <w:rPr/>
        <w:t>en</w:t>
      </w:r>
      <w:r>
        <w:rPr>
          <w:spacing w:val="-11"/>
        </w:rPr>
        <w:t> </w:t>
      </w:r>
      <w:r>
        <w:rPr/>
        <w:t>el</w:t>
      </w:r>
      <w:r>
        <w:rPr>
          <w:spacing w:val="-10"/>
        </w:rPr>
        <w:t> </w:t>
      </w:r>
      <w:r>
        <w:rPr/>
        <w:t>cual</w:t>
      </w:r>
      <w:r>
        <w:rPr>
          <w:spacing w:val="-12"/>
        </w:rPr>
        <w:t> </w:t>
      </w:r>
      <w:r>
        <w:rPr/>
        <w:t>diversas</w:t>
      </w:r>
      <w:r>
        <w:rPr>
          <w:spacing w:val="-9"/>
        </w:rPr>
        <w:t> </w:t>
      </w:r>
      <w:r>
        <w:rPr/>
        <w:t>regiones o provincias con independencia política entre sí, deciden unirse voluntariamente bajo</w:t>
      </w:r>
      <w:r>
        <w:rPr>
          <w:spacing w:val="-17"/>
        </w:rPr>
        <w:t> </w:t>
      </w:r>
      <w:r>
        <w:rPr/>
        <w:t>la</w:t>
      </w:r>
      <w:r>
        <w:rPr>
          <w:spacing w:val="-17"/>
        </w:rPr>
        <w:t> </w:t>
      </w:r>
      <w:r>
        <w:rPr/>
        <w:t>figura</w:t>
      </w:r>
      <w:r>
        <w:rPr>
          <w:spacing w:val="-16"/>
        </w:rPr>
        <w:t> </w:t>
      </w:r>
      <w:r>
        <w:rPr/>
        <w:t>de</w:t>
      </w:r>
      <w:r>
        <w:rPr>
          <w:spacing w:val="-16"/>
        </w:rPr>
        <w:t> </w:t>
      </w:r>
      <w:r>
        <w:rPr/>
        <w:t>un</w:t>
      </w:r>
      <w:r>
        <w:rPr>
          <w:spacing w:val="-17"/>
        </w:rPr>
        <w:t> </w:t>
      </w:r>
      <w:r>
        <w:rPr/>
        <w:t>mismo</w:t>
      </w:r>
      <w:r>
        <w:rPr>
          <w:spacing w:val="-16"/>
        </w:rPr>
        <w:t> </w:t>
      </w:r>
      <w:r>
        <w:rPr/>
        <w:t>Estado-Nación,</w:t>
      </w:r>
      <w:r>
        <w:rPr>
          <w:spacing w:val="-14"/>
        </w:rPr>
        <w:t> </w:t>
      </w:r>
      <w:r>
        <w:rPr/>
        <w:t>cediendo</w:t>
      </w:r>
      <w:r>
        <w:rPr>
          <w:spacing w:val="-17"/>
        </w:rPr>
        <w:t> </w:t>
      </w:r>
      <w:r>
        <w:rPr/>
        <w:t>parte</w:t>
      </w:r>
      <w:r>
        <w:rPr>
          <w:spacing w:val="-17"/>
        </w:rPr>
        <w:t> </w:t>
      </w:r>
      <w:r>
        <w:rPr/>
        <w:t>de</w:t>
      </w:r>
      <w:r>
        <w:rPr>
          <w:spacing w:val="-14"/>
        </w:rPr>
        <w:t> </w:t>
      </w:r>
      <w:r>
        <w:rPr/>
        <w:t>su</w:t>
      </w:r>
      <w:r>
        <w:rPr>
          <w:spacing w:val="-14"/>
        </w:rPr>
        <w:t> </w:t>
      </w:r>
      <w:r>
        <w:rPr/>
        <w:t>soberanía</w:t>
      </w:r>
      <w:r>
        <w:rPr>
          <w:spacing w:val="-10"/>
        </w:rPr>
        <w:t> </w:t>
      </w:r>
      <w:r>
        <w:rPr/>
        <w:t>al</w:t>
      </w:r>
      <w:r>
        <w:rPr>
          <w:spacing w:val="-17"/>
        </w:rPr>
        <w:t> </w:t>
      </w:r>
      <w:r>
        <w:rPr/>
        <w:t>ámbito de</w:t>
      </w:r>
      <w:r>
        <w:rPr>
          <w:spacing w:val="-7"/>
        </w:rPr>
        <w:t> </w:t>
      </w:r>
      <w:r>
        <w:rPr/>
        <w:t>gobierno</w:t>
      </w:r>
      <w:r>
        <w:rPr>
          <w:spacing w:val="-9"/>
        </w:rPr>
        <w:t> </w:t>
      </w:r>
      <w:r>
        <w:rPr/>
        <w:t>federal,</w:t>
      </w:r>
      <w:r>
        <w:rPr>
          <w:spacing w:val="-5"/>
        </w:rPr>
        <w:t> </w:t>
      </w:r>
      <w:r>
        <w:rPr/>
        <w:t>con</w:t>
      </w:r>
      <w:r>
        <w:rPr>
          <w:spacing w:val="-7"/>
        </w:rPr>
        <w:t> </w:t>
      </w:r>
      <w:r>
        <w:rPr/>
        <w:t>la</w:t>
      </w:r>
      <w:r>
        <w:rPr>
          <w:spacing w:val="-10"/>
        </w:rPr>
        <w:t> </w:t>
      </w:r>
      <w:r>
        <w:rPr/>
        <w:t>finalidad</w:t>
      </w:r>
      <w:r>
        <w:rPr>
          <w:spacing w:val="-7"/>
        </w:rPr>
        <w:t> </w:t>
      </w:r>
      <w:r>
        <w:rPr/>
        <w:t>de</w:t>
      </w:r>
      <w:r>
        <w:rPr>
          <w:spacing w:val="-7"/>
        </w:rPr>
        <w:t> </w:t>
      </w:r>
      <w:r>
        <w:rPr/>
        <w:t>obtener</w:t>
      </w:r>
      <w:r>
        <w:rPr>
          <w:spacing w:val="-8"/>
        </w:rPr>
        <w:t> </w:t>
      </w:r>
      <w:r>
        <w:rPr/>
        <w:t>beneficios</w:t>
      </w:r>
      <w:r>
        <w:rPr>
          <w:spacing w:val="-8"/>
        </w:rPr>
        <w:t> </w:t>
      </w:r>
      <w:r>
        <w:rPr/>
        <w:t>que</w:t>
      </w:r>
      <w:r>
        <w:rPr>
          <w:spacing w:val="-4"/>
        </w:rPr>
        <w:t> </w:t>
      </w:r>
      <w:r>
        <w:rPr/>
        <w:t>serían</w:t>
      </w:r>
      <w:r>
        <w:rPr>
          <w:spacing w:val="-6"/>
        </w:rPr>
        <w:t> </w:t>
      </w:r>
      <w:r>
        <w:rPr/>
        <w:t>más</w:t>
      </w:r>
      <w:r>
        <w:rPr>
          <w:spacing w:val="-8"/>
        </w:rPr>
        <w:t> </w:t>
      </w:r>
      <w:r>
        <w:rPr/>
        <w:t>costosos de alcanzar de manera</w:t>
      </w:r>
      <w:r>
        <w:rPr>
          <w:spacing w:val="-14"/>
        </w:rPr>
        <w:t> </w:t>
      </w:r>
      <w:r>
        <w:rPr/>
        <w:t>individual.</w:t>
      </w:r>
    </w:p>
    <w:p>
      <w:pPr>
        <w:pStyle w:val="BodyText"/>
        <w:spacing w:line="360" w:lineRule="auto" w:before="204"/>
        <w:ind w:left="102" w:right="115"/>
        <w:jc w:val="both"/>
      </w:pPr>
      <w:r>
        <w:rPr/>
        <w:t>A</w:t>
      </w:r>
      <w:r>
        <w:rPr>
          <w:spacing w:val="-6"/>
        </w:rPr>
        <w:t> </w:t>
      </w:r>
      <w:r>
        <w:rPr/>
        <w:t>finales</w:t>
      </w:r>
      <w:r>
        <w:rPr>
          <w:spacing w:val="-6"/>
        </w:rPr>
        <w:t> </w:t>
      </w:r>
      <w:r>
        <w:rPr/>
        <w:t>de</w:t>
      </w:r>
      <w:r>
        <w:rPr>
          <w:spacing w:val="-6"/>
        </w:rPr>
        <w:t> </w:t>
      </w:r>
      <w:r>
        <w:rPr/>
        <w:t>la</w:t>
      </w:r>
      <w:r>
        <w:rPr>
          <w:spacing w:val="-6"/>
        </w:rPr>
        <w:t> </w:t>
      </w:r>
      <w:r>
        <w:rPr/>
        <w:t>década</w:t>
      </w:r>
      <w:r>
        <w:rPr>
          <w:spacing w:val="-6"/>
        </w:rPr>
        <w:t> </w:t>
      </w:r>
      <w:r>
        <w:rPr/>
        <w:t>de</w:t>
      </w:r>
      <w:r>
        <w:rPr>
          <w:spacing w:val="-4"/>
        </w:rPr>
        <w:t> </w:t>
      </w:r>
      <w:r>
        <w:rPr/>
        <w:t>los</w:t>
      </w:r>
      <w:r>
        <w:rPr>
          <w:spacing w:val="-7"/>
        </w:rPr>
        <w:t> </w:t>
      </w:r>
      <w:r>
        <w:rPr/>
        <w:t>ochenta</w:t>
      </w:r>
      <w:r>
        <w:rPr>
          <w:spacing w:val="-5"/>
        </w:rPr>
        <w:t> </w:t>
      </w:r>
      <w:r>
        <w:rPr/>
        <w:t>y</w:t>
      </w:r>
      <w:r>
        <w:rPr>
          <w:spacing w:val="-7"/>
        </w:rPr>
        <w:t> </w:t>
      </w:r>
      <w:r>
        <w:rPr/>
        <w:t>a</w:t>
      </w:r>
      <w:r>
        <w:rPr>
          <w:spacing w:val="-6"/>
        </w:rPr>
        <w:t> </w:t>
      </w:r>
      <w:r>
        <w:rPr/>
        <w:t>lo</w:t>
      </w:r>
      <w:r>
        <w:rPr>
          <w:spacing w:val="-4"/>
        </w:rPr>
        <w:t> </w:t>
      </w:r>
      <w:r>
        <w:rPr/>
        <w:t>largo</w:t>
      </w:r>
      <w:r>
        <w:rPr>
          <w:spacing w:val="-4"/>
        </w:rPr>
        <w:t> </w:t>
      </w:r>
      <w:r>
        <w:rPr/>
        <w:t>de</w:t>
      </w:r>
      <w:r>
        <w:rPr>
          <w:spacing w:val="-4"/>
        </w:rPr>
        <w:t> </w:t>
      </w:r>
      <w:r>
        <w:rPr/>
        <w:t>los</w:t>
      </w:r>
      <w:r>
        <w:rPr>
          <w:spacing w:val="-7"/>
        </w:rPr>
        <w:t> </w:t>
      </w:r>
      <w:r>
        <w:rPr/>
        <w:t>noventa</w:t>
      </w:r>
      <w:r>
        <w:rPr>
          <w:spacing w:val="-5"/>
        </w:rPr>
        <w:t> </w:t>
      </w:r>
      <w:r>
        <w:rPr/>
        <w:t>se inició</w:t>
      </w:r>
      <w:r>
        <w:rPr>
          <w:spacing w:val="-3"/>
        </w:rPr>
        <w:t> </w:t>
      </w:r>
      <w:r>
        <w:rPr/>
        <w:t>un</w:t>
      </w:r>
      <w:r>
        <w:rPr>
          <w:spacing w:val="-6"/>
        </w:rPr>
        <w:t> </w:t>
      </w:r>
      <w:r>
        <w:rPr/>
        <w:t>amplio proceso de descentralización de competencias, así mismo como de recursos; tales como servicios de salud y educativos que fueron descentralizados para que las entidades federativos y en su caso los municipios coadyuvaran y fueran corresponsables en pro del bien ciudadano y mejorar la calidad de vida de</w:t>
      </w:r>
      <w:r>
        <w:rPr>
          <w:spacing w:val="-23"/>
        </w:rPr>
        <w:t> </w:t>
      </w:r>
      <w:r>
        <w:rPr/>
        <w:t>éstos.</w:t>
      </w:r>
    </w:p>
    <w:p>
      <w:pPr>
        <w:pStyle w:val="BodyText"/>
        <w:spacing w:line="360" w:lineRule="auto" w:before="204"/>
        <w:ind w:left="102" w:right="116"/>
        <w:jc w:val="both"/>
      </w:pPr>
      <w:r>
        <w:rPr/>
        <w:t>Para atender esas nuevas competencias conferidas a los gobiernos locales, fue indispensable descentralizar recursos, es por eso que el ramo 33 se estableció dentro del Presupuesto de Egresos de la Federación y por ende en la Ley de Coordinación Fiscal (LCF) con la cual se aseguraba la transferencia hacia los estados y municipios independientemente de los cambios de programas y en el entorno político, dándole así institucionalidad a ese ramo, principalmente a los que benefician directamente a los municipios que son las aportaciones federales señaladas en el capítulo V de esa ley.</w:t>
      </w:r>
    </w:p>
    <w:p>
      <w:pPr>
        <w:pStyle w:val="BodyText"/>
        <w:spacing w:line="360" w:lineRule="auto" w:before="204"/>
        <w:ind w:left="102" w:right="122"/>
        <w:jc w:val="both"/>
      </w:pPr>
      <w:r>
        <w:rPr/>
        <w:t>Es menester mencionar que la iniciativa del Ramo 33 y de la decisión de la descentralización de los recursos fiscales estuvo a cargo del presidente Ernesto</w:t>
      </w:r>
    </w:p>
    <w:p>
      <w:pPr>
        <w:spacing w:after="0" w:line="360" w:lineRule="auto"/>
        <w:jc w:val="both"/>
        <w:sectPr>
          <w:pgSz w:w="12240" w:h="15840"/>
          <w:pgMar w:header="0" w:footer="992" w:top="1360" w:bottom="1180" w:left="1600" w:right="1580"/>
        </w:sectPr>
      </w:pPr>
    </w:p>
    <w:p>
      <w:pPr>
        <w:pStyle w:val="BodyText"/>
        <w:spacing w:line="362" w:lineRule="auto" w:before="54"/>
        <w:ind w:left="102" w:right="125"/>
        <w:jc w:val="both"/>
      </w:pPr>
      <w:r>
        <w:rPr/>
        <w:t>Zedillo con el acuerdo de las diversas fuerzas políticas del Congreso de la Unión, en el año 1997.</w:t>
      </w:r>
    </w:p>
    <w:p>
      <w:pPr>
        <w:pStyle w:val="BodyText"/>
        <w:spacing w:line="360" w:lineRule="auto" w:before="201"/>
        <w:ind w:left="102" w:right="116"/>
        <w:jc w:val="both"/>
      </w:pPr>
      <w:r>
        <w:rPr/>
        <w:t>El desarrollo social es una de las prioridades nacionales, motivo por el cual en ese proceso de descentralización se hallan las aportaciones federales, que no es otra cosa más que la descentralización de recursos hacia los gobiernos locales para atender sus nuevas tareas conferidas.</w:t>
      </w:r>
    </w:p>
    <w:p>
      <w:pPr>
        <w:pStyle w:val="BodyText"/>
        <w:spacing w:line="360" w:lineRule="auto" w:before="204"/>
        <w:ind w:left="102" w:right="123"/>
        <w:jc w:val="both"/>
      </w:pPr>
      <w:r>
        <w:rPr/>
        <w:t>Nuestro país muestra grandes disparidades que son el resultado del complejo proceso</w:t>
      </w:r>
      <w:r>
        <w:rPr>
          <w:spacing w:val="-11"/>
        </w:rPr>
        <w:t> </w:t>
      </w:r>
      <w:r>
        <w:rPr/>
        <w:t>histórico</w:t>
      </w:r>
      <w:r>
        <w:rPr>
          <w:spacing w:val="-8"/>
        </w:rPr>
        <w:t> </w:t>
      </w:r>
      <w:r>
        <w:rPr/>
        <w:t>que</w:t>
      </w:r>
      <w:r>
        <w:rPr>
          <w:spacing w:val="-13"/>
        </w:rPr>
        <w:t> </w:t>
      </w:r>
      <w:r>
        <w:rPr/>
        <w:t>dio</w:t>
      </w:r>
      <w:r>
        <w:rPr>
          <w:spacing w:val="-9"/>
        </w:rPr>
        <w:t> </w:t>
      </w:r>
      <w:r>
        <w:rPr/>
        <w:t>paso</w:t>
      </w:r>
      <w:r>
        <w:rPr>
          <w:spacing w:val="-11"/>
        </w:rPr>
        <w:t> </w:t>
      </w:r>
      <w:r>
        <w:rPr/>
        <w:t>al</w:t>
      </w:r>
      <w:r>
        <w:rPr>
          <w:spacing w:val="-10"/>
        </w:rPr>
        <w:t> </w:t>
      </w:r>
      <w:r>
        <w:rPr/>
        <w:t>país</w:t>
      </w:r>
      <w:r>
        <w:rPr>
          <w:spacing w:val="-9"/>
        </w:rPr>
        <w:t> </w:t>
      </w:r>
      <w:r>
        <w:rPr/>
        <w:t>como</w:t>
      </w:r>
      <w:r>
        <w:rPr>
          <w:spacing w:val="-13"/>
        </w:rPr>
        <w:t> </w:t>
      </w:r>
      <w:r>
        <w:rPr/>
        <w:t>nación</w:t>
      </w:r>
      <w:r>
        <w:rPr>
          <w:spacing w:val="-10"/>
        </w:rPr>
        <w:t> </w:t>
      </w:r>
      <w:r>
        <w:rPr/>
        <w:t>independiente,</w:t>
      </w:r>
      <w:r>
        <w:rPr>
          <w:spacing w:val="-13"/>
        </w:rPr>
        <w:t> </w:t>
      </w:r>
      <w:r>
        <w:rPr/>
        <w:t>factores</w:t>
      </w:r>
      <w:r>
        <w:rPr>
          <w:spacing w:val="-11"/>
        </w:rPr>
        <w:t> </w:t>
      </w:r>
      <w:r>
        <w:rPr/>
        <w:t>como</w:t>
      </w:r>
      <w:r>
        <w:rPr>
          <w:spacing w:val="-8"/>
        </w:rPr>
        <w:t> </w:t>
      </w:r>
      <w:r>
        <w:rPr/>
        <w:t>la localización</w:t>
      </w:r>
      <w:r>
        <w:rPr>
          <w:spacing w:val="-7"/>
        </w:rPr>
        <w:t> </w:t>
      </w:r>
      <w:r>
        <w:rPr/>
        <w:t>de</w:t>
      </w:r>
      <w:r>
        <w:rPr>
          <w:spacing w:val="-7"/>
        </w:rPr>
        <w:t> </w:t>
      </w:r>
      <w:r>
        <w:rPr/>
        <w:t>actividades</w:t>
      </w:r>
      <w:r>
        <w:rPr>
          <w:spacing w:val="-8"/>
        </w:rPr>
        <w:t> </w:t>
      </w:r>
      <w:r>
        <w:rPr/>
        <w:t>económicas,</w:t>
      </w:r>
      <w:r>
        <w:rPr>
          <w:spacing w:val="-9"/>
        </w:rPr>
        <w:t> </w:t>
      </w:r>
      <w:r>
        <w:rPr/>
        <w:t>la</w:t>
      </w:r>
      <w:r>
        <w:rPr>
          <w:spacing w:val="-7"/>
        </w:rPr>
        <w:t> </w:t>
      </w:r>
      <w:r>
        <w:rPr/>
        <w:t>dinámica</w:t>
      </w:r>
      <w:r>
        <w:rPr>
          <w:spacing w:val="-10"/>
        </w:rPr>
        <w:t> </w:t>
      </w:r>
      <w:r>
        <w:rPr/>
        <w:t>de</w:t>
      </w:r>
      <w:r>
        <w:rPr>
          <w:spacing w:val="-7"/>
        </w:rPr>
        <w:t> </w:t>
      </w:r>
      <w:r>
        <w:rPr/>
        <w:t>crecimiento</w:t>
      </w:r>
      <w:r>
        <w:rPr>
          <w:spacing w:val="-7"/>
        </w:rPr>
        <w:t> </w:t>
      </w:r>
      <w:r>
        <w:rPr/>
        <w:t>y</w:t>
      </w:r>
      <w:r>
        <w:rPr>
          <w:spacing w:val="-10"/>
        </w:rPr>
        <w:t> </w:t>
      </w:r>
      <w:r>
        <w:rPr/>
        <w:t>la</w:t>
      </w:r>
      <w:r>
        <w:rPr>
          <w:spacing w:val="-7"/>
        </w:rPr>
        <w:t> </w:t>
      </w:r>
      <w:r>
        <w:rPr/>
        <w:t>distribución de población inciden en esa disparidad contextual del México de</w:t>
      </w:r>
      <w:r>
        <w:rPr>
          <w:spacing w:val="-33"/>
        </w:rPr>
        <w:t> </w:t>
      </w:r>
      <w:r>
        <w:rPr/>
        <w:t>hoy.</w:t>
      </w:r>
    </w:p>
    <w:p>
      <w:pPr>
        <w:pStyle w:val="BodyText"/>
        <w:spacing w:before="3"/>
        <w:rPr>
          <w:sz w:val="21"/>
        </w:rPr>
      </w:pPr>
    </w:p>
    <w:p>
      <w:pPr>
        <w:pStyle w:val="BodyText"/>
        <w:spacing w:line="360" w:lineRule="auto"/>
        <w:ind w:left="102" w:right="117"/>
        <w:jc w:val="both"/>
      </w:pPr>
      <w:r>
        <w:rPr/>
        <w:t>En ese sentido, la perspectiva del desarrollo social tiene como propósito incidir en el combate de esas disparidades existentes en el ancho del territorio mexicano, buscando integrar una visión donde se mejore la calidad de la vida social, en las distintas</w:t>
      </w:r>
      <w:r>
        <w:rPr>
          <w:spacing w:val="-9"/>
        </w:rPr>
        <w:t> </w:t>
      </w:r>
      <w:r>
        <w:rPr/>
        <w:t>regiones</w:t>
      </w:r>
      <w:r>
        <w:rPr>
          <w:spacing w:val="-9"/>
        </w:rPr>
        <w:t> </w:t>
      </w:r>
      <w:r>
        <w:rPr/>
        <w:t>del</w:t>
      </w:r>
      <w:r>
        <w:rPr>
          <w:spacing w:val="-10"/>
        </w:rPr>
        <w:t> </w:t>
      </w:r>
      <w:r>
        <w:rPr/>
        <w:t>país</w:t>
      </w:r>
      <w:r>
        <w:rPr>
          <w:spacing w:val="-7"/>
        </w:rPr>
        <w:t> </w:t>
      </w:r>
      <w:r>
        <w:rPr/>
        <w:t>y</w:t>
      </w:r>
      <w:r>
        <w:rPr>
          <w:spacing w:val="-12"/>
        </w:rPr>
        <w:t> </w:t>
      </w:r>
      <w:r>
        <w:rPr/>
        <w:t>se</w:t>
      </w:r>
      <w:r>
        <w:rPr>
          <w:spacing w:val="-8"/>
        </w:rPr>
        <w:t> </w:t>
      </w:r>
      <w:r>
        <w:rPr/>
        <w:t>disminuya</w:t>
      </w:r>
      <w:r>
        <w:rPr>
          <w:spacing w:val="-8"/>
        </w:rPr>
        <w:t> </w:t>
      </w:r>
      <w:r>
        <w:rPr/>
        <w:t>la</w:t>
      </w:r>
      <w:r>
        <w:rPr>
          <w:spacing w:val="-9"/>
        </w:rPr>
        <w:t> </w:t>
      </w:r>
      <w:r>
        <w:rPr/>
        <w:t>brecha</w:t>
      </w:r>
      <w:r>
        <w:rPr>
          <w:spacing w:val="-8"/>
        </w:rPr>
        <w:t> </w:t>
      </w:r>
      <w:r>
        <w:rPr/>
        <w:t>en</w:t>
      </w:r>
      <w:r>
        <w:rPr>
          <w:spacing w:val="-8"/>
        </w:rPr>
        <w:t> </w:t>
      </w:r>
      <w:r>
        <w:rPr/>
        <w:t>los</w:t>
      </w:r>
      <w:r>
        <w:rPr>
          <w:spacing w:val="-12"/>
        </w:rPr>
        <w:t> </w:t>
      </w:r>
      <w:r>
        <w:rPr/>
        <w:t>niveles</w:t>
      </w:r>
      <w:r>
        <w:rPr>
          <w:spacing w:val="-9"/>
        </w:rPr>
        <w:t> </w:t>
      </w:r>
      <w:r>
        <w:rPr/>
        <w:t>de</w:t>
      </w:r>
      <w:r>
        <w:rPr>
          <w:spacing w:val="-11"/>
        </w:rPr>
        <w:t> </w:t>
      </w:r>
      <w:r>
        <w:rPr/>
        <w:t>desarrollo,</w:t>
      </w:r>
      <w:r>
        <w:rPr>
          <w:spacing w:val="-11"/>
        </w:rPr>
        <w:t> </w:t>
      </w:r>
      <w:r>
        <w:rPr/>
        <w:t>por lo cual es necesario una coordinación institucional, capaz de coordinar las políticas sociales en los tres ámbitos de</w:t>
      </w:r>
      <w:r>
        <w:rPr>
          <w:spacing w:val="-12"/>
        </w:rPr>
        <w:t> </w:t>
      </w:r>
      <w:r>
        <w:rPr/>
        <w:t>gobierno.</w:t>
      </w:r>
    </w:p>
    <w:p>
      <w:pPr>
        <w:pStyle w:val="BodyText"/>
        <w:spacing w:before="3"/>
        <w:rPr>
          <w:sz w:val="21"/>
        </w:rPr>
      </w:pPr>
    </w:p>
    <w:p>
      <w:pPr>
        <w:pStyle w:val="BodyText"/>
        <w:spacing w:line="360" w:lineRule="auto"/>
        <w:ind w:left="102" w:right="116"/>
        <w:jc w:val="both"/>
      </w:pPr>
      <w:r>
        <w:rPr/>
        <w:t>Por lo tanto, las aportaciones federales destinadas a los municipios, implica que su destino</w:t>
      </w:r>
      <w:r>
        <w:rPr>
          <w:spacing w:val="-5"/>
        </w:rPr>
        <w:t> </w:t>
      </w:r>
      <w:r>
        <w:rPr/>
        <w:t>tiene</w:t>
      </w:r>
      <w:r>
        <w:rPr>
          <w:spacing w:val="-5"/>
        </w:rPr>
        <w:t> </w:t>
      </w:r>
      <w:r>
        <w:rPr/>
        <w:t>como</w:t>
      </w:r>
      <w:r>
        <w:rPr>
          <w:spacing w:val="-7"/>
        </w:rPr>
        <w:t> </w:t>
      </w:r>
      <w:r>
        <w:rPr/>
        <w:t>fin</w:t>
      </w:r>
      <w:r>
        <w:rPr>
          <w:spacing w:val="-4"/>
        </w:rPr>
        <w:t> </w:t>
      </w:r>
      <w:r>
        <w:rPr/>
        <w:t>hacer</w:t>
      </w:r>
      <w:r>
        <w:rPr>
          <w:spacing w:val="-6"/>
        </w:rPr>
        <w:t> </w:t>
      </w:r>
      <w:r>
        <w:rPr/>
        <w:t>cumplir</w:t>
      </w:r>
      <w:r>
        <w:rPr>
          <w:spacing w:val="-6"/>
        </w:rPr>
        <w:t> </w:t>
      </w:r>
      <w:r>
        <w:rPr/>
        <w:t>las</w:t>
      </w:r>
      <w:r>
        <w:rPr>
          <w:spacing w:val="-5"/>
        </w:rPr>
        <w:t> </w:t>
      </w:r>
      <w:r>
        <w:rPr/>
        <w:t>prioridades</w:t>
      </w:r>
      <w:r>
        <w:rPr>
          <w:spacing w:val="-5"/>
        </w:rPr>
        <w:t> </w:t>
      </w:r>
      <w:r>
        <w:rPr/>
        <w:t>y</w:t>
      </w:r>
      <w:r>
        <w:rPr>
          <w:spacing w:val="-8"/>
        </w:rPr>
        <w:t> </w:t>
      </w:r>
      <w:r>
        <w:rPr/>
        <w:t>objetivos</w:t>
      </w:r>
      <w:r>
        <w:rPr>
          <w:spacing w:val="-5"/>
        </w:rPr>
        <w:t> </w:t>
      </w:r>
      <w:r>
        <w:rPr/>
        <w:t>nacionales,</w:t>
      </w:r>
      <w:r>
        <w:rPr>
          <w:spacing w:val="-5"/>
        </w:rPr>
        <w:t> </w:t>
      </w:r>
      <w:r>
        <w:rPr/>
        <w:t>para</w:t>
      </w:r>
      <w:r>
        <w:rPr>
          <w:spacing w:val="-5"/>
        </w:rPr>
        <w:t> </w:t>
      </w:r>
      <w:r>
        <w:rPr/>
        <w:t>los cuales fueron constituidos estos recursos</w:t>
      </w:r>
      <w:r>
        <w:rPr>
          <w:spacing w:val="-15"/>
        </w:rPr>
        <w:t> </w:t>
      </w:r>
      <w:r>
        <w:rPr/>
        <w:t>públicos.</w:t>
      </w:r>
    </w:p>
    <w:p>
      <w:pPr>
        <w:pStyle w:val="BodyText"/>
        <w:spacing w:line="360" w:lineRule="auto" w:before="204"/>
        <w:ind w:left="102" w:right="114"/>
        <w:jc w:val="both"/>
      </w:pPr>
      <w:r>
        <w:rPr/>
        <w:t>La dinámica de coordinación intergubernamental para el uso de los recursos del Fondo para la Infraestructura Social Municipal y Demarcaciones Territoriales del Distrito</w:t>
      </w:r>
      <w:r>
        <w:rPr>
          <w:spacing w:val="-18"/>
        </w:rPr>
        <w:t> </w:t>
      </w:r>
      <w:r>
        <w:rPr/>
        <w:t>Federal</w:t>
      </w:r>
      <w:r>
        <w:rPr>
          <w:spacing w:val="-19"/>
        </w:rPr>
        <w:t> </w:t>
      </w:r>
      <w:r>
        <w:rPr/>
        <w:t>y</w:t>
      </w:r>
      <w:r>
        <w:rPr>
          <w:spacing w:val="-21"/>
        </w:rPr>
        <w:t> </w:t>
      </w:r>
      <w:r>
        <w:rPr/>
        <w:t>el</w:t>
      </w:r>
      <w:r>
        <w:rPr>
          <w:spacing w:val="-19"/>
        </w:rPr>
        <w:t> </w:t>
      </w:r>
      <w:r>
        <w:rPr/>
        <w:t>Fondo</w:t>
      </w:r>
      <w:r>
        <w:rPr>
          <w:spacing w:val="-18"/>
        </w:rPr>
        <w:t> </w:t>
      </w:r>
      <w:r>
        <w:rPr/>
        <w:t>de</w:t>
      </w:r>
      <w:r>
        <w:rPr>
          <w:spacing w:val="-18"/>
        </w:rPr>
        <w:t> </w:t>
      </w:r>
      <w:r>
        <w:rPr/>
        <w:t>Aportaciones</w:t>
      </w:r>
      <w:r>
        <w:rPr>
          <w:spacing w:val="-19"/>
        </w:rPr>
        <w:t> </w:t>
      </w:r>
      <w:r>
        <w:rPr/>
        <w:t>para</w:t>
      </w:r>
      <w:r>
        <w:rPr>
          <w:spacing w:val="-19"/>
        </w:rPr>
        <w:t> </w:t>
      </w:r>
      <w:r>
        <w:rPr/>
        <w:t>el</w:t>
      </w:r>
      <w:r>
        <w:rPr>
          <w:spacing w:val="-19"/>
        </w:rPr>
        <w:t> </w:t>
      </w:r>
      <w:r>
        <w:rPr/>
        <w:t>Fortalecimiento</w:t>
      </w:r>
      <w:r>
        <w:rPr>
          <w:spacing w:val="-20"/>
        </w:rPr>
        <w:t> </w:t>
      </w:r>
      <w:r>
        <w:rPr/>
        <w:t>de</w:t>
      </w:r>
      <w:r>
        <w:rPr>
          <w:spacing w:val="-18"/>
        </w:rPr>
        <w:t> </w:t>
      </w:r>
      <w:r>
        <w:rPr/>
        <w:t>los</w:t>
      </w:r>
      <w:r>
        <w:rPr>
          <w:spacing w:val="-18"/>
        </w:rPr>
        <w:t> </w:t>
      </w:r>
      <w:r>
        <w:rPr/>
        <w:t>Municipios y de las Demarcaciones Territoriales del Distrito Federal es la siguiente: en el  </w:t>
      </w:r>
      <w:r>
        <w:rPr>
          <w:spacing w:val="38"/>
        </w:rPr>
        <w:t> </w:t>
      </w:r>
      <w:r>
        <w:rPr/>
        <w:t>art.</w:t>
      </w:r>
    </w:p>
    <w:p>
      <w:pPr>
        <w:pStyle w:val="BodyText"/>
        <w:spacing w:line="360" w:lineRule="auto" w:before="5"/>
        <w:ind w:left="102" w:right="115"/>
        <w:jc w:val="both"/>
      </w:pPr>
      <w:r>
        <w:rPr/>
        <w:t>25 de la LCF se cita la integración, distribución, administración, ejercicio y supervisión de los fondos. En términos estructurales la federación transfiere las aportaciones federales a las haciendas públicas de los estados y municipios, condicionado su gasto a la consecución y cumplimiento de objetivos que establece la LCF, dejando la administración y ejercicio a las entidades federativas y sus municipios conforme a sus propias leyes estatales. Lo que corresponde al control</w:t>
      </w:r>
      <w:r>
        <w:rPr>
          <w:spacing w:val="-35"/>
        </w:rPr>
        <w:t> </w:t>
      </w:r>
      <w:r>
        <w:rPr/>
        <w:t>y</w:t>
      </w:r>
    </w:p>
    <w:p>
      <w:pPr>
        <w:spacing w:after="0" w:line="360" w:lineRule="auto"/>
        <w:jc w:val="both"/>
        <w:sectPr>
          <w:pgSz w:w="12240" w:h="15840"/>
          <w:pgMar w:header="0" w:footer="992" w:top="1360" w:bottom="1180" w:left="1600" w:right="1580"/>
        </w:sectPr>
      </w:pPr>
    </w:p>
    <w:p>
      <w:pPr>
        <w:pStyle w:val="BodyText"/>
        <w:spacing w:line="360" w:lineRule="auto" w:before="54"/>
        <w:ind w:left="102" w:right="119"/>
        <w:jc w:val="both"/>
      </w:pPr>
      <w:r>
        <w:rPr/>
        <w:t>supervisión de los recursos se encuentran involucrados los tres ámbitos de gobierno. Es en este contexto en donde se manifiesta la toma de decisiones de los responsables de las administraciones, en el caso de esta investigación se refiere a la autoridad municipal.</w:t>
      </w:r>
    </w:p>
    <w:p>
      <w:pPr>
        <w:pStyle w:val="BodyText"/>
        <w:spacing w:before="1"/>
        <w:rPr>
          <w:sz w:val="21"/>
        </w:rPr>
      </w:pPr>
    </w:p>
    <w:p>
      <w:pPr>
        <w:pStyle w:val="BodyText"/>
        <w:spacing w:line="360" w:lineRule="auto"/>
        <w:ind w:left="102" w:right="115"/>
        <w:jc w:val="both"/>
      </w:pPr>
      <w:r>
        <w:rPr/>
        <w:t>En</w:t>
      </w:r>
      <w:r>
        <w:rPr>
          <w:spacing w:val="-16"/>
        </w:rPr>
        <w:t> </w:t>
      </w:r>
      <w:r>
        <w:rPr/>
        <w:t>este</w:t>
      </w:r>
      <w:r>
        <w:rPr>
          <w:spacing w:val="-15"/>
        </w:rPr>
        <w:t> </w:t>
      </w:r>
      <w:r>
        <w:rPr/>
        <w:t>sentido,</w:t>
      </w:r>
      <w:r>
        <w:rPr>
          <w:spacing w:val="-13"/>
        </w:rPr>
        <w:t> </w:t>
      </w:r>
      <w:r>
        <w:rPr/>
        <w:t>los</w:t>
      </w:r>
      <w:r>
        <w:rPr>
          <w:spacing w:val="-16"/>
        </w:rPr>
        <w:t> </w:t>
      </w:r>
      <w:r>
        <w:rPr/>
        <w:t>gobiernos</w:t>
      </w:r>
      <w:r>
        <w:rPr>
          <w:spacing w:val="-16"/>
        </w:rPr>
        <w:t> </w:t>
      </w:r>
      <w:r>
        <w:rPr/>
        <w:t>estatales</w:t>
      </w:r>
      <w:r>
        <w:rPr>
          <w:spacing w:val="-16"/>
        </w:rPr>
        <w:t> </w:t>
      </w:r>
      <w:r>
        <w:rPr/>
        <w:t>deben</w:t>
      </w:r>
      <w:r>
        <w:rPr>
          <w:spacing w:val="-13"/>
        </w:rPr>
        <w:t> </w:t>
      </w:r>
      <w:r>
        <w:rPr/>
        <w:t>adecuar</w:t>
      </w:r>
      <w:r>
        <w:rPr>
          <w:spacing w:val="-15"/>
        </w:rPr>
        <w:t> </w:t>
      </w:r>
      <w:r>
        <w:rPr/>
        <w:t>conforme</w:t>
      </w:r>
      <w:r>
        <w:rPr>
          <w:spacing w:val="-15"/>
        </w:rPr>
        <w:t> </w:t>
      </w:r>
      <w:r>
        <w:rPr/>
        <w:t>a</w:t>
      </w:r>
      <w:r>
        <w:rPr>
          <w:spacing w:val="-15"/>
        </w:rPr>
        <w:t> </w:t>
      </w:r>
      <w:r>
        <w:rPr/>
        <w:t>la</w:t>
      </w:r>
      <w:r>
        <w:rPr>
          <w:spacing w:val="-13"/>
        </w:rPr>
        <w:t> </w:t>
      </w:r>
      <w:r>
        <w:rPr/>
        <w:t>LCF,</w:t>
      </w:r>
      <w:r>
        <w:rPr>
          <w:spacing w:val="-16"/>
        </w:rPr>
        <w:t> </w:t>
      </w:r>
      <w:r>
        <w:rPr/>
        <w:t>el</w:t>
      </w:r>
      <w:r>
        <w:rPr>
          <w:spacing w:val="-17"/>
        </w:rPr>
        <w:t> </w:t>
      </w:r>
      <w:r>
        <w:rPr/>
        <w:t>marco jurídico bajo el cual se administrarán y ejercerán los recursos</w:t>
      </w:r>
      <w:r>
        <w:rPr>
          <w:spacing w:val="-47"/>
        </w:rPr>
        <w:t> </w:t>
      </w:r>
      <w:r>
        <w:rPr/>
        <w:t>federales con los que se benefician los municipios, conforme a este entendido en el Estado de México hasta</w:t>
      </w:r>
      <w:r>
        <w:rPr>
          <w:spacing w:val="-8"/>
        </w:rPr>
        <w:t> </w:t>
      </w:r>
      <w:r>
        <w:rPr/>
        <w:t>el</w:t>
      </w:r>
      <w:r>
        <w:rPr>
          <w:spacing w:val="-7"/>
        </w:rPr>
        <w:t> </w:t>
      </w:r>
      <w:r>
        <w:rPr/>
        <w:t>2009</w:t>
      </w:r>
      <w:r>
        <w:rPr>
          <w:spacing w:val="-8"/>
        </w:rPr>
        <w:t> </w:t>
      </w:r>
      <w:r>
        <w:rPr/>
        <w:t>el</w:t>
      </w:r>
      <w:r>
        <w:rPr>
          <w:spacing w:val="-7"/>
        </w:rPr>
        <w:t> </w:t>
      </w:r>
      <w:r>
        <w:rPr/>
        <w:t>poder</w:t>
      </w:r>
      <w:r>
        <w:rPr>
          <w:spacing w:val="-10"/>
        </w:rPr>
        <w:t> </w:t>
      </w:r>
      <w:r>
        <w:rPr/>
        <w:t>ejecutivo</w:t>
      </w:r>
      <w:r>
        <w:rPr>
          <w:spacing w:val="-6"/>
        </w:rPr>
        <w:t> </w:t>
      </w:r>
      <w:r>
        <w:rPr/>
        <w:t>expidió</w:t>
      </w:r>
      <w:r>
        <w:rPr>
          <w:spacing w:val="-1"/>
        </w:rPr>
        <w:t> </w:t>
      </w:r>
      <w:r>
        <w:rPr/>
        <w:t>el</w:t>
      </w:r>
      <w:r>
        <w:rPr>
          <w:spacing w:val="-7"/>
        </w:rPr>
        <w:t> </w:t>
      </w:r>
      <w:r>
        <w:rPr>
          <w:i/>
        </w:rPr>
        <w:t>Manual</w:t>
      </w:r>
      <w:r>
        <w:rPr>
          <w:i/>
          <w:spacing w:val="-7"/>
        </w:rPr>
        <w:t> </w:t>
      </w:r>
      <w:r>
        <w:rPr>
          <w:i/>
        </w:rPr>
        <w:t>de</w:t>
      </w:r>
      <w:r>
        <w:rPr>
          <w:i/>
          <w:spacing w:val="-6"/>
        </w:rPr>
        <w:t> </w:t>
      </w:r>
      <w:r>
        <w:rPr>
          <w:i/>
        </w:rPr>
        <w:t>operación</w:t>
      </w:r>
      <w:r>
        <w:rPr>
          <w:i/>
          <w:spacing w:val="-6"/>
        </w:rPr>
        <w:t> </w:t>
      </w:r>
      <w:r>
        <w:rPr>
          <w:i/>
        </w:rPr>
        <w:t>de</w:t>
      </w:r>
      <w:r>
        <w:rPr>
          <w:i/>
          <w:spacing w:val="-6"/>
        </w:rPr>
        <w:t> </w:t>
      </w:r>
      <w:r>
        <w:rPr>
          <w:i/>
        </w:rPr>
        <w:t>los</w:t>
      </w:r>
      <w:r>
        <w:rPr>
          <w:i/>
          <w:spacing w:val="-7"/>
        </w:rPr>
        <w:t> </w:t>
      </w:r>
      <w:r>
        <w:rPr>
          <w:i/>
        </w:rPr>
        <w:t>Fondos</w:t>
      </w:r>
      <w:r>
        <w:rPr>
          <w:i/>
          <w:spacing w:val="-7"/>
        </w:rPr>
        <w:t> </w:t>
      </w:r>
      <w:r>
        <w:rPr>
          <w:i/>
        </w:rPr>
        <w:t>para </w:t>
      </w:r>
      <w:r>
        <w:rPr>
          <w:i/>
        </w:rPr>
        <w:t>la Infraestructura Social Municipal y de Aportaciones para el Fortalecimiento de los Municipios de Demarcaciones Territoriales del Distrito Federal</w:t>
      </w:r>
      <w:r>
        <w:rPr/>
        <w:t>, posteriormente se convirtieron en lineamientos de operación de ambos fondos. A partir, de la reforma de</w:t>
      </w:r>
      <w:r>
        <w:rPr>
          <w:spacing w:val="-18"/>
        </w:rPr>
        <w:t> </w:t>
      </w:r>
      <w:r>
        <w:rPr/>
        <w:t>2013,</w:t>
      </w:r>
      <w:r>
        <w:rPr>
          <w:spacing w:val="-18"/>
        </w:rPr>
        <w:t> </w:t>
      </w:r>
      <w:r>
        <w:rPr/>
        <w:t>el</w:t>
      </w:r>
      <w:r>
        <w:rPr>
          <w:spacing w:val="-18"/>
        </w:rPr>
        <w:t> </w:t>
      </w:r>
      <w:r>
        <w:rPr/>
        <w:t>gobierno</w:t>
      </w:r>
      <w:r>
        <w:rPr>
          <w:spacing w:val="-18"/>
        </w:rPr>
        <w:t> </w:t>
      </w:r>
      <w:r>
        <w:rPr/>
        <w:t>del</w:t>
      </w:r>
      <w:r>
        <w:rPr>
          <w:spacing w:val="-18"/>
        </w:rPr>
        <w:t> </w:t>
      </w:r>
      <w:r>
        <w:rPr/>
        <w:t>Estado</w:t>
      </w:r>
      <w:r>
        <w:rPr>
          <w:spacing w:val="-18"/>
        </w:rPr>
        <w:t> </w:t>
      </w:r>
      <w:r>
        <w:rPr/>
        <w:t>de</w:t>
      </w:r>
      <w:r>
        <w:rPr>
          <w:spacing w:val="-18"/>
        </w:rPr>
        <w:t> </w:t>
      </w:r>
      <w:r>
        <w:rPr/>
        <w:t>México</w:t>
      </w:r>
      <w:r>
        <w:rPr>
          <w:spacing w:val="-17"/>
        </w:rPr>
        <w:t> </w:t>
      </w:r>
      <w:r>
        <w:rPr/>
        <w:t>dejo</w:t>
      </w:r>
      <w:r>
        <w:rPr>
          <w:spacing w:val="-17"/>
        </w:rPr>
        <w:t> </w:t>
      </w:r>
      <w:r>
        <w:rPr/>
        <w:t>de</w:t>
      </w:r>
      <w:r>
        <w:rPr>
          <w:spacing w:val="-18"/>
        </w:rPr>
        <w:t> </w:t>
      </w:r>
      <w:r>
        <w:rPr/>
        <w:t>expedir</w:t>
      </w:r>
      <w:r>
        <w:rPr>
          <w:spacing w:val="-20"/>
        </w:rPr>
        <w:t> </w:t>
      </w:r>
      <w:r>
        <w:rPr/>
        <w:t>manuales</w:t>
      </w:r>
      <w:r>
        <w:rPr>
          <w:spacing w:val="-19"/>
        </w:rPr>
        <w:t> </w:t>
      </w:r>
      <w:r>
        <w:rPr/>
        <w:t>y</w:t>
      </w:r>
      <w:r>
        <w:rPr>
          <w:spacing w:val="-19"/>
        </w:rPr>
        <w:t> </w:t>
      </w:r>
      <w:r>
        <w:rPr/>
        <w:t>lineamientos, dando pie sólo a acuerdos donde se dan a conocer las variables, fórmula, metodología, distribución y calendario de las asignaciones por municipio, correspondientes a los fondos en mención. Por lo que la toma de decisiones de los presidentes</w:t>
      </w:r>
      <w:r>
        <w:rPr>
          <w:spacing w:val="-15"/>
        </w:rPr>
        <w:t> </w:t>
      </w:r>
      <w:r>
        <w:rPr/>
        <w:t>y</w:t>
      </w:r>
      <w:r>
        <w:rPr>
          <w:spacing w:val="-17"/>
        </w:rPr>
        <w:t> </w:t>
      </w:r>
      <w:r>
        <w:rPr/>
        <w:t>autoridades</w:t>
      </w:r>
      <w:r>
        <w:rPr>
          <w:spacing w:val="-15"/>
        </w:rPr>
        <w:t> </w:t>
      </w:r>
      <w:r>
        <w:rPr/>
        <w:t>municipales</w:t>
      </w:r>
      <w:r>
        <w:rPr>
          <w:spacing w:val="-15"/>
        </w:rPr>
        <w:t> </w:t>
      </w:r>
      <w:r>
        <w:rPr/>
        <w:t>queda</w:t>
      </w:r>
      <w:r>
        <w:rPr>
          <w:spacing w:val="-16"/>
        </w:rPr>
        <w:t> </w:t>
      </w:r>
      <w:r>
        <w:rPr/>
        <w:t>más</w:t>
      </w:r>
      <w:r>
        <w:rPr>
          <w:spacing w:val="-15"/>
        </w:rPr>
        <w:t> </w:t>
      </w:r>
      <w:r>
        <w:rPr/>
        <w:t>en</w:t>
      </w:r>
      <w:r>
        <w:rPr>
          <w:spacing w:val="-14"/>
        </w:rPr>
        <w:t> </w:t>
      </w:r>
      <w:r>
        <w:rPr/>
        <w:t>la</w:t>
      </w:r>
      <w:r>
        <w:rPr>
          <w:spacing w:val="-14"/>
        </w:rPr>
        <w:t> </w:t>
      </w:r>
      <w:r>
        <w:rPr/>
        <w:t>discrecionalidad</w:t>
      </w:r>
      <w:r>
        <w:rPr>
          <w:spacing w:val="-17"/>
        </w:rPr>
        <w:t> </w:t>
      </w:r>
      <w:r>
        <w:rPr/>
        <w:t>misma</w:t>
      </w:r>
      <w:r>
        <w:rPr>
          <w:spacing w:val="-14"/>
        </w:rPr>
        <w:t> </w:t>
      </w:r>
      <w:r>
        <w:rPr/>
        <w:t>que puede entrar en controversia con el espíritu de estos</w:t>
      </w:r>
      <w:r>
        <w:rPr>
          <w:spacing w:val="-22"/>
        </w:rPr>
        <w:t> </w:t>
      </w:r>
      <w:r>
        <w:rPr/>
        <w:t>fondos.</w:t>
      </w:r>
    </w:p>
    <w:p>
      <w:pPr>
        <w:pStyle w:val="BodyText"/>
        <w:spacing w:before="3"/>
        <w:rPr>
          <w:sz w:val="21"/>
        </w:rPr>
      </w:pPr>
    </w:p>
    <w:p>
      <w:pPr>
        <w:pStyle w:val="BodyText"/>
        <w:spacing w:line="360" w:lineRule="auto"/>
        <w:ind w:left="102" w:right="115"/>
        <w:jc w:val="both"/>
      </w:pPr>
      <w:r>
        <w:rPr/>
        <w:t>Al situar la administración y ejercicio de los recursos en las entidades federativas, principalmente en los municipios que desempeñan un papel fundamental, es prescindible identificar primordialmente las funciones reales asumidas por el gobierno municipal en este marco institucional de las aportaciones federales. Analizar si dentro de este marco institucional los gobiernos municipales del Estado de México cuentan con las herramientas suficientes (el tiempo, los dineros, el personal o información, los valores entre otros aspectos), para tomar decisiones adecuadas en cuanto al destino de los recursos y que estas decisiones se vean reflejadas en resultados óptimos y coadyuve en el cumplimiento de los objetivos nacionales de la política social.</w:t>
      </w:r>
    </w:p>
    <w:p>
      <w:pPr>
        <w:pStyle w:val="BodyText"/>
        <w:spacing w:before="3"/>
        <w:rPr>
          <w:sz w:val="21"/>
        </w:rPr>
      </w:pPr>
    </w:p>
    <w:p>
      <w:pPr>
        <w:pStyle w:val="BodyText"/>
        <w:spacing w:line="360" w:lineRule="auto"/>
        <w:ind w:left="102" w:right="117"/>
        <w:jc w:val="both"/>
      </w:pPr>
      <w:r>
        <w:rPr/>
        <w:t>Por</w:t>
      </w:r>
      <w:r>
        <w:rPr>
          <w:spacing w:val="-11"/>
        </w:rPr>
        <w:t> </w:t>
      </w:r>
      <w:r>
        <w:rPr/>
        <w:t>lo</w:t>
      </w:r>
      <w:r>
        <w:rPr>
          <w:spacing w:val="-12"/>
        </w:rPr>
        <w:t> </w:t>
      </w:r>
      <w:r>
        <w:rPr/>
        <w:t>antes</w:t>
      </w:r>
      <w:r>
        <w:rPr>
          <w:spacing w:val="-15"/>
        </w:rPr>
        <w:t> </w:t>
      </w:r>
      <w:r>
        <w:rPr/>
        <w:t>mencionado,</w:t>
      </w:r>
      <w:r>
        <w:rPr>
          <w:spacing w:val="-12"/>
        </w:rPr>
        <w:t> </w:t>
      </w:r>
      <w:r>
        <w:rPr/>
        <w:t>el</w:t>
      </w:r>
      <w:r>
        <w:rPr>
          <w:spacing w:val="-13"/>
        </w:rPr>
        <w:t> </w:t>
      </w:r>
      <w:r>
        <w:rPr/>
        <w:t>presente</w:t>
      </w:r>
      <w:r>
        <w:rPr>
          <w:spacing w:val="-7"/>
        </w:rPr>
        <w:t> </w:t>
      </w:r>
      <w:r>
        <w:rPr/>
        <w:t>capítulo</w:t>
      </w:r>
      <w:r>
        <w:rPr>
          <w:spacing w:val="-10"/>
        </w:rPr>
        <w:t> </w:t>
      </w:r>
      <w:r>
        <w:rPr/>
        <w:t>tiene</w:t>
      </w:r>
      <w:r>
        <w:rPr>
          <w:spacing w:val="-12"/>
        </w:rPr>
        <w:t> </w:t>
      </w:r>
      <w:r>
        <w:rPr/>
        <w:t>como</w:t>
      </w:r>
      <w:r>
        <w:rPr>
          <w:spacing w:val="-12"/>
        </w:rPr>
        <w:t> </w:t>
      </w:r>
      <w:r>
        <w:rPr/>
        <w:t>propósito</w:t>
      </w:r>
      <w:r>
        <w:rPr>
          <w:spacing w:val="-10"/>
        </w:rPr>
        <w:t> </w:t>
      </w:r>
      <w:r>
        <w:rPr/>
        <w:t>analizar</w:t>
      </w:r>
      <w:r>
        <w:rPr>
          <w:spacing w:val="-11"/>
        </w:rPr>
        <w:t> </w:t>
      </w:r>
      <w:r>
        <w:rPr/>
        <w:t>la</w:t>
      </w:r>
      <w:r>
        <w:rPr>
          <w:spacing w:val="-10"/>
        </w:rPr>
        <w:t> </w:t>
      </w:r>
      <w:r>
        <w:rPr/>
        <w:t>toma de</w:t>
      </w:r>
      <w:r>
        <w:rPr>
          <w:spacing w:val="-4"/>
        </w:rPr>
        <w:t> </w:t>
      </w:r>
      <w:r>
        <w:rPr/>
        <w:t>decisiones</w:t>
      </w:r>
      <w:r>
        <w:rPr>
          <w:spacing w:val="-7"/>
        </w:rPr>
        <w:t> </w:t>
      </w:r>
      <w:r>
        <w:rPr/>
        <w:t>de</w:t>
      </w:r>
      <w:r>
        <w:rPr>
          <w:spacing w:val="-4"/>
        </w:rPr>
        <w:t> </w:t>
      </w:r>
      <w:r>
        <w:rPr/>
        <w:t>los</w:t>
      </w:r>
      <w:r>
        <w:rPr>
          <w:spacing w:val="-4"/>
        </w:rPr>
        <w:t> </w:t>
      </w:r>
      <w:r>
        <w:rPr/>
        <w:t>gobiernos</w:t>
      </w:r>
      <w:r>
        <w:rPr>
          <w:spacing w:val="-7"/>
        </w:rPr>
        <w:t> </w:t>
      </w:r>
      <w:r>
        <w:rPr/>
        <w:t>municipales</w:t>
      </w:r>
      <w:r>
        <w:rPr>
          <w:spacing w:val="-4"/>
        </w:rPr>
        <w:t> </w:t>
      </w:r>
      <w:r>
        <w:rPr/>
        <w:t>respecto</w:t>
      </w:r>
      <w:r>
        <w:rPr>
          <w:spacing w:val="-4"/>
        </w:rPr>
        <w:t> </w:t>
      </w:r>
      <w:r>
        <w:rPr/>
        <w:t>al</w:t>
      </w:r>
      <w:r>
        <w:rPr>
          <w:spacing w:val="-5"/>
        </w:rPr>
        <w:t> </w:t>
      </w:r>
      <w:r>
        <w:rPr/>
        <w:t>destino</w:t>
      </w:r>
      <w:r>
        <w:rPr>
          <w:spacing w:val="-6"/>
        </w:rPr>
        <w:t> </w:t>
      </w:r>
      <w:r>
        <w:rPr/>
        <w:t>de</w:t>
      </w:r>
      <w:r>
        <w:rPr>
          <w:spacing w:val="-4"/>
        </w:rPr>
        <w:t> </w:t>
      </w:r>
      <w:r>
        <w:rPr/>
        <w:t>las</w:t>
      </w:r>
      <w:r>
        <w:rPr>
          <w:spacing w:val="-4"/>
        </w:rPr>
        <w:t> </w:t>
      </w:r>
      <w:r>
        <w:rPr/>
        <w:t>aportaciones federales, derivado de que el funcionamiento de los fondos está sometido a</w:t>
      </w:r>
      <w:r>
        <w:rPr>
          <w:spacing w:val="49"/>
        </w:rPr>
        <w:t> </w:t>
      </w:r>
      <w:r>
        <w:rPr/>
        <w:t>reglas</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ya institucionalizadas, dicho en otras palabras están sujetos a lo que disponga el gobierno federal, y su capacidad de decisiones autónomas de los municipios se ve limitada. Por ello, se analizaron los informes de resultados de la Auditoría Superior de</w:t>
      </w:r>
      <w:r>
        <w:rPr>
          <w:spacing w:val="-7"/>
        </w:rPr>
        <w:t> </w:t>
      </w:r>
      <w:r>
        <w:rPr/>
        <w:t>la</w:t>
      </w:r>
      <w:r>
        <w:rPr>
          <w:spacing w:val="-7"/>
        </w:rPr>
        <w:t> </w:t>
      </w:r>
      <w:r>
        <w:rPr/>
        <w:t>Federación</w:t>
      </w:r>
      <w:r>
        <w:rPr>
          <w:spacing w:val="-7"/>
        </w:rPr>
        <w:t> </w:t>
      </w:r>
      <w:r>
        <w:rPr/>
        <w:t>del</w:t>
      </w:r>
      <w:r>
        <w:rPr>
          <w:spacing w:val="-8"/>
        </w:rPr>
        <w:t> </w:t>
      </w:r>
      <w:r>
        <w:rPr/>
        <w:t>periodo</w:t>
      </w:r>
      <w:r>
        <w:rPr>
          <w:spacing w:val="-9"/>
        </w:rPr>
        <w:t> </w:t>
      </w:r>
      <w:r>
        <w:rPr/>
        <w:t>de</w:t>
      </w:r>
      <w:r>
        <w:rPr>
          <w:spacing w:val="-7"/>
        </w:rPr>
        <w:t> </w:t>
      </w:r>
      <w:r>
        <w:rPr/>
        <w:t>2008</w:t>
      </w:r>
      <w:r>
        <w:rPr>
          <w:spacing w:val="-7"/>
        </w:rPr>
        <w:t> </w:t>
      </w:r>
      <w:r>
        <w:rPr/>
        <w:t>a</w:t>
      </w:r>
      <w:r>
        <w:rPr>
          <w:spacing w:val="-9"/>
        </w:rPr>
        <w:t> </w:t>
      </w:r>
      <w:r>
        <w:rPr/>
        <w:t>2014</w:t>
      </w:r>
      <w:r>
        <w:rPr>
          <w:spacing w:val="-9"/>
        </w:rPr>
        <w:t> </w:t>
      </w:r>
      <w:r>
        <w:rPr/>
        <w:t>de</w:t>
      </w:r>
      <w:r>
        <w:rPr>
          <w:spacing w:val="-7"/>
        </w:rPr>
        <w:t> </w:t>
      </w:r>
      <w:r>
        <w:rPr/>
        <w:t>35</w:t>
      </w:r>
      <w:r>
        <w:rPr>
          <w:spacing w:val="-4"/>
        </w:rPr>
        <w:t> </w:t>
      </w:r>
      <w:r>
        <w:rPr/>
        <w:t>Municipios:</w:t>
      </w:r>
      <w:r>
        <w:rPr>
          <w:spacing w:val="-7"/>
        </w:rPr>
        <w:t> </w:t>
      </w:r>
      <w:r>
        <w:rPr/>
        <w:t>Acambay,</w:t>
      </w:r>
      <w:r>
        <w:rPr>
          <w:spacing w:val="-7"/>
        </w:rPr>
        <w:t> </w:t>
      </w:r>
      <w:r>
        <w:rPr/>
        <w:t>Almoloya de Alquisiras, Almoloya de Juárez, Atizapán de Zaragoza, Atlacomulco, Chalco, Chimalhuacán, Cuautitlán Izcalli, Ecatepec de Morelos, Huehuetoca, Huixquilucan, Ixtapaluca, Ixtlahuaca, Jilotepec, Jiquipilco, La Paz, Luvianos, Metepec, Naucalpan de Juárez, Nezahualcóyotl, Nicolás Romero, San Felipe del Progreso, San Felipe del Rincón, Sultepec, Tejupilco, Temascalcingo, Temascaltepec, Temoaya, Tlalnepantla</w:t>
      </w:r>
      <w:r>
        <w:rPr>
          <w:spacing w:val="-18"/>
        </w:rPr>
        <w:t> </w:t>
      </w:r>
      <w:r>
        <w:rPr/>
        <w:t>de</w:t>
      </w:r>
      <w:r>
        <w:rPr>
          <w:spacing w:val="-16"/>
        </w:rPr>
        <w:t> </w:t>
      </w:r>
      <w:r>
        <w:rPr/>
        <w:t>Baz,</w:t>
      </w:r>
      <w:r>
        <w:rPr>
          <w:spacing w:val="-16"/>
        </w:rPr>
        <w:t> </w:t>
      </w:r>
      <w:r>
        <w:rPr/>
        <w:t>Toluca,</w:t>
      </w:r>
      <w:r>
        <w:rPr>
          <w:spacing w:val="-18"/>
        </w:rPr>
        <w:t> </w:t>
      </w:r>
      <w:r>
        <w:rPr/>
        <w:t>Tultitlán,</w:t>
      </w:r>
      <w:r>
        <w:rPr>
          <w:spacing w:val="-16"/>
        </w:rPr>
        <w:t> </w:t>
      </w:r>
      <w:r>
        <w:rPr/>
        <w:t>Valle</w:t>
      </w:r>
      <w:r>
        <w:rPr>
          <w:spacing w:val="-16"/>
        </w:rPr>
        <w:t> </w:t>
      </w:r>
      <w:r>
        <w:rPr/>
        <w:t>de</w:t>
      </w:r>
      <w:r>
        <w:rPr>
          <w:spacing w:val="-16"/>
        </w:rPr>
        <w:t> </w:t>
      </w:r>
      <w:r>
        <w:rPr/>
        <w:t>Chalco,</w:t>
      </w:r>
      <w:r>
        <w:rPr>
          <w:spacing w:val="-18"/>
        </w:rPr>
        <w:t> </w:t>
      </w:r>
      <w:r>
        <w:rPr/>
        <w:t>Villa</w:t>
      </w:r>
      <w:r>
        <w:rPr>
          <w:spacing w:val="-16"/>
        </w:rPr>
        <w:t> </w:t>
      </w:r>
      <w:r>
        <w:rPr/>
        <w:t>de</w:t>
      </w:r>
      <w:r>
        <w:rPr>
          <w:spacing w:val="-16"/>
        </w:rPr>
        <w:t> </w:t>
      </w:r>
      <w:r>
        <w:rPr/>
        <w:t>Allende,</w:t>
      </w:r>
      <w:r>
        <w:rPr>
          <w:spacing w:val="-16"/>
        </w:rPr>
        <w:t> </w:t>
      </w:r>
      <w:r>
        <w:rPr/>
        <w:t>Villa</w:t>
      </w:r>
      <w:r>
        <w:rPr>
          <w:spacing w:val="-16"/>
        </w:rPr>
        <w:t> </w:t>
      </w:r>
      <w:r>
        <w:rPr/>
        <w:t>Victoria y Zacualpan, que fueron revisados durante este lapso de</w:t>
      </w:r>
      <w:r>
        <w:rPr>
          <w:spacing w:val="-23"/>
        </w:rPr>
        <w:t> </w:t>
      </w:r>
      <w:r>
        <w:rPr/>
        <w:t>tiempo.</w:t>
      </w:r>
    </w:p>
    <w:p>
      <w:pPr>
        <w:pStyle w:val="BodyText"/>
        <w:spacing w:before="3"/>
        <w:rPr>
          <w:sz w:val="21"/>
        </w:rPr>
      </w:pPr>
    </w:p>
    <w:p>
      <w:pPr>
        <w:pStyle w:val="BodyText"/>
        <w:spacing w:line="360" w:lineRule="auto"/>
        <w:ind w:left="102" w:right="122"/>
        <w:jc w:val="both"/>
      </w:pPr>
      <w:r>
        <w:rPr/>
        <w:t>Para cumplir el propósito de este capítulo se ha dividido la exposición en seis apartados que permiten la contextualización del Estado, la organización administrativa del municipio mexiquense, los lineamientos generales de operación de las aportaciones federales, las decisiones de los gobiernos municipales, y las responsabilidades de los mismos.</w:t>
      </w:r>
    </w:p>
    <w:p>
      <w:pPr>
        <w:pStyle w:val="BodyText"/>
      </w:pPr>
    </w:p>
    <w:p>
      <w:pPr>
        <w:pStyle w:val="Heading1"/>
        <w:tabs>
          <w:tab w:pos="2992" w:val="left" w:leader="none"/>
        </w:tabs>
        <w:ind w:left="2272"/>
      </w:pPr>
      <w:bookmarkStart w:name="_TOC_250013" w:id="39"/>
      <w:r>
        <w:rPr/>
        <w:t>4.1</w:t>
        <w:tab/>
        <w:t>Contexto del Estado de</w:t>
      </w:r>
      <w:r>
        <w:rPr>
          <w:spacing w:val="-8"/>
        </w:rPr>
        <w:t> </w:t>
      </w:r>
      <w:bookmarkEnd w:id="39"/>
      <w:r>
        <w:rPr/>
        <w:t>México</w:t>
      </w:r>
    </w:p>
    <w:p>
      <w:pPr>
        <w:pStyle w:val="BodyText"/>
        <w:rPr>
          <w:b/>
          <w:sz w:val="28"/>
        </w:rPr>
      </w:pPr>
    </w:p>
    <w:p>
      <w:pPr>
        <w:pStyle w:val="BodyText"/>
        <w:spacing w:before="4"/>
        <w:rPr>
          <w:b/>
          <w:sz w:val="22"/>
        </w:rPr>
      </w:pPr>
    </w:p>
    <w:p>
      <w:pPr>
        <w:pStyle w:val="Heading2"/>
      </w:pPr>
      <w:r>
        <w:rPr/>
        <w:t>Datos Generales</w:t>
      </w:r>
    </w:p>
    <w:p>
      <w:pPr>
        <w:pStyle w:val="BodyText"/>
        <w:rPr>
          <w:b/>
          <w:sz w:val="21"/>
        </w:rPr>
      </w:pPr>
    </w:p>
    <w:p>
      <w:pPr>
        <w:pStyle w:val="BodyText"/>
        <w:spacing w:line="360" w:lineRule="auto" w:before="1"/>
        <w:ind w:left="102" w:right="114"/>
        <w:jc w:val="both"/>
      </w:pPr>
      <w:r>
        <w:rPr/>
        <w:t>De acuerdo a los datos del INEGI y derivado del último censo del año 2010, el Estado de México, se localiza al centro sur de la República Mexicana, colinda al norte con Querétaro e Hidalgo; al este con Puebla y Tlaxcala; al sur con Guerrero, Morelos y el Distrito Federal; al oeste con Michoacán. Su superficie territorial es de 22 499.95 km2, lo cual significa que representa el 1.1% del territorio nacional. Su capital es Toluca de Lerdo y se conforma por 125 municipios.</w:t>
      </w:r>
    </w:p>
    <w:p>
      <w:pPr>
        <w:pStyle w:val="BodyText"/>
        <w:spacing w:line="360" w:lineRule="auto" w:before="204"/>
        <w:ind w:left="102" w:right="116"/>
        <w:jc w:val="both"/>
      </w:pPr>
      <w:r>
        <w:rPr/>
        <w:t>El Estado de México cuenta con un total de 4,846 localidades, con una población de</w:t>
      </w:r>
      <w:r>
        <w:rPr>
          <w:spacing w:val="-12"/>
        </w:rPr>
        <w:t> </w:t>
      </w:r>
      <w:r>
        <w:rPr/>
        <w:t>15</w:t>
      </w:r>
      <w:r>
        <w:rPr>
          <w:spacing w:val="-12"/>
        </w:rPr>
        <w:t> </w:t>
      </w:r>
      <w:r>
        <w:rPr/>
        <w:t>175</w:t>
      </w:r>
      <w:r>
        <w:rPr>
          <w:spacing w:val="-12"/>
        </w:rPr>
        <w:t> </w:t>
      </w:r>
      <w:r>
        <w:rPr/>
        <w:t>862</w:t>
      </w:r>
      <w:r>
        <w:rPr>
          <w:spacing w:val="-11"/>
        </w:rPr>
        <w:t> </w:t>
      </w:r>
      <w:r>
        <w:rPr/>
        <w:t>habitantes,</w:t>
      </w:r>
      <w:r>
        <w:rPr>
          <w:spacing w:val="-12"/>
        </w:rPr>
        <w:t> </w:t>
      </w:r>
      <w:r>
        <w:rPr/>
        <w:t>dando</w:t>
      </w:r>
      <w:r>
        <w:rPr>
          <w:spacing w:val="-12"/>
        </w:rPr>
        <w:t> </w:t>
      </w:r>
      <w:r>
        <w:rPr/>
        <w:t>el</w:t>
      </w:r>
      <w:r>
        <w:rPr>
          <w:spacing w:val="-13"/>
        </w:rPr>
        <w:t> </w:t>
      </w:r>
      <w:r>
        <w:rPr/>
        <w:t>13.5%</w:t>
      </w:r>
      <w:r>
        <w:rPr>
          <w:spacing w:val="-13"/>
        </w:rPr>
        <w:t> </w:t>
      </w:r>
      <w:r>
        <w:rPr/>
        <w:t>del</w:t>
      </w:r>
      <w:r>
        <w:rPr>
          <w:spacing w:val="-16"/>
        </w:rPr>
        <w:t> </w:t>
      </w:r>
      <w:r>
        <w:rPr/>
        <w:t>total</w:t>
      </w:r>
      <w:r>
        <w:rPr>
          <w:spacing w:val="-13"/>
        </w:rPr>
        <w:t> </w:t>
      </w:r>
      <w:r>
        <w:rPr/>
        <w:t>de</w:t>
      </w:r>
      <w:r>
        <w:rPr>
          <w:spacing w:val="-12"/>
        </w:rPr>
        <w:t> </w:t>
      </w:r>
      <w:r>
        <w:rPr/>
        <w:t>los</w:t>
      </w:r>
      <w:r>
        <w:rPr>
          <w:spacing w:val="-12"/>
        </w:rPr>
        <w:t> </w:t>
      </w:r>
      <w:r>
        <w:rPr/>
        <w:t>habitantes</w:t>
      </w:r>
      <w:r>
        <w:rPr>
          <w:spacing w:val="-12"/>
        </w:rPr>
        <w:t> </w:t>
      </w:r>
      <w:r>
        <w:rPr/>
        <w:t>en</w:t>
      </w:r>
      <w:r>
        <w:rPr>
          <w:spacing w:val="-12"/>
        </w:rPr>
        <w:t> </w:t>
      </w:r>
      <w:r>
        <w:rPr/>
        <w:t>todo</w:t>
      </w:r>
      <w:r>
        <w:rPr>
          <w:spacing w:val="-12"/>
        </w:rPr>
        <w:t> </w:t>
      </w:r>
      <w:r>
        <w:rPr/>
        <w:t>el</w:t>
      </w:r>
      <w:r>
        <w:rPr>
          <w:spacing w:val="-13"/>
        </w:rPr>
        <w:t> </w:t>
      </w:r>
      <w:r>
        <w:rPr/>
        <w:t>país, ocupando así el primer lugar a nivel nacional por su número de personas. El 87% de  la población es urbana mientras que el 13%  vive  en  localidades   </w:t>
      </w:r>
      <w:r>
        <w:rPr>
          <w:spacing w:val="58"/>
        </w:rPr>
        <w:t> </w:t>
      </w:r>
      <w:r>
        <w:rPr/>
        <w:t>rurales,  la</w:t>
      </w:r>
    </w:p>
    <w:p>
      <w:pPr>
        <w:spacing w:after="0" w:line="360" w:lineRule="auto"/>
        <w:jc w:val="both"/>
        <w:sectPr>
          <w:pgSz w:w="12240" w:h="15840"/>
          <w:pgMar w:header="0" w:footer="992" w:top="1360" w:bottom="1180" w:left="1600" w:right="1580"/>
        </w:sectPr>
      </w:pPr>
    </w:p>
    <w:p>
      <w:pPr>
        <w:pStyle w:val="BodyText"/>
        <w:spacing w:line="362" w:lineRule="auto" w:before="54"/>
        <w:ind w:left="102" w:right="116"/>
        <w:jc w:val="both"/>
      </w:pPr>
      <w:r>
        <w:rPr/>
        <w:t>densidad de población es de 670 personas por kilómetro cuadrado. Del total de población, 7,396,986 son hombres, mientras que el 7,778,876 son mujeres.</w:t>
      </w:r>
    </w:p>
    <w:p>
      <w:pPr>
        <w:pStyle w:val="BodyText"/>
        <w:spacing w:before="10"/>
        <w:rPr>
          <w:sz w:val="20"/>
        </w:rPr>
      </w:pPr>
    </w:p>
    <w:p>
      <w:pPr>
        <w:pStyle w:val="BodyText"/>
        <w:spacing w:line="360" w:lineRule="auto"/>
        <w:ind w:left="102" w:right="117"/>
        <w:jc w:val="both"/>
      </w:pPr>
      <w:r>
        <w:rPr/>
        <w:t>En</w:t>
      </w:r>
      <w:r>
        <w:rPr>
          <w:spacing w:val="-17"/>
        </w:rPr>
        <w:t> </w:t>
      </w:r>
      <w:r>
        <w:rPr/>
        <w:t>el</w:t>
      </w:r>
      <w:r>
        <w:rPr>
          <w:spacing w:val="-18"/>
        </w:rPr>
        <w:t> </w:t>
      </w:r>
      <w:r>
        <w:rPr/>
        <w:t>Estado</w:t>
      </w:r>
      <w:r>
        <w:rPr>
          <w:spacing w:val="-18"/>
        </w:rPr>
        <w:t> </w:t>
      </w:r>
      <w:r>
        <w:rPr/>
        <w:t>de</w:t>
      </w:r>
      <w:r>
        <w:rPr>
          <w:spacing w:val="-17"/>
        </w:rPr>
        <w:t> </w:t>
      </w:r>
      <w:r>
        <w:rPr/>
        <w:t>México,</w:t>
      </w:r>
      <w:r>
        <w:rPr>
          <w:spacing w:val="-17"/>
        </w:rPr>
        <w:t> </w:t>
      </w:r>
      <w:r>
        <w:rPr/>
        <w:t>el</w:t>
      </w:r>
      <w:r>
        <w:rPr>
          <w:spacing w:val="-18"/>
        </w:rPr>
        <w:t> </w:t>
      </w:r>
      <w:r>
        <w:rPr/>
        <w:t>grado</w:t>
      </w:r>
      <w:r>
        <w:rPr>
          <w:spacing w:val="-17"/>
        </w:rPr>
        <w:t> </w:t>
      </w:r>
      <w:r>
        <w:rPr/>
        <w:t>promedio</w:t>
      </w:r>
      <w:r>
        <w:rPr>
          <w:spacing w:val="-17"/>
        </w:rPr>
        <w:t> </w:t>
      </w:r>
      <w:r>
        <w:rPr/>
        <w:t>de</w:t>
      </w:r>
      <w:r>
        <w:rPr>
          <w:spacing w:val="-17"/>
        </w:rPr>
        <w:t> </w:t>
      </w:r>
      <w:r>
        <w:rPr/>
        <w:t>escolaridad</w:t>
      </w:r>
      <w:r>
        <w:rPr>
          <w:spacing w:val="-17"/>
        </w:rPr>
        <w:t> </w:t>
      </w:r>
      <w:r>
        <w:rPr/>
        <w:t>de</w:t>
      </w:r>
      <w:r>
        <w:rPr>
          <w:spacing w:val="-17"/>
        </w:rPr>
        <w:t> </w:t>
      </w:r>
      <w:r>
        <w:rPr/>
        <w:t>los</w:t>
      </w:r>
      <w:r>
        <w:rPr>
          <w:spacing w:val="-17"/>
        </w:rPr>
        <w:t> </w:t>
      </w:r>
      <w:r>
        <w:rPr/>
        <w:t>habitantes</w:t>
      </w:r>
      <w:r>
        <w:rPr>
          <w:spacing w:val="-17"/>
        </w:rPr>
        <w:t> </w:t>
      </w:r>
      <w:r>
        <w:rPr/>
        <w:t>de</w:t>
      </w:r>
      <w:r>
        <w:rPr>
          <w:spacing w:val="-18"/>
        </w:rPr>
        <w:t> </w:t>
      </w:r>
      <w:r>
        <w:rPr/>
        <w:t>edad de</w:t>
      </w:r>
      <w:r>
        <w:rPr>
          <w:spacing w:val="-6"/>
        </w:rPr>
        <w:t> </w:t>
      </w:r>
      <w:r>
        <w:rPr/>
        <w:t>15</w:t>
      </w:r>
      <w:r>
        <w:rPr>
          <w:spacing w:val="-6"/>
        </w:rPr>
        <w:t> </w:t>
      </w:r>
      <w:r>
        <w:rPr/>
        <w:t>años</w:t>
      </w:r>
      <w:r>
        <w:rPr>
          <w:spacing w:val="-7"/>
        </w:rPr>
        <w:t> </w:t>
      </w:r>
      <w:r>
        <w:rPr/>
        <w:t>y</w:t>
      </w:r>
      <w:r>
        <w:rPr>
          <w:spacing w:val="-8"/>
        </w:rPr>
        <w:t> </w:t>
      </w:r>
      <w:r>
        <w:rPr/>
        <w:t>más</w:t>
      </w:r>
      <w:r>
        <w:rPr>
          <w:spacing w:val="-6"/>
        </w:rPr>
        <w:t> </w:t>
      </w:r>
      <w:r>
        <w:rPr/>
        <w:t>es</w:t>
      </w:r>
      <w:r>
        <w:rPr>
          <w:spacing w:val="-9"/>
        </w:rPr>
        <w:t> </w:t>
      </w:r>
      <w:r>
        <w:rPr/>
        <w:t>de</w:t>
      </w:r>
      <w:r>
        <w:rPr>
          <w:spacing w:val="-6"/>
        </w:rPr>
        <w:t> </w:t>
      </w:r>
      <w:r>
        <w:rPr/>
        <w:t>9.1</w:t>
      </w:r>
      <w:r>
        <w:rPr>
          <w:spacing w:val="-6"/>
        </w:rPr>
        <w:t> </w:t>
      </w:r>
      <w:r>
        <w:rPr/>
        <w:t>lo</w:t>
      </w:r>
      <w:r>
        <w:rPr>
          <w:spacing w:val="-6"/>
        </w:rPr>
        <w:t> </w:t>
      </w:r>
      <w:r>
        <w:rPr/>
        <w:t>que</w:t>
      </w:r>
      <w:r>
        <w:rPr>
          <w:spacing w:val="-6"/>
        </w:rPr>
        <w:t> </w:t>
      </w:r>
      <w:r>
        <w:rPr/>
        <w:t>equivale</w:t>
      </w:r>
      <w:r>
        <w:rPr>
          <w:spacing w:val="-6"/>
        </w:rPr>
        <w:t> </w:t>
      </w:r>
      <w:r>
        <w:rPr/>
        <w:t>a</w:t>
      </w:r>
      <w:r>
        <w:rPr>
          <w:spacing w:val="-8"/>
        </w:rPr>
        <w:t> </w:t>
      </w:r>
      <w:r>
        <w:rPr/>
        <w:t>poco</w:t>
      </w:r>
      <w:r>
        <w:rPr>
          <w:spacing w:val="-8"/>
        </w:rPr>
        <w:t> </w:t>
      </w:r>
      <w:r>
        <w:rPr/>
        <w:t>más</w:t>
      </w:r>
      <w:r>
        <w:rPr>
          <w:spacing w:val="-9"/>
        </w:rPr>
        <w:t> </w:t>
      </w:r>
      <w:r>
        <w:rPr/>
        <w:t>de</w:t>
      </w:r>
      <w:r>
        <w:rPr>
          <w:spacing w:val="-6"/>
        </w:rPr>
        <w:t> </w:t>
      </w:r>
      <w:r>
        <w:rPr/>
        <w:t>la</w:t>
      </w:r>
      <w:r>
        <w:rPr>
          <w:spacing w:val="-6"/>
        </w:rPr>
        <w:t> </w:t>
      </w:r>
      <w:r>
        <w:rPr/>
        <w:t>secundaria</w:t>
      </w:r>
      <w:r>
        <w:rPr>
          <w:spacing w:val="-6"/>
        </w:rPr>
        <w:t> </w:t>
      </w:r>
      <w:r>
        <w:rPr/>
        <w:t>concluida. 4 de cada 100 personas de 15 años y más no saben leer ni escribir. En el Estado, hay 376 830 personas mayores de 5 años que hablan alguna lengua indígena, lo que representa el 2% de la población de la</w:t>
      </w:r>
      <w:r>
        <w:rPr>
          <w:spacing w:val="-24"/>
        </w:rPr>
        <w:t> </w:t>
      </w:r>
      <w:r>
        <w:rPr/>
        <w:t>entidad.</w:t>
      </w:r>
    </w:p>
    <w:p>
      <w:pPr>
        <w:pStyle w:val="BodyText"/>
        <w:spacing w:before="3"/>
        <w:rPr>
          <w:sz w:val="21"/>
        </w:rPr>
      </w:pPr>
    </w:p>
    <w:p>
      <w:pPr>
        <w:pStyle w:val="BodyText"/>
        <w:spacing w:line="360" w:lineRule="auto"/>
        <w:ind w:left="102" w:right="115"/>
        <w:jc w:val="both"/>
      </w:pPr>
      <w:r>
        <w:rPr/>
        <w:t>Para el año 2010 en el Estado existían 3, 687,193 viviendas particulares de las cuales</w:t>
      </w:r>
      <w:r>
        <w:rPr>
          <w:spacing w:val="-10"/>
        </w:rPr>
        <w:t> </w:t>
      </w:r>
      <w:r>
        <w:rPr/>
        <w:t>3,383,410</w:t>
      </w:r>
      <w:r>
        <w:rPr>
          <w:spacing w:val="-9"/>
        </w:rPr>
        <w:t> </w:t>
      </w:r>
      <w:r>
        <w:rPr/>
        <w:t>disponen</w:t>
      </w:r>
      <w:r>
        <w:rPr>
          <w:spacing w:val="-9"/>
        </w:rPr>
        <w:t> </w:t>
      </w:r>
      <w:r>
        <w:rPr/>
        <w:t>de</w:t>
      </w:r>
      <w:r>
        <w:rPr>
          <w:spacing w:val="-9"/>
        </w:rPr>
        <w:t> </w:t>
      </w:r>
      <w:r>
        <w:rPr/>
        <w:t>agua</w:t>
      </w:r>
      <w:r>
        <w:rPr>
          <w:spacing w:val="-9"/>
        </w:rPr>
        <w:t> </w:t>
      </w:r>
      <w:r>
        <w:rPr/>
        <w:t>entubada</w:t>
      </w:r>
      <w:r>
        <w:rPr>
          <w:spacing w:val="-7"/>
        </w:rPr>
        <w:t> </w:t>
      </w:r>
      <w:r>
        <w:rPr/>
        <w:t>dentro</w:t>
      </w:r>
      <w:r>
        <w:rPr>
          <w:spacing w:val="-9"/>
        </w:rPr>
        <w:t> </w:t>
      </w:r>
      <w:r>
        <w:rPr/>
        <w:t>o</w:t>
      </w:r>
      <w:r>
        <w:rPr>
          <w:spacing w:val="-12"/>
        </w:rPr>
        <w:t> </w:t>
      </w:r>
      <w:r>
        <w:rPr/>
        <w:t>fuera</w:t>
      </w:r>
      <w:r>
        <w:rPr>
          <w:spacing w:val="-10"/>
        </w:rPr>
        <w:t> </w:t>
      </w:r>
      <w:r>
        <w:rPr/>
        <w:t>de</w:t>
      </w:r>
      <w:r>
        <w:rPr>
          <w:spacing w:val="-7"/>
        </w:rPr>
        <w:t> </w:t>
      </w:r>
      <w:r>
        <w:rPr/>
        <w:t>la</w:t>
      </w:r>
      <w:r>
        <w:rPr>
          <w:spacing w:val="-10"/>
        </w:rPr>
        <w:t> </w:t>
      </w:r>
      <w:r>
        <w:rPr/>
        <w:t>vivienda,</w:t>
      </w:r>
      <w:r>
        <w:rPr>
          <w:spacing w:val="-7"/>
        </w:rPr>
        <w:t> </w:t>
      </w:r>
      <w:r>
        <w:rPr/>
        <w:t>pero</w:t>
      </w:r>
      <w:r>
        <w:rPr>
          <w:spacing w:val="-10"/>
        </w:rPr>
        <w:t> </w:t>
      </w:r>
      <w:r>
        <w:rPr/>
        <w:t>en el mismo terreno, lo que representa el 91,7%; 3,472,355 tienen drenaje, lo que equivale al 94.2% y 3,646,743 cuentan con energía eléctrica, lo cual significa el 98.9%.</w:t>
      </w:r>
    </w:p>
    <w:p>
      <w:pPr>
        <w:pStyle w:val="BodyText"/>
        <w:spacing w:before="1"/>
        <w:rPr>
          <w:sz w:val="21"/>
        </w:rPr>
      </w:pPr>
    </w:p>
    <w:p>
      <w:pPr>
        <w:pStyle w:val="BodyText"/>
        <w:spacing w:line="360" w:lineRule="auto"/>
        <w:ind w:left="102" w:right="121"/>
        <w:jc w:val="both"/>
      </w:pPr>
      <w:r>
        <w:rPr/>
        <w:t>En el Estado se práctica la agricultura de riego y de temporal siendo los</w:t>
      </w:r>
      <w:r>
        <w:rPr>
          <w:spacing w:val="-34"/>
        </w:rPr>
        <w:t> </w:t>
      </w:r>
      <w:r>
        <w:rPr/>
        <w:t>principales cultivos:</w:t>
      </w:r>
      <w:r>
        <w:rPr>
          <w:spacing w:val="-18"/>
        </w:rPr>
        <w:t> </w:t>
      </w:r>
      <w:r>
        <w:rPr/>
        <w:t>maíz,</w:t>
      </w:r>
      <w:r>
        <w:rPr>
          <w:spacing w:val="-18"/>
        </w:rPr>
        <w:t> </w:t>
      </w:r>
      <w:r>
        <w:rPr/>
        <w:t>chícharo</w:t>
      </w:r>
      <w:r>
        <w:rPr>
          <w:spacing w:val="-18"/>
        </w:rPr>
        <w:t> </w:t>
      </w:r>
      <w:r>
        <w:rPr/>
        <w:t>verde,</w:t>
      </w:r>
      <w:r>
        <w:rPr>
          <w:spacing w:val="-19"/>
        </w:rPr>
        <w:t> </w:t>
      </w:r>
      <w:r>
        <w:rPr/>
        <w:t>cebada,</w:t>
      </w:r>
      <w:r>
        <w:rPr>
          <w:spacing w:val="-19"/>
        </w:rPr>
        <w:t> </w:t>
      </w:r>
      <w:r>
        <w:rPr/>
        <w:t>frijol,</w:t>
      </w:r>
      <w:r>
        <w:rPr>
          <w:spacing w:val="-22"/>
        </w:rPr>
        <w:t> </w:t>
      </w:r>
      <w:r>
        <w:rPr/>
        <w:t>papa,</w:t>
      </w:r>
      <w:r>
        <w:rPr>
          <w:spacing w:val="-19"/>
        </w:rPr>
        <w:t> </w:t>
      </w:r>
      <w:r>
        <w:rPr/>
        <w:t>alfalfa,</w:t>
      </w:r>
      <w:r>
        <w:rPr>
          <w:spacing w:val="-18"/>
        </w:rPr>
        <w:t> </w:t>
      </w:r>
      <w:r>
        <w:rPr/>
        <w:t>trigo,</w:t>
      </w:r>
      <w:r>
        <w:rPr>
          <w:spacing w:val="-19"/>
        </w:rPr>
        <w:t> </w:t>
      </w:r>
      <w:r>
        <w:rPr/>
        <w:t>aguacate</w:t>
      </w:r>
      <w:r>
        <w:rPr>
          <w:spacing w:val="-18"/>
        </w:rPr>
        <w:t> </w:t>
      </w:r>
      <w:r>
        <w:rPr/>
        <w:t>y</w:t>
      </w:r>
      <w:r>
        <w:rPr>
          <w:spacing w:val="-20"/>
        </w:rPr>
        <w:t> </w:t>
      </w:r>
      <w:r>
        <w:rPr/>
        <w:t>guayaba entre</w:t>
      </w:r>
      <w:r>
        <w:rPr>
          <w:spacing w:val="-3"/>
        </w:rPr>
        <w:t> </w:t>
      </w:r>
      <w:r>
        <w:rPr/>
        <w:t>otros.</w:t>
      </w:r>
    </w:p>
    <w:p>
      <w:pPr>
        <w:pStyle w:val="BodyText"/>
        <w:spacing w:line="360" w:lineRule="auto" w:before="204"/>
        <w:ind w:left="102" w:right="116"/>
        <w:jc w:val="both"/>
      </w:pPr>
      <w:r>
        <w:rPr/>
        <w:t>Por otra parte, cuenta con 16 ríos (Lerma, San Felipe, Temascaltepec, Sultepec, Tejalpa, Pungarancho, La Asunción, La Venta, San Juan del Rio, San Bernardino, Ixtapan, Zarco, San Agustín, Meyuca, Chalma y Los Lobos), 8 presas (Valle de Bravo, Villa Victoria, Huapango, Tepetitlan, Guadalupe, Danxhó, Ignacio Ramírez, y Antonio Alzate) y 2 lagos (Nabor Carrillo y Zumpango).</w:t>
      </w:r>
    </w:p>
    <w:p>
      <w:pPr>
        <w:pStyle w:val="BodyText"/>
        <w:spacing w:line="360" w:lineRule="auto" w:before="204"/>
        <w:ind w:left="102" w:right="115"/>
        <w:jc w:val="both"/>
      </w:pPr>
      <w:r>
        <w:rPr/>
        <w:t>Las actividades primarias representan el 1.60% de aportación al producto interno bruto (PIB), mientras que las secundarias el 34.87% y las terciarias el 63.53%; sin embargo cabe resaltar que la principal actividad económica de donde obtiene mucho mayor aportación al PIB es la industria manufacturera que representa el 26.89% por si sola.</w:t>
      </w:r>
    </w:p>
    <w:p>
      <w:pPr>
        <w:pStyle w:val="BodyText"/>
        <w:spacing w:line="360" w:lineRule="auto" w:before="204"/>
        <w:ind w:left="102" w:right="116"/>
        <w:jc w:val="both"/>
      </w:pPr>
      <w:r>
        <w:rPr/>
        <w:t>Respecto a la situación en el trabajo el Estado de México cuenta con 456,563 unidades económicas, lo cual corresponde al 12.3% del país, empleando así a 1,945,911 personas, que  en porcentaje equivale  al  9.7%  del  total  del  personal</w:t>
      </w:r>
    </w:p>
    <w:p>
      <w:pPr>
        <w:spacing w:after="0" w:line="360" w:lineRule="auto"/>
        <w:jc w:val="both"/>
        <w:sectPr>
          <w:pgSz w:w="12240" w:h="15840"/>
          <w:pgMar w:header="0" w:footer="992" w:top="1360" w:bottom="1180" w:left="1600" w:right="1580"/>
        </w:sectPr>
      </w:pPr>
    </w:p>
    <w:p>
      <w:pPr>
        <w:pStyle w:val="BodyText"/>
        <w:spacing w:line="362" w:lineRule="auto" w:before="54"/>
        <w:ind w:left="102" w:right="123"/>
        <w:jc w:val="both"/>
      </w:pPr>
      <w:r>
        <w:rPr/>
        <w:t>ocupado</w:t>
      </w:r>
      <w:r>
        <w:rPr>
          <w:spacing w:val="-6"/>
        </w:rPr>
        <w:t> </w:t>
      </w:r>
      <w:r>
        <w:rPr/>
        <w:t>en</w:t>
      </w:r>
      <w:r>
        <w:rPr>
          <w:spacing w:val="-5"/>
        </w:rPr>
        <w:t> </w:t>
      </w:r>
      <w:r>
        <w:rPr/>
        <w:t>el</w:t>
      </w:r>
      <w:r>
        <w:rPr>
          <w:spacing w:val="-6"/>
        </w:rPr>
        <w:t> </w:t>
      </w:r>
      <w:r>
        <w:rPr/>
        <w:t>país.</w:t>
      </w:r>
      <w:r>
        <w:rPr>
          <w:spacing w:val="-5"/>
        </w:rPr>
        <w:t> </w:t>
      </w:r>
      <w:r>
        <w:rPr/>
        <w:t>En</w:t>
      </w:r>
      <w:r>
        <w:rPr>
          <w:spacing w:val="-6"/>
        </w:rPr>
        <w:t> </w:t>
      </w:r>
      <w:r>
        <w:rPr/>
        <w:t>promedio</w:t>
      </w:r>
      <w:r>
        <w:rPr>
          <w:spacing w:val="-5"/>
        </w:rPr>
        <w:t> </w:t>
      </w:r>
      <w:r>
        <w:rPr/>
        <w:t>las</w:t>
      </w:r>
      <w:r>
        <w:rPr>
          <w:spacing w:val="-5"/>
        </w:rPr>
        <w:t> </w:t>
      </w:r>
      <w:r>
        <w:rPr/>
        <w:t>remuneraciones</w:t>
      </w:r>
      <w:r>
        <w:rPr>
          <w:spacing w:val="-5"/>
        </w:rPr>
        <w:t> </w:t>
      </w:r>
      <w:r>
        <w:rPr/>
        <w:t>que</w:t>
      </w:r>
      <w:r>
        <w:rPr>
          <w:spacing w:val="-5"/>
        </w:rPr>
        <w:t> </w:t>
      </w:r>
      <w:r>
        <w:rPr/>
        <w:t>recibe</w:t>
      </w:r>
      <w:r>
        <w:rPr>
          <w:spacing w:val="-5"/>
        </w:rPr>
        <w:t> </w:t>
      </w:r>
      <w:r>
        <w:rPr/>
        <w:t>cada</w:t>
      </w:r>
      <w:r>
        <w:rPr>
          <w:spacing w:val="-5"/>
        </w:rPr>
        <w:t> </w:t>
      </w:r>
      <w:r>
        <w:rPr/>
        <w:t>trabajador</w:t>
      </w:r>
      <w:r>
        <w:rPr>
          <w:spacing w:val="-6"/>
        </w:rPr>
        <w:t> </w:t>
      </w:r>
      <w:r>
        <w:rPr/>
        <w:t>al año son de $98,</w:t>
      </w:r>
      <w:r>
        <w:rPr>
          <w:spacing w:val="-11"/>
        </w:rPr>
        <w:t> </w:t>
      </w:r>
      <w:r>
        <w:rPr/>
        <w:t>121.00.</w:t>
      </w:r>
    </w:p>
    <w:p>
      <w:pPr>
        <w:pStyle w:val="BodyText"/>
        <w:spacing w:line="360" w:lineRule="auto" w:before="201"/>
        <w:ind w:left="102" w:right="116"/>
        <w:jc w:val="both"/>
      </w:pPr>
      <w:r>
        <w:rPr/>
        <w:t>En</w:t>
      </w:r>
      <w:r>
        <w:rPr>
          <w:spacing w:val="-4"/>
        </w:rPr>
        <w:t> </w:t>
      </w:r>
      <w:r>
        <w:rPr/>
        <w:t>cuanto</w:t>
      </w:r>
      <w:r>
        <w:rPr>
          <w:spacing w:val="-4"/>
        </w:rPr>
        <w:t> </w:t>
      </w:r>
      <w:r>
        <w:rPr/>
        <w:t>a</w:t>
      </w:r>
      <w:r>
        <w:rPr>
          <w:spacing w:val="-2"/>
        </w:rPr>
        <w:t> </w:t>
      </w:r>
      <w:r>
        <w:rPr/>
        <w:t>los</w:t>
      </w:r>
      <w:r>
        <w:rPr>
          <w:spacing w:val="-6"/>
        </w:rPr>
        <w:t> </w:t>
      </w:r>
      <w:r>
        <w:rPr/>
        <w:t>servicios</w:t>
      </w:r>
      <w:r>
        <w:rPr>
          <w:spacing w:val="-4"/>
        </w:rPr>
        <w:t> </w:t>
      </w:r>
      <w:r>
        <w:rPr/>
        <w:t>de</w:t>
      </w:r>
      <w:r>
        <w:rPr>
          <w:spacing w:val="-4"/>
        </w:rPr>
        <w:t> </w:t>
      </w:r>
      <w:r>
        <w:rPr/>
        <w:t>salud</w:t>
      </w:r>
      <w:r>
        <w:rPr>
          <w:spacing w:val="-5"/>
        </w:rPr>
        <w:t> </w:t>
      </w:r>
      <w:r>
        <w:rPr/>
        <w:t>y</w:t>
      </w:r>
      <w:r>
        <w:rPr>
          <w:spacing w:val="-7"/>
        </w:rPr>
        <w:t> </w:t>
      </w:r>
      <w:r>
        <w:rPr/>
        <w:t>de</w:t>
      </w:r>
      <w:r>
        <w:rPr>
          <w:spacing w:val="-4"/>
        </w:rPr>
        <w:t> </w:t>
      </w:r>
      <w:r>
        <w:rPr/>
        <w:t>acuerdo</w:t>
      </w:r>
      <w:r>
        <w:rPr>
          <w:spacing w:val="-3"/>
        </w:rPr>
        <w:t> </w:t>
      </w:r>
      <w:r>
        <w:rPr/>
        <w:t>al</w:t>
      </w:r>
      <w:r>
        <w:rPr>
          <w:spacing w:val="-5"/>
        </w:rPr>
        <w:t> </w:t>
      </w:r>
      <w:r>
        <w:rPr/>
        <w:t>Consejo</w:t>
      </w:r>
      <w:r>
        <w:rPr>
          <w:spacing w:val="-6"/>
        </w:rPr>
        <w:t> </w:t>
      </w:r>
      <w:r>
        <w:rPr/>
        <w:t>de</w:t>
      </w:r>
      <w:r>
        <w:rPr>
          <w:spacing w:val="-6"/>
        </w:rPr>
        <w:t> </w:t>
      </w:r>
      <w:r>
        <w:rPr/>
        <w:t>Estatal</w:t>
      </w:r>
      <w:r>
        <w:rPr>
          <w:spacing w:val="-5"/>
        </w:rPr>
        <w:t> </w:t>
      </w:r>
      <w:r>
        <w:rPr/>
        <w:t>de Población del Estado de México, existen </w:t>
      </w:r>
      <w:r>
        <w:rPr>
          <w:spacing w:val="2"/>
        </w:rPr>
        <w:t>8, </w:t>
      </w:r>
      <w:r>
        <w:rPr/>
        <w:t>811,664 derechohabientes, 6128,990 no son derechohabientes y 235,208 no sabe específicamente su situación de servicios de salud. Además cuenta con un total de 3,689.053 hogares, de los cuales 847, 910 tiene como jefe de familia a una mujer y </w:t>
      </w:r>
      <w:r>
        <w:rPr>
          <w:spacing w:val="2"/>
        </w:rPr>
        <w:t>2, </w:t>
      </w:r>
      <w:r>
        <w:rPr/>
        <w:t>841,143 a un</w:t>
      </w:r>
      <w:r>
        <w:rPr>
          <w:spacing w:val="-25"/>
        </w:rPr>
        <w:t> </w:t>
      </w:r>
      <w:r>
        <w:rPr/>
        <w:t>hombre.</w:t>
      </w:r>
    </w:p>
    <w:p>
      <w:pPr>
        <w:pStyle w:val="Heading2"/>
        <w:spacing w:before="202"/>
      </w:pPr>
      <w:r>
        <w:rPr/>
        <w:t>Diagnóstico sociodemográfico del estado de México</w:t>
      </w:r>
    </w:p>
    <w:p>
      <w:pPr>
        <w:pStyle w:val="BodyText"/>
        <w:spacing w:before="5"/>
        <w:rPr>
          <w:b/>
          <w:sz w:val="29"/>
        </w:rPr>
      </w:pPr>
    </w:p>
    <w:p>
      <w:pPr>
        <w:pStyle w:val="BodyText"/>
        <w:spacing w:line="360" w:lineRule="auto"/>
        <w:ind w:left="102" w:right="115"/>
        <w:jc w:val="both"/>
      </w:pPr>
      <w:r>
        <w:rPr/>
        <w:t>Con base en el Programa de Población del Estado de México publicado por el Consejo Estatal de Población en 2014, se ha observado una dinámica poblacional acelerada, se presenta una distribución de población polarizada, por una parte, se tienen municipios altamente poblados principalmente en zonas metropolitanas, y por otra parte, se detectan municipios con baja densidad poblacional. Para el 2014 el Estado se dividía en 16 regiones, de las cuales cuatro regiones destacan por concentrar</w:t>
      </w:r>
      <w:r>
        <w:rPr>
          <w:spacing w:val="-7"/>
        </w:rPr>
        <w:t> </w:t>
      </w:r>
      <w:r>
        <w:rPr/>
        <w:t>casi</w:t>
      </w:r>
      <w:r>
        <w:rPr>
          <w:spacing w:val="-7"/>
        </w:rPr>
        <w:t> </w:t>
      </w:r>
      <w:r>
        <w:rPr/>
        <w:t>la</w:t>
      </w:r>
      <w:r>
        <w:rPr>
          <w:spacing w:val="-8"/>
        </w:rPr>
        <w:t> </w:t>
      </w:r>
      <w:r>
        <w:rPr/>
        <w:t>mitad</w:t>
      </w:r>
      <w:r>
        <w:rPr>
          <w:spacing w:val="-6"/>
        </w:rPr>
        <w:t> </w:t>
      </w:r>
      <w:r>
        <w:rPr/>
        <w:t>de</w:t>
      </w:r>
      <w:r>
        <w:rPr>
          <w:spacing w:val="-6"/>
        </w:rPr>
        <w:t> </w:t>
      </w:r>
      <w:r>
        <w:rPr/>
        <w:t>la</w:t>
      </w:r>
      <w:r>
        <w:rPr>
          <w:spacing w:val="-8"/>
        </w:rPr>
        <w:t> </w:t>
      </w:r>
      <w:r>
        <w:rPr/>
        <w:t>población</w:t>
      </w:r>
      <w:r>
        <w:rPr>
          <w:spacing w:val="-7"/>
        </w:rPr>
        <w:t> </w:t>
      </w:r>
      <w:r>
        <w:rPr/>
        <w:t>de</w:t>
      </w:r>
      <w:r>
        <w:rPr>
          <w:spacing w:val="-6"/>
        </w:rPr>
        <w:t> </w:t>
      </w:r>
      <w:r>
        <w:rPr/>
        <w:t>la</w:t>
      </w:r>
      <w:r>
        <w:rPr>
          <w:spacing w:val="-11"/>
        </w:rPr>
        <w:t> </w:t>
      </w:r>
      <w:r>
        <w:rPr/>
        <w:t>entidad,</w:t>
      </w:r>
      <w:r>
        <w:rPr>
          <w:spacing w:val="-9"/>
        </w:rPr>
        <w:t> </w:t>
      </w:r>
      <w:r>
        <w:rPr/>
        <w:t>estas</w:t>
      </w:r>
      <w:r>
        <w:rPr>
          <w:spacing w:val="-7"/>
        </w:rPr>
        <w:t> </w:t>
      </w:r>
      <w:r>
        <w:rPr/>
        <w:t>son:</w:t>
      </w:r>
      <w:r>
        <w:rPr>
          <w:spacing w:val="-6"/>
        </w:rPr>
        <w:t> </w:t>
      </w:r>
      <w:r>
        <w:rPr/>
        <w:t>región</w:t>
      </w:r>
      <w:r>
        <w:rPr>
          <w:spacing w:val="-6"/>
        </w:rPr>
        <w:t> </w:t>
      </w:r>
      <w:r>
        <w:rPr/>
        <w:t>V</w:t>
      </w:r>
      <w:r>
        <w:rPr>
          <w:spacing w:val="-8"/>
        </w:rPr>
        <w:t> </w:t>
      </w:r>
      <w:r>
        <w:rPr/>
        <w:t>Ecatepec con el 15.42%, seguida de la región XIII Toluca con 10.19%, le sigue la región III Chimalhuacán</w:t>
      </w:r>
      <w:r>
        <w:rPr>
          <w:spacing w:val="-7"/>
        </w:rPr>
        <w:t> </w:t>
      </w:r>
      <w:r>
        <w:rPr/>
        <w:t>9.95%</w:t>
      </w:r>
      <w:r>
        <w:rPr>
          <w:spacing w:val="-9"/>
        </w:rPr>
        <w:t> </w:t>
      </w:r>
      <w:r>
        <w:rPr/>
        <w:t>y</w:t>
      </w:r>
      <w:r>
        <w:rPr>
          <w:spacing w:val="-12"/>
        </w:rPr>
        <w:t> </w:t>
      </w:r>
      <w:r>
        <w:rPr/>
        <w:t>la</w:t>
      </w:r>
      <w:r>
        <w:rPr>
          <w:spacing w:val="-9"/>
        </w:rPr>
        <w:t> </w:t>
      </w:r>
      <w:r>
        <w:rPr/>
        <w:t>región</w:t>
      </w:r>
      <w:r>
        <w:rPr>
          <w:spacing w:val="-8"/>
        </w:rPr>
        <w:t> </w:t>
      </w:r>
      <w:r>
        <w:rPr/>
        <w:t>VIII</w:t>
      </w:r>
      <w:r>
        <w:rPr>
          <w:spacing w:val="-9"/>
        </w:rPr>
        <w:t> </w:t>
      </w:r>
      <w:r>
        <w:rPr/>
        <w:t>Naucalpan</w:t>
      </w:r>
      <w:r>
        <w:rPr>
          <w:spacing w:val="-8"/>
        </w:rPr>
        <w:t> </w:t>
      </w:r>
      <w:r>
        <w:rPr/>
        <w:t>con</w:t>
      </w:r>
      <w:r>
        <w:rPr>
          <w:spacing w:val="-8"/>
        </w:rPr>
        <w:t> </w:t>
      </w:r>
      <w:r>
        <w:rPr/>
        <w:t>9.60;</w:t>
      </w:r>
      <w:r>
        <w:rPr>
          <w:spacing w:val="-9"/>
        </w:rPr>
        <w:t> </w:t>
      </w:r>
      <w:r>
        <w:rPr/>
        <w:t>concentrando</w:t>
      </w:r>
      <w:r>
        <w:rPr>
          <w:spacing w:val="-2"/>
        </w:rPr>
        <w:t> </w:t>
      </w:r>
      <w:r>
        <w:rPr/>
        <w:t>así</w:t>
      </w:r>
      <w:r>
        <w:rPr>
          <w:spacing w:val="-11"/>
        </w:rPr>
        <w:t> </w:t>
      </w:r>
      <w:r>
        <w:rPr/>
        <w:t>un</w:t>
      </w:r>
      <w:r>
        <w:rPr>
          <w:spacing w:val="-8"/>
        </w:rPr>
        <w:t> </w:t>
      </w:r>
      <w:r>
        <w:rPr/>
        <w:t>total de 6 millones 867 mil 734</w:t>
      </w:r>
      <w:r>
        <w:rPr>
          <w:spacing w:val="-12"/>
        </w:rPr>
        <w:t> </w:t>
      </w:r>
      <w:r>
        <w:rPr/>
        <w:t>habitantes.</w:t>
      </w:r>
    </w:p>
    <w:p>
      <w:pPr>
        <w:pStyle w:val="BodyText"/>
        <w:spacing w:line="360" w:lineRule="auto" w:before="202"/>
        <w:ind w:left="102" w:right="118"/>
        <w:jc w:val="both"/>
      </w:pPr>
      <w:r>
        <w:rPr/>
        <w:t>La distribución territorial de la población mexiquense presenta una alta concentración</w:t>
      </w:r>
      <w:r>
        <w:rPr>
          <w:spacing w:val="-15"/>
        </w:rPr>
        <w:t> </w:t>
      </w:r>
      <w:r>
        <w:rPr/>
        <w:t>de</w:t>
      </w:r>
      <w:r>
        <w:rPr>
          <w:spacing w:val="-14"/>
        </w:rPr>
        <w:t> </w:t>
      </w:r>
      <w:r>
        <w:rPr/>
        <w:t>población</w:t>
      </w:r>
      <w:r>
        <w:rPr>
          <w:spacing w:val="-12"/>
        </w:rPr>
        <w:t> </w:t>
      </w:r>
      <w:r>
        <w:rPr/>
        <w:t>en</w:t>
      </w:r>
      <w:r>
        <w:rPr>
          <w:spacing w:val="-14"/>
        </w:rPr>
        <w:t> </w:t>
      </w:r>
      <w:r>
        <w:rPr/>
        <w:t>localidades</w:t>
      </w:r>
      <w:r>
        <w:rPr>
          <w:spacing w:val="-17"/>
        </w:rPr>
        <w:t> </w:t>
      </w:r>
      <w:r>
        <w:rPr/>
        <w:t>urbanas</w:t>
      </w:r>
      <w:r>
        <w:rPr>
          <w:spacing w:val="-15"/>
        </w:rPr>
        <w:t> </w:t>
      </w:r>
      <w:r>
        <w:rPr/>
        <w:t>y</w:t>
      </w:r>
      <w:r>
        <w:rPr>
          <w:spacing w:val="-17"/>
        </w:rPr>
        <w:t> </w:t>
      </w:r>
      <w:r>
        <w:rPr/>
        <w:t>una</w:t>
      </w:r>
      <w:r>
        <w:rPr>
          <w:spacing w:val="-11"/>
        </w:rPr>
        <w:t> </w:t>
      </w:r>
      <w:r>
        <w:rPr/>
        <w:t>dispersión</w:t>
      </w:r>
      <w:r>
        <w:rPr>
          <w:spacing w:val="-16"/>
        </w:rPr>
        <w:t> </w:t>
      </w:r>
      <w:r>
        <w:rPr/>
        <w:t>de</w:t>
      </w:r>
      <w:r>
        <w:rPr>
          <w:spacing w:val="-14"/>
        </w:rPr>
        <w:t> </w:t>
      </w:r>
      <w:r>
        <w:rPr/>
        <w:t>poblaciones en localidades rurales. La dispersión de la población en localidades menores, dificulta proveer a los habitantes de sus bienes y servicios básicos, lo que implica vulnerabilidad</w:t>
      </w:r>
      <w:r>
        <w:rPr>
          <w:spacing w:val="-11"/>
        </w:rPr>
        <w:t> </w:t>
      </w:r>
      <w:r>
        <w:rPr/>
        <w:t>al</w:t>
      </w:r>
      <w:r>
        <w:rPr>
          <w:spacing w:val="-10"/>
        </w:rPr>
        <w:t> </w:t>
      </w:r>
      <w:r>
        <w:rPr/>
        <w:t>dejarla</w:t>
      </w:r>
      <w:r>
        <w:rPr>
          <w:spacing w:val="-11"/>
        </w:rPr>
        <w:t> </w:t>
      </w:r>
      <w:r>
        <w:rPr/>
        <w:t>fuera</w:t>
      </w:r>
      <w:r>
        <w:rPr>
          <w:spacing w:val="-11"/>
        </w:rPr>
        <w:t> </w:t>
      </w:r>
      <w:r>
        <w:rPr/>
        <w:t>de</w:t>
      </w:r>
      <w:r>
        <w:rPr>
          <w:spacing w:val="-11"/>
        </w:rPr>
        <w:t> </w:t>
      </w:r>
      <w:r>
        <w:rPr/>
        <w:t>los</w:t>
      </w:r>
      <w:r>
        <w:rPr>
          <w:spacing w:val="-11"/>
        </w:rPr>
        <w:t> </w:t>
      </w:r>
      <w:r>
        <w:rPr/>
        <w:t>beneficios</w:t>
      </w:r>
      <w:r>
        <w:rPr>
          <w:spacing w:val="-10"/>
        </w:rPr>
        <w:t> </w:t>
      </w:r>
      <w:r>
        <w:rPr/>
        <w:t>de</w:t>
      </w:r>
      <w:r>
        <w:rPr>
          <w:spacing w:val="-11"/>
        </w:rPr>
        <w:t> </w:t>
      </w:r>
      <w:r>
        <w:rPr/>
        <w:t>desarrollo.</w:t>
      </w:r>
      <w:r>
        <w:rPr>
          <w:spacing w:val="-7"/>
        </w:rPr>
        <w:t> </w:t>
      </w:r>
      <w:r>
        <w:rPr/>
        <w:t>Para</w:t>
      </w:r>
      <w:r>
        <w:rPr>
          <w:spacing w:val="-11"/>
        </w:rPr>
        <w:t> </w:t>
      </w:r>
      <w:r>
        <w:rPr/>
        <w:t>estos</w:t>
      </w:r>
      <w:r>
        <w:rPr>
          <w:spacing w:val="-12"/>
        </w:rPr>
        <w:t> </w:t>
      </w:r>
      <w:r>
        <w:rPr/>
        <w:t>municipios existen mayores aportaciones federales en términos per</w:t>
      </w:r>
      <w:r>
        <w:rPr>
          <w:spacing w:val="-27"/>
        </w:rPr>
        <w:t> </w:t>
      </w:r>
      <w:r>
        <w:rPr/>
        <w:t>cápita.</w:t>
      </w:r>
    </w:p>
    <w:p>
      <w:pPr>
        <w:pStyle w:val="BodyText"/>
        <w:spacing w:line="360" w:lineRule="auto" w:before="204"/>
        <w:ind w:left="102" w:right="117"/>
        <w:jc w:val="both"/>
      </w:pPr>
      <w:r>
        <w:rPr/>
        <w:t>Una localidad se considera rural, según el Programa de Población del Estado de México, cuando en ella residen menos de 2 mil 500 habitantes y urbana es cuando residen</w:t>
      </w:r>
      <w:r>
        <w:rPr>
          <w:spacing w:val="-13"/>
        </w:rPr>
        <w:t> </w:t>
      </w:r>
      <w:r>
        <w:rPr/>
        <w:t>más</w:t>
      </w:r>
      <w:r>
        <w:rPr>
          <w:spacing w:val="-13"/>
        </w:rPr>
        <w:t> </w:t>
      </w:r>
      <w:r>
        <w:rPr/>
        <w:t>de</w:t>
      </w:r>
      <w:r>
        <w:rPr>
          <w:spacing w:val="-13"/>
        </w:rPr>
        <w:t> </w:t>
      </w:r>
      <w:r>
        <w:rPr/>
        <w:t>2500.</w:t>
      </w:r>
      <w:r>
        <w:rPr>
          <w:spacing w:val="-16"/>
        </w:rPr>
        <w:t> </w:t>
      </w:r>
      <w:r>
        <w:rPr/>
        <w:t>Para</w:t>
      </w:r>
      <w:r>
        <w:rPr>
          <w:spacing w:val="-11"/>
        </w:rPr>
        <w:t> </w:t>
      </w:r>
      <w:r>
        <w:rPr/>
        <w:t>el</w:t>
      </w:r>
      <w:r>
        <w:rPr>
          <w:spacing w:val="-14"/>
        </w:rPr>
        <w:t> </w:t>
      </w:r>
      <w:r>
        <w:rPr/>
        <w:t>año</w:t>
      </w:r>
      <w:r>
        <w:rPr>
          <w:spacing w:val="-11"/>
        </w:rPr>
        <w:t> </w:t>
      </w:r>
      <w:r>
        <w:rPr/>
        <w:t>2010,</w:t>
      </w:r>
      <w:r>
        <w:rPr>
          <w:spacing w:val="-11"/>
        </w:rPr>
        <w:t> </w:t>
      </w:r>
      <w:r>
        <w:rPr/>
        <w:t>el</w:t>
      </w:r>
      <w:r>
        <w:rPr>
          <w:spacing w:val="-11"/>
        </w:rPr>
        <w:t> </w:t>
      </w:r>
      <w:r>
        <w:rPr/>
        <w:t>número</w:t>
      </w:r>
      <w:r>
        <w:rPr>
          <w:spacing w:val="-13"/>
        </w:rPr>
        <w:t> </w:t>
      </w:r>
      <w:r>
        <w:rPr/>
        <w:t>de</w:t>
      </w:r>
      <w:r>
        <w:rPr>
          <w:spacing w:val="-13"/>
        </w:rPr>
        <w:t> </w:t>
      </w:r>
      <w:r>
        <w:rPr/>
        <w:t>localidades</w:t>
      </w:r>
      <w:r>
        <w:rPr>
          <w:spacing w:val="-10"/>
        </w:rPr>
        <w:t> </w:t>
      </w:r>
      <w:r>
        <w:rPr/>
        <w:t>rurales</w:t>
      </w:r>
      <w:r>
        <w:rPr>
          <w:spacing w:val="-11"/>
        </w:rPr>
        <w:t> </w:t>
      </w:r>
      <w:r>
        <w:rPr/>
        <w:t>descendió a</w:t>
      </w:r>
      <w:r>
        <w:rPr>
          <w:spacing w:val="-13"/>
        </w:rPr>
        <w:t> </w:t>
      </w:r>
      <w:r>
        <w:rPr/>
        <w:t>4</w:t>
      </w:r>
      <w:r>
        <w:rPr>
          <w:spacing w:val="-13"/>
        </w:rPr>
        <w:t> </w:t>
      </w:r>
      <w:r>
        <w:rPr/>
        <w:t>mil</w:t>
      </w:r>
      <w:r>
        <w:rPr>
          <w:spacing w:val="-14"/>
        </w:rPr>
        <w:t> </w:t>
      </w:r>
      <w:r>
        <w:rPr/>
        <w:t>314</w:t>
      </w:r>
      <w:r>
        <w:rPr>
          <w:spacing w:val="-13"/>
        </w:rPr>
        <w:t> </w:t>
      </w:r>
      <w:r>
        <w:rPr/>
        <w:t>con</w:t>
      </w:r>
      <w:r>
        <w:rPr>
          <w:spacing w:val="-13"/>
        </w:rPr>
        <w:t> </w:t>
      </w:r>
      <w:r>
        <w:rPr/>
        <w:t>una</w:t>
      </w:r>
      <w:r>
        <w:rPr>
          <w:spacing w:val="-12"/>
        </w:rPr>
        <w:t> </w:t>
      </w:r>
      <w:r>
        <w:rPr/>
        <w:t>población</w:t>
      </w:r>
      <w:r>
        <w:rPr>
          <w:spacing w:val="-12"/>
        </w:rPr>
        <w:t> </w:t>
      </w:r>
      <w:r>
        <w:rPr/>
        <w:t>de</w:t>
      </w:r>
      <w:r>
        <w:rPr>
          <w:spacing w:val="-13"/>
        </w:rPr>
        <w:t> </w:t>
      </w:r>
      <w:r>
        <w:rPr/>
        <w:t>un</w:t>
      </w:r>
      <w:r>
        <w:rPr>
          <w:spacing w:val="-13"/>
        </w:rPr>
        <w:t> </w:t>
      </w:r>
      <w:r>
        <w:rPr/>
        <w:t>millón</w:t>
      </w:r>
      <w:r>
        <w:rPr>
          <w:spacing w:val="-15"/>
        </w:rPr>
        <w:t> </w:t>
      </w:r>
      <w:r>
        <w:rPr/>
        <w:t>974</w:t>
      </w:r>
      <w:r>
        <w:rPr>
          <w:spacing w:val="-13"/>
        </w:rPr>
        <w:t> </w:t>
      </w:r>
      <w:r>
        <w:rPr/>
        <w:t>mil</w:t>
      </w:r>
      <w:r>
        <w:rPr>
          <w:spacing w:val="-15"/>
        </w:rPr>
        <w:t> </w:t>
      </w:r>
      <w:r>
        <w:rPr/>
        <w:t>158,</w:t>
      </w:r>
      <w:r>
        <w:rPr>
          <w:spacing w:val="-13"/>
        </w:rPr>
        <w:t> </w:t>
      </w:r>
      <w:r>
        <w:rPr/>
        <w:t>lo</w:t>
      </w:r>
      <w:r>
        <w:rPr>
          <w:spacing w:val="-13"/>
        </w:rPr>
        <w:t> </w:t>
      </w:r>
      <w:r>
        <w:rPr/>
        <w:t>cual</w:t>
      </w:r>
      <w:r>
        <w:rPr>
          <w:spacing w:val="-14"/>
        </w:rPr>
        <w:t> </w:t>
      </w:r>
      <w:r>
        <w:rPr/>
        <w:t>represento</w:t>
      </w:r>
      <w:r>
        <w:rPr>
          <w:spacing w:val="-15"/>
        </w:rPr>
        <w:t> </w:t>
      </w:r>
      <w:r>
        <w:rPr/>
        <w:t>el</w:t>
      </w:r>
      <w:r>
        <w:rPr>
          <w:spacing w:val="-14"/>
        </w:rPr>
        <w:t> </w:t>
      </w:r>
      <w:r>
        <w:rPr/>
        <w:t>13.01% de la población total, mientras que las localidades urbanas ascendieron a 533 y </w:t>
      </w:r>
      <w:r>
        <w:rPr>
          <w:spacing w:val="28"/>
        </w:rPr>
        <w:t> </w:t>
      </w:r>
      <w:r>
        <w:rPr/>
        <w:t>la</w:t>
      </w:r>
    </w:p>
    <w:p>
      <w:pPr>
        <w:spacing w:after="0" w:line="360" w:lineRule="auto"/>
        <w:jc w:val="both"/>
        <w:sectPr>
          <w:footerReference w:type="default" r:id="rId46"/>
          <w:pgSz w:w="12240" w:h="15840"/>
          <w:pgMar w:footer="992" w:header="0" w:top="1360" w:bottom="1180" w:left="1600" w:right="1580"/>
        </w:sectPr>
      </w:pPr>
    </w:p>
    <w:p>
      <w:pPr>
        <w:pStyle w:val="BodyText"/>
        <w:spacing w:before="54"/>
        <w:ind w:left="102"/>
        <w:jc w:val="both"/>
      </w:pPr>
      <w:r>
        <w:rPr/>
        <w:t>población alcanzó los 13 millones 201 mil 704.</w:t>
      </w:r>
    </w:p>
    <w:p>
      <w:pPr>
        <w:pStyle w:val="BodyText"/>
        <w:spacing w:before="5"/>
        <w:rPr>
          <w:sz w:val="29"/>
        </w:rPr>
      </w:pPr>
    </w:p>
    <w:p>
      <w:pPr>
        <w:pStyle w:val="Heading2"/>
      </w:pPr>
      <w:r>
        <w:rPr/>
        <w:t>Diagnóstico de Marginación</w:t>
      </w:r>
    </w:p>
    <w:p>
      <w:pPr>
        <w:pStyle w:val="BodyText"/>
        <w:spacing w:before="4"/>
        <w:rPr>
          <w:b/>
          <w:sz w:val="29"/>
        </w:rPr>
      </w:pPr>
    </w:p>
    <w:p>
      <w:pPr>
        <w:pStyle w:val="BodyText"/>
        <w:spacing w:line="360" w:lineRule="auto" w:before="1"/>
        <w:ind w:left="102" w:right="114"/>
        <w:jc w:val="both"/>
      </w:pPr>
      <w:r>
        <w:rPr/>
        <w:t>Existen diversos indicadores que permiten conocer las carencias de la población, así como instituciones que se interrelacionan entre sí para obtener este dato, entre ellos está el Consejo Estatal de Población del Estado de México (COESPO), el Consejo Nacional de Población (CONAPO), el Consejo Nacional de Evaluación de la</w:t>
      </w:r>
      <w:r>
        <w:rPr>
          <w:spacing w:val="-9"/>
        </w:rPr>
        <w:t> </w:t>
      </w:r>
      <w:r>
        <w:rPr/>
        <w:t>Política</w:t>
      </w:r>
      <w:r>
        <w:rPr>
          <w:spacing w:val="-8"/>
        </w:rPr>
        <w:t> </w:t>
      </w:r>
      <w:r>
        <w:rPr/>
        <w:t>Social</w:t>
      </w:r>
      <w:r>
        <w:rPr>
          <w:spacing w:val="-8"/>
        </w:rPr>
        <w:t> </w:t>
      </w:r>
      <w:r>
        <w:rPr/>
        <w:t>(CONEVAL),</w:t>
      </w:r>
      <w:r>
        <w:rPr>
          <w:spacing w:val="-9"/>
        </w:rPr>
        <w:t> </w:t>
      </w:r>
      <w:r>
        <w:rPr/>
        <w:t>quienes</w:t>
      </w:r>
      <w:r>
        <w:rPr>
          <w:spacing w:val="-9"/>
        </w:rPr>
        <w:t> </w:t>
      </w:r>
      <w:r>
        <w:rPr/>
        <w:t>calculan</w:t>
      </w:r>
      <w:r>
        <w:rPr>
          <w:spacing w:val="-8"/>
        </w:rPr>
        <w:t> </w:t>
      </w:r>
      <w:r>
        <w:rPr/>
        <w:t>el</w:t>
      </w:r>
      <w:r>
        <w:rPr>
          <w:spacing w:val="-10"/>
        </w:rPr>
        <w:t> </w:t>
      </w:r>
      <w:r>
        <w:rPr/>
        <w:t>grado</w:t>
      </w:r>
      <w:r>
        <w:rPr>
          <w:spacing w:val="-8"/>
        </w:rPr>
        <w:t> </w:t>
      </w:r>
      <w:r>
        <w:rPr/>
        <w:t>de</w:t>
      </w:r>
      <w:r>
        <w:rPr>
          <w:spacing w:val="-8"/>
        </w:rPr>
        <w:t> </w:t>
      </w:r>
      <w:r>
        <w:rPr/>
        <w:t>rezago</w:t>
      </w:r>
      <w:r>
        <w:rPr>
          <w:spacing w:val="-8"/>
        </w:rPr>
        <w:t> </w:t>
      </w:r>
      <w:r>
        <w:rPr/>
        <w:t>social,</w:t>
      </w:r>
      <w:r>
        <w:rPr>
          <w:spacing w:val="-5"/>
        </w:rPr>
        <w:t> </w:t>
      </w:r>
      <w:r>
        <w:rPr/>
        <w:t>así</w:t>
      </w:r>
      <w:r>
        <w:rPr>
          <w:spacing w:val="-11"/>
        </w:rPr>
        <w:t> </w:t>
      </w:r>
      <w:r>
        <w:rPr/>
        <w:t>como la pobreza. Bajo este contexto, el índice de marginación está concebido con el promedio de las carencias que padece la población, contiene indicadores de déficit capaces</w:t>
      </w:r>
      <w:r>
        <w:rPr>
          <w:spacing w:val="-10"/>
        </w:rPr>
        <w:t> </w:t>
      </w:r>
      <w:r>
        <w:rPr/>
        <w:t>de</w:t>
      </w:r>
      <w:r>
        <w:rPr>
          <w:spacing w:val="-12"/>
        </w:rPr>
        <w:t> </w:t>
      </w:r>
      <w:r>
        <w:rPr/>
        <w:t>describir</w:t>
      </w:r>
      <w:r>
        <w:rPr>
          <w:spacing w:val="-11"/>
        </w:rPr>
        <w:t> </w:t>
      </w:r>
      <w:r>
        <w:rPr/>
        <w:t>la</w:t>
      </w:r>
      <w:r>
        <w:rPr>
          <w:spacing w:val="-12"/>
        </w:rPr>
        <w:t> </w:t>
      </w:r>
      <w:r>
        <w:rPr/>
        <w:t>situación</w:t>
      </w:r>
      <w:r>
        <w:rPr>
          <w:spacing w:val="-12"/>
        </w:rPr>
        <w:t> </w:t>
      </w:r>
      <w:r>
        <w:rPr/>
        <w:t>en</w:t>
      </w:r>
      <w:r>
        <w:rPr>
          <w:spacing w:val="-6"/>
        </w:rPr>
        <w:t> </w:t>
      </w:r>
      <w:r>
        <w:rPr/>
        <w:t>que</w:t>
      </w:r>
      <w:r>
        <w:rPr>
          <w:spacing w:val="-9"/>
        </w:rPr>
        <w:t> </w:t>
      </w:r>
      <w:r>
        <w:rPr/>
        <w:t>se</w:t>
      </w:r>
      <w:r>
        <w:rPr>
          <w:spacing w:val="-12"/>
        </w:rPr>
        <w:t> </w:t>
      </w:r>
      <w:r>
        <w:rPr/>
        <w:t>encuentran</w:t>
      </w:r>
      <w:r>
        <w:rPr>
          <w:spacing w:val="-9"/>
        </w:rPr>
        <w:t> </w:t>
      </w:r>
      <w:r>
        <w:rPr/>
        <w:t>las</w:t>
      </w:r>
      <w:r>
        <w:rPr>
          <w:spacing w:val="-12"/>
        </w:rPr>
        <w:t> </w:t>
      </w:r>
      <w:r>
        <w:rPr/>
        <w:t>personas</w:t>
      </w:r>
      <w:r>
        <w:rPr>
          <w:spacing w:val="-14"/>
        </w:rPr>
        <w:t> </w:t>
      </w:r>
      <w:r>
        <w:rPr/>
        <w:t>que</w:t>
      </w:r>
      <w:r>
        <w:rPr>
          <w:spacing w:val="-9"/>
        </w:rPr>
        <w:t> </w:t>
      </w:r>
      <w:r>
        <w:rPr/>
        <w:t>residen</w:t>
      </w:r>
      <w:r>
        <w:rPr>
          <w:spacing w:val="-9"/>
        </w:rPr>
        <w:t> </w:t>
      </w:r>
      <w:r>
        <w:rPr/>
        <w:t>en las entidades, municipios y localidades que componen el territorio estatal. A través de dichos indicadores se contribuye a una reflexión sobre </w:t>
      </w:r>
      <w:r>
        <w:rPr>
          <w:spacing w:val="2"/>
        </w:rPr>
        <w:t>las </w:t>
      </w:r>
      <w:r>
        <w:rPr/>
        <w:t>deficiencias de cada uno de estos. Las dimensiones con las que se calcula este índice son: educación, vivienda, distribución de la población e ingresos. El lugar que ocupa el Estado de México</w:t>
      </w:r>
      <w:r>
        <w:rPr>
          <w:spacing w:val="-4"/>
        </w:rPr>
        <w:t> </w:t>
      </w:r>
      <w:r>
        <w:rPr/>
        <w:t>en</w:t>
      </w:r>
      <w:r>
        <w:rPr>
          <w:spacing w:val="-4"/>
        </w:rPr>
        <w:t> </w:t>
      </w:r>
      <w:r>
        <w:rPr/>
        <w:t>el</w:t>
      </w:r>
      <w:r>
        <w:rPr>
          <w:spacing w:val="-7"/>
        </w:rPr>
        <w:t> </w:t>
      </w:r>
      <w:r>
        <w:rPr/>
        <w:t>contexto</w:t>
      </w:r>
      <w:r>
        <w:rPr>
          <w:spacing w:val="-3"/>
        </w:rPr>
        <w:t> </w:t>
      </w:r>
      <w:r>
        <w:rPr/>
        <w:t>nacional</w:t>
      </w:r>
      <w:r>
        <w:rPr>
          <w:spacing w:val="-5"/>
        </w:rPr>
        <w:t> </w:t>
      </w:r>
      <w:r>
        <w:rPr/>
        <w:t>en</w:t>
      </w:r>
      <w:r>
        <w:rPr>
          <w:spacing w:val="-5"/>
        </w:rPr>
        <w:t> </w:t>
      </w:r>
      <w:r>
        <w:rPr/>
        <w:t>2010</w:t>
      </w:r>
      <w:r>
        <w:rPr>
          <w:spacing w:val="-6"/>
        </w:rPr>
        <w:t> </w:t>
      </w:r>
      <w:r>
        <w:rPr/>
        <w:t>es</w:t>
      </w:r>
      <w:r>
        <w:rPr>
          <w:spacing w:val="-7"/>
        </w:rPr>
        <w:t> </w:t>
      </w:r>
      <w:r>
        <w:rPr/>
        <w:t>el</w:t>
      </w:r>
      <w:r>
        <w:rPr>
          <w:spacing w:val="-7"/>
        </w:rPr>
        <w:t> </w:t>
      </w:r>
      <w:r>
        <w:rPr/>
        <w:t>22</w:t>
      </w:r>
      <w:r>
        <w:rPr>
          <w:spacing w:val="-4"/>
        </w:rPr>
        <w:t> </w:t>
      </w:r>
      <w:r>
        <w:rPr/>
        <w:t>con</w:t>
      </w:r>
      <w:r>
        <w:rPr>
          <w:spacing w:val="-6"/>
        </w:rPr>
        <w:t> </w:t>
      </w:r>
      <w:r>
        <w:rPr/>
        <w:t>un</w:t>
      </w:r>
      <w:r>
        <w:rPr>
          <w:spacing w:val="-6"/>
        </w:rPr>
        <w:t> </w:t>
      </w:r>
      <w:r>
        <w:rPr/>
        <w:t>bajo</w:t>
      </w:r>
      <w:r>
        <w:rPr>
          <w:spacing w:val="-4"/>
        </w:rPr>
        <w:t> </w:t>
      </w:r>
      <w:r>
        <w:rPr/>
        <w:t>grado</w:t>
      </w:r>
      <w:r>
        <w:rPr>
          <w:spacing w:val="-6"/>
        </w:rPr>
        <w:t> </w:t>
      </w:r>
      <w:r>
        <w:rPr/>
        <w:t>de</w:t>
      </w:r>
      <w:r>
        <w:rPr>
          <w:spacing w:val="-6"/>
        </w:rPr>
        <w:t> </w:t>
      </w:r>
      <w:r>
        <w:rPr/>
        <w:t>marginación.</w:t>
      </w:r>
    </w:p>
    <w:p>
      <w:pPr>
        <w:pStyle w:val="BodyText"/>
        <w:spacing w:line="360" w:lineRule="auto" w:before="204"/>
        <w:ind w:left="102" w:right="116"/>
        <w:jc w:val="both"/>
      </w:pPr>
      <w:r>
        <w:rPr/>
        <w:t>Conforme a datos del CONEVAL el Estado de México de sus 125 municipios, 2 se encuentran en muy alto nivel de marginación, 10 en alto grado de marginación, 39 en</w:t>
      </w:r>
      <w:r>
        <w:rPr>
          <w:spacing w:val="-13"/>
        </w:rPr>
        <w:t> </w:t>
      </w:r>
      <w:r>
        <w:rPr/>
        <w:t>medio</w:t>
      </w:r>
      <w:r>
        <w:rPr>
          <w:spacing w:val="-11"/>
        </w:rPr>
        <w:t> </w:t>
      </w:r>
      <w:r>
        <w:rPr/>
        <w:t>grado</w:t>
      </w:r>
      <w:r>
        <w:rPr>
          <w:spacing w:val="-11"/>
        </w:rPr>
        <w:t> </w:t>
      </w:r>
      <w:r>
        <w:rPr/>
        <w:t>de</w:t>
      </w:r>
      <w:r>
        <w:rPr>
          <w:spacing w:val="-13"/>
        </w:rPr>
        <w:t> </w:t>
      </w:r>
      <w:r>
        <w:rPr/>
        <w:t>marginación,</w:t>
      </w:r>
      <w:r>
        <w:rPr>
          <w:spacing w:val="-11"/>
        </w:rPr>
        <w:t> </w:t>
      </w:r>
      <w:r>
        <w:rPr/>
        <w:t>36</w:t>
      </w:r>
      <w:r>
        <w:rPr>
          <w:spacing w:val="-11"/>
        </w:rPr>
        <w:t> </w:t>
      </w:r>
      <w:r>
        <w:rPr/>
        <w:t>en</w:t>
      </w:r>
      <w:r>
        <w:rPr>
          <w:spacing w:val="-13"/>
        </w:rPr>
        <w:t> </w:t>
      </w:r>
      <w:r>
        <w:rPr/>
        <w:t>bajo</w:t>
      </w:r>
      <w:r>
        <w:rPr>
          <w:spacing w:val="-11"/>
        </w:rPr>
        <w:t> </w:t>
      </w:r>
      <w:r>
        <w:rPr/>
        <w:t>grado</w:t>
      </w:r>
      <w:r>
        <w:rPr>
          <w:spacing w:val="-13"/>
        </w:rPr>
        <w:t> </w:t>
      </w:r>
      <w:r>
        <w:rPr/>
        <w:t>de</w:t>
      </w:r>
      <w:r>
        <w:rPr>
          <w:spacing w:val="-13"/>
        </w:rPr>
        <w:t> </w:t>
      </w:r>
      <w:r>
        <w:rPr/>
        <w:t>marginación,</w:t>
      </w:r>
      <w:r>
        <w:rPr>
          <w:spacing w:val="-11"/>
        </w:rPr>
        <w:t> </w:t>
      </w:r>
      <w:r>
        <w:rPr/>
        <w:t>y</w:t>
      </w:r>
      <w:r>
        <w:rPr>
          <w:spacing w:val="-14"/>
        </w:rPr>
        <w:t> </w:t>
      </w:r>
      <w:r>
        <w:rPr/>
        <w:t>38</w:t>
      </w:r>
      <w:r>
        <w:rPr>
          <w:spacing w:val="-11"/>
        </w:rPr>
        <w:t> </w:t>
      </w:r>
      <w:r>
        <w:rPr/>
        <w:t>en</w:t>
      </w:r>
      <w:r>
        <w:rPr>
          <w:spacing w:val="-11"/>
        </w:rPr>
        <w:t> </w:t>
      </w:r>
      <w:r>
        <w:rPr/>
        <w:t>muy</w:t>
      </w:r>
      <w:r>
        <w:rPr>
          <w:spacing w:val="-14"/>
        </w:rPr>
        <w:t> </w:t>
      </w:r>
      <w:r>
        <w:rPr/>
        <w:t>bajo grado. Para los detalle ver</w:t>
      </w:r>
      <w:r>
        <w:rPr>
          <w:spacing w:val="-10"/>
        </w:rPr>
        <w:t> </w:t>
      </w:r>
      <w:r>
        <w:rPr/>
        <w:t>anexos.</w:t>
      </w:r>
    </w:p>
    <w:p>
      <w:pPr>
        <w:pStyle w:val="BodyText"/>
        <w:spacing w:line="360" w:lineRule="auto" w:before="204"/>
        <w:ind w:left="102" w:right="116"/>
        <w:jc w:val="both"/>
      </w:pPr>
      <w:r>
        <w:rPr/>
        <w:t>En</w:t>
      </w:r>
      <w:r>
        <w:rPr>
          <w:spacing w:val="-4"/>
        </w:rPr>
        <w:t> </w:t>
      </w:r>
      <w:r>
        <w:rPr/>
        <w:t>cuanto</w:t>
      </w:r>
      <w:r>
        <w:rPr>
          <w:spacing w:val="-3"/>
        </w:rPr>
        <w:t> </w:t>
      </w:r>
      <w:r>
        <w:rPr/>
        <w:t>al</w:t>
      </w:r>
      <w:r>
        <w:rPr>
          <w:spacing w:val="-5"/>
        </w:rPr>
        <w:t> </w:t>
      </w:r>
      <w:r>
        <w:rPr/>
        <w:t>grado</w:t>
      </w:r>
      <w:r>
        <w:rPr>
          <w:spacing w:val="-4"/>
        </w:rPr>
        <w:t> </w:t>
      </w:r>
      <w:r>
        <w:rPr/>
        <w:t>de</w:t>
      </w:r>
      <w:r>
        <w:rPr>
          <w:spacing w:val="-4"/>
        </w:rPr>
        <w:t> </w:t>
      </w:r>
      <w:r>
        <w:rPr/>
        <w:t>rezago</w:t>
      </w:r>
      <w:r>
        <w:rPr>
          <w:spacing w:val="-4"/>
        </w:rPr>
        <w:t> </w:t>
      </w:r>
      <w:r>
        <w:rPr/>
        <w:t>social</w:t>
      </w:r>
      <w:r>
        <w:rPr>
          <w:spacing w:val="-4"/>
        </w:rPr>
        <w:t> </w:t>
      </w:r>
      <w:r>
        <w:rPr/>
        <w:t>7</w:t>
      </w:r>
      <w:r>
        <w:rPr>
          <w:spacing w:val="-4"/>
        </w:rPr>
        <w:t> </w:t>
      </w:r>
      <w:r>
        <w:rPr/>
        <w:t>municipios</w:t>
      </w:r>
      <w:r>
        <w:rPr>
          <w:spacing w:val="1"/>
        </w:rPr>
        <w:t> </w:t>
      </w:r>
      <w:r>
        <w:rPr/>
        <w:t>están</w:t>
      </w:r>
      <w:r>
        <w:rPr>
          <w:spacing w:val="-3"/>
        </w:rPr>
        <w:t> </w:t>
      </w:r>
      <w:r>
        <w:rPr/>
        <w:t>en</w:t>
      </w:r>
      <w:r>
        <w:rPr>
          <w:spacing w:val="-4"/>
        </w:rPr>
        <w:t> </w:t>
      </w:r>
      <w:r>
        <w:rPr/>
        <w:t>alto,</w:t>
      </w:r>
      <w:r>
        <w:rPr>
          <w:spacing w:val="-3"/>
        </w:rPr>
        <w:t> </w:t>
      </w:r>
      <w:r>
        <w:rPr/>
        <w:t>20</w:t>
      </w:r>
      <w:r>
        <w:rPr>
          <w:spacing w:val="-6"/>
        </w:rPr>
        <w:t> </w:t>
      </w:r>
      <w:r>
        <w:rPr/>
        <w:t>en</w:t>
      </w:r>
      <w:r>
        <w:rPr>
          <w:spacing w:val="-4"/>
        </w:rPr>
        <w:t> </w:t>
      </w:r>
      <w:r>
        <w:rPr/>
        <w:t>medio,</w:t>
      </w:r>
      <w:r>
        <w:rPr>
          <w:spacing w:val="-4"/>
        </w:rPr>
        <w:t> </w:t>
      </w:r>
      <w:r>
        <w:rPr/>
        <w:t>27</w:t>
      </w:r>
      <w:r>
        <w:rPr>
          <w:spacing w:val="-6"/>
        </w:rPr>
        <w:t> </w:t>
      </w:r>
      <w:r>
        <w:rPr/>
        <w:t>en bajo, y 71 están en muy bajo rezago social. Para más detalle véase</w:t>
      </w:r>
      <w:r>
        <w:rPr>
          <w:spacing w:val="-24"/>
        </w:rPr>
        <w:t> </w:t>
      </w:r>
      <w:r>
        <w:rPr/>
        <w:t>anexo.</w:t>
      </w:r>
    </w:p>
    <w:p>
      <w:pPr>
        <w:pStyle w:val="BodyText"/>
        <w:spacing w:line="360" w:lineRule="auto" w:before="204"/>
        <w:ind w:left="102" w:right="117"/>
        <w:jc w:val="both"/>
      </w:pPr>
      <w:r>
        <w:rPr/>
        <w:t>Otros datos importantes sobre el contexto del Estado de México lo proporciona el Índice de Desarrollo Democrático del año 2014, el cual coloca al Estado de México en el lugar número 24°, lo cual lo conlleva a calificar como uno de los estados con bajo desarrollo democrático.</w:t>
      </w:r>
    </w:p>
    <w:p>
      <w:pPr>
        <w:pStyle w:val="BodyText"/>
        <w:spacing w:line="360" w:lineRule="auto" w:before="204"/>
        <w:ind w:left="102" w:right="116"/>
        <w:jc w:val="both"/>
      </w:pPr>
      <w:r>
        <w:rPr/>
        <w:t>En cuanto a Inseguridad</w:t>
      </w:r>
      <w:r>
        <w:rPr>
          <w:b/>
        </w:rPr>
        <w:t>: </w:t>
      </w:r>
      <w:r>
        <w:rPr/>
        <w:t>El total de denuncias por delitos durante el año 2013 fue de 270,185; esto es, alrededor de 1.1% más denuncias que en 2012, cuando se registraron</w:t>
      </w:r>
      <w:r>
        <w:rPr>
          <w:spacing w:val="-15"/>
        </w:rPr>
        <w:t> </w:t>
      </w:r>
      <w:r>
        <w:rPr/>
        <w:t>267,136.</w:t>
      </w:r>
      <w:r>
        <w:rPr>
          <w:spacing w:val="-16"/>
        </w:rPr>
        <w:t> </w:t>
      </w:r>
      <w:r>
        <w:rPr/>
        <w:t>Por</w:t>
      </w:r>
      <w:r>
        <w:rPr>
          <w:spacing w:val="-17"/>
        </w:rPr>
        <w:t> </w:t>
      </w:r>
      <w:r>
        <w:rPr/>
        <w:t>otro</w:t>
      </w:r>
      <w:r>
        <w:rPr>
          <w:spacing w:val="-16"/>
        </w:rPr>
        <w:t> </w:t>
      </w:r>
      <w:r>
        <w:rPr/>
        <w:t>lado,</w:t>
      </w:r>
      <w:r>
        <w:rPr>
          <w:spacing w:val="-16"/>
        </w:rPr>
        <w:t> </w:t>
      </w:r>
      <w:r>
        <w:rPr/>
        <w:t>el</w:t>
      </w:r>
      <w:r>
        <w:rPr>
          <w:spacing w:val="-17"/>
        </w:rPr>
        <w:t> </w:t>
      </w:r>
      <w:r>
        <w:rPr/>
        <w:t>total</w:t>
      </w:r>
      <w:r>
        <w:rPr>
          <w:spacing w:val="-17"/>
        </w:rPr>
        <w:t> </w:t>
      </w:r>
      <w:r>
        <w:rPr/>
        <w:t>de</w:t>
      </w:r>
      <w:r>
        <w:rPr>
          <w:spacing w:val="-18"/>
        </w:rPr>
        <w:t> </w:t>
      </w:r>
      <w:r>
        <w:rPr/>
        <w:t>denuncias</w:t>
      </w:r>
      <w:r>
        <w:rPr>
          <w:spacing w:val="-16"/>
        </w:rPr>
        <w:t> </w:t>
      </w:r>
      <w:r>
        <w:rPr/>
        <w:t>de</w:t>
      </w:r>
      <w:r>
        <w:rPr>
          <w:spacing w:val="-16"/>
        </w:rPr>
        <w:t> </w:t>
      </w:r>
      <w:r>
        <w:rPr/>
        <w:t>robos</w:t>
      </w:r>
      <w:r>
        <w:rPr>
          <w:spacing w:val="-16"/>
        </w:rPr>
        <w:t> </w:t>
      </w:r>
      <w:r>
        <w:rPr/>
        <w:t>disminuyó</w:t>
      </w:r>
      <w:r>
        <w:rPr>
          <w:spacing w:val="-16"/>
        </w:rPr>
        <w:t> </w:t>
      </w:r>
      <w:r>
        <w:rPr/>
        <w:t>un</w:t>
      </w:r>
      <w:r>
        <w:rPr>
          <w:spacing w:val="-18"/>
        </w:rPr>
        <w:t> </w:t>
      </w:r>
      <w:r>
        <w:rPr/>
        <w:t>1.4%</w:t>
      </w:r>
    </w:p>
    <w:p>
      <w:pPr>
        <w:spacing w:after="0" w:line="360" w:lineRule="auto"/>
        <w:jc w:val="both"/>
        <w:sectPr>
          <w:footerReference w:type="default" r:id="rId47"/>
          <w:pgSz w:w="12240" w:h="15840"/>
          <w:pgMar w:footer="992" w:header="0" w:top="1360" w:bottom="1180" w:left="1600" w:right="1580"/>
          <w:pgNumType w:start="131"/>
        </w:sectPr>
      </w:pPr>
    </w:p>
    <w:p>
      <w:pPr>
        <w:pStyle w:val="BodyText"/>
        <w:spacing w:line="360" w:lineRule="auto" w:before="54"/>
        <w:ind w:left="102" w:right="123"/>
        <w:jc w:val="both"/>
      </w:pPr>
      <w:r>
        <w:rPr/>
        <w:t>pero</w:t>
      </w:r>
      <w:r>
        <w:rPr>
          <w:spacing w:val="-11"/>
        </w:rPr>
        <w:t> </w:t>
      </w:r>
      <w:r>
        <w:rPr/>
        <w:t>las</w:t>
      </w:r>
      <w:r>
        <w:rPr>
          <w:spacing w:val="-11"/>
        </w:rPr>
        <w:t> </w:t>
      </w:r>
      <w:r>
        <w:rPr/>
        <w:t>denuncias</w:t>
      </w:r>
      <w:r>
        <w:rPr>
          <w:spacing w:val="-11"/>
        </w:rPr>
        <w:t> </w:t>
      </w:r>
      <w:r>
        <w:rPr/>
        <w:t>de</w:t>
      </w:r>
      <w:r>
        <w:rPr>
          <w:spacing w:val="-13"/>
        </w:rPr>
        <w:t> </w:t>
      </w:r>
      <w:r>
        <w:rPr/>
        <w:t>robos</w:t>
      </w:r>
      <w:r>
        <w:rPr>
          <w:spacing w:val="-12"/>
        </w:rPr>
        <w:t> </w:t>
      </w:r>
      <w:r>
        <w:rPr/>
        <w:t>con</w:t>
      </w:r>
      <w:r>
        <w:rPr>
          <w:spacing w:val="-11"/>
        </w:rPr>
        <w:t> </w:t>
      </w:r>
      <w:r>
        <w:rPr/>
        <w:t>violencia</w:t>
      </w:r>
      <w:r>
        <w:rPr>
          <w:spacing w:val="-11"/>
        </w:rPr>
        <w:t> </w:t>
      </w:r>
      <w:r>
        <w:rPr/>
        <w:t>aumentaron</w:t>
      </w:r>
      <w:r>
        <w:rPr>
          <w:spacing w:val="-11"/>
        </w:rPr>
        <w:t> </w:t>
      </w:r>
      <w:r>
        <w:rPr/>
        <w:t>un</w:t>
      </w:r>
      <w:r>
        <w:rPr>
          <w:spacing w:val="-11"/>
        </w:rPr>
        <w:t> </w:t>
      </w:r>
      <w:r>
        <w:rPr/>
        <w:t>0.7%.</w:t>
      </w:r>
      <w:r>
        <w:rPr>
          <w:spacing w:val="-11"/>
        </w:rPr>
        <w:t> </w:t>
      </w:r>
      <w:r>
        <w:rPr/>
        <w:t>Además,</w:t>
      </w:r>
      <w:r>
        <w:rPr>
          <w:spacing w:val="-11"/>
        </w:rPr>
        <w:t> </w:t>
      </w:r>
      <w:r>
        <w:rPr/>
        <w:t>el</w:t>
      </w:r>
      <w:r>
        <w:rPr>
          <w:spacing w:val="-12"/>
        </w:rPr>
        <w:t> </w:t>
      </w:r>
      <w:r>
        <w:rPr/>
        <w:t>total</w:t>
      </w:r>
      <w:r>
        <w:rPr>
          <w:spacing w:val="-12"/>
        </w:rPr>
        <w:t> </w:t>
      </w:r>
      <w:r>
        <w:rPr/>
        <w:t>de homicidios</w:t>
      </w:r>
      <w:r>
        <w:rPr>
          <w:spacing w:val="-15"/>
        </w:rPr>
        <w:t> </w:t>
      </w:r>
      <w:r>
        <w:rPr/>
        <w:t>denunciados</w:t>
      </w:r>
      <w:r>
        <w:rPr>
          <w:spacing w:val="-15"/>
        </w:rPr>
        <w:t> </w:t>
      </w:r>
      <w:r>
        <w:rPr/>
        <w:t>durante</w:t>
      </w:r>
      <w:r>
        <w:rPr>
          <w:spacing w:val="-14"/>
        </w:rPr>
        <w:t> </w:t>
      </w:r>
      <w:r>
        <w:rPr/>
        <w:t>el</w:t>
      </w:r>
      <w:r>
        <w:rPr>
          <w:spacing w:val="-18"/>
        </w:rPr>
        <w:t> </w:t>
      </w:r>
      <w:r>
        <w:rPr/>
        <w:t>año</w:t>
      </w:r>
      <w:r>
        <w:rPr>
          <w:spacing w:val="-17"/>
        </w:rPr>
        <w:t> </w:t>
      </w:r>
      <w:r>
        <w:rPr/>
        <w:t>2013</w:t>
      </w:r>
      <w:r>
        <w:rPr>
          <w:spacing w:val="-14"/>
        </w:rPr>
        <w:t> </w:t>
      </w:r>
      <w:r>
        <w:rPr/>
        <w:t>(3,897)</w:t>
      </w:r>
      <w:r>
        <w:rPr>
          <w:spacing w:val="-16"/>
        </w:rPr>
        <w:t> </w:t>
      </w:r>
      <w:r>
        <w:rPr/>
        <w:t>incrementó</w:t>
      </w:r>
      <w:r>
        <w:rPr>
          <w:spacing w:val="-14"/>
        </w:rPr>
        <w:t> </w:t>
      </w:r>
      <w:r>
        <w:rPr/>
        <w:t>un</w:t>
      </w:r>
      <w:r>
        <w:rPr>
          <w:spacing w:val="-14"/>
        </w:rPr>
        <w:t> </w:t>
      </w:r>
      <w:r>
        <w:rPr/>
        <w:t>68%</w:t>
      </w:r>
      <w:r>
        <w:rPr>
          <w:spacing w:val="-15"/>
        </w:rPr>
        <w:t> </w:t>
      </w:r>
      <w:r>
        <w:rPr/>
        <w:t>en</w:t>
      </w:r>
      <w:r>
        <w:rPr>
          <w:spacing w:val="-14"/>
        </w:rPr>
        <w:t> </w:t>
      </w:r>
      <w:r>
        <w:rPr/>
        <w:t>relación al año</w:t>
      </w:r>
      <w:r>
        <w:rPr>
          <w:spacing w:val="-4"/>
        </w:rPr>
        <w:t> </w:t>
      </w:r>
      <w:r>
        <w:rPr/>
        <w:t>anterior.</w:t>
      </w:r>
    </w:p>
    <w:p>
      <w:pPr>
        <w:pStyle w:val="BodyText"/>
        <w:spacing w:before="3"/>
        <w:rPr>
          <w:sz w:val="21"/>
        </w:rPr>
      </w:pPr>
    </w:p>
    <w:p>
      <w:pPr>
        <w:pStyle w:val="BodyText"/>
        <w:spacing w:line="360" w:lineRule="auto"/>
        <w:ind w:left="102" w:right="118"/>
        <w:jc w:val="both"/>
      </w:pPr>
      <w:r>
        <w:rPr/>
        <w:t>Durante el año 2013, la inseguridad incrementó en el Estado de México no sólo en cifras generales, sino en demostraciones públicas de violencia del crimen organizado como cadáveres ejecutados, balaceras públicas o secuestros. Los municipios</w:t>
      </w:r>
      <w:r>
        <w:rPr>
          <w:spacing w:val="-15"/>
        </w:rPr>
        <w:t> </w:t>
      </w:r>
      <w:r>
        <w:rPr/>
        <w:t>con</w:t>
      </w:r>
      <w:r>
        <w:rPr>
          <w:spacing w:val="-17"/>
        </w:rPr>
        <w:t> </w:t>
      </w:r>
      <w:r>
        <w:rPr/>
        <w:t>mayores</w:t>
      </w:r>
      <w:r>
        <w:rPr>
          <w:spacing w:val="-15"/>
        </w:rPr>
        <w:t> </w:t>
      </w:r>
      <w:r>
        <w:rPr/>
        <w:t>índices</w:t>
      </w:r>
      <w:r>
        <w:rPr>
          <w:spacing w:val="-17"/>
        </w:rPr>
        <w:t> </w:t>
      </w:r>
      <w:r>
        <w:rPr/>
        <w:t>de</w:t>
      </w:r>
      <w:r>
        <w:rPr>
          <w:spacing w:val="-14"/>
        </w:rPr>
        <w:t> </w:t>
      </w:r>
      <w:r>
        <w:rPr/>
        <w:t>violencia</w:t>
      </w:r>
      <w:r>
        <w:rPr>
          <w:spacing w:val="-19"/>
        </w:rPr>
        <w:t> </w:t>
      </w:r>
      <w:r>
        <w:rPr/>
        <w:t>fueron</w:t>
      </w:r>
      <w:r>
        <w:rPr>
          <w:spacing w:val="-16"/>
        </w:rPr>
        <w:t> </w:t>
      </w:r>
      <w:r>
        <w:rPr/>
        <w:t>La</w:t>
      </w:r>
      <w:r>
        <w:rPr>
          <w:spacing w:val="-16"/>
        </w:rPr>
        <w:t> </w:t>
      </w:r>
      <w:r>
        <w:rPr/>
        <w:t>Paz,</w:t>
      </w:r>
      <w:r>
        <w:rPr>
          <w:spacing w:val="-14"/>
        </w:rPr>
        <w:t> </w:t>
      </w:r>
      <w:r>
        <w:rPr/>
        <w:t>Chicoloapan,</w:t>
      </w:r>
      <w:r>
        <w:rPr>
          <w:spacing w:val="-17"/>
        </w:rPr>
        <w:t> </w:t>
      </w:r>
      <w:r>
        <w:rPr/>
        <w:t>Ecatepec, Tlalnepantla, Cuautitlán Izcalli, y Los Reyes,. Por otra parte, el Departamento de Estado de Estados Unidos emitió una alerta de México: Coacalco, Ecatepec, Nezahualcóyotl, La Paz, Valle de Chalco, Solidaridad, Chalco e Ixtapaluca. Organizaciones civiles como el Observatorio Nacional denunciaron el incremento de la inseguridad y, en particular, de las actividades del crimen organizado en la entidad. Por otra parte, la comunidad empresarial también denunció la violencia y solicitó</w:t>
      </w:r>
      <w:r>
        <w:rPr>
          <w:spacing w:val="-5"/>
        </w:rPr>
        <w:t> </w:t>
      </w:r>
      <w:r>
        <w:rPr/>
        <w:t>a</w:t>
      </w:r>
      <w:r>
        <w:rPr>
          <w:spacing w:val="-5"/>
        </w:rPr>
        <w:t> </w:t>
      </w:r>
      <w:r>
        <w:rPr/>
        <w:t>las</w:t>
      </w:r>
      <w:r>
        <w:rPr>
          <w:spacing w:val="-5"/>
        </w:rPr>
        <w:t> </w:t>
      </w:r>
      <w:r>
        <w:rPr/>
        <w:t>autoridades</w:t>
      </w:r>
      <w:r>
        <w:rPr>
          <w:spacing w:val="-5"/>
        </w:rPr>
        <w:t> </w:t>
      </w:r>
      <w:r>
        <w:rPr/>
        <w:t>locales</w:t>
      </w:r>
      <w:r>
        <w:rPr>
          <w:spacing w:val="-7"/>
        </w:rPr>
        <w:t> </w:t>
      </w:r>
      <w:r>
        <w:rPr/>
        <w:t>que</w:t>
      </w:r>
      <w:r>
        <w:rPr>
          <w:spacing w:val="-5"/>
        </w:rPr>
        <w:t> </w:t>
      </w:r>
      <w:r>
        <w:rPr/>
        <w:t>reforzaran</w:t>
      </w:r>
      <w:r>
        <w:rPr>
          <w:spacing w:val="-4"/>
        </w:rPr>
        <w:t> </w:t>
      </w:r>
      <w:r>
        <w:rPr/>
        <w:t>la</w:t>
      </w:r>
      <w:r>
        <w:rPr>
          <w:spacing w:val="-7"/>
        </w:rPr>
        <w:t> </w:t>
      </w:r>
      <w:r>
        <w:rPr/>
        <w:t>seguridad</w:t>
      </w:r>
      <w:r>
        <w:rPr>
          <w:spacing w:val="-7"/>
        </w:rPr>
        <w:t> </w:t>
      </w:r>
      <w:r>
        <w:rPr/>
        <w:t>en</w:t>
      </w:r>
      <w:r>
        <w:rPr>
          <w:spacing w:val="-5"/>
        </w:rPr>
        <w:t> </w:t>
      </w:r>
      <w:r>
        <w:rPr/>
        <w:t>los</w:t>
      </w:r>
      <w:r>
        <w:rPr>
          <w:spacing w:val="-7"/>
        </w:rPr>
        <w:t> </w:t>
      </w:r>
      <w:r>
        <w:rPr/>
        <w:t>municipios</w:t>
      </w:r>
      <w:r>
        <w:rPr>
          <w:spacing w:val="-8"/>
        </w:rPr>
        <w:t> </w:t>
      </w:r>
      <w:r>
        <w:rPr/>
        <w:t>más afectados.</w:t>
      </w:r>
    </w:p>
    <w:p>
      <w:pPr>
        <w:pStyle w:val="BodyText"/>
        <w:spacing w:before="3"/>
        <w:rPr>
          <w:sz w:val="21"/>
        </w:rPr>
      </w:pPr>
    </w:p>
    <w:p>
      <w:pPr>
        <w:pStyle w:val="BodyText"/>
        <w:spacing w:line="360" w:lineRule="auto"/>
        <w:ind w:left="102" w:right="118"/>
        <w:jc w:val="both"/>
      </w:pPr>
      <w:r>
        <w:rPr/>
        <w:t>Funcionarios del Estado de México señalaron que la mayoría de municipios con altos</w:t>
      </w:r>
      <w:r>
        <w:rPr>
          <w:spacing w:val="-9"/>
        </w:rPr>
        <w:t> </w:t>
      </w:r>
      <w:r>
        <w:rPr/>
        <w:t>porcentajes</w:t>
      </w:r>
      <w:r>
        <w:rPr>
          <w:spacing w:val="-9"/>
        </w:rPr>
        <w:t> </w:t>
      </w:r>
      <w:r>
        <w:rPr/>
        <w:t>de</w:t>
      </w:r>
      <w:r>
        <w:rPr>
          <w:spacing w:val="-8"/>
        </w:rPr>
        <w:t> </w:t>
      </w:r>
      <w:r>
        <w:rPr/>
        <w:t>inseguridad</w:t>
      </w:r>
      <w:r>
        <w:rPr>
          <w:spacing w:val="-11"/>
        </w:rPr>
        <w:t> </w:t>
      </w:r>
      <w:r>
        <w:rPr/>
        <w:t>fueron</w:t>
      </w:r>
      <w:r>
        <w:rPr>
          <w:spacing w:val="-8"/>
        </w:rPr>
        <w:t> </w:t>
      </w:r>
      <w:r>
        <w:rPr/>
        <w:t>los</w:t>
      </w:r>
      <w:r>
        <w:rPr>
          <w:spacing w:val="-9"/>
        </w:rPr>
        <w:t> </w:t>
      </w:r>
      <w:r>
        <w:rPr/>
        <w:t>colindantes</w:t>
      </w:r>
      <w:r>
        <w:rPr>
          <w:spacing w:val="-9"/>
        </w:rPr>
        <w:t> </w:t>
      </w:r>
      <w:r>
        <w:rPr/>
        <w:t>con</w:t>
      </w:r>
      <w:r>
        <w:rPr>
          <w:spacing w:val="-8"/>
        </w:rPr>
        <w:t> </w:t>
      </w:r>
      <w:r>
        <w:rPr/>
        <w:t>el</w:t>
      </w:r>
      <w:r>
        <w:rPr>
          <w:spacing w:val="-10"/>
        </w:rPr>
        <w:t> </w:t>
      </w:r>
      <w:r>
        <w:rPr/>
        <w:t>Distrito</w:t>
      </w:r>
      <w:r>
        <w:rPr>
          <w:spacing w:val="-8"/>
        </w:rPr>
        <w:t> </w:t>
      </w:r>
      <w:r>
        <w:rPr/>
        <w:t>Federal</w:t>
      </w:r>
      <w:r>
        <w:rPr>
          <w:spacing w:val="-10"/>
        </w:rPr>
        <w:t> </w:t>
      </w:r>
      <w:r>
        <w:rPr/>
        <w:t>y</w:t>
      </w:r>
      <w:r>
        <w:rPr>
          <w:spacing w:val="-9"/>
        </w:rPr>
        <w:t> </w:t>
      </w:r>
      <w:r>
        <w:rPr/>
        <w:t>que pertenecen a la Zona Metropolitana, por lo que el Gobernador Eruviel Ávila señaló que el gobierno estatal aumentó el número y la frecuencia de los cursos de preparación para los policías de estos municipios. Además de esto, el Gobernador implementó un programa, similar al del Distrito Federal, para desarmar a los habitantes de la entidad. Sin embargo, el principal problema de inseguridad en la entidad fue el incremento de las actividades de grupos del crimen organizado, particularmente de los Caballeros Templarios, que aumentaron su presencia en Jalisco, Guanajuato y el Estado de México. Como resultado, el gobierno local reforzó la seguridad en los municipios fronterizos con estas</w:t>
      </w:r>
      <w:r>
        <w:rPr>
          <w:spacing w:val="-22"/>
        </w:rPr>
        <w:t> </w:t>
      </w:r>
      <w:r>
        <w:rPr/>
        <w:t>entidades.</w:t>
      </w:r>
    </w:p>
    <w:p>
      <w:pPr>
        <w:pStyle w:val="BodyText"/>
        <w:spacing w:before="1"/>
        <w:rPr>
          <w:sz w:val="21"/>
        </w:rPr>
      </w:pPr>
    </w:p>
    <w:p>
      <w:pPr>
        <w:pStyle w:val="BodyText"/>
        <w:spacing w:line="360" w:lineRule="auto"/>
        <w:ind w:left="102" w:right="118"/>
        <w:jc w:val="both"/>
      </w:pPr>
      <w:r>
        <w:rPr/>
        <w:t>Por otra parte, el Observatorio Nacional Ciudadano del Feminicidio, el Estado de México fue la entidad más peligrosa para las mujeres durante 2013 y Ecatepec fue el</w:t>
      </w:r>
      <w:r>
        <w:rPr>
          <w:spacing w:val="-10"/>
        </w:rPr>
        <w:t> </w:t>
      </w:r>
      <w:r>
        <w:rPr/>
        <w:t>municipio</w:t>
      </w:r>
      <w:r>
        <w:rPr>
          <w:spacing w:val="-9"/>
        </w:rPr>
        <w:t> </w:t>
      </w:r>
      <w:r>
        <w:rPr/>
        <w:t>con</w:t>
      </w:r>
      <w:r>
        <w:rPr>
          <w:spacing w:val="-11"/>
        </w:rPr>
        <w:t> </w:t>
      </w:r>
      <w:r>
        <w:rPr/>
        <w:t>más</w:t>
      </w:r>
      <w:r>
        <w:rPr>
          <w:spacing w:val="-12"/>
        </w:rPr>
        <w:t> </w:t>
      </w:r>
      <w:r>
        <w:rPr/>
        <w:t>feminicidios</w:t>
      </w:r>
      <w:r>
        <w:rPr>
          <w:spacing w:val="-9"/>
        </w:rPr>
        <w:t> </w:t>
      </w:r>
      <w:r>
        <w:rPr/>
        <w:t>en</w:t>
      </w:r>
      <w:r>
        <w:rPr>
          <w:spacing w:val="-8"/>
        </w:rPr>
        <w:t> </w:t>
      </w:r>
      <w:r>
        <w:rPr/>
        <w:t>la</w:t>
      </w:r>
      <w:r>
        <w:rPr>
          <w:spacing w:val="-5"/>
        </w:rPr>
        <w:t> </w:t>
      </w:r>
      <w:r>
        <w:rPr/>
        <w:t>entidad.</w:t>
      </w:r>
      <w:r>
        <w:rPr>
          <w:spacing w:val="-9"/>
        </w:rPr>
        <w:t> </w:t>
      </w:r>
      <w:r>
        <w:rPr/>
        <w:t>Esta</w:t>
      </w:r>
      <w:r>
        <w:rPr>
          <w:spacing w:val="-8"/>
        </w:rPr>
        <w:t> </w:t>
      </w:r>
      <w:r>
        <w:rPr/>
        <w:t>tendencia</w:t>
      </w:r>
      <w:r>
        <w:rPr>
          <w:spacing w:val="-9"/>
        </w:rPr>
        <w:t> </w:t>
      </w:r>
      <w:r>
        <w:rPr/>
        <w:t>ha</w:t>
      </w:r>
      <w:r>
        <w:rPr>
          <w:spacing w:val="-8"/>
        </w:rPr>
        <w:t> </w:t>
      </w:r>
      <w:r>
        <w:rPr/>
        <w:t>incrementado</w:t>
      </w:r>
      <w:r>
        <w:rPr>
          <w:spacing w:val="-8"/>
        </w:rPr>
        <w:t> </w:t>
      </w:r>
      <w:r>
        <w:rPr/>
        <w:t>en los</w:t>
      </w:r>
      <w:r>
        <w:rPr>
          <w:spacing w:val="37"/>
        </w:rPr>
        <w:t> </w:t>
      </w:r>
      <w:r>
        <w:rPr/>
        <w:t>últimos</w:t>
      </w:r>
      <w:r>
        <w:rPr>
          <w:spacing w:val="37"/>
        </w:rPr>
        <w:t> </w:t>
      </w:r>
      <w:r>
        <w:rPr/>
        <w:t>años</w:t>
      </w:r>
      <w:r>
        <w:rPr>
          <w:spacing w:val="37"/>
        </w:rPr>
        <w:t> </w:t>
      </w:r>
      <w:r>
        <w:rPr/>
        <w:t>y,</w:t>
      </w:r>
      <w:r>
        <w:rPr>
          <w:spacing w:val="37"/>
        </w:rPr>
        <w:t> </w:t>
      </w:r>
      <w:r>
        <w:rPr/>
        <w:t>en</w:t>
      </w:r>
      <w:r>
        <w:rPr>
          <w:spacing w:val="37"/>
        </w:rPr>
        <w:t> </w:t>
      </w:r>
      <w:r>
        <w:rPr/>
        <w:t>2013,</w:t>
      </w:r>
      <w:r>
        <w:rPr>
          <w:spacing w:val="37"/>
        </w:rPr>
        <w:t> </w:t>
      </w:r>
      <w:r>
        <w:rPr/>
        <w:t>organizaciones</w:t>
      </w:r>
      <w:r>
        <w:rPr>
          <w:spacing w:val="37"/>
        </w:rPr>
        <w:t> </w:t>
      </w:r>
      <w:r>
        <w:rPr/>
        <w:t>civiles</w:t>
      </w:r>
      <w:r>
        <w:rPr>
          <w:spacing w:val="37"/>
        </w:rPr>
        <w:t> </w:t>
      </w:r>
      <w:r>
        <w:rPr/>
        <w:t>solicitaron</w:t>
      </w:r>
      <w:r>
        <w:rPr>
          <w:spacing w:val="37"/>
        </w:rPr>
        <w:t> </w:t>
      </w:r>
      <w:r>
        <w:rPr/>
        <w:t>a</w:t>
      </w:r>
      <w:r>
        <w:rPr>
          <w:spacing w:val="37"/>
        </w:rPr>
        <w:t> </w:t>
      </w:r>
      <w:r>
        <w:rPr/>
        <w:t>la</w:t>
      </w:r>
      <w:r>
        <w:rPr>
          <w:spacing w:val="37"/>
        </w:rPr>
        <w:t> </w:t>
      </w:r>
      <w:r>
        <w:rPr/>
        <w:t>SEGOB</w:t>
      </w:r>
      <w:r>
        <w:rPr>
          <w:spacing w:val="37"/>
        </w:rPr>
        <w:t> </w:t>
      </w:r>
      <w:r>
        <w:rPr/>
        <w:t>que</w:t>
      </w:r>
    </w:p>
    <w:p>
      <w:pPr>
        <w:spacing w:after="0" w:line="360" w:lineRule="auto"/>
        <w:jc w:val="both"/>
        <w:sectPr>
          <w:pgSz w:w="12240" w:h="15840"/>
          <w:pgMar w:header="0" w:footer="992" w:top="1360" w:bottom="1180" w:left="1600" w:right="1580"/>
        </w:sectPr>
      </w:pPr>
    </w:p>
    <w:p>
      <w:pPr>
        <w:pStyle w:val="BodyText"/>
        <w:spacing w:line="360" w:lineRule="auto" w:before="54"/>
        <w:ind w:left="102" w:right="117"/>
        <w:jc w:val="both"/>
      </w:pPr>
      <w:r>
        <w:rPr/>
        <w:t>emitiera una alerta de género en el Estado de México, que concentró alrededor de 20</w:t>
      </w:r>
      <w:r>
        <w:rPr>
          <w:spacing w:val="-11"/>
        </w:rPr>
        <w:t> </w:t>
      </w:r>
      <w:r>
        <w:rPr/>
        <w:t>por</w:t>
      </w:r>
      <w:r>
        <w:rPr>
          <w:spacing w:val="-10"/>
        </w:rPr>
        <w:t> </w:t>
      </w:r>
      <w:r>
        <w:rPr/>
        <w:t>ciento</w:t>
      </w:r>
      <w:r>
        <w:rPr>
          <w:spacing w:val="-10"/>
        </w:rPr>
        <w:t> </w:t>
      </w:r>
      <w:r>
        <w:rPr/>
        <w:t>del</w:t>
      </w:r>
      <w:r>
        <w:rPr>
          <w:spacing w:val="-12"/>
        </w:rPr>
        <w:t> </w:t>
      </w:r>
      <w:r>
        <w:rPr/>
        <w:t>total</w:t>
      </w:r>
      <w:r>
        <w:rPr>
          <w:spacing w:val="-12"/>
        </w:rPr>
        <w:t> </w:t>
      </w:r>
      <w:r>
        <w:rPr/>
        <w:t>de</w:t>
      </w:r>
      <w:r>
        <w:rPr>
          <w:spacing w:val="-11"/>
        </w:rPr>
        <w:t> </w:t>
      </w:r>
      <w:r>
        <w:rPr/>
        <w:t>feminicidios</w:t>
      </w:r>
      <w:r>
        <w:rPr>
          <w:spacing w:val="-12"/>
        </w:rPr>
        <w:t> </w:t>
      </w:r>
      <w:r>
        <w:rPr/>
        <w:t>en</w:t>
      </w:r>
      <w:r>
        <w:rPr>
          <w:spacing w:val="-8"/>
        </w:rPr>
        <w:t> </w:t>
      </w:r>
      <w:r>
        <w:rPr/>
        <w:t>2013.</w:t>
      </w:r>
      <w:r>
        <w:rPr>
          <w:spacing w:val="-11"/>
        </w:rPr>
        <w:t> </w:t>
      </w:r>
      <w:r>
        <w:rPr/>
        <w:t>Sin</w:t>
      </w:r>
      <w:r>
        <w:rPr>
          <w:spacing w:val="-11"/>
        </w:rPr>
        <w:t> </w:t>
      </w:r>
      <w:r>
        <w:rPr/>
        <w:t>embargo,</w:t>
      </w:r>
      <w:r>
        <w:rPr>
          <w:spacing w:val="-9"/>
        </w:rPr>
        <w:t> </w:t>
      </w:r>
      <w:r>
        <w:rPr/>
        <w:t>la</w:t>
      </w:r>
      <w:r>
        <w:rPr>
          <w:spacing w:val="-8"/>
        </w:rPr>
        <w:t> </w:t>
      </w:r>
      <w:r>
        <w:rPr/>
        <w:t>dependencia</w:t>
      </w:r>
      <w:r>
        <w:rPr>
          <w:spacing w:val="-13"/>
        </w:rPr>
        <w:t> </w:t>
      </w:r>
      <w:r>
        <w:rPr/>
        <w:t>federal se negó a emitir la alerta. Debido al incremento de </w:t>
      </w:r>
      <w:r>
        <w:rPr>
          <w:spacing w:val="3"/>
        </w:rPr>
        <w:t>la </w:t>
      </w:r>
      <w:r>
        <w:rPr/>
        <w:t>inseguridad en su municipio, habitantes de Ecatepec se organizaron en el movimiento Otro Ecatepec para protestar</w:t>
      </w:r>
      <w:r>
        <w:rPr>
          <w:spacing w:val="-7"/>
        </w:rPr>
        <w:t> </w:t>
      </w:r>
      <w:r>
        <w:rPr/>
        <w:t>contra</w:t>
      </w:r>
      <w:r>
        <w:rPr>
          <w:spacing w:val="-6"/>
        </w:rPr>
        <w:t> </w:t>
      </w:r>
      <w:r>
        <w:rPr/>
        <w:t>el</w:t>
      </w:r>
      <w:r>
        <w:rPr>
          <w:spacing w:val="-7"/>
        </w:rPr>
        <w:t> </w:t>
      </w:r>
      <w:r>
        <w:rPr/>
        <w:t>incremento</w:t>
      </w:r>
      <w:r>
        <w:rPr>
          <w:spacing w:val="-8"/>
        </w:rPr>
        <w:t> </w:t>
      </w:r>
      <w:r>
        <w:rPr/>
        <w:t>de</w:t>
      </w:r>
      <w:r>
        <w:rPr>
          <w:spacing w:val="-6"/>
        </w:rPr>
        <w:t> </w:t>
      </w:r>
      <w:r>
        <w:rPr/>
        <w:t>la</w:t>
      </w:r>
      <w:r>
        <w:rPr>
          <w:spacing w:val="-6"/>
        </w:rPr>
        <w:t> </w:t>
      </w:r>
      <w:r>
        <w:rPr/>
        <w:t>violencia</w:t>
      </w:r>
      <w:r>
        <w:rPr>
          <w:spacing w:val="-9"/>
        </w:rPr>
        <w:t> </w:t>
      </w:r>
      <w:r>
        <w:rPr/>
        <w:t>y</w:t>
      </w:r>
      <w:r>
        <w:rPr>
          <w:spacing w:val="-9"/>
        </w:rPr>
        <w:t> </w:t>
      </w:r>
      <w:r>
        <w:rPr/>
        <w:t>exigir</w:t>
      </w:r>
      <w:r>
        <w:rPr>
          <w:spacing w:val="-7"/>
        </w:rPr>
        <w:t> </w:t>
      </w:r>
      <w:r>
        <w:rPr/>
        <w:t>al</w:t>
      </w:r>
      <w:r>
        <w:rPr>
          <w:spacing w:val="-7"/>
        </w:rPr>
        <w:t> </w:t>
      </w:r>
      <w:r>
        <w:rPr/>
        <w:t>gobierno</w:t>
      </w:r>
      <w:r>
        <w:rPr>
          <w:spacing w:val="-6"/>
        </w:rPr>
        <w:t> </w:t>
      </w:r>
      <w:r>
        <w:rPr/>
        <w:t>municipal</w:t>
      </w:r>
      <w:r>
        <w:rPr>
          <w:spacing w:val="-7"/>
        </w:rPr>
        <w:t> </w:t>
      </w:r>
      <w:r>
        <w:rPr/>
        <w:t>y</w:t>
      </w:r>
      <w:r>
        <w:rPr>
          <w:spacing w:val="-9"/>
        </w:rPr>
        <w:t> </w:t>
      </w:r>
      <w:r>
        <w:rPr/>
        <w:t>estatal su intervención para garantizar la seguridad pública y de procuración de justicia estatal y</w:t>
      </w:r>
      <w:r>
        <w:rPr>
          <w:spacing w:val="-7"/>
        </w:rPr>
        <w:t> </w:t>
      </w:r>
      <w:r>
        <w:rPr/>
        <w:t>municipal.</w:t>
      </w:r>
    </w:p>
    <w:p>
      <w:pPr>
        <w:pStyle w:val="BodyText"/>
        <w:spacing w:before="3"/>
        <w:rPr>
          <w:sz w:val="21"/>
        </w:rPr>
      </w:pPr>
    </w:p>
    <w:p>
      <w:pPr>
        <w:pStyle w:val="BodyText"/>
        <w:spacing w:line="360" w:lineRule="auto"/>
        <w:ind w:left="102" w:right="114"/>
        <w:jc w:val="both"/>
      </w:pPr>
      <w:r>
        <w:rPr/>
        <w:t>Entre las principales manifestaciones sociales, destacó la movilización de pro- testantes que marcharon frente a dependencia federales en el Distrito Federal estatal para delimitar los derechos a manifestarse públicamente de los ciudadanos del Estado de México. Sin embargo, funcionarios estatales y autoridades federales negaron que hubiera pruebas de estas iniciativas </w:t>
      </w:r>
      <w:r>
        <w:rPr>
          <w:spacing w:val="3"/>
        </w:rPr>
        <w:t>en </w:t>
      </w:r>
      <w:r>
        <w:rPr/>
        <w:t>el estado. Por otro lado, el gobernador propuso a los legisladores locales una iniciativa para redistribuir la jurisdicción municipal de siete de los dieciocho distritos judiciales, pues señaló que la</w:t>
      </w:r>
      <w:r>
        <w:rPr>
          <w:spacing w:val="-10"/>
        </w:rPr>
        <w:t> </w:t>
      </w:r>
      <w:r>
        <w:rPr/>
        <w:t>distribución</w:t>
      </w:r>
      <w:r>
        <w:rPr>
          <w:spacing w:val="-9"/>
        </w:rPr>
        <w:t> </w:t>
      </w:r>
      <w:r>
        <w:rPr/>
        <w:t>actual</w:t>
      </w:r>
      <w:r>
        <w:rPr>
          <w:spacing w:val="-11"/>
        </w:rPr>
        <w:t> </w:t>
      </w:r>
      <w:r>
        <w:rPr/>
        <w:t>concentraba</w:t>
      </w:r>
      <w:r>
        <w:rPr>
          <w:spacing w:val="-9"/>
        </w:rPr>
        <w:t> </w:t>
      </w:r>
      <w:r>
        <w:rPr/>
        <w:t>demasiado</w:t>
      </w:r>
      <w:r>
        <w:rPr>
          <w:spacing w:val="-12"/>
        </w:rPr>
        <w:t> </w:t>
      </w:r>
      <w:r>
        <w:rPr/>
        <w:t>la</w:t>
      </w:r>
      <w:r>
        <w:rPr>
          <w:spacing w:val="-10"/>
        </w:rPr>
        <w:t> </w:t>
      </w:r>
      <w:r>
        <w:rPr/>
        <w:t>demanda</w:t>
      </w:r>
      <w:r>
        <w:rPr>
          <w:spacing w:val="-9"/>
        </w:rPr>
        <w:t> </w:t>
      </w:r>
      <w:r>
        <w:rPr/>
        <w:t>por</w:t>
      </w:r>
      <w:r>
        <w:rPr>
          <w:spacing w:val="-11"/>
        </w:rPr>
        <w:t> </w:t>
      </w:r>
      <w:r>
        <w:rPr/>
        <w:t>impartición</w:t>
      </w:r>
      <w:r>
        <w:rPr>
          <w:spacing w:val="-9"/>
        </w:rPr>
        <w:t> </w:t>
      </w:r>
      <w:r>
        <w:rPr/>
        <w:t>de</w:t>
      </w:r>
      <w:r>
        <w:rPr>
          <w:spacing w:val="-9"/>
        </w:rPr>
        <w:t> </w:t>
      </w:r>
      <w:r>
        <w:rPr/>
        <w:t>justicia en algunos distritos judiciales. La propuesta también con las instancias de justicia de su distrito judicial inhibe el uso de estas instancias entre los</w:t>
      </w:r>
      <w:r>
        <w:rPr>
          <w:spacing w:val="-26"/>
        </w:rPr>
        <w:t> </w:t>
      </w:r>
      <w:r>
        <w:rPr/>
        <w:t>ciudadanos.</w:t>
      </w:r>
    </w:p>
    <w:p>
      <w:pPr>
        <w:pStyle w:val="BodyText"/>
        <w:spacing w:before="3"/>
        <w:rPr>
          <w:sz w:val="21"/>
        </w:rPr>
      </w:pPr>
    </w:p>
    <w:p>
      <w:pPr>
        <w:pStyle w:val="BodyText"/>
        <w:spacing w:line="360" w:lineRule="auto"/>
        <w:ind w:left="102" w:right="118"/>
        <w:jc w:val="both"/>
      </w:pPr>
      <w:r>
        <w:rPr/>
        <w:t>Respecto a la transparencia en el Estado de México, dio como resultados: en la variables normatividad, el Estado de México obtuvo 0.69, debajo del 0.76 del promedio</w:t>
      </w:r>
      <w:r>
        <w:rPr>
          <w:spacing w:val="-16"/>
        </w:rPr>
        <w:t> </w:t>
      </w:r>
      <w:r>
        <w:rPr/>
        <w:t>nacional;</w:t>
      </w:r>
      <w:r>
        <w:rPr>
          <w:spacing w:val="-16"/>
        </w:rPr>
        <w:t> </w:t>
      </w:r>
      <w:r>
        <w:rPr/>
        <w:t>en</w:t>
      </w:r>
      <w:r>
        <w:rPr>
          <w:spacing w:val="-16"/>
        </w:rPr>
        <w:t> </w:t>
      </w:r>
      <w:r>
        <w:rPr/>
        <w:t>portales,</w:t>
      </w:r>
      <w:r>
        <w:rPr>
          <w:spacing w:val="-15"/>
        </w:rPr>
        <w:t> </w:t>
      </w:r>
      <w:r>
        <w:rPr/>
        <w:t>obtuvo</w:t>
      </w:r>
      <w:r>
        <w:rPr>
          <w:spacing w:val="-16"/>
        </w:rPr>
        <w:t> </w:t>
      </w:r>
      <w:r>
        <w:rPr/>
        <w:t>0.82,</w:t>
      </w:r>
      <w:r>
        <w:rPr>
          <w:spacing w:val="-16"/>
        </w:rPr>
        <w:t> </w:t>
      </w:r>
      <w:r>
        <w:rPr/>
        <w:t>encima</w:t>
      </w:r>
      <w:r>
        <w:rPr>
          <w:spacing w:val="-16"/>
        </w:rPr>
        <w:t> </w:t>
      </w:r>
      <w:r>
        <w:rPr/>
        <w:t>del</w:t>
      </w:r>
      <w:r>
        <w:rPr>
          <w:spacing w:val="-17"/>
        </w:rPr>
        <w:t> </w:t>
      </w:r>
      <w:r>
        <w:rPr/>
        <w:t>0.78</w:t>
      </w:r>
      <w:r>
        <w:rPr>
          <w:spacing w:val="-16"/>
        </w:rPr>
        <w:t> </w:t>
      </w:r>
      <w:r>
        <w:rPr/>
        <w:t>del</w:t>
      </w:r>
      <w:r>
        <w:rPr>
          <w:spacing w:val="-17"/>
        </w:rPr>
        <w:t> </w:t>
      </w:r>
      <w:r>
        <w:rPr/>
        <w:t>promedio</w:t>
      </w:r>
      <w:r>
        <w:rPr>
          <w:spacing w:val="-16"/>
        </w:rPr>
        <w:t> </w:t>
      </w:r>
      <w:r>
        <w:rPr/>
        <w:t>nacional; en usuario simulado evaluación del proceso de respuesta de una institución gubernamental a una solicitud de información ciudadana-, obtuvo 0.93, encima</w:t>
      </w:r>
      <w:r>
        <w:rPr>
          <w:spacing w:val="26"/>
        </w:rPr>
        <w:t> </w:t>
      </w:r>
      <w:r>
        <w:rPr/>
        <w:t>del</w:t>
      </w:r>
    </w:p>
    <w:p>
      <w:pPr>
        <w:pStyle w:val="BodyText"/>
        <w:spacing w:line="360" w:lineRule="auto" w:before="2"/>
        <w:ind w:left="102" w:right="116"/>
        <w:jc w:val="both"/>
      </w:pPr>
      <w:r>
        <w:rPr/>
        <w:t>0.82 del promedio nacional; y en capacidades institucionales obtuvo 0.81, encima del 0.57 de la media nacional.</w:t>
      </w:r>
    </w:p>
    <w:p>
      <w:pPr>
        <w:pStyle w:val="BodyText"/>
        <w:spacing w:before="1"/>
        <w:rPr>
          <w:sz w:val="21"/>
        </w:rPr>
      </w:pPr>
    </w:p>
    <w:p>
      <w:pPr>
        <w:pStyle w:val="BodyText"/>
        <w:spacing w:line="360" w:lineRule="auto" w:before="1"/>
        <w:ind w:left="102" w:right="122"/>
        <w:jc w:val="both"/>
      </w:pPr>
      <w:r>
        <w:rPr/>
        <w:t>Según</w:t>
      </w:r>
      <w:r>
        <w:rPr>
          <w:spacing w:val="-8"/>
        </w:rPr>
        <w:t> </w:t>
      </w:r>
      <w:r>
        <w:rPr/>
        <w:t>estimaciones</w:t>
      </w:r>
      <w:r>
        <w:rPr>
          <w:spacing w:val="-9"/>
        </w:rPr>
        <w:t> </w:t>
      </w:r>
      <w:r>
        <w:rPr/>
        <w:t>de</w:t>
      </w:r>
      <w:r>
        <w:rPr>
          <w:spacing w:val="-6"/>
        </w:rPr>
        <w:t> </w:t>
      </w:r>
      <w:r>
        <w:rPr/>
        <w:t>Banamex</w:t>
      </w:r>
      <w:r>
        <w:rPr>
          <w:spacing w:val="-9"/>
        </w:rPr>
        <w:t> </w:t>
      </w:r>
      <w:r>
        <w:rPr/>
        <w:t>con</w:t>
      </w:r>
      <w:r>
        <w:rPr>
          <w:spacing w:val="-6"/>
        </w:rPr>
        <w:t> </w:t>
      </w:r>
      <w:r>
        <w:rPr/>
        <w:t>cifras</w:t>
      </w:r>
      <w:r>
        <w:rPr>
          <w:spacing w:val="-11"/>
        </w:rPr>
        <w:t> </w:t>
      </w:r>
      <w:r>
        <w:rPr/>
        <w:t>del</w:t>
      </w:r>
      <w:r>
        <w:rPr>
          <w:spacing w:val="-7"/>
        </w:rPr>
        <w:t> </w:t>
      </w:r>
      <w:r>
        <w:rPr/>
        <w:t>INEGI,</w:t>
      </w:r>
      <w:r>
        <w:rPr>
          <w:spacing w:val="-9"/>
        </w:rPr>
        <w:t> </w:t>
      </w:r>
      <w:r>
        <w:rPr/>
        <w:t>el</w:t>
      </w:r>
      <w:r>
        <w:rPr>
          <w:spacing w:val="-10"/>
        </w:rPr>
        <w:t> </w:t>
      </w:r>
      <w:r>
        <w:rPr/>
        <w:t>PIB</w:t>
      </w:r>
      <w:r>
        <w:rPr>
          <w:spacing w:val="-8"/>
        </w:rPr>
        <w:t> </w:t>
      </w:r>
      <w:r>
        <w:rPr/>
        <w:t>del</w:t>
      </w:r>
      <w:r>
        <w:rPr>
          <w:spacing w:val="-10"/>
        </w:rPr>
        <w:t> </w:t>
      </w:r>
      <w:r>
        <w:rPr/>
        <w:t>Estado</w:t>
      </w:r>
      <w:r>
        <w:rPr>
          <w:spacing w:val="-8"/>
        </w:rPr>
        <w:t> </w:t>
      </w:r>
      <w:r>
        <w:rPr/>
        <w:t>de</w:t>
      </w:r>
      <w:r>
        <w:rPr>
          <w:spacing w:val="-6"/>
        </w:rPr>
        <w:t> </w:t>
      </w:r>
      <w:r>
        <w:rPr/>
        <w:t>México creció el 2% durante el año 2013; esto es, un 1.5% menos que en 2012 y 2.2% menos</w:t>
      </w:r>
      <w:r>
        <w:rPr>
          <w:spacing w:val="-10"/>
        </w:rPr>
        <w:t> </w:t>
      </w:r>
      <w:r>
        <w:rPr/>
        <w:t>que</w:t>
      </w:r>
      <w:r>
        <w:rPr>
          <w:spacing w:val="-10"/>
        </w:rPr>
        <w:t> </w:t>
      </w:r>
      <w:r>
        <w:rPr/>
        <w:t>en</w:t>
      </w:r>
      <w:r>
        <w:rPr>
          <w:spacing w:val="-11"/>
        </w:rPr>
        <w:t> </w:t>
      </w:r>
      <w:r>
        <w:rPr/>
        <w:t>2011.</w:t>
      </w:r>
      <w:r>
        <w:rPr>
          <w:spacing w:val="-10"/>
        </w:rPr>
        <w:t> </w:t>
      </w:r>
      <w:r>
        <w:rPr/>
        <w:t>Mientras</w:t>
      </w:r>
      <w:r>
        <w:rPr>
          <w:spacing w:val="-10"/>
        </w:rPr>
        <w:t> </w:t>
      </w:r>
      <w:r>
        <w:rPr/>
        <w:t>la</w:t>
      </w:r>
      <w:r>
        <w:rPr>
          <w:spacing w:val="-10"/>
        </w:rPr>
        <w:t> </w:t>
      </w:r>
      <w:r>
        <w:rPr/>
        <w:t>inversión</w:t>
      </w:r>
      <w:r>
        <w:rPr>
          <w:spacing w:val="-9"/>
        </w:rPr>
        <w:t> </w:t>
      </w:r>
      <w:r>
        <w:rPr/>
        <w:t>extranjera</w:t>
      </w:r>
      <w:r>
        <w:rPr>
          <w:spacing w:val="-11"/>
        </w:rPr>
        <w:t> </w:t>
      </w:r>
      <w:r>
        <w:rPr/>
        <w:t>directa</w:t>
      </w:r>
      <w:r>
        <w:rPr>
          <w:spacing w:val="-10"/>
        </w:rPr>
        <w:t> </w:t>
      </w:r>
      <w:r>
        <w:rPr/>
        <w:t>fue</w:t>
      </w:r>
      <w:r>
        <w:rPr>
          <w:spacing w:val="-11"/>
        </w:rPr>
        <w:t> </w:t>
      </w:r>
      <w:r>
        <w:rPr/>
        <w:t>de</w:t>
      </w:r>
      <w:r>
        <w:rPr>
          <w:spacing w:val="-11"/>
        </w:rPr>
        <w:t> </w:t>
      </w:r>
      <w:r>
        <w:rPr/>
        <w:t>1,02.25</w:t>
      </w:r>
      <w:r>
        <w:rPr>
          <w:spacing w:val="-11"/>
        </w:rPr>
        <w:t> </w:t>
      </w:r>
      <w:r>
        <w:rPr/>
        <w:t>millones de dólares (2.9% del total de México), el salario promedio por día fue de $266.5 pesos mexicanos. El municipio de Tlalnepantla de Baz, único de la entidad que analizan</w:t>
      </w:r>
      <w:r>
        <w:rPr>
          <w:spacing w:val="23"/>
        </w:rPr>
        <w:t> </w:t>
      </w:r>
      <w:r>
        <w:rPr/>
        <w:t>en</w:t>
      </w:r>
      <w:r>
        <w:rPr>
          <w:spacing w:val="20"/>
        </w:rPr>
        <w:t> </w:t>
      </w:r>
      <w:r>
        <w:rPr/>
        <w:t>el</w:t>
      </w:r>
      <w:r>
        <w:rPr>
          <w:spacing w:val="21"/>
        </w:rPr>
        <w:t> </w:t>
      </w:r>
      <w:r>
        <w:rPr/>
        <w:t>informe,</w:t>
      </w:r>
      <w:r>
        <w:rPr>
          <w:spacing w:val="22"/>
        </w:rPr>
        <w:t> </w:t>
      </w:r>
      <w:r>
        <w:rPr/>
        <w:t>ocupó</w:t>
      </w:r>
      <w:r>
        <w:rPr>
          <w:spacing w:val="20"/>
        </w:rPr>
        <w:t> </w:t>
      </w:r>
      <w:r>
        <w:rPr/>
        <w:t>el</w:t>
      </w:r>
      <w:r>
        <w:rPr>
          <w:spacing w:val="19"/>
        </w:rPr>
        <w:t> </w:t>
      </w:r>
      <w:r>
        <w:rPr/>
        <w:t>noveno</w:t>
      </w:r>
      <w:r>
        <w:rPr>
          <w:spacing w:val="20"/>
        </w:rPr>
        <w:t> </w:t>
      </w:r>
      <w:r>
        <w:rPr/>
        <w:t>lugar</w:t>
      </w:r>
      <w:r>
        <w:rPr>
          <w:spacing w:val="21"/>
        </w:rPr>
        <w:t> </w:t>
      </w:r>
      <w:r>
        <w:rPr/>
        <w:t>en</w:t>
      </w:r>
      <w:r>
        <w:rPr>
          <w:spacing w:val="20"/>
        </w:rPr>
        <w:t> </w:t>
      </w:r>
      <w:r>
        <w:rPr/>
        <w:t>el</w:t>
      </w:r>
      <w:r>
        <w:rPr>
          <w:spacing w:val="19"/>
        </w:rPr>
        <w:t> </w:t>
      </w:r>
      <w:r>
        <w:rPr/>
        <w:t>índice</w:t>
      </w:r>
      <w:r>
        <w:rPr>
          <w:spacing w:val="20"/>
        </w:rPr>
        <w:t> </w:t>
      </w:r>
      <w:r>
        <w:rPr/>
        <w:t>de</w:t>
      </w:r>
      <w:r>
        <w:rPr>
          <w:spacing w:val="20"/>
        </w:rPr>
        <w:t> </w:t>
      </w:r>
      <w:r>
        <w:rPr/>
        <w:t>facilidad</w:t>
      </w:r>
      <w:r>
        <w:rPr>
          <w:spacing w:val="20"/>
        </w:rPr>
        <w:t> </w:t>
      </w:r>
      <w:r>
        <w:rPr/>
        <w:t>para</w:t>
      </w:r>
      <w:r>
        <w:rPr>
          <w:spacing w:val="20"/>
        </w:rPr>
        <w:t> </w:t>
      </w:r>
      <w:r>
        <w:rPr/>
        <w:t>abrir</w:t>
      </w:r>
    </w:p>
    <w:p>
      <w:pPr>
        <w:spacing w:after="0" w:line="360" w:lineRule="auto"/>
        <w:jc w:val="both"/>
        <w:sectPr>
          <w:pgSz w:w="12240" w:h="15840"/>
          <w:pgMar w:header="0" w:footer="992" w:top="1360" w:bottom="1180" w:left="1600" w:right="1580"/>
        </w:sectPr>
      </w:pPr>
    </w:p>
    <w:p>
      <w:pPr>
        <w:pStyle w:val="BodyText"/>
        <w:spacing w:before="54"/>
        <w:ind w:left="102"/>
        <w:jc w:val="both"/>
      </w:pPr>
      <w:r>
        <w:rPr/>
        <w:t>negocios.</w:t>
      </w:r>
    </w:p>
    <w:p>
      <w:pPr>
        <w:pStyle w:val="BodyText"/>
        <w:rPr>
          <w:sz w:val="33"/>
        </w:rPr>
      </w:pPr>
    </w:p>
    <w:p>
      <w:pPr>
        <w:pStyle w:val="BodyText"/>
        <w:spacing w:line="360" w:lineRule="auto"/>
        <w:ind w:left="102" w:right="115"/>
        <w:jc w:val="both"/>
      </w:pPr>
      <w:r>
        <w:rPr/>
        <w:t>El empleo en el Estado de México representó el 13.8% de la población ocupada</w:t>
      </w:r>
      <w:r>
        <w:rPr>
          <w:spacing w:val="-34"/>
        </w:rPr>
        <w:t> </w:t>
      </w:r>
      <w:r>
        <w:rPr/>
        <w:t>en todo el país durante 2013, de la cual la mayor parte estuvo en la industria manufacturera, en la industria de la construcción, en el comercio y en la industria del transporte, las comunicaciones y el almacenamiento. El número de empleados en el Estado de México en el último semestre de 2012 fue de </w:t>
      </w:r>
      <w:r>
        <w:rPr>
          <w:spacing w:val="5"/>
        </w:rPr>
        <w:t>6, </w:t>
      </w:r>
      <w:r>
        <w:rPr/>
        <w:t>430,695; mientras en el mismo trimestre del 2013 fue de </w:t>
      </w:r>
      <w:r>
        <w:rPr>
          <w:spacing w:val="3"/>
        </w:rPr>
        <w:t>6, </w:t>
      </w:r>
      <w:r>
        <w:rPr/>
        <w:t>952,279; esto es, un incremento de alrededor</w:t>
      </w:r>
      <w:r>
        <w:rPr>
          <w:spacing w:val="-15"/>
        </w:rPr>
        <w:t> </w:t>
      </w:r>
      <w:r>
        <w:rPr/>
        <w:t>del</w:t>
      </w:r>
      <w:r>
        <w:rPr>
          <w:spacing w:val="-14"/>
        </w:rPr>
        <w:t> </w:t>
      </w:r>
      <w:r>
        <w:rPr/>
        <w:t>8%.</w:t>
      </w:r>
      <w:r>
        <w:rPr>
          <w:spacing w:val="-13"/>
        </w:rPr>
        <w:t> </w:t>
      </w:r>
      <w:r>
        <w:rPr/>
        <w:t>En</w:t>
      </w:r>
      <w:r>
        <w:rPr>
          <w:spacing w:val="-16"/>
        </w:rPr>
        <w:t> </w:t>
      </w:r>
      <w:r>
        <w:rPr/>
        <w:t>marzo</w:t>
      </w:r>
      <w:r>
        <w:rPr>
          <w:spacing w:val="-13"/>
        </w:rPr>
        <w:t> </w:t>
      </w:r>
      <w:r>
        <w:rPr/>
        <w:t>de</w:t>
      </w:r>
      <w:r>
        <w:rPr>
          <w:spacing w:val="-13"/>
        </w:rPr>
        <w:t> </w:t>
      </w:r>
      <w:r>
        <w:rPr/>
        <w:t>2013,</w:t>
      </w:r>
      <w:r>
        <w:rPr>
          <w:spacing w:val="-13"/>
        </w:rPr>
        <w:t> </w:t>
      </w:r>
      <w:r>
        <w:rPr/>
        <w:t>la</w:t>
      </w:r>
      <w:r>
        <w:rPr>
          <w:spacing w:val="-13"/>
        </w:rPr>
        <w:t> </w:t>
      </w:r>
      <w:r>
        <w:rPr/>
        <w:t>tasa</w:t>
      </w:r>
      <w:r>
        <w:rPr>
          <w:spacing w:val="-16"/>
        </w:rPr>
        <w:t> </w:t>
      </w:r>
      <w:r>
        <w:rPr/>
        <w:t>de</w:t>
      </w:r>
      <w:r>
        <w:rPr>
          <w:spacing w:val="-13"/>
        </w:rPr>
        <w:t> </w:t>
      </w:r>
      <w:r>
        <w:rPr/>
        <w:t>desocupación</w:t>
      </w:r>
      <w:r>
        <w:rPr>
          <w:spacing w:val="-15"/>
        </w:rPr>
        <w:t> </w:t>
      </w:r>
      <w:r>
        <w:rPr/>
        <w:t>del</w:t>
      </w:r>
      <w:r>
        <w:rPr>
          <w:spacing w:val="-14"/>
        </w:rPr>
        <w:t> </w:t>
      </w:r>
      <w:r>
        <w:rPr/>
        <w:t>Estado</w:t>
      </w:r>
      <w:r>
        <w:rPr>
          <w:spacing w:val="-16"/>
        </w:rPr>
        <w:t> </w:t>
      </w:r>
      <w:r>
        <w:rPr/>
        <w:t>de</w:t>
      </w:r>
      <w:r>
        <w:rPr>
          <w:spacing w:val="-13"/>
        </w:rPr>
        <w:t> </w:t>
      </w:r>
      <w:r>
        <w:rPr/>
        <w:t>México fue de 5.9%, mientras la misma tasa fue de 6.5% en marzo de</w:t>
      </w:r>
      <w:r>
        <w:rPr>
          <w:spacing w:val="-25"/>
        </w:rPr>
        <w:t> </w:t>
      </w:r>
      <w:r>
        <w:rPr/>
        <w:t>2014.</w:t>
      </w:r>
    </w:p>
    <w:p>
      <w:pPr>
        <w:pStyle w:val="BodyText"/>
        <w:spacing w:before="3"/>
        <w:rPr>
          <w:sz w:val="21"/>
        </w:rPr>
      </w:pPr>
    </w:p>
    <w:p>
      <w:pPr>
        <w:pStyle w:val="BodyText"/>
        <w:spacing w:line="360" w:lineRule="auto"/>
        <w:ind w:left="102" w:right="116"/>
        <w:jc w:val="both"/>
      </w:pPr>
      <w:r>
        <w:rPr/>
        <w:t>En cuanto a las inversiones, el Estado de México rebasó su meta inicial </w:t>
      </w:r>
      <w:r>
        <w:rPr>
          <w:spacing w:val="2"/>
        </w:rPr>
        <w:t>para </w:t>
      </w:r>
      <w:r>
        <w:rPr/>
        <w:t>2013 con más de 1,400 millones de dólares </w:t>
      </w:r>
      <w:r>
        <w:rPr>
          <w:spacing w:val="3"/>
        </w:rPr>
        <w:t>en </w:t>
      </w:r>
      <w:r>
        <w:rPr/>
        <w:t>inversión extranjera y nacional. La vasta mayoría de esta inversión, alrededor de 90%, fue en pequeñas y medianas empresas y permitieron la creación de trece mil nuevos empleos formales, temporales y permanentes, en sectores como la industria químico-farmacéutica, aeronáutica,</w:t>
      </w:r>
      <w:r>
        <w:rPr>
          <w:spacing w:val="-19"/>
        </w:rPr>
        <w:t> </w:t>
      </w:r>
      <w:r>
        <w:rPr/>
        <w:t>automotriz</w:t>
      </w:r>
      <w:r>
        <w:rPr>
          <w:spacing w:val="-20"/>
        </w:rPr>
        <w:t> </w:t>
      </w:r>
      <w:r>
        <w:rPr/>
        <w:t>y</w:t>
      </w:r>
      <w:r>
        <w:rPr>
          <w:spacing w:val="-22"/>
        </w:rPr>
        <w:t> </w:t>
      </w:r>
      <w:r>
        <w:rPr/>
        <w:t>de</w:t>
      </w:r>
      <w:r>
        <w:rPr>
          <w:spacing w:val="-19"/>
        </w:rPr>
        <w:t> </w:t>
      </w:r>
      <w:r>
        <w:rPr/>
        <w:t>manufactura.</w:t>
      </w:r>
      <w:r>
        <w:rPr>
          <w:spacing w:val="-21"/>
        </w:rPr>
        <w:t> </w:t>
      </w:r>
      <w:r>
        <w:rPr/>
        <w:t>Sin</w:t>
      </w:r>
      <w:r>
        <w:rPr>
          <w:spacing w:val="-22"/>
        </w:rPr>
        <w:t> </w:t>
      </w:r>
      <w:r>
        <w:rPr/>
        <w:t>embargo,</w:t>
      </w:r>
      <w:r>
        <w:rPr>
          <w:spacing w:val="-19"/>
        </w:rPr>
        <w:t> </w:t>
      </w:r>
      <w:r>
        <w:rPr/>
        <w:t>la</w:t>
      </w:r>
      <w:r>
        <w:rPr>
          <w:spacing w:val="-19"/>
        </w:rPr>
        <w:t> </w:t>
      </w:r>
      <w:r>
        <w:rPr/>
        <w:t>deuda</w:t>
      </w:r>
      <w:r>
        <w:rPr>
          <w:spacing w:val="-19"/>
        </w:rPr>
        <w:t> </w:t>
      </w:r>
      <w:r>
        <w:rPr/>
        <w:t>estatal</w:t>
      </w:r>
      <w:r>
        <w:rPr>
          <w:spacing w:val="-20"/>
        </w:rPr>
        <w:t> </w:t>
      </w:r>
      <w:r>
        <w:rPr/>
        <w:t>y</w:t>
      </w:r>
      <w:r>
        <w:rPr>
          <w:spacing w:val="-22"/>
        </w:rPr>
        <w:t> </w:t>
      </w:r>
      <w:r>
        <w:rPr/>
        <w:t>municipal del</w:t>
      </w:r>
      <w:r>
        <w:rPr>
          <w:spacing w:val="-10"/>
        </w:rPr>
        <w:t> </w:t>
      </w:r>
      <w:r>
        <w:rPr/>
        <w:t>Estado</w:t>
      </w:r>
      <w:r>
        <w:rPr>
          <w:spacing w:val="-8"/>
        </w:rPr>
        <w:t> </w:t>
      </w:r>
      <w:r>
        <w:rPr/>
        <w:t>de</w:t>
      </w:r>
      <w:r>
        <w:rPr>
          <w:spacing w:val="-8"/>
        </w:rPr>
        <w:t> </w:t>
      </w:r>
      <w:r>
        <w:rPr/>
        <w:t>México</w:t>
      </w:r>
      <w:r>
        <w:rPr>
          <w:spacing w:val="-9"/>
        </w:rPr>
        <w:t> </w:t>
      </w:r>
      <w:r>
        <w:rPr/>
        <w:t>incrementó</w:t>
      </w:r>
      <w:r>
        <w:rPr>
          <w:spacing w:val="-8"/>
        </w:rPr>
        <w:t> </w:t>
      </w:r>
      <w:r>
        <w:rPr/>
        <w:t>el</w:t>
      </w:r>
      <w:r>
        <w:rPr>
          <w:spacing w:val="-10"/>
        </w:rPr>
        <w:t> </w:t>
      </w:r>
      <w:r>
        <w:rPr/>
        <w:t>11%</w:t>
      </w:r>
      <w:r>
        <w:rPr>
          <w:spacing w:val="-9"/>
        </w:rPr>
        <w:t> </w:t>
      </w:r>
      <w:r>
        <w:rPr/>
        <w:t>respecto</w:t>
      </w:r>
      <w:r>
        <w:rPr>
          <w:spacing w:val="-8"/>
        </w:rPr>
        <w:t> </w:t>
      </w:r>
      <w:r>
        <w:rPr/>
        <w:t>a</w:t>
      </w:r>
      <w:r>
        <w:rPr>
          <w:spacing w:val="-8"/>
        </w:rPr>
        <w:t> </w:t>
      </w:r>
      <w:r>
        <w:rPr/>
        <w:t>2012.</w:t>
      </w:r>
      <w:r>
        <w:rPr>
          <w:spacing w:val="-9"/>
        </w:rPr>
        <w:t> </w:t>
      </w:r>
      <w:r>
        <w:rPr/>
        <w:t>Con</w:t>
      </w:r>
      <w:r>
        <w:rPr>
          <w:spacing w:val="-8"/>
        </w:rPr>
        <w:t> </w:t>
      </w:r>
      <w:r>
        <w:rPr/>
        <w:t>esta</w:t>
      </w:r>
      <w:r>
        <w:rPr>
          <w:spacing w:val="-11"/>
        </w:rPr>
        <w:t> </w:t>
      </w:r>
      <w:r>
        <w:rPr/>
        <w:t>cifra,</w:t>
      </w:r>
      <w:r>
        <w:rPr>
          <w:spacing w:val="-8"/>
        </w:rPr>
        <w:t> </w:t>
      </w:r>
      <w:r>
        <w:rPr/>
        <w:t>la</w:t>
      </w:r>
      <w:r>
        <w:rPr>
          <w:spacing w:val="-9"/>
        </w:rPr>
        <w:t> </w:t>
      </w:r>
      <w:r>
        <w:rPr/>
        <w:t>entidad fue</w:t>
      </w:r>
      <w:r>
        <w:rPr>
          <w:spacing w:val="-11"/>
        </w:rPr>
        <w:t> </w:t>
      </w:r>
      <w:r>
        <w:rPr/>
        <w:t>una</w:t>
      </w:r>
      <w:r>
        <w:rPr>
          <w:spacing w:val="-11"/>
        </w:rPr>
        <w:t> </w:t>
      </w:r>
      <w:r>
        <w:rPr/>
        <w:t>de</w:t>
      </w:r>
      <w:r>
        <w:rPr>
          <w:spacing w:val="-11"/>
        </w:rPr>
        <w:t> </w:t>
      </w:r>
      <w:r>
        <w:rPr/>
        <w:t>las</w:t>
      </w:r>
      <w:r>
        <w:rPr>
          <w:spacing w:val="-11"/>
        </w:rPr>
        <w:t> </w:t>
      </w:r>
      <w:r>
        <w:rPr/>
        <w:t>más</w:t>
      </w:r>
      <w:r>
        <w:rPr>
          <w:spacing w:val="-12"/>
        </w:rPr>
        <w:t> </w:t>
      </w:r>
      <w:r>
        <w:rPr/>
        <w:t>endeudadas</w:t>
      </w:r>
      <w:r>
        <w:rPr>
          <w:spacing w:val="-9"/>
        </w:rPr>
        <w:t> </w:t>
      </w:r>
      <w:r>
        <w:rPr/>
        <w:t>durante</w:t>
      </w:r>
      <w:r>
        <w:rPr>
          <w:spacing w:val="-8"/>
        </w:rPr>
        <w:t> </w:t>
      </w:r>
      <w:r>
        <w:rPr/>
        <w:t>2013</w:t>
      </w:r>
      <w:r>
        <w:rPr>
          <w:spacing w:val="-8"/>
        </w:rPr>
        <w:t> </w:t>
      </w:r>
      <w:r>
        <w:rPr/>
        <w:t>y,</w:t>
      </w:r>
      <w:r>
        <w:rPr>
          <w:spacing w:val="-9"/>
        </w:rPr>
        <w:t> </w:t>
      </w:r>
      <w:r>
        <w:rPr/>
        <w:t>según</w:t>
      </w:r>
      <w:r>
        <w:rPr>
          <w:spacing w:val="-8"/>
        </w:rPr>
        <w:t> </w:t>
      </w:r>
      <w:r>
        <w:rPr/>
        <w:t>la</w:t>
      </w:r>
      <w:r>
        <w:rPr>
          <w:spacing w:val="-9"/>
        </w:rPr>
        <w:t> </w:t>
      </w:r>
      <w:r>
        <w:rPr/>
        <w:t>SHCP,</w:t>
      </w:r>
      <w:r>
        <w:rPr>
          <w:spacing w:val="-9"/>
        </w:rPr>
        <w:t> </w:t>
      </w:r>
      <w:r>
        <w:rPr/>
        <w:t>alrededor</w:t>
      </w:r>
      <w:r>
        <w:rPr>
          <w:spacing w:val="-10"/>
        </w:rPr>
        <w:t> </w:t>
      </w:r>
      <w:r>
        <w:rPr/>
        <w:t>del</w:t>
      </w:r>
      <w:r>
        <w:rPr>
          <w:spacing w:val="-12"/>
        </w:rPr>
        <w:t> </w:t>
      </w:r>
      <w:r>
        <w:rPr/>
        <w:t>60% de las participaciones federales de la entidad se utilizaron en el pago de deuda. Específicamente,</w:t>
      </w:r>
      <w:r>
        <w:rPr>
          <w:spacing w:val="-17"/>
        </w:rPr>
        <w:t> </w:t>
      </w:r>
      <w:r>
        <w:rPr/>
        <w:t>la</w:t>
      </w:r>
      <w:r>
        <w:rPr>
          <w:spacing w:val="-18"/>
        </w:rPr>
        <w:t> </w:t>
      </w:r>
      <w:r>
        <w:rPr/>
        <w:t>deuda</w:t>
      </w:r>
      <w:r>
        <w:rPr>
          <w:spacing w:val="-18"/>
        </w:rPr>
        <w:t> </w:t>
      </w:r>
      <w:r>
        <w:rPr/>
        <w:t>de</w:t>
      </w:r>
      <w:r>
        <w:rPr>
          <w:spacing w:val="-18"/>
        </w:rPr>
        <w:t> </w:t>
      </w:r>
      <w:r>
        <w:rPr/>
        <w:t>28</w:t>
      </w:r>
      <w:r>
        <w:rPr>
          <w:spacing w:val="-17"/>
        </w:rPr>
        <w:t> </w:t>
      </w:r>
      <w:r>
        <w:rPr/>
        <w:t>de</w:t>
      </w:r>
      <w:r>
        <w:rPr>
          <w:spacing w:val="-17"/>
        </w:rPr>
        <w:t> </w:t>
      </w:r>
      <w:r>
        <w:rPr/>
        <w:t>los</w:t>
      </w:r>
      <w:r>
        <w:rPr>
          <w:spacing w:val="-18"/>
        </w:rPr>
        <w:t> </w:t>
      </w:r>
      <w:r>
        <w:rPr/>
        <w:t>125</w:t>
      </w:r>
      <w:r>
        <w:rPr>
          <w:spacing w:val="-15"/>
        </w:rPr>
        <w:t> </w:t>
      </w:r>
      <w:r>
        <w:rPr/>
        <w:t>municipios</w:t>
      </w:r>
      <w:r>
        <w:rPr>
          <w:spacing w:val="-18"/>
        </w:rPr>
        <w:t> </w:t>
      </w:r>
      <w:r>
        <w:rPr/>
        <w:t>del</w:t>
      </w:r>
      <w:r>
        <w:rPr>
          <w:spacing w:val="-19"/>
        </w:rPr>
        <w:t> </w:t>
      </w:r>
      <w:r>
        <w:rPr/>
        <w:t>Estado</w:t>
      </w:r>
      <w:r>
        <w:rPr>
          <w:spacing w:val="-18"/>
        </w:rPr>
        <w:t> </w:t>
      </w:r>
      <w:r>
        <w:rPr/>
        <w:t>de</w:t>
      </w:r>
      <w:r>
        <w:rPr>
          <w:spacing w:val="-18"/>
        </w:rPr>
        <w:t> </w:t>
      </w:r>
      <w:r>
        <w:rPr/>
        <w:t>México</w:t>
      </w:r>
      <w:r>
        <w:rPr>
          <w:spacing w:val="-17"/>
        </w:rPr>
        <w:t> </w:t>
      </w:r>
      <w:r>
        <w:rPr/>
        <w:t>superó sus capacidades de endeudamiento, pues ésta fue mayor a 40% de sus participaciones</w:t>
      </w:r>
      <w:r>
        <w:rPr>
          <w:spacing w:val="-8"/>
        </w:rPr>
        <w:t> </w:t>
      </w:r>
      <w:r>
        <w:rPr/>
        <w:t>federales.</w:t>
      </w:r>
    </w:p>
    <w:p>
      <w:pPr>
        <w:pStyle w:val="BodyText"/>
        <w:spacing w:before="3"/>
        <w:rPr>
          <w:sz w:val="21"/>
        </w:rPr>
      </w:pPr>
    </w:p>
    <w:p>
      <w:pPr>
        <w:pStyle w:val="BodyText"/>
        <w:spacing w:line="360" w:lineRule="auto"/>
        <w:ind w:left="102" w:right="118"/>
        <w:jc w:val="both"/>
      </w:pPr>
      <w:r>
        <w:rPr/>
        <w:t>Otros datos que brindan un panorama de actualidad del Estado de México lo proporciona el Índice de Desarrollo Humano Municipal en México publicado en 2013, donde el nivel de desarrollo humano de la entidad se calcula mediante los logros de ésta, en cuanto a salud (0.826), educación (0.696) e ingreso (0.710). El resultado global para la entidad de Índice de Desarrollo Humano es de 0.742 en 2010. En 2010 Metepec es el municipio con mayor desarrollo humano con IDH de 0.825,</w:t>
      </w:r>
      <w:r>
        <w:rPr>
          <w:spacing w:val="-6"/>
        </w:rPr>
        <w:t> </w:t>
      </w:r>
      <w:r>
        <w:rPr/>
        <w:t>en</w:t>
      </w:r>
      <w:r>
        <w:rPr>
          <w:spacing w:val="-6"/>
        </w:rPr>
        <w:t> </w:t>
      </w:r>
      <w:r>
        <w:rPr/>
        <w:t>contraste,</w:t>
      </w:r>
      <w:r>
        <w:rPr>
          <w:spacing w:val="-6"/>
        </w:rPr>
        <w:t> </w:t>
      </w:r>
      <w:r>
        <w:rPr/>
        <w:t>el</w:t>
      </w:r>
      <w:r>
        <w:rPr>
          <w:spacing w:val="-10"/>
        </w:rPr>
        <w:t> </w:t>
      </w:r>
      <w:r>
        <w:rPr/>
        <w:t>municipio</w:t>
      </w:r>
      <w:r>
        <w:rPr>
          <w:spacing w:val="-6"/>
        </w:rPr>
        <w:t> </w:t>
      </w:r>
      <w:r>
        <w:rPr/>
        <w:t>con</w:t>
      </w:r>
      <w:r>
        <w:rPr>
          <w:spacing w:val="-6"/>
        </w:rPr>
        <w:t> </w:t>
      </w:r>
      <w:r>
        <w:rPr/>
        <w:t>menor</w:t>
      </w:r>
      <w:r>
        <w:rPr>
          <w:spacing w:val="-7"/>
        </w:rPr>
        <w:t> </w:t>
      </w:r>
      <w:r>
        <w:rPr/>
        <w:t>desempeño</w:t>
      </w:r>
      <w:r>
        <w:rPr>
          <w:spacing w:val="-6"/>
        </w:rPr>
        <w:t> </w:t>
      </w:r>
      <w:r>
        <w:rPr/>
        <w:t>en</w:t>
      </w:r>
      <w:r>
        <w:rPr>
          <w:spacing w:val="-6"/>
        </w:rPr>
        <w:t> </w:t>
      </w:r>
      <w:r>
        <w:rPr/>
        <w:t>la</w:t>
      </w:r>
      <w:r>
        <w:rPr>
          <w:spacing w:val="-9"/>
        </w:rPr>
        <w:t> </w:t>
      </w:r>
      <w:r>
        <w:rPr/>
        <w:t>entidad</w:t>
      </w:r>
      <w:r>
        <w:rPr>
          <w:spacing w:val="-6"/>
        </w:rPr>
        <w:t> </w:t>
      </w:r>
      <w:r>
        <w:rPr/>
        <w:t>fue</w:t>
      </w:r>
      <w:r>
        <w:rPr>
          <w:spacing w:val="-6"/>
        </w:rPr>
        <w:t> </w:t>
      </w:r>
      <w:r>
        <w:rPr/>
        <w:t>San</w:t>
      </w:r>
      <w:r>
        <w:rPr>
          <w:spacing w:val="-6"/>
        </w:rPr>
        <w:t> </w:t>
      </w:r>
      <w:r>
        <w:rPr/>
        <w:t>José del Rincón cuyo IDH es de</w:t>
      </w:r>
      <w:r>
        <w:rPr>
          <w:spacing w:val="-6"/>
        </w:rPr>
        <w:t> </w:t>
      </w:r>
      <w:r>
        <w:rPr/>
        <w:t>0.545.</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Por último, una información de suma importancia se cita en el Informe de Pobreza y Evaluación de 2012-2013 del Consejo Nacional de Evaluación de la Política de Desarrollo Social (CONEVAL), el Estado de México ocupó el lugar 16 de las 32 entidades del porcentaje de población en pobreza y el 19 en pobreza extrema. En 2012 de la población que habitaba en la entidad 45.3% se encontraba en situación de pobreza, lo que equivale aproximadamente a 7.3 millones de personas de un total</w:t>
      </w:r>
      <w:r>
        <w:rPr>
          <w:spacing w:val="-6"/>
        </w:rPr>
        <w:t> </w:t>
      </w:r>
      <w:r>
        <w:rPr/>
        <w:t>de</w:t>
      </w:r>
      <w:r>
        <w:rPr>
          <w:spacing w:val="-5"/>
        </w:rPr>
        <w:t> </w:t>
      </w:r>
      <w:r>
        <w:rPr/>
        <w:t>16.2</w:t>
      </w:r>
      <w:r>
        <w:rPr>
          <w:spacing w:val="-5"/>
        </w:rPr>
        <w:t> </w:t>
      </w:r>
      <w:r>
        <w:rPr/>
        <w:t>millones,</w:t>
      </w:r>
      <w:r>
        <w:rPr>
          <w:spacing w:val="-8"/>
        </w:rPr>
        <w:t> </w:t>
      </w:r>
      <w:r>
        <w:rPr/>
        <w:t>con</w:t>
      </w:r>
      <w:r>
        <w:rPr>
          <w:spacing w:val="-3"/>
        </w:rPr>
        <w:t> </w:t>
      </w:r>
      <w:r>
        <w:rPr/>
        <w:t>un</w:t>
      </w:r>
      <w:r>
        <w:rPr>
          <w:spacing w:val="-3"/>
        </w:rPr>
        <w:t> </w:t>
      </w:r>
      <w:r>
        <w:rPr/>
        <w:t>promedio</w:t>
      </w:r>
      <w:r>
        <w:rPr>
          <w:spacing w:val="-5"/>
        </w:rPr>
        <w:t> </w:t>
      </w:r>
      <w:r>
        <w:rPr/>
        <w:t>de</w:t>
      </w:r>
      <w:r>
        <w:rPr>
          <w:spacing w:val="-5"/>
        </w:rPr>
        <w:t> </w:t>
      </w:r>
      <w:r>
        <w:rPr/>
        <w:t>carencias</w:t>
      </w:r>
      <w:r>
        <w:rPr>
          <w:spacing w:val="-3"/>
        </w:rPr>
        <w:t> </w:t>
      </w:r>
      <w:r>
        <w:rPr/>
        <w:t>por</w:t>
      </w:r>
      <w:r>
        <w:rPr>
          <w:spacing w:val="-4"/>
        </w:rPr>
        <w:t> </w:t>
      </w:r>
      <w:r>
        <w:rPr/>
        <w:t>persona</w:t>
      </w:r>
      <w:r>
        <w:rPr>
          <w:spacing w:val="-5"/>
        </w:rPr>
        <w:t> </w:t>
      </w:r>
      <w:r>
        <w:rPr/>
        <w:t>de</w:t>
      </w:r>
      <w:r>
        <w:rPr>
          <w:spacing w:val="-5"/>
        </w:rPr>
        <w:t> </w:t>
      </w:r>
      <w:r>
        <w:rPr/>
        <w:t>2.0.</w:t>
      </w:r>
      <w:r>
        <w:rPr>
          <w:spacing w:val="-5"/>
        </w:rPr>
        <w:t> </w:t>
      </w:r>
      <w:r>
        <w:rPr/>
        <w:t>Asimismo 5.8% de la población del estado se encontraba en situación de pobreza extrema aproximadamente</w:t>
      </w:r>
      <w:r>
        <w:rPr>
          <w:spacing w:val="-14"/>
        </w:rPr>
        <w:t> </w:t>
      </w:r>
      <w:r>
        <w:rPr/>
        <w:t>946,000</w:t>
      </w:r>
      <w:r>
        <w:rPr>
          <w:spacing w:val="-14"/>
        </w:rPr>
        <w:t> </w:t>
      </w:r>
      <w:r>
        <w:rPr/>
        <w:t>personas,</w:t>
      </w:r>
      <w:r>
        <w:rPr>
          <w:spacing w:val="-14"/>
        </w:rPr>
        <w:t> </w:t>
      </w:r>
      <w:r>
        <w:rPr/>
        <w:t>con</w:t>
      </w:r>
      <w:r>
        <w:rPr>
          <w:spacing w:val="-12"/>
        </w:rPr>
        <w:t> </w:t>
      </w:r>
      <w:r>
        <w:rPr/>
        <w:t>un</w:t>
      </w:r>
      <w:r>
        <w:rPr>
          <w:spacing w:val="-14"/>
        </w:rPr>
        <w:t> </w:t>
      </w:r>
      <w:r>
        <w:rPr/>
        <w:t>promedio</w:t>
      </w:r>
      <w:r>
        <w:rPr>
          <w:spacing w:val="-14"/>
        </w:rPr>
        <w:t> </w:t>
      </w:r>
      <w:r>
        <w:rPr/>
        <w:t>de</w:t>
      </w:r>
      <w:r>
        <w:rPr>
          <w:spacing w:val="-14"/>
        </w:rPr>
        <w:t> </w:t>
      </w:r>
      <w:r>
        <w:rPr/>
        <w:t>carencias</w:t>
      </w:r>
      <w:r>
        <w:rPr>
          <w:spacing w:val="-14"/>
        </w:rPr>
        <w:t> </w:t>
      </w:r>
      <w:r>
        <w:rPr/>
        <w:t>por</w:t>
      </w:r>
      <w:r>
        <w:rPr>
          <w:spacing w:val="-16"/>
        </w:rPr>
        <w:t> </w:t>
      </w:r>
      <w:r>
        <w:rPr/>
        <w:t>persona</w:t>
      </w:r>
      <w:r>
        <w:rPr>
          <w:spacing w:val="-14"/>
        </w:rPr>
        <w:t> </w:t>
      </w:r>
      <w:r>
        <w:rPr/>
        <w:t>de 3.4%.</w:t>
      </w:r>
    </w:p>
    <w:p>
      <w:pPr>
        <w:pStyle w:val="BodyText"/>
        <w:spacing w:line="360" w:lineRule="auto" w:before="204"/>
        <w:ind w:left="102" w:right="116"/>
        <w:jc w:val="both"/>
      </w:pPr>
      <w:r>
        <w:rPr/>
        <w:t>Como puede observarse de esta información de contexto del Estado de México,</w:t>
      </w:r>
      <w:r>
        <w:rPr>
          <w:spacing w:val="-31"/>
        </w:rPr>
        <w:t> </w:t>
      </w:r>
      <w:r>
        <w:rPr/>
        <w:t>se trata de una entidad con altos contrastes socio económico y demográfico, lo que hace más compleja la toma de decisiones para la autoridad local que debe atender a toda la población no importando su situación o</w:t>
      </w:r>
      <w:r>
        <w:rPr>
          <w:spacing w:val="-24"/>
        </w:rPr>
        <w:t> </w:t>
      </w:r>
      <w:r>
        <w:rPr/>
        <w:t>condición.</w:t>
      </w:r>
    </w:p>
    <w:p>
      <w:pPr>
        <w:pStyle w:val="BodyText"/>
      </w:pPr>
    </w:p>
    <w:p>
      <w:pPr>
        <w:pStyle w:val="Heading1"/>
        <w:numPr>
          <w:ilvl w:val="1"/>
          <w:numId w:val="52"/>
        </w:numPr>
        <w:tabs>
          <w:tab w:pos="1253" w:val="left" w:leader="none"/>
          <w:tab w:pos="1254" w:val="left" w:leader="none"/>
        </w:tabs>
        <w:spacing w:line="240" w:lineRule="auto" w:before="205" w:after="0"/>
        <w:ind w:left="1263" w:right="0" w:hanging="729"/>
        <w:jc w:val="left"/>
      </w:pPr>
      <w:r>
        <w:rPr/>
        <w:t>Organización Administrativa, política y su relación con</w:t>
      </w:r>
      <w:r>
        <w:rPr>
          <w:spacing w:val="-25"/>
        </w:rPr>
        <w:t> </w:t>
      </w:r>
      <w:r>
        <w:rPr/>
        <w:t>el</w:t>
      </w:r>
    </w:p>
    <w:p>
      <w:pPr>
        <w:spacing w:before="2"/>
        <w:ind w:left="1819" w:right="755" w:firstLine="0"/>
        <w:jc w:val="center"/>
        <w:rPr>
          <w:b/>
          <w:sz w:val="28"/>
        </w:rPr>
      </w:pPr>
      <w:r>
        <w:rPr>
          <w:b/>
          <w:sz w:val="28"/>
        </w:rPr>
        <w:t>Municipio</w:t>
      </w:r>
    </w:p>
    <w:p>
      <w:pPr>
        <w:pStyle w:val="BodyText"/>
        <w:rPr>
          <w:b/>
          <w:sz w:val="28"/>
        </w:rPr>
      </w:pPr>
    </w:p>
    <w:p>
      <w:pPr>
        <w:pStyle w:val="BodyText"/>
        <w:rPr>
          <w:b/>
          <w:sz w:val="28"/>
        </w:rPr>
      </w:pPr>
    </w:p>
    <w:p>
      <w:pPr>
        <w:pStyle w:val="BodyText"/>
        <w:spacing w:before="5"/>
        <w:rPr>
          <w:b/>
          <w:sz w:val="30"/>
        </w:rPr>
      </w:pPr>
    </w:p>
    <w:p>
      <w:pPr>
        <w:pStyle w:val="BodyText"/>
        <w:spacing w:line="360" w:lineRule="auto" w:before="1"/>
        <w:ind w:left="102" w:right="115"/>
        <w:jc w:val="both"/>
      </w:pPr>
      <w:r>
        <w:rPr/>
        <w:t>El art. 115 de la Constitución general mexicana considera como la base de la división territorial y de la organización política y administrativa de los estados a los municipios, éste constituye la modalidad fundamental de descentralización política y administrativa, dándole al municipio la premisa de célula básica de organización.</w:t>
      </w:r>
    </w:p>
    <w:p>
      <w:pPr>
        <w:pStyle w:val="BodyText"/>
        <w:spacing w:line="360" w:lineRule="auto" w:before="204"/>
        <w:ind w:left="102" w:right="116"/>
        <w:jc w:val="both"/>
      </w:pPr>
      <w:r>
        <w:rPr/>
        <w:t>Con estricto respeto a la autonomía municipal, el Gobierno del Estado de México, establece mecanismos de colaboración para fortalecer la capacidad de respuesta de los 125 municipios, a fin de atender con oportunidad la demanda ciudadana, sin embargo, el municipio está a expensas financieras y de otras capacidades del gobierno del Estado.</w:t>
      </w:r>
    </w:p>
    <w:p>
      <w:pPr>
        <w:pStyle w:val="BodyText"/>
      </w:pPr>
    </w:p>
    <w:p>
      <w:pPr>
        <w:pStyle w:val="BodyText"/>
        <w:spacing w:before="142"/>
        <w:ind w:left="102"/>
        <w:jc w:val="both"/>
      </w:pPr>
      <w:r>
        <w:rPr/>
        <w:t>La Ley Orgánica de la Administración Pública del Estado de México tiene por objeto</w:t>
      </w:r>
    </w:p>
    <w:p>
      <w:pPr>
        <w:spacing w:after="0"/>
        <w:jc w:val="both"/>
        <w:sectPr>
          <w:pgSz w:w="12240" w:h="15840"/>
          <w:pgMar w:header="0" w:footer="992" w:top="1360" w:bottom="1180" w:left="1600" w:right="1580"/>
        </w:sectPr>
      </w:pPr>
    </w:p>
    <w:p>
      <w:pPr>
        <w:pStyle w:val="BodyText"/>
        <w:spacing w:line="360" w:lineRule="auto" w:before="54"/>
        <w:ind w:left="102" w:right="117"/>
        <w:jc w:val="both"/>
      </w:pPr>
      <w:r>
        <w:rPr/>
        <w:t>regular</w:t>
      </w:r>
      <w:r>
        <w:rPr>
          <w:spacing w:val="-12"/>
        </w:rPr>
        <w:t> </w:t>
      </w:r>
      <w:r>
        <w:rPr/>
        <w:t>la</w:t>
      </w:r>
      <w:r>
        <w:rPr>
          <w:spacing w:val="-13"/>
        </w:rPr>
        <w:t> </w:t>
      </w:r>
      <w:r>
        <w:rPr/>
        <w:t>organización</w:t>
      </w:r>
      <w:r>
        <w:rPr>
          <w:spacing w:val="-10"/>
        </w:rPr>
        <w:t> </w:t>
      </w:r>
      <w:r>
        <w:rPr/>
        <w:t>y</w:t>
      </w:r>
      <w:r>
        <w:rPr>
          <w:spacing w:val="-14"/>
        </w:rPr>
        <w:t> </w:t>
      </w:r>
      <w:r>
        <w:rPr/>
        <w:t>funcionamiento</w:t>
      </w:r>
      <w:r>
        <w:rPr>
          <w:spacing w:val="-13"/>
        </w:rPr>
        <w:t> </w:t>
      </w:r>
      <w:r>
        <w:rPr/>
        <w:t>de</w:t>
      </w:r>
      <w:r>
        <w:rPr>
          <w:spacing w:val="-13"/>
        </w:rPr>
        <w:t> </w:t>
      </w:r>
      <w:r>
        <w:rPr/>
        <w:t>la</w:t>
      </w:r>
      <w:r>
        <w:rPr>
          <w:spacing w:val="-13"/>
        </w:rPr>
        <w:t> </w:t>
      </w:r>
      <w:r>
        <w:rPr/>
        <w:t>administración</w:t>
      </w:r>
      <w:r>
        <w:rPr>
          <w:spacing w:val="-13"/>
        </w:rPr>
        <w:t> </w:t>
      </w:r>
      <w:r>
        <w:rPr/>
        <w:t>del</w:t>
      </w:r>
      <w:r>
        <w:rPr>
          <w:spacing w:val="-14"/>
        </w:rPr>
        <w:t> </w:t>
      </w:r>
      <w:r>
        <w:rPr/>
        <w:t>Estado</w:t>
      </w:r>
      <w:r>
        <w:rPr>
          <w:spacing w:val="-13"/>
        </w:rPr>
        <w:t> </w:t>
      </w:r>
      <w:r>
        <w:rPr/>
        <w:t>a</w:t>
      </w:r>
      <w:r>
        <w:rPr>
          <w:spacing w:val="-13"/>
        </w:rPr>
        <w:t> </w:t>
      </w:r>
      <w:r>
        <w:rPr/>
        <w:t>cargo</w:t>
      </w:r>
      <w:r>
        <w:rPr>
          <w:spacing w:val="-13"/>
        </w:rPr>
        <w:t> </w:t>
      </w:r>
      <w:r>
        <w:rPr/>
        <w:t>del gobernador,</w:t>
      </w:r>
      <w:r>
        <w:rPr>
          <w:spacing w:val="-16"/>
        </w:rPr>
        <w:t> </w:t>
      </w:r>
      <w:r>
        <w:rPr/>
        <w:t>citando</w:t>
      </w:r>
      <w:r>
        <w:rPr>
          <w:spacing w:val="-15"/>
        </w:rPr>
        <w:t> </w:t>
      </w:r>
      <w:r>
        <w:rPr/>
        <w:t>las</w:t>
      </w:r>
      <w:r>
        <w:rPr>
          <w:spacing w:val="-16"/>
        </w:rPr>
        <w:t> </w:t>
      </w:r>
      <w:r>
        <w:rPr/>
        <w:t>dependencias</w:t>
      </w:r>
      <w:r>
        <w:rPr>
          <w:spacing w:val="-15"/>
        </w:rPr>
        <w:t> </w:t>
      </w:r>
      <w:r>
        <w:rPr/>
        <w:t>del</w:t>
      </w:r>
      <w:r>
        <w:rPr>
          <w:spacing w:val="-16"/>
        </w:rPr>
        <w:t> </w:t>
      </w:r>
      <w:r>
        <w:rPr/>
        <w:t>Ejecutivo</w:t>
      </w:r>
      <w:r>
        <w:rPr>
          <w:spacing w:val="-12"/>
        </w:rPr>
        <w:t> </w:t>
      </w:r>
      <w:r>
        <w:rPr/>
        <w:t>dicha</w:t>
      </w:r>
      <w:r>
        <w:rPr>
          <w:spacing w:val="-15"/>
        </w:rPr>
        <w:t> </w:t>
      </w:r>
      <w:r>
        <w:rPr/>
        <w:t>organización</w:t>
      </w:r>
      <w:r>
        <w:rPr>
          <w:spacing w:val="-15"/>
        </w:rPr>
        <w:t> </w:t>
      </w:r>
      <w:r>
        <w:rPr/>
        <w:t>se</w:t>
      </w:r>
      <w:r>
        <w:rPr>
          <w:spacing w:val="-15"/>
        </w:rPr>
        <w:t> </w:t>
      </w:r>
      <w:r>
        <w:rPr/>
        <w:t>compone por las dependencias centrales, las unidades administrativas del sector central, organismos descentralizados, organismos desconcentrados y organismos autónomos tal como se</w:t>
      </w:r>
      <w:r>
        <w:rPr>
          <w:spacing w:val="-10"/>
        </w:rPr>
        <w:t> </w:t>
      </w:r>
      <w:r>
        <w:rPr/>
        <w:t>relacionan.</w:t>
      </w:r>
    </w:p>
    <w:p>
      <w:pPr>
        <w:pStyle w:val="BodyText"/>
        <w:spacing w:line="360" w:lineRule="auto" w:before="204"/>
        <w:ind w:left="102" w:right="118"/>
        <w:jc w:val="both"/>
      </w:pPr>
      <w:r>
        <w:rPr/>
        <w:t>Actualmente el Gobierno del Estado de México cuenta con 15 Secretarías que auxilian al titular del ejecutivo con las tareas de planeación y despacho de los asuntos en los diversos ramos de la Administración Pública, que son: la Secretaría General de Gobierno, la Secretaría de Finanzas, de Salud, de Trabajo, de Educación, la Secretaría de Desarrollo Social, de Desarrollo Urbano y Metropolitano, la Secretaría de Infraestructura, de Desarrollo Agropecuario, de Desarrollo Económico, de Turismo, de Cultura, de Contraloría, de Movilidad y la Secretaría de Medio Ambiente.</w:t>
      </w:r>
    </w:p>
    <w:p>
      <w:pPr>
        <w:pStyle w:val="BodyText"/>
        <w:spacing w:line="360" w:lineRule="auto" w:before="202"/>
        <w:ind w:left="102" w:right="117"/>
        <w:jc w:val="both"/>
      </w:pPr>
      <w:r>
        <w:rPr/>
        <w:t>Ahora</w:t>
      </w:r>
      <w:r>
        <w:rPr>
          <w:spacing w:val="-9"/>
        </w:rPr>
        <w:t> </w:t>
      </w:r>
      <w:r>
        <w:rPr/>
        <w:t>bien,</w:t>
      </w:r>
      <w:r>
        <w:rPr>
          <w:spacing w:val="-9"/>
        </w:rPr>
        <w:t> </w:t>
      </w:r>
      <w:r>
        <w:rPr/>
        <w:t>las</w:t>
      </w:r>
      <w:r>
        <w:rPr>
          <w:spacing w:val="-9"/>
        </w:rPr>
        <w:t> </w:t>
      </w:r>
      <w:r>
        <w:rPr/>
        <w:t>posibilidades</w:t>
      </w:r>
      <w:r>
        <w:rPr>
          <w:spacing w:val="-9"/>
        </w:rPr>
        <w:t> </w:t>
      </w:r>
      <w:r>
        <w:rPr/>
        <w:t>de</w:t>
      </w:r>
      <w:r>
        <w:rPr>
          <w:spacing w:val="-8"/>
        </w:rPr>
        <w:t> </w:t>
      </w:r>
      <w:r>
        <w:rPr/>
        <w:t>que</w:t>
      </w:r>
      <w:r>
        <w:rPr>
          <w:spacing w:val="-8"/>
        </w:rPr>
        <w:t> </w:t>
      </w:r>
      <w:r>
        <w:rPr/>
        <w:t>una</w:t>
      </w:r>
      <w:r>
        <w:rPr>
          <w:spacing w:val="-8"/>
        </w:rPr>
        <w:t> </w:t>
      </w:r>
      <w:r>
        <w:rPr/>
        <w:t>política,</w:t>
      </w:r>
      <w:r>
        <w:rPr>
          <w:spacing w:val="-6"/>
        </w:rPr>
        <w:t> </w:t>
      </w:r>
      <w:r>
        <w:rPr/>
        <w:t>un</w:t>
      </w:r>
      <w:r>
        <w:rPr>
          <w:spacing w:val="-8"/>
        </w:rPr>
        <w:t> </w:t>
      </w:r>
      <w:r>
        <w:rPr/>
        <w:t>plan</w:t>
      </w:r>
      <w:r>
        <w:rPr>
          <w:spacing w:val="-8"/>
        </w:rPr>
        <w:t> </w:t>
      </w:r>
      <w:r>
        <w:rPr/>
        <w:t>o</w:t>
      </w:r>
      <w:r>
        <w:rPr>
          <w:spacing w:val="-8"/>
        </w:rPr>
        <w:t> </w:t>
      </w:r>
      <w:r>
        <w:rPr/>
        <w:t>en</w:t>
      </w:r>
      <w:r>
        <w:rPr>
          <w:spacing w:val="-8"/>
        </w:rPr>
        <w:t> </w:t>
      </w:r>
      <w:r>
        <w:rPr/>
        <w:t>su</w:t>
      </w:r>
      <w:r>
        <w:rPr>
          <w:spacing w:val="-8"/>
        </w:rPr>
        <w:t> </w:t>
      </w:r>
      <w:r>
        <w:rPr/>
        <w:t>caso</w:t>
      </w:r>
      <w:r>
        <w:rPr>
          <w:spacing w:val="-6"/>
        </w:rPr>
        <w:t> </w:t>
      </w:r>
      <w:r>
        <w:rPr/>
        <w:t>un</w:t>
      </w:r>
      <w:r>
        <w:rPr>
          <w:spacing w:val="-8"/>
        </w:rPr>
        <w:t> </w:t>
      </w:r>
      <w:r>
        <w:rPr/>
        <w:t>programa tenga resultados y se logre los objetivos planteados, depende en medida de la intervención de un conglomerado de instituciones dispuestas a colaborar para la obtención de las metas. Si bien es cierto, el quehacer gubernamental es extenso,</w:t>
      </w:r>
      <w:r>
        <w:rPr>
          <w:spacing w:val="-35"/>
        </w:rPr>
        <w:t> </w:t>
      </w:r>
      <w:r>
        <w:rPr/>
        <w:t>y que de alguna forma está delimitado, por la constitución general, entre las esferas de gobierno, también es una realidad que se generan simultáneas responsabilidades</w:t>
      </w:r>
      <w:r>
        <w:rPr>
          <w:spacing w:val="-11"/>
        </w:rPr>
        <w:t> </w:t>
      </w:r>
      <w:r>
        <w:rPr/>
        <w:t>cuyo</w:t>
      </w:r>
      <w:r>
        <w:rPr>
          <w:spacing w:val="-10"/>
        </w:rPr>
        <w:t> </w:t>
      </w:r>
      <w:r>
        <w:rPr/>
        <w:t>cumplimiento</w:t>
      </w:r>
      <w:r>
        <w:rPr>
          <w:spacing w:val="-10"/>
        </w:rPr>
        <w:t> </w:t>
      </w:r>
      <w:r>
        <w:rPr/>
        <w:t>tiene</w:t>
      </w:r>
      <w:r>
        <w:rPr>
          <w:spacing w:val="-10"/>
        </w:rPr>
        <w:t> </w:t>
      </w:r>
      <w:r>
        <w:rPr/>
        <w:t>que</w:t>
      </w:r>
      <w:r>
        <w:rPr>
          <w:spacing w:val="-9"/>
        </w:rPr>
        <w:t> </w:t>
      </w:r>
      <w:r>
        <w:rPr/>
        <w:t>ser</w:t>
      </w:r>
      <w:r>
        <w:rPr>
          <w:spacing w:val="-12"/>
        </w:rPr>
        <w:t> </w:t>
      </w:r>
      <w:r>
        <w:rPr/>
        <w:t>respaldo</w:t>
      </w:r>
      <w:r>
        <w:rPr>
          <w:spacing w:val="-12"/>
        </w:rPr>
        <w:t> </w:t>
      </w:r>
      <w:r>
        <w:rPr/>
        <w:t>en</w:t>
      </w:r>
      <w:r>
        <w:rPr>
          <w:spacing w:val="-10"/>
        </w:rPr>
        <w:t> </w:t>
      </w:r>
      <w:r>
        <w:rPr/>
        <w:t>la</w:t>
      </w:r>
      <w:r>
        <w:rPr>
          <w:spacing w:val="-12"/>
        </w:rPr>
        <w:t> </w:t>
      </w:r>
      <w:r>
        <w:rPr/>
        <w:t>coordinación</w:t>
      </w:r>
      <w:r>
        <w:rPr>
          <w:spacing w:val="-10"/>
        </w:rPr>
        <w:t> </w:t>
      </w:r>
      <w:r>
        <w:rPr/>
        <w:t>que exista</w:t>
      </w:r>
      <w:r>
        <w:rPr>
          <w:spacing w:val="-8"/>
        </w:rPr>
        <w:t> </w:t>
      </w:r>
      <w:r>
        <w:rPr/>
        <w:t>entre</w:t>
      </w:r>
      <w:r>
        <w:rPr>
          <w:spacing w:val="-9"/>
        </w:rPr>
        <w:t> </w:t>
      </w:r>
      <w:r>
        <w:rPr/>
        <w:t>las</w:t>
      </w:r>
      <w:r>
        <w:rPr>
          <w:spacing w:val="-9"/>
        </w:rPr>
        <w:t> </w:t>
      </w:r>
      <w:r>
        <w:rPr/>
        <w:t>estructuras</w:t>
      </w:r>
      <w:r>
        <w:rPr>
          <w:spacing w:val="-9"/>
        </w:rPr>
        <w:t> </w:t>
      </w:r>
      <w:r>
        <w:rPr/>
        <w:t>administrativas</w:t>
      </w:r>
      <w:r>
        <w:rPr>
          <w:spacing w:val="-9"/>
        </w:rPr>
        <w:t> </w:t>
      </w:r>
      <w:r>
        <w:rPr/>
        <w:t>de</w:t>
      </w:r>
      <w:r>
        <w:rPr>
          <w:spacing w:val="-11"/>
        </w:rPr>
        <w:t> </w:t>
      </w:r>
      <w:r>
        <w:rPr/>
        <w:t>los</w:t>
      </w:r>
      <w:r>
        <w:rPr>
          <w:spacing w:val="-9"/>
        </w:rPr>
        <w:t> </w:t>
      </w:r>
      <w:r>
        <w:rPr/>
        <w:t>ámbitos</w:t>
      </w:r>
      <w:r>
        <w:rPr>
          <w:spacing w:val="-12"/>
        </w:rPr>
        <w:t> </w:t>
      </w:r>
      <w:r>
        <w:rPr/>
        <w:t>de</w:t>
      </w:r>
      <w:r>
        <w:rPr>
          <w:spacing w:val="-8"/>
        </w:rPr>
        <w:t> </w:t>
      </w:r>
      <w:r>
        <w:rPr/>
        <w:t>gobierno.</w:t>
      </w:r>
      <w:r>
        <w:rPr>
          <w:spacing w:val="-9"/>
        </w:rPr>
        <w:t> </w:t>
      </w:r>
      <w:r>
        <w:rPr/>
        <w:t>Por</w:t>
      </w:r>
      <w:r>
        <w:rPr>
          <w:spacing w:val="-10"/>
        </w:rPr>
        <w:t> </w:t>
      </w:r>
      <w:r>
        <w:rPr/>
        <w:t>lo</w:t>
      </w:r>
      <w:r>
        <w:rPr>
          <w:spacing w:val="-9"/>
        </w:rPr>
        <w:t> </w:t>
      </w:r>
      <w:r>
        <w:rPr/>
        <w:t>tanto, la operatividad de las aportaciones federales resulta imposible concebirla sin la gestión y participación efectiva de las estructuras administrativas del Gobierno del Estado de México con sus gobiernos municipales; la dinámica de coordinación en marcos de operación determinará las referencias, los fines y modos en que ésta deba</w:t>
      </w:r>
      <w:r>
        <w:rPr>
          <w:spacing w:val="-6"/>
        </w:rPr>
        <w:t> </w:t>
      </w:r>
      <w:r>
        <w:rPr/>
        <w:t>darse.</w:t>
      </w:r>
    </w:p>
    <w:p>
      <w:pPr>
        <w:pStyle w:val="BodyText"/>
        <w:spacing w:line="360" w:lineRule="auto" w:before="204"/>
        <w:ind w:left="102" w:right="117"/>
        <w:jc w:val="both"/>
      </w:pPr>
      <w:r>
        <w:rPr/>
        <w:t>En este sentido, la Secretaría de Finanzas es la encargada de la planeación, programación,</w:t>
      </w:r>
      <w:r>
        <w:rPr>
          <w:spacing w:val="-14"/>
        </w:rPr>
        <w:t> </w:t>
      </w:r>
      <w:r>
        <w:rPr/>
        <w:t>presupuestación</w:t>
      </w:r>
      <w:r>
        <w:rPr>
          <w:spacing w:val="-14"/>
        </w:rPr>
        <w:t> </w:t>
      </w:r>
      <w:r>
        <w:rPr/>
        <w:t>y</w:t>
      </w:r>
      <w:r>
        <w:rPr>
          <w:spacing w:val="-17"/>
        </w:rPr>
        <w:t> </w:t>
      </w:r>
      <w:r>
        <w:rPr/>
        <w:t>evaluación</w:t>
      </w:r>
      <w:r>
        <w:rPr>
          <w:spacing w:val="-14"/>
        </w:rPr>
        <w:t> </w:t>
      </w:r>
      <w:r>
        <w:rPr/>
        <w:t>de</w:t>
      </w:r>
      <w:r>
        <w:rPr>
          <w:spacing w:val="-14"/>
        </w:rPr>
        <w:t> </w:t>
      </w:r>
      <w:r>
        <w:rPr/>
        <w:t>las</w:t>
      </w:r>
      <w:r>
        <w:rPr>
          <w:spacing w:val="-14"/>
        </w:rPr>
        <w:t> </w:t>
      </w:r>
      <w:r>
        <w:rPr/>
        <w:t>actividades</w:t>
      </w:r>
      <w:r>
        <w:rPr>
          <w:spacing w:val="-15"/>
        </w:rPr>
        <w:t> </w:t>
      </w:r>
      <w:r>
        <w:rPr/>
        <w:t>del</w:t>
      </w:r>
      <w:r>
        <w:rPr>
          <w:spacing w:val="-15"/>
        </w:rPr>
        <w:t> </w:t>
      </w:r>
      <w:r>
        <w:rPr/>
        <w:t>Poder</w:t>
      </w:r>
      <w:r>
        <w:rPr>
          <w:spacing w:val="-16"/>
        </w:rPr>
        <w:t> </w:t>
      </w:r>
      <w:r>
        <w:rPr/>
        <w:t>Ejecutivo, de la administración financiera y tributaria de la hacienda pública del Estado y de prestar el apoyo administrativo y tecnológico que requieran las dependencias   </w:t>
      </w:r>
      <w:r>
        <w:rPr>
          <w:spacing w:val="7"/>
        </w:rPr>
        <w:t> </w:t>
      </w:r>
      <w:r>
        <w:rPr/>
        <w:t>del</w:t>
      </w:r>
    </w:p>
    <w:p>
      <w:pPr>
        <w:spacing w:after="0" w:line="360" w:lineRule="auto"/>
        <w:jc w:val="both"/>
        <w:sectPr>
          <w:pgSz w:w="12240" w:h="15840"/>
          <w:pgMar w:header="0" w:footer="992" w:top="1360" w:bottom="1180" w:left="1600" w:right="1580"/>
        </w:sectPr>
      </w:pPr>
    </w:p>
    <w:p>
      <w:pPr>
        <w:pStyle w:val="BodyText"/>
        <w:spacing w:line="360" w:lineRule="auto" w:before="54"/>
        <w:ind w:left="102" w:right="117"/>
        <w:jc w:val="both"/>
      </w:pPr>
      <w:r>
        <w:rPr/>
        <w:t>Poder Ejecutivo del Estado. Entre sus múltiples funciones se encuentra la distribución a los municipios de las participaciones y aportaciones federales. Además de brindar asesoría y apoyo técnico a los municipios en cuanto al tema de los fondos federales que le son destinados.</w:t>
      </w:r>
    </w:p>
    <w:p>
      <w:pPr>
        <w:pStyle w:val="BodyText"/>
        <w:spacing w:line="360" w:lineRule="auto" w:before="204"/>
        <w:ind w:left="102" w:right="122"/>
        <w:jc w:val="both"/>
      </w:pPr>
      <w:r>
        <w:rPr/>
        <w:t>La Secretaría de Finanzas a través de la Gaceta de Gobierno de la entidad pública da a conocer la fórmula, metodología, distribución y calendario de las</w:t>
      </w:r>
      <w:r>
        <w:rPr>
          <w:spacing w:val="-38"/>
        </w:rPr>
        <w:t> </w:t>
      </w:r>
      <w:r>
        <w:rPr/>
        <w:t>asignaciones por municipio que les concierne del Fondo de Aportaciones para la Infraestructura Social Municipal y Demarcaciones Territoriales del Distrito Federal así como del Fondo de Aportaciones para el Fortalecimiento de los Municipios y de las Demarcaciones de Territoriales del Distrito Federal  del ejercicio que</w:t>
      </w:r>
      <w:r>
        <w:rPr>
          <w:spacing w:val="-18"/>
        </w:rPr>
        <w:t> </w:t>
      </w:r>
      <w:r>
        <w:rPr/>
        <w:t>corresponda.</w:t>
      </w:r>
    </w:p>
    <w:p>
      <w:pPr>
        <w:pStyle w:val="BodyText"/>
        <w:spacing w:line="360" w:lineRule="auto" w:before="204"/>
        <w:ind w:left="102" w:right="115"/>
        <w:jc w:val="both"/>
      </w:pPr>
      <w:r>
        <w:rPr/>
        <w:t>Se tiene entonces que del periodo de estudio de 2008 a 2014 el Poder Ejecutivo asignó un presupuesto total de egresos para la entidad de 1 billón 56 mil 641 millones 898 mil 109 pesos, de los cuales 67 mil 557 millones 210 mil 795 pesos</w:t>
      </w:r>
    </w:p>
    <w:p>
      <w:pPr>
        <w:pStyle w:val="BodyText"/>
        <w:spacing w:line="360" w:lineRule="auto" w:before="2"/>
        <w:ind w:left="102" w:right="115"/>
        <w:jc w:val="both"/>
      </w:pPr>
      <w:r>
        <w:rPr/>
        <w:t>pertenecen a las aportaciones federales, siendo 22 mil 115 millones 828 mil 992 pesos</w:t>
      </w:r>
      <w:r>
        <w:rPr>
          <w:spacing w:val="-17"/>
        </w:rPr>
        <w:t> </w:t>
      </w:r>
      <w:r>
        <w:rPr/>
        <w:t>que</w:t>
      </w:r>
      <w:r>
        <w:rPr>
          <w:spacing w:val="-16"/>
        </w:rPr>
        <w:t> </w:t>
      </w:r>
      <w:r>
        <w:rPr/>
        <w:t>corresponden</w:t>
      </w:r>
      <w:r>
        <w:rPr>
          <w:spacing w:val="-17"/>
        </w:rPr>
        <w:t> </w:t>
      </w:r>
      <w:r>
        <w:rPr/>
        <w:t>al</w:t>
      </w:r>
      <w:r>
        <w:rPr>
          <w:spacing w:val="-18"/>
        </w:rPr>
        <w:t> </w:t>
      </w:r>
      <w:r>
        <w:rPr/>
        <w:t>Fondo</w:t>
      </w:r>
      <w:r>
        <w:rPr>
          <w:spacing w:val="-19"/>
        </w:rPr>
        <w:t> </w:t>
      </w:r>
      <w:r>
        <w:rPr/>
        <w:t>para</w:t>
      </w:r>
      <w:r>
        <w:rPr>
          <w:spacing w:val="-17"/>
        </w:rPr>
        <w:t> </w:t>
      </w:r>
      <w:r>
        <w:rPr/>
        <w:t>la</w:t>
      </w:r>
      <w:r>
        <w:rPr>
          <w:spacing w:val="-19"/>
        </w:rPr>
        <w:t> </w:t>
      </w:r>
      <w:r>
        <w:rPr/>
        <w:t>Infraestructura</w:t>
      </w:r>
      <w:r>
        <w:rPr>
          <w:spacing w:val="-17"/>
        </w:rPr>
        <w:t> </w:t>
      </w:r>
      <w:r>
        <w:rPr/>
        <w:t>Social</w:t>
      </w:r>
      <w:r>
        <w:rPr>
          <w:spacing w:val="-18"/>
        </w:rPr>
        <w:t> </w:t>
      </w:r>
      <w:r>
        <w:rPr/>
        <w:t>Municipal</w:t>
      </w:r>
      <w:r>
        <w:rPr>
          <w:spacing w:val="-12"/>
        </w:rPr>
        <w:t> </w:t>
      </w:r>
      <w:r>
        <w:rPr/>
        <w:t>(FISMDF) y 45 mil 453 millones 381 mil 803 pesos al Fondo de Aportaciones para el Fortalecimiento Municipal y de las Demarcaciones Territoriales del Distrito Federal (FORTAMUNDF),</w:t>
      </w:r>
      <w:r>
        <w:rPr>
          <w:spacing w:val="-13"/>
        </w:rPr>
        <w:t> </w:t>
      </w:r>
      <w:r>
        <w:rPr/>
        <w:t>representando</w:t>
      </w:r>
      <w:r>
        <w:rPr>
          <w:spacing w:val="-13"/>
        </w:rPr>
        <w:t> </w:t>
      </w:r>
      <w:r>
        <w:rPr/>
        <w:t>así</w:t>
      </w:r>
      <w:r>
        <w:rPr>
          <w:spacing w:val="-16"/>
        </w:rPr>
        <w:t> </w:t>
      </w:r>
      <w:r>
        <w:rPr/>
        <w:t>el</w:t>
      </w:r>
      <w:r>
        <w:rPr>
          <w:spacing w:val="-14"/>
        </w:rPr>
        <w:t> </w:t>
      </w:r>
      <w:r>
        <w:rPr/>
        <w:t>6%</w:t>
      </w:r>
      <w:r>
        <w:rPr>
          <w:spacing w:val="37"/>
        </w:rPr>
        <w:t> </w:t>
      </w:r>
      <w:r>
        <w:rPr/>
        <w:t>del</w:t>
      </w:r>
      <w:r>
        <w:rPr>
          <w:spacing w:val="-14"/>
        </w:rPr>
        <w:t> </w:t>
      </w:r>
      <w:r>
        <w:rPr/>
        <w:t>presupuesto</w:t>
      </w:r>
      <w:r>
        <w:rPr>
          <w:spacing w:val="-13"/>
        </w:rPr>
        <w:t> </w:t>
      </w:r>
      <w:r>
        <w:rPr/>
        <w:t>total</w:t>
      </w:r>
      <w:r>
        <w:rPr>
          <w:spacing w:val="-14"/>
        </w:rPr>
        <w:t> </w:t>
      </w:r>
      <w:r>
        <w:rPr/>
        <w:t>de</w:t>
      </w:r>
      <w:r>
        <w:rPr>
          <w:spacing w:val="-16"/>
        </w:rPr>
        <w:t> </w:t>
      </w:r>
      <w:r>
        <w:rPr/>
        <w:t>egresos</w:t>
      </w:r>
      <w:r>
        <w:rPr>
          <w:spacing w:val="-14"/>
        </w:rPr>
        <w:t> </w:t>
      </w:r>
      <w:r>
        <w:rPr/>
        <w:t>de</w:t>
      </w:r>
      <w:r>
        <w:rPr>
          <w:spacing w:val="-13"/>
        </w:rPr>
        <w:t> </w:t>
      </w:r>
      <w:r>
        <w:rPr/>
        <w:t>ese periodo de estudio, tal como se desglosa en el cuadro</w:t>
      </w:r>
      <w:r>
        <w:rPr>
          <w:spacing w:val="-21"/>
        </w:rPr>
        <w:t> </w:t>
      </w:r>
      <w:r>
        <w:rPr/>
        <w:t>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Heading2"/>
        <w:spacing w:line="242" w:lineRule="auto"/>
        <w:ind w:left="1858" w:right="776" w:hanging="1090"/>
        <w:jc w:val="left"/>
      </w:pPr>
      <w:r>
        <w:rPr/>
        <w:t>Cuadro 7. Representación de las Aportaciones Federales sobre el Presupuesto de Egresos del Estado de México</w:t>
      </w:r>
    </w:p>
    <w:p>
      <w:pPr>
        <w:pStyle w:val="BodyText"/>
        <w:spacing w:before="2" w:after="1"/>
        <w:rPr>
          <w:b/>
          <w:sz w:val="17"/>
        </w:rPr>
      </w:pPr>
    </w:p>
    <w:tbl>
      <w:tblPr>
        <w:tblW w:w="0" w:type="auto"/>
        <w:jc w:val="left"/>
        <w:tblInd w:w="6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1"/>
        <w:gridCol w:w="1948"/>
        <w:gridCol w:w="2295"/>
        <w:gridCol w:w="2263"/>
      </w:tblGrid>
      <w:tr>
        <w:trPr>
          <w:trHeight w:val="690" w:hRule="exact"/>
        </w:trPr>
        <w:tc>
          <w:tcPr>
            <w:tcW w:w="1161" w:type="dxa"/>
            <w:shd w:val="clear" w:color="auto" w:fill="000000"/>
          </w:tcPr>
          <w:p>
            <w:pPr>
              <w:pStyle w:val="TableParagraph"/>
              <w:spacing w:line="242" w:lineRule="auto" w:before="14"/>
              <w:ind w:left="240" w:hanging="132"/>
              <w:rPr>
                <w:b/>
                <w:sz w:val="20"/>
              </w:rPr>
            </w:pPr>
            <w:r>
              <w:rPr>
                <w:b/>
                <w:color w:val="FFFFFF"/>
                <w:w w:val="95"/>
                <w:sz w:val="20"/>
              </w:rPr>
              <w:t>Ejercicio </w:t>
            </w:r>
            <w:r>
              <w:rPr>
                <w:b/>
                <w:color w:val="FFFFFF"/>
                <w:sz w:val="20"/>
              </w:rPr>
              <w:t>Fiscal</w:t>
            </w:r>
          </w:p>
        </w:tc>
        <w:tc>
          <w:tcPr>
            <w:tcW w:w="1948" w:type="dxa"/>
            <w:shd w:val="clear" w:color="auto" w:fill="000000"/>
          </w:tcPr>
          <w:p>
            <w:pPr>
              <w:pStyle w:val="TableParagraph"/>
              <w:spacing w:line="242" w:lineRule="auto" w:before="14"/>
              <w:ind w:left="221" w:right="205"/>
              <w:rPr>
                <w:b/>
                <w:sz w:val="20"/>
              </w:rPr>
            </w:pPr>
            <w:r>
              <w:rPr>
                <w:b/>
                <w:color w:val="FFFFFF"/>
                <w:sz w:val="20"/>
              </w:rPr>
              <w:t>Presupuesto de Egresos Estatal</w:t>
            </w:r>
          </w:p>
        </w:tc>
        <w:tc>
          <w:tcPr>
            <w:tcW w:w="2295" w:type="dxa"/>
            <w:shd w:val="clear" w:color="auto" w:fill="000000"/>
          </w:tcPr>
          <w:p>
            <w:pPr>
              <w:pStyle w:val="TableParagraph"/>
              <w:spacing w:before="14"/>
              <w:ind w:left="227" w:right="102" w:firstLine="336"/>
              <w:rPr>
                <w:b/>
                <w:sz w:val="20"/>
              </w:rPr>
            </w:pPr>
            <w:r>
              <w:rPr>
                <w:b/>
                <w:color w:val="FFFFFF"/>
                <w:sz w:val="20"/>
              </w:rPr>
              <w:t>Aportaciones Federales de FISM Y</w:t>
            </w:r>
          </w:p>
        </w:tc>
        <w:tc>
          <w:tcPr>
            <w:tcW w:w="2263" w:type="dxa"/>
            <w:shd w:val="clear" w:color="auto" w:fill="000000"/>
          </w:tcPr>
          <w:p>
            <w:pPr>
              <w:pStyle w:val="TableParagraph"/>
              <w:spacing w:before="14"/>
              <w:ind w:left="184" w:right="99" w:hanging="63"/>
              <w:rPr>
                <w:b/>
                <w:sz w:val="20"/>
              </w:rPr>
            </w:pPr>
            <w:r>
              <w:rPr>
                <w:b/>
                <w:color w:val="FFFFFF"/>
                <w:sz w:val="20"/>
              </w:rPr>
              <w:t>Representación en % de las Aportaciones</w:t>
            </w:r>
          </w:p>
        </w:tc>
      </w:tr>
    </w:tbl>
    <w:p>
      <w:pPr>
        <w:spacing w:after="0"/>
        <w:rPr>
          <w:sz w:val="20"/>
        </w:rPr>
        <w:sectPr>
          <w:pgSz w:w="12240" w:h="15840"/>
          <w:pgMar w:header="0" w:footer="992" w:top="1360" w:bottom="1180" w:left="1600" w:right="1580"/>
        </w:sectPr>
      </w:pPr>
    </w:p>
    <w:tbl>
      <w:tblPr>
        <w:tblW w:w="0" w:type="auto"/>
        <w:jc w:val="left"/>
        <w:tblInd w:w="67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1"/>
        <w:gridCol w:w="2316"/>
        <w:gridCol w:w="2048"/>
        <w:gridCol w:w="2252"/>
      </w:tblGrid>
      <w:tr>
        <w:trPr>
          <w:trHeight w:val="681" w:hRule="exact"/>
        </w:trPr>
        <w:tc>
          <w:tcPr>
            <w:tcW w:w="1051" w:type="dxa"/>
            <w:shd w:val="clear" w:color="auto" w:fill="000000"/>
          </w:tcPr>
          <w:p>
            <w:pPr/>
          </w:p>
        </w:tc>
        <w:tc>
          <w:tcPr>
            <w:tcW w:w="2316" w:type="dxa"/>
            <w:shd w:val="clear" w:color="auto" w:fill="000000"/>
          </w:tcPr>
          <w:p>
            <w:pPr/>
          </w:p>
        </w:tc>
        <w:tc>
          <w:tcPr>
            <w:tcW w:w="2048" w:type="dxa"/>
            <w:shd w:val="clear" w:color="auto" w:fill="000000"/>
          </w:tcPr>
          <w:p>
            <w:pPr>
              <w:pStyle w:val="TableParagraph"/>
              <w:spacing w:before="8"/>
              <w:ind w:left="370"/>
              <w:rPr>
                <w:b/>
                <w:sz w:val="20"/>
              </w:rPr>
            </w:pPr>
            <w:r>
              <w:rPr>
                <w:b/>
                <w:color w:val="FFFFFF"/>
                <w:sz w:val="20"/>
              </w:rPr>
              <w:t>FORTAMUN</w:t>
            </w:r>
          </w:p>
        </w:tc>
        <w:tc>
          <w:tcPr>
            <w:tcW w:w="2252" w:type="dxa"/>
            <w:shd w:val="clear" w:color="auto" w:fill="000000"/>
          </w:tcPr>
          <w:p>
            <w:pPr>
              <w:pStyle w:val="TableParagraph"/>
              <w:spacing w:line="242" w:lineRule="auto" w:before="5"/>
              <w:ind w:left="727" w:hanging="610"/>
              <w:rPr>
                <w:b/>
                <w:sz w:val="20"/>
              </w:rPr>
            </w:pPr>
            <w:r>
              <w:rPr>
                <w:b/>
                <w:color w:val="FFFFFF"/>
                <w:sz w:val="20"/>
              </w:rPr>
              <w:t>en el Presupuesto de Egresos</w:t>
            </w:r>
          </w:p>
        </w:tc>
      </w:tr>
      <w:tr>
        <w:trPr>
          <w:trHeight w:val="564" w:hRule="exact"/>
        </w:trPr>
        <w:tc>
          <w:tcPr>
            <w:tcW w:w="1051" w:type="dxa"/>
            <w:tcBorders>
              <w:top w:val="single" w:sz="8" w:space="0" w:color="000000"/>
              <w:left w:val="single" w:sz="8" w:space="0" w:color="000000"/>
              <w:bottom w:val="single" w:sz="8" w:space="0" w:color="000000"/>
            </w:tcBorders>
          </w:tcPr>
          <w:p>
            <w:pPr>
              <w:pStyle w:val="TableParagraph"/>
              <w:spacing w:line="227" w:lineRule="exact"/>
              <w:ind w:left="292"/>
              <w:rPr>
                <w:b/>
                <w:sz w:val="20"/>
              </w:rPr>
            </w:pPr>
            <w:r>
              <w:rPr>
                <w:b/>
                <w:sz w:val="20"/>
              </w:rPr>
              <w:t>2008</w:t>
            </w:r>
          </w:p>
        </w:tc>
        <w:tc>
          <w:tcPr>
            <w:tcW w:w="2316" w:type="dxa"/>
            <w:tcBorders>
              <w:top w:val="single" w:sz="8" w:space="0" w:color="000000"/>
              <w:bottom w:val="single" w:sz="8" w:space="0" w:color="000000"/>
            </w:tcBorders>
          </w:tcPr>
          <w:p>
            <w:pPr>
              <w:pStyle w:val="TableParagraph"/>
              <w:spacing w:line="230" w:lineRule="exact"/>
              <w:ind w:right="263"/>
              <w:jc w:val="right"/>
              <w:rPr>
                <w:sz w:val="20"/>
              </w:rPr>
            </w:pPr>
            <w:r>
              <w:rPr>
                <w:w w:val="95"/>
                <w:sz w:val="20"/>
              </w:rPr>
              <w:t>114,555,213,676.00</w:t>
            </w:r>
          </w:p>
        </w:tc>
        <w:tc>
          <w:tcPr>
            <w:tcW w:w="2048" w:type="dxa"/>
            <w:tcBorders>
              <w:top w:val="single" w:sz="8" w:space="0" w:color="000000"/>
              <w:bottom w:val="single" w:sz="8" w:space="0" w:color="000000"/>
            </w:tcBorders>
          </w:tcPr>
          <w:p>
            <w:pPr>
              <w:pStyle w:val="TableParagraph"/>
              <w:spacing w:line="230" w:lineRule="exact"/>
              <w:ind w:right="116"/>
              <w:jc w:val="right"/>
              <w:rPr>
                <w:sz w:val="20"/>
              </w:rPr>
            </w:pPr>
            <w:r>
              <w:rPr>
                <w:w w:val="95"/>
                <w:sz w:val="20"/>
              </w:rPr>
              <w:t>7,993599,953.00</w:t>
            </w:r>
          </w:p>
        </w:tc>
        <w:tc>
          <w:tcPr>
            <w:tcW w:w="2252" w:type="dxa"/>
            <w:tcBorders>
              <w:top w:val="single" w:sz="8" w:space="0" w:color="000000"/>
              <w:bottom w:val="single" w:sz="8" w:space="0" w:color="000000"/>
              <w:right w:val="single" w:sz="8" w:space="0" w:color="000000"/>
            </w:tcBorders>
          </w:tcPr>
          <w:p>
            <w:pPr>
              <w:pStyle w:val="TableParagraph"/>
              <w:spacing w:line="230" w:lineRule="exact"/>
              <w:ind w:left="872" w:right="873"/>
              <w:jc w:val="center"/>
              <w:rPr>
                <w:sz w:val="20"/>
              </w:rPr>
            </w:pPr>
            <w:r>
              <w:rPr>
                <w:sz w:val="20"/>
              </w:rPr>
              <w:t>6.9%</w:t>
            </w:r>
          </w:p>
        </w:tc>
      </w:tr>
      <w:tr>
        <w:trPr>
          <w:trHeight w:val="566" w:hRule="exact"/>
        </w:trPr>
        <w:tc>
          <w:tcPr>
            <w:tcW w:w="1051" w:type="dxa"/>
            <w:tcBorders>
              <w:top w:val="single" w:sz="8" w:space="0" w:color="000000"/>
              <w:left w:val="single" w:sz="8" w:space="0" w:color="000000"/>
              <w:bottom w:val="single" w:sz="8" w:space="0" w:color="000000"/>
            </w:tcBorders>
          </w:tcPr>
          <w:p>
            <w:pPr>
              <w:pStyle w:val="TableParagraph"/>
              <w:spacing w:line="227" w:lineRule="exact"/>
              <w:ind w:left="292"/>
              <w:rPr>
                <w:b/>
                <w:sz w:val="20"/>
              </w:rPr>
            </w:pPr>
            <w:r>
              <w:rPr>
                <w:b/>
                <w:sz w:val="20"/>
              </w:rPr>
              <w:t>2009</w:t>
            </w:r>
          </w:p>
        </w:tc>
        <w:tc>
          <w:tcPr>
            <w:tcW w:w="2316" w:type="dxa"/>
            <w:tcBorders>
              <w:top w:val="single" w:sz="8" w:space="0" w:color="000000"/>
              <w:bottom w:val="single" w:sz="8" w:space="0" w:color="000000"/>
            </w:tcBorders>
          </w:tcPr>
          <w:p>
            <w:pPr>
              <w:pStyle w:val="TableParagraph"/>
              <w:spacing w:line="230" w:lineRule="exact"/>
              <w:ind w:right="263"/>
              <w:jc w:val="right"/>
              <w:rPr>
                <w:sz w:val="20"/>
              </w:rPr>
            </w:pPr>
            <w:r>
              <w:rPr>
                <w:w w:val="95"/>
                <w:sz w:val="20"/>
              </w:rPr>
              <w:t>124,359,232,407.00</w:t>
            </w:r>
          </w:p>
        </w:tc>
        <w:tc>
          <w:tcPr>
            <w:tcW w:w="2048" w:type="dxa"/>
            <w:tcBorders>
              <w:top w:val="single" w:sz="8" w:space="0" w:color="000000"/>
              <w:bottom w:val="single" w:sz="8" w:space="0" w:color="000000"/>
            </w:tcBorders>
          </w:tcPr>
          <w:p>
            <w:pPr>
              <w:pStyle w:val="TableParagraph"/>
              <w:spacing w:line="230" w:lineRule="exact"/>
              <w:ind w:right="116"/>
              <w:jc w:val="right"/>
              <w:rPr>
                <w:sz w:val="20"/>
              </w:rPr>
            </w:pPr>
            <w:r>
              <w:rPr>
                <w:w w:val="95"/>
                <w:sz w:val="20"/>
              </w:rPr>
              <w:t>8,529,715,927.00</w:t>
            </w:r>
          </w:p>
        </w:tc>
        <w:tc>
          <w:tcPr>
            <w:tcW w:w="2252" w:type="dxa"/>
            <w:tcBorders>
              <w:top w:val="single" w:sz="8" w:space="0" w:color="000000"/>
              <w:bottom w:val="single" w:sz="8" w:space="0" w:color="000000"/>
              <w:right w:val="single" w:sz="8" w:space="0" w:color="000000"/>
            </w:tcBorders>
          </w:tcPr>
          <w:p>
            <w:pPr>
              <w:pStyle w:val="TableParagraph"/>
              <w:spacing w:line="230" w:lineRule="exact"/>
              <w:ind w:left="872" w:right="873"/>
              <w:jc w:val="center"/>
              <w:rPr>
                <w:sz w:val="20"/>
              </w:rPr>
            </w:pPr>
            <w:r>
              <w:rPr>
                <w:sz w:val="20"/>
              </w:rPr>
              <w:t>6.8%</w:t>
            </w:r>
          </w:p>
        </w:tc>
      </w:tr>
      <w:tr>
        <w:trPr>
          <w:trHeight w:val="564" w:hRule="exact"/>
        </w:trPr>
        <w:tc>
          <w:tcPr>
            <w:tcW w:w="1051" w:type="dxa"/>
            <w:tcBorders>
              <w:top w:val="single" w:sz="8" w:space="0" w:color="000000"/>
              <w:left w:val="single" w:sz="8" w:space="0" w:color="000000"/>
              <w:bottom w:val="single" w:sz="8" w:space="0" w:color="000000"/>
            </w:tcBorders>
          </w:tcPr>
          <w:p>
            <w:pPr>
              <w:pStyle w:val="TableParagraph"/>
              <w:spacing w:line="227" w:lineRule="exact"/>
              <w:ind w:left="292"/>
              <w:rPr>
                <w:b/>
                <w:sz w:val="20"/>
              </w:rPr>
            </w:pPr>
            <w:r>
              <w:rPr>
                <w:b/>
                <w:sz w:val="20"/>
              </w:rPr>
              <w:t>2010</w:t>
            </w:r>
          </w:p>
        </w:tc>
        <w:tc>
          <w:tcPr>
            <w:tcW w:w="2316" w:type="dxa"/>
            <w:tcBorders>
              <w:top w:val="single" w:sz="8" w:space="0" w:color="000000"/>
              <w:bottom w:val="single" w:sz="8" w:space="0" w:color="000000"/>
            </w:tcBorders>
          </w:tcPr>
          <w:p>
            <w:pPr>
              <w:pStyle w:val="TableParagraph"/>
              <w:spacing w:line="230" w:lineRule="exact"/>
              <w:ind w:right="263"/>
              <w:jc w:val="right"/>
              <w:rPr>
                <w:sz w:val="20"/>
              </w:rPr>
            </w:pPr>
            <w:r>
              <w:rPr>
                <w:w w:val="95"/>
                <w:sz w:val="20"/>
              </w:rPr>
              <w:t>134,029,408,366.00</w:t>
            </w:r>
          </w:p>
        </w:tc>
        <w:tc>
          <w:tcPr>
            <w:tcW w:w="2048" w:type="dxa"/>
            <w:tcBorders>
              <w:top w:val="single" w:sz="8" w:space="0" w:color="000000"/>
              <w:bottom w:val="single" w:sz="8" w:space="0" w:color="000000"/>
            </w:tcBorders>
          </w:tcPr>
          <w:p>
            <w:pPr>
              <w:pStyle w:val="TableParagraph"/>
              <w:spacing w:line="230" w:lineRule="exact"/>
              <w:ind w:right="116"/>
              <w:jc w:val="right"/>
              <w:rPr>
                <w:sz w:val="20"/>
              </w:rPr>
            </w:pPr>
            <w:r>
              <w:rPr>
                <w:w w:val="95"/>
                <w:sz w:val="20"/>
              </w:rPr>
              <w:t>8,906,808,000.00</w:t>
            </w:r>
          </w:p>
        </w:tc>
        <w:tc>
          <w:tcPr>
            <w:tcW w:w="2252" w:type="dxa"/>
            <w:tcBorders>
              <w:top w:val="single" w:sz="8" w:space="0" w:color="000000"/>
              <w:bottom w:val="single" w:sz="8" w:space="0" w:color="000000"/>
              <w:right w:val="single" w:sz="8" w:space="0" w:color="000000"/>
            </w:tcBorders>
          </w:tcPr>
          <w:p>
            <w:pPr>
              <w:pStyle w:val="TableParagraph"/>
              <w:spacing w:line="230" w:lineRule="exact"/>
              <w:ind w:left="872" w:right="873"/>
              <w:jc w:val="center"/>
              <w:rPr>
                <w:sz w:val="20"/>
              </w:rPr>
            </w:pPr>
            <w:r>
              <w:rPr>
                <w:sz w:val="20"/>
              </w:rPr>
              <w:t>6.6%</w:t>
            </w:r>
          </w:p>
        </w:tc>
      </w:tr>
      <w:tr>
        <w:trPr>
          <w:trHeight w:val="564" w:hRule="exact"/>
        </w:trPr>
        <w:tc>
          <w:tcPr>
            <w:tcW w:w="1051" w:type="dxa"/>
            <w:tcBorders>
              <w:top w:val="single" w:sz="8" w:space="0" w:color="000000"/>
              <w:left w:val="single" w:sz="8" w:space="0" w:color="000000"/>
              <w:bottom w:val="single" w:sz="8" w:space="0" w:color="000000"/>
            </w:tcBorders>
          </w:tcPr>
          <w:p>
            <w:pPr>
              <w:pStyle w:val="TableParagraph"/>
              <w:spacing w:line="227" w:lineRule="exact"/>
              <w:ind w:left="292"/>
              <w:rPr>
                <w:b/>
                <w:sz w:val="20"/>
              </w:rPr>
            </w:pPr>
            <w:r>
              <w:rPr>
                <w:b/>
                <w:sz w:val="20"/>
              </w:rPr>
              <w:t>2011</w:t>
            </w:r>
          </w:p>
        </w:tc>
        <w:tc>
          <w:tcPr>
            <w:tcW w:w="2316" w:type="dxa"/>
            <w:tcBorders>
              <w:top w:val="single" w:sz="8" w:space="0" w:color="000000"/>
              <w:bottom w:val="single" w:sz="8" w:space="0" w:color="000000"/>
            </w:tcBorders>
          </w:tcPr>
          <w:p>
            <w:pPr>
              <w:pStyle w:val="TableParagraph"/>
              <w:spacing w:line="230" w:lineRule="exact"/>
              <w:ind w:right="263"/>
              <w:jc w:val="right"/>
              <w:rPr>
                <w:sz w:val="20"/>
              </w:rPr>
            </w:pPr>
            <w:r>
              <w:rPr>
                <w:w w:val="95"/>
                <w:sz w:val="20"/>
              </w:rPr>
              <w:t>148,343,021,687.00</w:t>
            </w:r>
          </w:p>
        </w:tc>
        <w:tc>
          <w:tcPr>
            <w:tcW w:w="2048" w:type="dxa"/>
            <w:tcBorders>
              <w:top w:val="single" w:sz="8" w:space="0" w:color="000000"/>
              <w:bottom w:val="single" w:sz="8" w:space="0" w:color="000000"/>
            </w:tcBorders>
          </w:tcPr>
          <w:p>
            <w:pPr>
              <w:pStyle w:val="TableParagraph"/>
              <w:spacing w:line="230" w:lineRule="exact"/>
              <w:ind w:right="116"/>
              <w:jc w:val="right"/>
              <w:rPr>
                <w:sz w:val="20"/>
              </w:rPr>
            </w:pPr>
            <w:r>
              <w:rPr>
                <w:w w:val="95"/>
                <w:sz w:val="20"/>
              </w:rPr>
              <w:t>10,006,723,869.00</w:t>
            </w:r>
          </w:p>
        </w:tc>
        <w:tc>
          <w:tcPr>
            <w:tcW w:w="2252" w:type="dxa"/>
            <w:tcBorders>
              <w:top w:val="single" w:sz="8" w:space="0" w:color="000000"/>
              <w:bottom w:val="single" w:sz="8" w:space="0" w:color="000000"/>
              <w:right w:val="single" w:sz="8" w:space="0" w:color="000000"/>
            </w:tcBorders>
          </w:tcPr>
          <w:p>
            <w:pPr>
              <w:pStyle w:val="TableParagraph"/>
              <w:spacing w:line="230" w:lineRule="exact"/>
              <w:ind w:left="872" w:right="873"/>
              <w:jc w:val="center"/>
              <w:rPr>
                <w:sz w:val="20"/>
              </w:rPr>
            </w:pPr>
            <w:r>
              <w:rPr>
                <w:sz w:val="20"/>
              </w:rPr>
              <w:t>6.7%</w:t>
            </w:r>
          </w:p>
        </w:tc>
      </w:tr>
      <w:tr>
        <w:trPr>
          <w:trHeight w:val="566" w:hRule="exact"/>
        </w:trPr>
        <w:tc>
          <w:tcPr>
            <w:tcW w:w="1051" w:type="dxa"/>
            <w:tcBorders>
              <w:top w:val="single" w:sz="8" w:space="0" w:color="000000"/>
              <w:left w:val="single" w:sz="8" w:space="0" w:color="000000"/>
              <w:bottom w:val="single" w:sz="8" w:space="0" w:color="000000"/>
            </w:tcBorders>
          </w:tcPr>
          <w:p>
            <w:pPr>
              <w:pStyle w:val="TableParagraph"/>
              <w:spacing w:line="230" w:lineRule="exact"/>
              <w:ind w:left="292"/>
              <w:rPr>
                <w:b/>
                <w:sz w:val="20"/>
              </w:rPr>
            </w:pPr>
            <w:r>
              <w:rPr>
                <w:b/>
                <w:sz w:val="20"/>
              </w:rPr>
              <w:t>2012</w:t>
            </w:r>
          </w:p>
        </w:tc>
        <w:tc>
          <w:tcPr>
            <w:tcW w:w="2316" w:type="dxa"/>
            <w:tcBorders>
              <w:top w:val="single" w:sz="8" w:space="0" w:color="000000"/>
              <w:bottom w:val="single" w:sz="8" w:space="0" w:color="000000"/>
            </w:tcBorders>
          </w:tcPr>
          <w:p>
            <w:pPr>
              <w:pStyle w:val="TableParagraph"/>
              <w:spacing w:before="2"/>
              <w:ind w:right="263"/>
              <w:jc w:val="right"/>
              <w:rPr>
                <w:sz w:val="20"/>
              </w:rPr>
            </w:pPr>
            <w:r>
              <w:rPr>
                <w:w w:val="95"/>
                <w:sz w:val="20"/>
              </w:rPr>
              <w:t>165,642,766,034.00</w:t>
            </w:r>
          </w:p>
        </w:tc>
        <w:tc>
          <w:tcPr>
            <w:tcW w:w="2048" w:type="dxa"/>
            <w:tcBorders>
              <w:top w:val="single" w:sz="8" w:space="0" w:color="000000"/>
              <w:bottom w:val="single" w:sz="8" w:space="0" w:color="000000"/>
            </w:tcBorders>
          </w:tcPr>
          <w:p>
            <w:pPr>
              <w:pStyle w:val="TableParagraph"/>
              <w:spacing w:before="2"/>
              <w:ind w:right="116"/>
              <w:jc w:val="right"/>
              <w:rPr>
                <w:sz w:val="20"/>
              </w:rPr>
            </w:pPr>
            <w:r>
              <w:rPr>
                <w:w w:val="95"/>
                <w:sz w:val="20"/>
              </w:rPr>
              <w:t>10,467,054,965.00</w:t>
            </w:r>
          </w:p>
        </w:tc>
        <w:tc>
          <w:tcPr>
            <w:tcW w:w="2252" w:type="dxa"/>
            <w:tcBorders>
              <w:top w:val="single" w:sz="8" w:space="0" w:color="000000"/>
              <w:bottom w:val="single" w:sz="8" w:space="0" w:color="000000"/>
              <w:right w:val="single" w:sz="8" w:space="0" w:color="000000"/>
            </w:tcBorders>
          </w:tcPr>
          <w:p>
            <w:pPr>
              <w:pStyle w:val="TableParagraph"/>
              <w:spacing w:before="2"/>
              <w:ind w:left="872" w:right="873"/>
              <w:jc w:val="center"/>
              <w:rPr>
                <w:sz w:val="20"/>
              </w:rPr>
            </w:pPr>
            <w:r>
              <w:rPr>
                <w:sz w:val="20"/>
              </w:rPr>
              <w:t>6.3%</w:t>
            </w:r>
          </w:p>
        </w:tc>
      </w:tr>
      <w:tr>
        <w:trPr>
          <w:trHeight w:val="565" w:hRule="exact"/>
        </w:trPr>
        <w:tc>
          <w:tcPr>
            <w:tcW w:w="1051" w:type="dxa"/>
            <w:tcBorders>
              <w:top w:val="single" w:sz="8" w:space="0" w:color="000000"/>
              <w:left w:val="single" w:sz="8" w:space="0" w:color="000000"/>
              <w:bottom w:val="single" w:sz="8" w:space="0" w:color="000000"/>
            </w:tcBorders>
          </w:tcPr>
          <w:p>
            <w:pPr>
              <w:pStyle w:val="TableParagraph"/>
              <w:spacing w:line="228" w:lineRule="exact"/>
              <w:ind w:left="292"/>
              <w:rPr>
                <w:b/>
                <w:sz w:val="20"/>
              </w:rPr>
            </w:pPr>
            <w:r>
              <w:rPr>
                <w:b/>
                <w:sz w:val="20"/>
              </w:rPr>
              <w:t>2013</w:t>
            </w:r>
          </w:p>
        </w:tc>
        <w:tc>
          <w:tcPr>
            <w:tcW w:w="2316" w:type="dxa"/>
            <w:tcBorders>
              <w:top w:val="single" w:sz="8" w:space="0" w:color="000000"/>
              <w:bottom w:val="single" w:sz="8" w:space="0" w:color="000000"/>
            </w:tcBorders>
          </w:tcPr>
          <w:p>
            <w:pPr>
              <w:pStyle w:val="TableParagraph"/>
              <w:ind w:right="263"/>
              <w:jc w:val="right"/>
              <w:rPr>
                <w:sz w:val="20"/>
              </w:rPr>
            </w:pPr>
            <w:r>
              <w:rPr>
                <w:w w:val="95"/>
                <w:sz w:val="20"/>
              </w:rPr>
              <w:t>174,408,421,939.00</w:t>
            </w:r>
          </w:p>
        </w:tc>
        <w:tc>
          <w:tcPr>
            <w:tcW w:w="2048" w:type="dxa"/>
            <w:tcBorders>
              <w:top w:val="single" w:sz="8" w:space="0" w:color="000000"/>
              <w:bottom w:val="single" w:sz="8" w:space="0" w:color="000000"/>
            </w:tcBorders>
          </w:tcPr>
          <w:p>
            <w:pPr>
              <w:pStyle w:val="TableParagraph"/>
              <w:ind w:right="116"/>
              <w:jc w:val="right"/>
              <w:rPr>
                <w:sz w:val="20"/>
              </w:rPr>
            </w:pPr>
            <w:r>
              <w:rPr>
                <w:w w:val="95"/>
                <w:sz w:val="20"/>
              </w:rPr>
              <w:t>10,320,564,928.00</w:t>
            </w:r>
          </w:p>
        </w:tc>
        <w:tc>
          <w:tcPr>
            <w:tcW w:w="2252" w:type="dxa"/>
            <w:tcBorders>
              <w:top w:val="single" w:sz="8" w:space="0" w:color="000000"/>
              <w:bottom w:val="single" w:sz="8" w:space="0" w:color="000000"/>
              <w:right w:val="single" w:sz="8" w:space="0" w:color="000000"/>
            </w:tcBorders>
          </w:tcPr>
          <w:p>
            <w:pPr>
              <w:pStyle w:val="TableParagraph"/>
              <w:ind w:left="872" w:right="873"/>
              <w:jc w:val="center"/>
              <w:rPr>
                <w:sz w:val="20"/>
              </w:rPr>
            </w:pPr>
            <w:r>
              <w:rPr>
                <w:sz w:val="20"/>
              </w:rPr>
              <w:t>5.9%</w:t>
            </w:r>
          </w:p>
        </w:tc>
      </w:tr>
      <w:tr>
        <w:trPr>
          <w:trHeight w:val="566" w:hRule="exact"/>
        </w:trPr>
        <w:tc>
          <w:tcPr>
            <w:tcW w:w="1051" w:type="dxa"/>
            <w:tcBorders>
              <w:top w:val="single" w:sz="8" w:space="0" w:color="000000"/>
              <w:left w:val="single" w:sz="8" w:space="0" w:color="000000"/>
              <w:bottom w:val="single" w:sz="8" w:space="0" w:color="000000"/>
            </w:tcBorders>
          </w:tcPr>
          <w:p>
            <w:pPr>
              <w:pStyle w:val="TableParagraph"/>
              <w:spacing w:line="227" w:lineRule="exact"/>
              <w:ind w:left="292"/>
              <w:rPr>
                <w:b/>
                <w:sz w:val="20"/>
              </w:rPr>
            </w:pPr>
            <w:r>
              <w:rPr>
                <w:b/>
                <w:sz w:val="20"/>
              </w:rPr>
              <w:t>2014</w:t>
            </w:r>
          </w:p>
        </w:tc>
        <w:tc>
          <w:tcPr>
            <w:tcW w:w="2316" w:type="dxa"/>
            <w:tcBorders>
              <w:top w:val="single" w:sz="8" w:space="0" w:color="000000"/>
              <w:bottom w:val="single" w:sz="8" w:space="0" w:color="000000"/>
            </w:tcBorders>
          </w:tcPr>
          <w:p>
            <w:pPr>
              <w:pStyle w:val="TableParagraph"/>
              <w:spacing w:line="230" w:lineRule="exact"/>
              <w:ind w:right="263"/>
              <w:jc w:val="right"/>
              <w:rPr>
                <w:sz w:val="20"/>
              </w:rPr>
            </w:pPr>
            <w:r>
              <w:rPr>
                <w:w w:val="95"/>
                <w:sz w:val="20"/>
              </w:rPr>
              <w:t>195,303,834,000.00</w:t>
            </w:r>
          </w:p>
        </w:tc>
        <w:tc>
          <w:tcPr>
            <w:tcW w:w="2048" w:type="dxa"/>
            <w:tcBorders>
              <w:top w:val="single" w:sz="8" w:space="0" w:color="000000"/>
              <w:bottom w:val="single" w:sz="8" w:space="0" w:color="000000"/>
            </w:tcBorders>
          </w:tcPr>
          <w:p>
            <w:pPr>
              <w:pStyle w:val="TableParagraph"/>
              <w:spacing w:line="230" w:lineRule="exact"/>
              <w:ind w:right="116"/>
              <w:jc w:val="right"/>
              <w:rPr>
                <w:sz w:val="20"/>
              </w:rPr>
            </w:pPr>
            <w:r>
              <w:rPr>
                <w:w w:val="95"/>
                <w:sz w:val="20"/>
              </w:rPr>
              <w:t>11,326,743,153.00</w:t>
            </w:r>
          </w:p>
        </w:tc>
        <w:tc>
          <w:tcPr>
            <w:tcW w:w="2252" w:type="dxa"/>
            <w:tcBorders>
              <w:top w:val="single" w:sz="8" w:space="0" w:color="000000"/>
              <w:bottom w:val="single" w:sz="8" w:space="0" w:color="000000"/>
              <w:right w:val="single" w:sz="8" w:space="0" w:color="000000"/>
            </w:tcBorders>
          </w:tcPr>
          <w:p>
            <w:pPr>
              <w:pStyle w:val="TableParagraph"/>
              <w:spacing w:line="230" w:lineRule="exact"/>
              <w:ind w:left="872" w:right="873"/>
              <w:jc w:val="center"/>
              <w:rPr>
                <w:sz w:val="20"/>
              </w:rPr>
            </w:pPr>
            <w:r>
              <w:rPr>
                <w:sz w:val="20"/>
              </w:rPr>
              <w:t>5.7%</w:t>
            </w:r>
          </w:p>
        </w:tc>
      </w:tr>
      <w:tr>
        <w:trPr>
          <w:trHeight w:val="564" w:hRule="exact"/>
        </w:trPr>
        <w:tc>
          <w:tcPr>
            <w:tcW w:w="1051" w:type="dxa"/>
            <w:tcBorders>
              <w:top w:val="single" w:sz="8" w:space="0" w:color="000000"/>
              <w:left w:val="single" w:sz="8" w:space="0" w:color="000000"/>
              <w:bottom w:val="single" w:sz="8" w:space="0" w:color="000000"/>
            </w:tcBorders>
          </w:tcPr>
          <w:p>
            <w:pPr>
              <w:pStyle w:val="TableParagraph"/>
              <w:spacing w:line="227" w:lineRule="exact"/>
              <w:ind w:left="453"/>
              <w:rPr>
                <w:b/>
                <w:sz w:val="20"/>
              </w:rPr>
            </w:pPr>
            <w:r>
              <w:rPr>
                <w:b/>
                <w:sz w:val="20"/>
              </w:rPr>
              <w:t>Total</w:t>
            </w:r>
          </w:p>
        </w:tc>
        <w:tc>
          <w:tcPr>
            <w:tcW w:w="2316" w:type="dxa"/>
            <w:tcBorders>
              <w:top w:val="single" w:sz="8" w:space="0" w:color="000000"/>
              <w:bottom w:val="single" w:sz="8" w:space="0" w:color="000000"/>
            </w:tcBorders>
          </w:tcPr>
          <w:p>
            <w:pPr>
              <w:pStyle w:val="TableParagraph"/>
              <w:spacing w:line="227" w:lineRule="exact"/>
              <w:ind w:right="262"/>
              <w:jc w:val="right"/>
              <w:rPr>
                <w:b/>
                <w:sz w:val="20"/>
              </w:rPr>
            </w:pPr>
            <w:r>
              <w:rPr>
                <w:b/>
                <w:w w:val="95"/>
                <w:sz w:val="20"/>
              </w:rPr>
              <w:t>1,056,641,898,109.00</w:t>
            </w:r>
          </w:p>
        </w:tc>
        <w:tc>
          <w:tcPr>
            <w:tcW w:w="2048" w:type="dxa"/>
            <w:tcBorders>
              <w:top w:val="single" w:sz="8" w:space="0" w:color="000000"/>
              <w:bottom w:val="single" w:sz="8" w:space="0" w:color="000000"/>
            </w:tcBorders>
          </w:tcPr>
          <w:p>
            <w:pPr>
              <w:pStyle w:val="TableParagraph"/>
              <w:spacing w:line="227" w:lineRule="exact"/>
              <w:ind w:right="116"/>
              <w:jc w:val="right"/>
              <w:rPr>
                <w:b/>
                <w:sz w:val="20"/>
              </w:rPr>
            </w:pPr>
            <w:r>
              <w:rPr>
                <w:b/>
                <w:w w:val="95"/>
                <w:sz w:val="20"/>
              </w:rPr>
              <w:t>67,551,210,795.00</w:t>
            </w:r>
          </w:p>
        </w:tc>
        <w:tc>
          <w:tcPr>
            <w:tcW w:w="2252" w:type="dxa"/>
            <w:tcBorders>
              <w:top w:val="single" w:sz="8" w:space="0" w:color="000000"/>
              <w:bottom w:val="single" w:sz="8" w:space="0" w:color="000000"/>
              <w:right w:val="single" w:sz="8" w:space="0" w:color="000000"/>
            </w:tcBorders>
          </w:tcPr>
          <w:p>
            <w:pPr/>
          </w:p>
        </w:tc>
      </w:tr>
    </w:tbl>
    <w:p>
      <w:pPr>
        <w:spacing w:line="242" w:lineRule="auto" w:before="1"/>
        <w:ind w:left="661" w:right="1050" w:firstLine="2"/>
        <w:jc w:val="left"/>
        <w:rPr>
          <w:sz w:val="20"/>
        </w:rPr>
      </w:pPr>
      <w:r>
        <w:rPr>
          <w:b/>
          <w:sz w:val="20"/>
        </w:rPr>
        <w:t>Fuente</w:t>
      </w:r>
      <w:r>
        <w:rPr>
          <w:sz w:val="20"/>
        </w:rPr>
        <w:t>: Elaboración Propia con base en los Decretos de Presupuestos del Estado de México de 2008-2014.</w:t>
      </w:r>
    </w:p>
    <w:p>
      <w:pPr>
        <w:pStyle w:val="BodyText"/>
        <w:spacing w:before="3"/>
      </w:pPr>
    </w:p>
    <w:p>
      <w:pPr>
        <w:pStyle w:val="BodyText"/>
        <w:spacing w:line="360" w:lineRule="auto" w:before="1"/>
        <w:ind w:left="102" w:right="116"/>
        <w:jc w:val="both"/>
      </w:pPr>
      <w:r>
        <w:rPr/>
        <w:t>En el cuadro 7 se detallan las cantidades asignadas a cada fondo conforme van pasando los ejercicios fiscales, es sorprendente observar que lejos de existir un decremento</w:t>
      </w:r>
      <w:r>
        <w:rPr>
          <w:spacing w:val="-8"/>
        </w:rPr>
        <w:t> </w:t>
      </w:r>
      <w:r>
        <w:rPr/>
        <w:t>remarcado,</w:t>
      </w:r>
      <w:r>
        <w:rPr>
          <w:spacing w:val="-9"/>
        </w:rPr>
        <w:t> </w:t>
      </w:r>
      <w:r>
        <w:rPr/>
        <w:t>muy</w:t>
      </w:r>
      <w:r>
        <w:rPr>
          <w:spacing w:val="-12"/>
        </w:rPr>
        <w:t> </w:t>
      </w:r>
      <w:r>
        <w:rPr/>
        <w:t>por</w:t>
      </w:r>
      <w:r>
        <w:rPr>
          <w:spacing w:val="-10"/>
        </w:rPr>
        <w:t> </w:t>
      </w:r>
      <w:r>
        <w:rPr/>
        <w:t>el</w:t>
      </w:r>
      <w:r>
        <w:rPr>
          <w:spacing w:val="-10"/>
        </w:rPr>
        <w:t> </w:t>
      </w:r>
      <w:r>
        <w:rPr/>
        <w:t>contrario</w:t>
      </w:r>
      <w:r>
        <w:rPr>
          <w:spacing w:val="-11"/>
        </w:rPr>
        <w:t> </w:t>
      </w:r>
      <w:r>
        <w:rPr/>
        <w:t>han</w:t>
      </w:r>
      <w:r>
        <w:rPr>
          <w:spacing w:val="-8"/>
        </w:rPr>
        <w:t> </w:t>
      </w:r>
      <w:r>
        <w:rPr/>
        <w:t>existido</w:t>
      </w:r>
      <w:r>
        <w:rPr>
          <w:spacing w:val="-8"/>
        </w:rPr>
        <w:t> </w:t>
      </w:r>
      <w:r>
        <w:rPr/>
        <w:t>incrementos</w:t>
      </w:r>
      <w:r>
        <w:rPr>
          <w:spacing w:val="-9"/>
        </w:rPr>
        <w:t> </w:t>
      </w:r>
      <w:r>
        <w:rPr/>
        <w:t>notables</w:t>
      </w:r>
      <w:r>
        <w:rPr>
          <w:spacing w:val="-9"/>
        </w:rPr>
        <w:t> </w:t>
      </w:r>
      <w:r>
        <w:rPr/>
        <w:t>que auxilian</w:t>
      </w:r>
      <w:r>
        <w:rPr>
          <w:spacing w:val="-11"/>
        </w:rPr>
        <w:t> </w:t>
      </w:r>
      <w:r>
        <w:rPr/>
        <w:t>a</w:t>
      </w:r>
      <w:r>
        <w:rPr>
          <w:spacing w:val="-12"/>
        </w:rPr>
        <w:t> </w:t>
      </w:r>
      <w:r>
        <w:rPr/>
        <w:t>los</w:t>
      </w:r>
      <w:r>
        <w:rPr>
          <w:spacing w:val="-12"/>
        </w:rPr>
        <w:t> </w:t>
      </w:r>
      <w:r>
        <w:rPr/>
        <w:t>gobiernos</w:t>
      </w:r>
      <w:r>
        <w:rPr>
          <w:spacing w:val="-13"/>
        </w:rPr>
        <w:t> </w:t>
      </w:r>
      <w:r>
        <w:rPr/>
        <w:t>municipales</w:t>
      </w:r>
      <w:r>
        <w:rPr>
          <w:spacing w:val="-13"/>
        </w:rPr>
        <w:t> </w:t>
      </w:r>
      <w:r>
        <w:rPr/>
        <w:t>con</w:t>
      </w:r>
      <w:r>
        <w:rPr>
          <w:spacing w:val="-12"/>
        </w:rPr>
        <w:t> </w:t>
      </w:r>
      <w:r>
        <w:rPr/>
        <w:t>sus</w:t>
      </w:r>
      <w:r>
        <w:rPr>
          <w:spacing w:val="-15"/>
        </w:rPr>
        <w:t> </w:t>
      </w:r>
      <w:r>
        <w:rPr/>
        <w:t>gastos,</w:t>
      </w:r>
      <w:r>
        <w:rPr>
          <w:spacing w:val="-12"/>
        </w:rPr>
        <w:t> </w:t>
      </w:r>
      <w:r>
        <w:rPr/>
        <w:t>dejando</w:t>
      </w:r>
      <w:r>
        <w:rPr>
          <w:spacing w:val="-12"/>
        </w:rPr>
        <w:t> </w:t>
      </w:r>
      <w:r>
        <w:rPr/>
        <w:t>de</w:t>
      </w:r>
      <w:r>
        <w:rPr>
          <w:spacing w:val="-9"/>
        </w:rPr>
        <w:t> </w:t>
      </w:r>
      <w:r>
        <w:rPr/>
        <w:t>lado</w:t>
      </w:r>
      <w:r>
        <w:rPr>
          <w:spacing w:val="-12"/>
        </w:rPr>
        <w:t> </w:t>
      </w:r>
      <w:r>
        <w:rPr/>
        <w:t>quizás</w:t>
      </w:r>
      <w:r>
        <w:rPr>
          <w:spacing w:val="-13"/>
        </w:rPr>
        <w:t> </w:t>
      </w:r>
      <w:r>
        <w:rPr/>
        <w:t>aquella problemática que algunos doctrinarios del estudio de las transferencias federales enuncian en algunos de sus trabajos, en donde citan que uno de las tantas problemáticas</w:t>
      </w:r>
      <w:r>
        <w:rPr>
          <w:spacing w:val="-15"/>
        </w:rPr>
        <w:t> </w:t>
      </w:r>
      <w:r>
        <w:rPr/>
        <w:t>en</w:t>
      </w:r>
      <w:r>
        <w:rPr>
          <w:spacing w:val="-12"/>
        </w:rPr>
        <w:t> </w:t>
      </w:r>
      <w:r>
        <w:rPr/>
        <w:t>los</w:t>
      </w:r>
      <w:r>
        <w:rPr>
          <w:spacing w:val="-16"/>
        </w:rPr>
        <w:t> </w:t>
      </w:r>
      <w:r>
        <w:rPr/>
        <w:t>municipios</w:t>
      </w:r>
      <w:r>
        <w:rPr>
          <w:spacing w:val="-14"/>
        </w:rPr>
        <w:t> </w:t>
      </w:r>
      <w:r>
        <w:rPr/>
        <w:t>es</w:t>
      </w:r>
      <w:r>
        <w:rPr>
          <w:spacing w:val="-13"/>
        </w:rPr>
        <w:t> </w:t>
      </w:r>
      <w:r>
        <w:rPr/>
        <w:t>que</w:t>
      </w:r>
      <w:r>
        <w:rPr>
          <w:spacing w:val="-14"/>
        </w:rPr>
        <w:t> </w:t>
      </w:r>
      <w:r>
        <w:rPr/>
        <w:t>requieren</w:t>
      </w:r>
      <w:r>
        <w:rPr>
          <w:spacing w:val="-12"/>
        </w:rPr>
        <w:t> </w:t>
      </w:r>
      <w:r>
        <w:rPr/>
        <w:t>un</w:t>
      </w:r>
      <w:r>
        <w:rPr>
          <w:spacing w:val="-12"/>
        </w:rPr>
        <w:t> </w:t>
      </w:r>
      <w:r>
        <w:rPr/>
        <w:t>incremento</w:t>
      </w:r>
      <w:r>
        <w:rPr>
          <w:spacing w:val="-12"/>
        </w:rPr>
        <w:t> </w:t>
      </w:r>
      <w:r>
        <w:rPr/>
        <w:t>proporcional</w:t>
      </w:r>
      <w:r>
        <w:rPr>
          <w:spacing w:val="-15"/>
        </w:rPr>
        <w:t> </w:t>
      </w:r>
      <w:r>
        <w:rPr/>
        <w:t>de</w:t>
      </w:r>
      <w:r>
        <w:rPr>
          <w:spacing w:val="-14"/>
        </w:rPr>
        <w:t> </w:t>
      </w:r>
      <w:r>
        <w:rPr/>
        <w:t>las transferencias, sin embargo se nota que del 2008 para el 2014 las transferencias federales para los municipios han tenido un incremento que va del 6 al 11% entre un ejercicio fiscal a otro tal como se muestra en el cuadro citado. Por lo tanto,</w:t>
      </w:r>
      <w:r>
        <w:rPr>
          <w:spacing w:val="-31"/>
        </w:rPr>
        <w:t> </w:t>
      </w:r>
      <w:r>
        <w:rPr/>
        <w:t>cabe resaltar que aunque en ocasiones una de las limitantes para que el decisor, tome alguna acción para solucionar un hecho que requiere atención, son los recursos monetarios con los que cuenta para estar en la posibilidad de dar solución. En el estado de México se han visto beneficiados los municipios con un incremento proporcional así que de un total de 2008 para 2009 hubo un aumento del 6.7 %, entre 2009 y 2010 fue del 4.7%, para el 2010 y 2011 estuvo en un 11.5%; éste fue el  incremento  más  alto  a  comparación  con  los  años</w:t>
      </w:r>
      <w:r>
        <w:rPr>
          <w:spacing w:val="-26"/>
        </w:rPr>
        <w:t> </w:t>
      </w:r>
      <w:r>
        <w:rPr/>
        <w:t>anteriores,  también  cabe</w:t>
      </w:r>
    </w:p>
    <w:p>
      <w:pPr>
        <w:spacing w:after="0" w:line="360" w:lineRule="auto"/>
        <w:jc w:val="both"/>
        <w:sectPr>
          <w:pgSz w:w="12240" w:h="15840"/>
          <w:pgMar w:header="0" w:footer="992" w:top="1420" w:bottom="1180" w:left="1600" w:right="1580"/>
        </w:sectPr>
      </w:pPr>
    </w:p>
    <w:p>
      <w:pPr>
        <w:pStyle w:val="BodyText"/>
        <w:spacing w:line="360" w:lineRule="auto" w:before="54"/>
        <w:ind w:left="102" w:right="114"/>
        <w:jc w:val="both"/>
      </w:pPr>
      <w:r>
        <w:rPr/>
        <w:t>resaltar que hubo un decremento del 16.8% en 2013 comparado con 2012, para 2014 se regularizó la situación por lo que comparado con 2013 hubo un aumento de</w:t>
      </w:r>
      <w:r>
        <w:rPr>
          <w:spacing w:val="-13"/>
        </w:rPr>
        <w:t> </w:t>
      </w:r>
      <w:r>
        <w:rPr/>
        <w:t>8.4%,</w:t>
      </w:r>
      <w:r>
        <w:rPr>
          <w:spacing w:val="-13"/>
        </w:rPr>
        <w:t> </w:t>
      </w:r>
      <w:r>
        <w:rPr/>
        <w:t>esta</w:t>
      </w:r>
      <w:r>
        <w:rPr>
          <w:spacing w:val="-13"/>
        </w:rPr>
        <w:t> </w:t>
      </w:r>
      <w:r>
        <w:rPr/>
        <w:t>situación</w:t>
      </w:r>
      <w:r>
        <w:rPr>
          <w:spacing w:val="-15"/>
        </w:rPr>
        <w:t> </w:t>
      </w:r>
      <w:r>
        <w:rPr/>
        <w:t>prevaleció</w:t>
      </w:r>
      <w:r>
        <w:rPr>
          <w:spacing w:val="-13"/>
        </w:rPr>
        <w:t> </w:t>
      </w:r>
      <w:r>
        <w:rPr/>
        <w:t>para</w:t>
      </w:r>
      <w:r>
        <w:rPr>
          <w:spacing w:val="-14"/>
        </w:rPr>
        <w:t> </w:t>
      </w:r>
      <w:r>
        <w:rPr/>
        <w:t>ambos</w:t>
      </w:r>
      <w:r>
        <w:rPr>
          <w:spacing w:val="-14"/>
        </w:rPr>
        <w:t> </w:t>
      </w:r>
      <w:r>
        <w:rPr/>
        <w:t>fondos</w:t>
      </w:r>
      <w:r>
        <w:rPr>
          <w:spacing w:val="-16"/>
        </w:rPr>
        <w:t> </w:t>
      </w:r>
      <w:r>
        <w:rPr/>
        <w:t>federales.</w:t>
      </w:r>
      <w:r>
        <w:rPr>
          <w:spacing w:val="-10"/>
        </w:rPr>
        <w:t> </w:t>
      </w:r>
      <w:r>
        <w:rPr/>
        <w:t>En</w:t>
      </w:r>
      <w:r>
        <w:rPr>
          <w:spacing w:val="-16"/>
        </w:rPr>
        <w:t> </w:t>
      </w:r>
      <w:r>
        <w:rPr/>
        <w:t>conclusión,</w:t>
      </w:r>
      <w:r>
        <w:rPr>
          <w:spacing w:val="-13"/>
        </w:rPr>
        <w:t> </w:t>
      </w:r>
      <w:r>
        <w:rPr/>
        <w:t>hay una tendencia a la alta de los fondos asignados a los</w:t>
      </w:r>
      <w:r>
        <w:rPr>
          <w:spacing w:val="-27"/>
        </w:rPr>
        <w:t> </w:t>
      </w:r>
      <w:r>
        <w:rPr/>
        <w:t>municipios.</w:t>
      </w:r>
    </w:p>
    <w:p>
      <w:pPr>
        <w:pStyle w:val="BodyText"/>
        <w:spacing w:before="7"/>
      </w:pPr>
    </w:p>
    <w:p>
      <w:pPr>
        <w:pStyle w:val="Heading2"/>
        <w:spacing w:line="360" w:lineRule="auto"/>
        <w:ind w:left="3505" w:right="388" w:hanging="3123"/>
        <w:jc w:val="left"/>
      </w:pPr>
      <w:r>
        <w:rPr/>
        <w:t>Cuadro 8. Incremento y Decremento de las Aportaciones Federales en el Estado de México</w:t>
      </w:r>
    </w:p>
    <w:p>
      <w:pPr>
        <w:pStyle w:val="BodyText"/>
        <w:spacing w:before="7"/>
        <w:rPr>
          <w:b/>
          <w:sz w:val="18"/>
        </w:rPr>
      </w:pPr>
    </w:p>
    <w:tbl>
      <w:tblPr>
        <w:tblW w:w="0" w:type="auto"/>
        <w:jc w:val="left"/>
        <w:tblInd w:w="3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0"/>
        <w:gridCol w:w="1968"/>
        <w:gridCol w:w="1654"/>
        <w:gridCol w:w="1954"/>
        <w:gridCol w:w="1749"/>
      </w:tblGrid>
      <w:tr>
        <w:trPr>
          <w:trHeight w:val="748" w:hRule="exact"/>
        </w:trPr>
        <w:tc>
          <w:tcPr>
            <w:tcW w:w="1050" w:type="dxa"/>
            <w:shd w:val="clear" w:color="auto" w:fill="000000"/>
          </w:tcPr>
          <w:p>
            <w:pPr>
              <w:pStyle w:val="TableParagraph"/>
              <w:spacing w:line="276" w:lineRule="auto" w:before="8"/>
              <w:ind w:left="107" w:right="88"/>
              <w:rPr>
                <w:b/>
                <w:sz w:val="20"/>
              </w:rPr>
            </w:pPr>
            <w:r>
              <w:rPr>
                <w:b/>
                <w:color w:val="FFFFFF"/>
                <w:sz w:val="20"/>
              </w:rPr>
              <w:t>Ejercicio</w:t>
            </w:r>
            <w:r>
              <w:rPr>
                <w:b/>
                <w:color w:val="FFFFFF"/>
                <w:w w:val="99"/>
                <w:sz w:val="20"/>
              </w:rPr>
              <w:t> </w:t>
            </w:r>
            <w:r>
              <w:rPr>
                <w:b/>
                <w:color w:val="FFFFFF"/>
                <w:sz w:val="20"/>
              </w:rPr>
              <w:t>Fiscal</w:t>
            </w:r>
          </w:p>
        </w:tc>
        <w:tc>
          <w:tcPr>
            <w:tcW w:w="1968" w:type="dxa"/>
            <w:shd w:val="clear" w:color="auto" w:fill="000000"/>
          </w:tcPr>
          <w:p>
            <w:pPr>
              <w:pStyle w:val="TableParagraph"/>
              <w:spacing w:before="8"/>
              <w:ind w:left="109"/>
              <w:rPr>
                <w:b/>
                <w:sz w:val="20"/>
              </w:rPr>
            </w:pPr>
            <w:r>
              <w:rPr>
                <w:b/>
                <w:color w:val="FFFFFF"/>
                <w:sz w:val="20"/>
              </w:rPr>
              <w:t>FISMDF</w:t>
            </w:r>
          </w:p>
        </w:tc>
        <w:tc>
          <w:tcPr>
            <w:tcW w:w="1654" w:type="dxa"/>
            <w:shd w:val="clear" w:color="auto" w:fill="000000"/>
          </w:tcPr>
          <w:p>
            <w:pPr>
              <w:pStyle w:val="TableParagraph"/>
              <w:spacing w:before="8"/>
              <w:ind w:left="193"/>
              <w:rPr>
                <w:b/>
                <w:sz w:val="20"/>
              </w:rPr>
            </w:pPr>
            <w:r>
              <w:rPr>
                <w:b/>
                <w:color w:val="FFFFFF"/>
                <w:sz w:val="20"/>
              </w:rPr>
              <w:t>Incremento %</w:t>
            </w:r>
          </w:p>
        </w:tc>
        <w:tc>
          <w:tcPr>
            <w:tcW w:w="1954" w:type="dxa"/>
            <w:shd w:val="clear" w:color="auto" w:fill="000000"/>
          </w:tcPr>
          <w:p>
            <w:pPr>
              <w:pStyle w:val="TableParagraph"/>
              <w:spacing w:before="8"/>
              <w:ind w:left="150"/>
              <w:rPr>
                <w:b/>
                <w:sz w:val="20"/>
              </w:rPr>
            </w:pPr>
            <w:r>
              <w:rPr>
                <w:b/>
                <w:color w:val="FFFFFF"/>
                <w:sz w:val="20"/>
              </w:rPr>
              <w:t>FORTAMUNDF</w:t>
            </w:r>
          </w:p>
        </w:tc>
        <w:tc>
          <w:tcPr>
            <w:tcW w:w="1749" w:type="dxa"/>
            <w:shd w:val="clear" w:color="auto" w:fill="000000"/>
          </w:tcPr>
          <w:p>
            <w:pPr>
              <w:pStyle w:val="TableParagraph"/>
              <w:spacing w:before="8"/>
              <w:ind w:left="248"/>
              <w:rPr>
                <w:b/>
                <w:sz w:val="20"/>
              </w:rPr>
            </w:pPr>
            <w:r>
              <w:rPr>
                <w:b/>
                <w:color w:val="FFFFFF"/>
                <w:sz w:val="20"/>
              </w:rPr>
              <w:t>Incremento %</w:t>
            </w:r>
          </w:p>
        </w:tc>
      </w:tr>
      <w:tr>
        <w:trPr>
          <w:trHeight w:val="485" w:hRule="exact"/>
        </w:trPr>
        <w:tc>
          <w:tcPr>
            <w:tcW w:w="1050" w:type="dxa"/>
            <w:tcBorders>
              <w:top w:val="single" w:sz="8" w:space="0" w:color="000000"/>
              <w:left w:val="single" w:sz="8" w:space="0" w:color="000000"/>
              <w:bottom w:val="single" w:sz="8" w:space="0" w:color="000000"/>
            </w:tcBorders>
          </w:tcPr>
          <w:p>
            <w:pPr>
              <w:pStyle w:val="TableParagraph"/>
              <w:spacing w:line="230" w:lineRule="exact"/>
              <w:ind w:left="98"/>
              <w:rPr>
                <w:b/>
                <w:sz w:val="20"/>
              </w:rPr>
            </w:pPr>
            <w:r>
              <w:rPr>
                <w:b/>
                <w:sz w:val="20"/>
              </w:rPr>
              <w:t>2008</w:t>
            </w:r>
          </w:p>
        </w:tc>
        <w:tc>
          <w:tcPr>
            <w:tcW w:w="1968" w:type="dxa"/>
            <w:tcBorders>
              <w:top w:val="single" w:sz="8" w:space="0" w:color="000000"/>
              <w:bottom w:val="single" w:sz="8" w:space="0" w:color="000000"/>
            </w:tcBorders>
          </w:tcPr>
          <w:p>
            <w:pPr>
              <w:pStyle w:val="TableParagraph"/>
              <w:spacing w:before="2"/>
              <w:ind w:left="109"/>
              <w:rPr>
                <w:sz w:val="20"/>
              </w:rPr>
            </w:pPr>
            <w:r>
              <w:rPr>
                <w:sz w:val="20"/>
              </w:rPr>
              <w:t>2,741,617,198.00</w:t>
            </w:r>
          </w:p>
        </w:tc>
        <w:tc>
          <w:tcPr>
            <w:tcW w:w="1654" w:type="dxa"/>
            <w:tcBorders>
              <w:top w:val="single" w:sz="8" w:space="0" w:color="000000"/>
              <w:bottom w:val="single" w:sz="8" w:space="0" w:color="000000"/>
            </w:tcBorders>
          </w:tcPr>
          <w:p>
            <w:pPr/>
          </w:p>
        </w:tc>
        <w:tc>
          <w:tcPr>
            <w:tcW w:w="1954" w:type="dxa"/>
            <w:tcBorders>
              <w:top w:val="single" w:sz="8" w:space="0" w:color="000000"/>
              <w:bottom w:val="single" w:sz="8" w:space="0" w:color="000000"/>
            </w:tcBorders>
          </w:tcPr>
          <w:p>
            <w:pPr>
              <w:pStyle w:val="TableParagraph"/>
              <w:spacing w:before="2"/>
              <w:ind w:left="150"/>
              <w:rPr>
                <w:sz w:val="20"/>
              </w:rPr>
            </w:pPr>
            <w:r>
              <w:rPr>
                <w:sz w:val="20"/>
              </w:rPr>
              <w:t>5,251,982,755.00</w:t>
            </w:r>
          </w:p>
        </w:tc>
        <w:tc>
          <w:tcPr>
            <w:tcW w:w="1749" w:type="dxa"/>
            <w:tcBorders>
              <w:top w:val="single" w:sz="8" w:space="0" w:color="000000"/>
              <w:bottom w:val="single" w:sz="8" w:space="0" w:color="000000"/>
              <w:right w:val="single" w:sz="8" w:space="0" w:color="000000"/>
            </w:tcBorders>
          </w:tcPr>
          <w:p>
            <w:pPr/>
          </w:p>
        </w:tc>
      </w:tr>
      <w:tr>
        <w:trPr>
          <w:trHeight w:val="485" w:hRule="exact"/>
        </w:trPr>
        <w:tc>
          <w:tcPr>
            <w:tcW w:w="1050" w:type="dxa"/>
            <w:tcBorders>
              <w:top w:val="single" w:sz="8" w:space="0" w:color="000000"/>
              <w:left w:val="single" w:sz="8" w:space="0" w:color="000000"/>
              <w:bottom w:val="single" w:sz="8" w:space="0" w:color="000000"/>
            </w:tcBorders>
          </w:tcPr>
          <w:p>
            <w:pPr>
              <w:pStyle w:val="TableParagraph"/>
              <w:spacing w:line="230" w:lineRule="exact"/>
              <w:ind w:left="98"/>
              <w:rPr>
                <w:b/>
                <w:sz w:val="20"/>
              </w:rPr>
            </w:pPr>
            <w:r>
              <w:rPr>
                <w:b/>
                <w:sz w:val="20"/>
              </w:rPr>
              <w:t>2009</w:t>
            </w:r>
          </w:p>
        </w:tc>
        <w:tc>
          <w:tcPr>
            <w:tcW w:w="1968" w:type="dxa"/>
            <w:tcBorders>
              <w:top w:val="single" w:sz="8" w:space="0" w:color="000000"/>
              <w:bottom w:val="single" w:sz="8" w:space="0" w:color="000000"/>
            </w:tcBorders>
          </w:tcPr>
          <w:p>
            <w:pPr>
              <w:pStyle w:val="TableParagraph"/>
              <w:spacing w:before="2"/>
              <w:ind w:left="109"/>
              <w:rPr>
                <w:sz w:val="20"/>
              </w:rPr>
            </w:pPr>
            <w:r>
              <w:rPr>
                <w:sz w:val="20"/>
              </w:rPr>
              <w:t>2,924,638,737.00</w:t>
            </w:r>
          </w:p>
        </w:tc>
        <w:tc>
          <w:tcPr>
            <w:tcW w:w="1654" w:type="dxa"/>
            <w:tcBorders>
              <w:top w:val="single" w:sz="8" w:space="0" w:color="000000"/>
              <w:bottom w:val="single" w:sz="8" w:space="0" w:color="000000"/>
            </w:tcBorders>
          </w:tcPr>
          <w:p>
            <w:pPr>
              <w:pStyle w:val="TableParagraph"/>
              <w:spacing w:before="2"/>
              <w:ind w:left="193"/>
              <w:rPr>
                <w:sz w:val="20"/>
              </w:rPr>
            </w:pPr>
            <w:r>
              <w:rPr>
                <w:sz w:val="20"/>
              </w:rPr>
              <w:t>6.7%</w:t>
            </w:r>
          </w:p>
        </w:tc>
        <w:tc>
          <w:tcPr>
            <w:tcW w:w="1954" w:type="dxa"/>
            <w:tcBorders>
              <w:top w:val="single" w:sz="8" w:space="0" w:color="000000"/>
              <w:bottom w:val="single" w:sz="8" w:space="0" w:color="000000"/>
            </w:tcBorders>
          </w:tcPr>
          <w:p>
            <w:pPr>
              <w:pStyle w:val="TableParagraph"/>
              <w:spacing w:before="2"/>
              <w:ind w:left="150"/>
              <w:rPr>
                <w:sz w:val="20"/>
              </w:rPr>
            </w:pPr>
            <w:r>
              <w:rPr>
                <w:sz w:val="20"/>
              </w:rPr>
              <w:t>5,605,077,190.00</w:t>
            </w:r>
          </w:p>
        </w:tc>
        <w:tc>
          <w:tcPr>
            <w:tcW w:w="1749" w:type="dxa"/>
            <w:tcBorders>
              <w:top w:val="single" w:sz="8" w:space="0" w:color="000000"/>
              <w:bottom w:val="single" w:sz="8" w:space="0" w:color="000000"/>
              <w:right w:val="single" w:sz="8" w:space="0" w:color="000000"/>
            </w:tcBorders>
          </w:tcPr>
          <w:p>
            <w:pPr>
              <w:pStyle w:val="TableParagraph"/>
              <w:spacing w:before="2"/>
              <w:ind w:left="248"/>
              <w:rPr>
                <w:sz w:val="20"/>
              </w:rPr>
            </w:pPr>
            <w:r>
              <w:rPr>
                <w:sz w:val="20"/>
              </w:rPr>
              <w:t>6.7%</w:t>
            </w:r>
          </w:p>
        </w:tc>
      </w:tr>
      <w:tr>
        <w:trPr>
          <w:trHeight w:val="485" w:hRule="exact"/>
        </w:trPr>
        <w:tc>
          <w:tcPr>
            <w:tcW w:w="1050" w:type="dxa"/>
            <w:tcBorders>
              <w:top w:val="single" w:sz="8" w:space="0" w:color="000000"/>
              <w:left w:val="single" w:sz="8" w:space="0" w:color="000000"/>
              <w:bottom w:val="single" w:sz="8" w:space="0" w:color="000000"/>
            </w:tcBorders>
          </w:tcPr>
          <w:p>
            <w:pPr>
              <w:pStyle w:val="TableParagraph"/>
              <w:spacing w:line="227" w:lineRule="exact"/>
              <w:ind w:left="98"/>
              <w:rPr>
                <w:b/>
                <w:sz w:val="20"/>
              </w:rPr>
            </w:pPr>
            <w:r>
              <w:rPr>
                <w:b/>
                <w:sz w:val="20"/>
              </w:rPr>
              <w:t>2010</w:t>
            </w:r>
          </w:p>
        </w:tc>
        <w:tc>
          <w:tcPr>
            <w:tcW w:w="1968" w:type="dxa"/>
            <w:tcBorders>
              <w:top w:val="single" w:sz="8" w:space="0" w:color="000000"/>
              <w:bottom w:val="single" w:sz="8" w:space="0" w:color="000000"/>
            </w:tcBorders>
          </w:tcPr>
          <w:p>
            <w:pPr>
              <w:pStyle w:val="TableParagraph"/>
              <w:spacing w:line="230" w:lineRule="exact"/>
              <w:ind w:left="109"/>
              <w:rPr>
                <w:sz w:val="20"/>
              </w:rPr>
            </w:pPr>
            <w:r>
              <w:rPr>
                <w:sz w:val="20"/>
              </w:rPr>
              <w:t>3,062,522,000.00</w:t>
            </w:r>
          </w:p>
        </w:tc>
        <w:tc>
          <w:tcPr>
            <w:tcW w:w="1654" w:type="dxa"/>
            <w:tcBorders>
              <w:top w:val="single" w:sz="8" w:space="0" w:color="000000"/>
              <w:bottom w:val="single" w:sz="8" w:space="0" w:color="000000"/>
            </w:tcBorders>
          </w:tcPr>
          <w:p>
            <w:pPr>
              <w:pStyle w:val="TableParagraph"/>
              <w:spacing w:line="230" w:lineRule="exact"/>
              <w:ind w:left="193"/>
              <w:rPr>
                <w:sz w:val="20"/>
              </w:rPr>
            </w:pPr>
            <w:r>
              <w:rPr>
                <w:sz w:val="20"/>
              </w:rPr>
              <w:t>4.7%</w:t>
            </w:r>
          </w:p>
        </w:tc>
        <w:tc>
          <w:tcPr>
            <w:tcW w:w="1954" w:type="dxa"/>
            <w:tcBorders>
              <w:top w:val="single" w:sz="8" w:space="0" w:color="000000"/>
              <w:bottom w:val="single" w:sz="8" w:space="0" w:color="000000"/>
            </w:tcBorders>
          </w:tcPr>
          <w:p>
            <w:pPr>
              <w:pStyle w:val="TableParagraph"/>
              <w:spacing w:line="230" w:lineRule="exact"/>
              <w:ind w:left="150"/>
              <w:rPr>
                <w:sz w:val="20"/>
              </w:rPr>
            </w:pPr>
            <w:r>
              <w:rPr>
                <w:sz w:val="20"/>
              </w:rPr>
              <w:t>5,844,286,000.00</w:t>
            </w:r>
          </w:p>
        </w:tc>
        <w:tc>
          <w:tcPr>
            <w:tcW w:w="1749" w:type="dxa"/>
            <w:tcBorders>
              <w:top w:val="single" w:sz="8" w:space="0" w:color="000000"/>
              <w:bottom w:val="single" w:sz="8" w:space="0" w:color="000000"/>
              <w:right w:val="single" w:sz="8" w:space="0" w:color="000000"/>
            </w:tcBorders>
          </w:tcPr>
          <w:p>
            <w:pPr>
              <w:pStyle w:val="TableParagraph"/>
              <w:spacing w:line="230" w:lineRule="exact"/>
              <w:ind w:left="248"/>
              <w:rPr>
                <w:sz w:val="20"/>
              </w:rPr>
            </w:pPr>
            <w:r>
              <w:rPr>
                <w:sz w:val="20"/>
              </w:rPr>
              <w:t>4.3%</w:t>
            </w:r>
          </w:p>
        </w:tc>
      </w:tr>
      <w:tr>
        <w:trPr>
          <w:trHeight w:val="485" w:hRule="exact"/>
        </w:trPr>
        <w:tc>
          <w:tcPr>
            <w:tcW w:w="1050" w:type="dxa"/>
            <w:tcBorders>
              <w:top w:val="single" w:sz="8" w:space="0" w:color="000000"/>
              <w:left w:val="single" w:sz="8" w:space="0" w:color="000000"/>
              <w:bottom w:val="single" w:sz="8" w:space="0" w:color="000000"/>
            </w:tcBorders>
          </w:tcPr>
          <w:p>
            <w:pPr>
              <w:pStyle w:val="TableParagraph"/>
              <w:spacing w:line="227" w:lineRule="exact"/>
              <w:ind w:left="98"/>
              <w:rPr>
                <w:b/>
                <w:sz w:val="20"/>
              </w:rPr>
            </w:pPr>
            <w:r>
              <w:rPr>
                <w:b/>
                <w:sz w:val="20"/>
              </w:rPr>
              <w:t>2011</w:t>
            </w:r>
          </w:p>
        </w:tc>
        <w:tc>
          <w:tcPr>
            <w:tcW w:w="1968" w:type="dxa"/>
            <w:tcBorders>
              <w:top w:val="single" w:sz="8" w:space="0" w:color="000000"/>
              <w:bottom w:val="single" w:sz="8" w:space="0" w:color="000000"/>
            </w:tcBorders>
          </w:tcPr>
          <w:p>
            <w:pPr>
              <w:pStyle w:val="TableParagraph"/>
              <w:spacing w:line="230" w:lineRule="exact"/>
              <w:ind w:left="109"/>
              <w:rPr>
                <w:sz w:val="20"/>
              </w:rPr>
            </w:pPr>
            <w:r>
              <w:rPr>
                <w:sz w:val="20"/>
              </w:rPr>
              <w:t>3,416,178,373.00</w:t>
            </w:r>
          </w:p>
        </w:tc>
        <w:tc>
          <w:tcPr>
            <w:tcW w:w="1654" w:type="dxa"/>
            <w:tcBorders>
              <w:top w:val="single" w:sz="8" w:space="0" w:color="000000"/>
              <w:bottom w:val="single" w:sz="8" w:space="0" w:color="000000"/>
            </w:tcBorders>
          </w:tcPr>
          <w:p>
            <w:pPr>
              <w:pStyle w:val="TableParagraph"/>
              <w:spacing w:line="230" w:lineRule="exact"/>
              <w:ind w:left="193"/>
              <w:rPr>
                <w:sz w:val="20"/>
              </w:rPr>
            </w:pPr>
            <w:r>
              <w:rPr>
                <w:sz w:val="20"/>
              </w:rPr>
              <w:t>11.5%</w:t>
            </w:r>
          </w:p>
        </w:tc>
        <w:tc>
          <w:tcPr>
            <w:tcW w:w="1954" w:type="dxa"/>
            <w:tcBorders>
              <w:top w:val="single" w:sz="8" w:space="0" w:color="000000"/>
              <w:bottom w:val="single" w:sz="8" w:space="0" w:color="000000"/>
            </w:tcBorders>
          </w:tcPr>
          <w:p>
            <w:pPr>
              <w:pStyle w:val="TableParagraph"/>
              <w:spacing w:line="230" w:lineRule="exact"/>
              <w:ind w:left="150"/>
              <w:rPr>
                <w:sz w:val="20"/>
              </w:rPr>
            </w:pPr>
            <w:r>
              <w:rPr>
                <w:sz w:val="20"/>
              </w:rPr>
              <w:t>6,590,545,496.00</w:t>
            </w:r>
          </w:p>
        </w:tc>
        <w:tc>
          <w:tcPr>
            <w:tcW w:w="1749" w:type="dxa"/>
            <w:tcBorders>
              <w:top w:val="single" w:sz="8" w:space="0" w:color="000000"/>
              <w:bottom w:val="single" w:sz="8" w:space="0" w:color="000000"/>
              <w:right w:val="single" w:sz="8" w:space="0" w:color="000000"/>
            </w:tcBorders>
          </w:tcPr>
          <w:p>
            <w:pPr>
              <w:pStyle w:val="TableParagraph"/>
              <w:spacing w:line="230" w:lineRule="exact"/>
              <w:ind w:left="248"/>
              <w:rPr>
                <w:sz w:val="20"/>
              </w:rPr>
            </w:pPr>
            <w:r>
              <w:rPr>
                <w:sz w:val="20"/>
              </w:rPr>
              <w:t>12.8%</w:t>
            </w:r>
          </w:p>
        </w:tc>
      </w:tr>
      <w:tr>
        <w:trPr>
          <w:trHeight w:val="485" w:hRule="exact"/>
        </w:trPr>
        <w:tc>
          <w:tcPr>
            <w:tcW w:w="1050" w:type="dxa"/>
            <w:tcBorders>
              <w:top w:val="single" w:sz="8" w:space="0" w:color="000000"/>
              <w:left w:val="single" w:sz="8" w:space="0" w:color="000000"/>
              <w:bottom w:val="single" w:sz="8" w:space="0" w:color="000000"/>
            </w:tcBorders>
          </w:tcPr>
          <w:p>
            <w:pPr>
              <w:pStyle w:val="TableParagraph"/>
              <w:spacing w:line="227" w:lineRule="exact"/>
              <w:ind w:left="98"/>
              <w:rPr>
                <w:b/>
                <w:sz w:val="20"/>
              </w:rPr>
            </w:pPr>
            <w:r>
              <w:rPr>
                <w:b/>
                <w:sz w:val="20"/>
              </w:rPr>
              <w:t>2012</w:t>
            </w:r>
          </w:p>
        </w:tc>
        <w:tc>
          <w:tcPr>
            <w:tcW w:w="1968" w:type="dxa"/>
            <w:tcBorders>
              <w:top w:val="single" w:sz="8" w:space="0" w:color="000000"/>
              <w:bottom w:val="single" w:sz="8" w:space="0" w:color="000000"/>
            </w:tcBorders>
          </w:tcPr>
          <w:p>
            <w:pPr>
              <w:pStyle w:val="TableParagraph"/>
              <w:spacing w:line="230" w:lineRule="exact"/>
              <w:ind w:left="109"/>
              <w:rPr>
                <w:sz w:val="20"/>
              </w:rPr>
            </w:pPr>
            <w:r>
              <w:rPr>
                <w:sz w:val="20"/>
              </w:rPr>
              <w:t>3,647,520,000.00</w:t>
            </w:r>
          </w:p>
        </w:tc>
        <w:tc>
          <w:tcPr>
            <w:tcW w:w="1654" w:type="dxa"/>
            <w:tcBorders>
              <w:top w:val="single" w:sz="8" w:space="0" w:color="000000"/>
              <w:bottom w:val="single" w:sz="8" w:space="0" w:color="000000"/>
            </w:tcBorders>
          </w:tcPr>
          <w:p>
            <w:pPr>
              <w:pStyle w:val="TableParagraph"/>
              <w:spacing w:line="230" w:lineRule="exact"/>
              <w:ind w:left="193"/>
              <w:rPr>
                <w:sz w:val="20"/>
              </w:rPr>
            </w:pPr>
            <w:r>
              <w:rPr>
                <w:sz w:val="20"/>
              </w:rPr>
              <w:t>6.8%</w:t>
            </w:r>
          </w:p>
        </w:tc>
        <w:tc>
          <w:tcPr>
            <w:tcW w:w="1954" w:type="dxa"/>
            <w:tcBorders>
              <w:top w:val="single" w:sz="8" w:space="0" w:color="000000"/>
              <w:bottom w:val="single" w:sz="8" w:space="0" w:color="000000"/>
            </w:tcBorders>
          </w:tcPr>
          <w:p>
            <w:pPr>
              <w:pStyle w:val="TableParagraph"/>
              <w:spacing w:line="230" w:lineRule="exact"/>
              <w:ind w:left="150"/>
              <w:rPr>
                <w:sz w:val="20"/>
              </w:rPr>
            </w:pPr>
            <w:r>
              <w:rPr>
                <w:sz w:val="20"/>
              </w:rPr>
              <w:t>6,819,534,965.00</w:t>
            </w:r>
          </w:p>
        </w:tc>
        <w:tc>
          <w:tcPr>
            <w:tcW w:w="1749" w:type="dxa"/>
            <w:tcBorders>
              <w:top w:val="single" w:sz="8" w:space="0" w:color="000000"/>
              <w:bottom w:val="single" w:sz="8" w:space="0" w:color="000000"/>
              <w:right w:val="single" w:sz="8" w:space="0" w:color="000000"/>
            </w:tcBorders>
          </w:tcPr>
          <w:p>
            <w:pPr>
              <w:pStyle w:val="TableParagraph"/>
              <w:spacing w:line="230" w:lineRule="exact"/>
              <w:ind w:left="248"/>
              <w:rPr>
                <w:sz w:val="20"/>
              </w:rPr>
            </w:pPr>
            <w:r>
              <w:rPr>
                <w:sz w:val="20"/>
              </w:rPr>
              <w:t>3.5%</w:t>
            </w:r>
          </w:p>
        </w:tc>
      </w:tr>
      <w:tr>
        <w:trPr>
          <w:trHeight w:val="485" w:hRule="exact"/>
        </w:trPr>
        <w:tc>
          <w:tcPr>
            <w:tcW w:w="1050" w:type="dxa"/>
            <w:tcBorders>
              <w:top w:val="single" w:sz="8" w:space="0" w:color="000000"/>
              <w:left w:val="single" w:sz="8" w:space="0" w:color="000000"/>
              <w:bottom w:val="single" w:sz="8" w:space="0" w:color="000000"/>
            </w:tcBorders>
          </w:tcPr>
          <w:p>
            <w:pPr>
              <w:pStyle w:val="TableParagraph"/>
              <w:spacing w:line="227" w:lineRule="exact"/>
              <w:ind w:left="98"/>
              <w:rPr>
                <w:b/>
                <w:sz w:val="20"/>
              </w:rPr>
            </w:pPr>
            <w:r>
              <w:rPr>
                <w:b/>
                <w:sz w:val="20"/>
              </w:rPr>
              <w:t>2013</w:t>
            </w:r>
          </w:p>
        </w:tc>
        <w:tc>
          <w:tcPr>
            <w:tcW w:w="1968" w:type="dxa"/>
            <w:tcBorders>
              <w:top w:val="single" w:sz="8" w:space="0" w:color="000000"/>
              <w:bottom w:val="single" w:sz="8" w:space="0" w:color="000000"/>
            </w:tcBorders>
          </w:tcPr>
          <w:p>
            <w:pPr>
              <w:pStyle w:val="TableParagraph"/>
              <w:spacing w:line="230" w:lineRule="exact"/>
              <w:ind w:left="109"/>
              <w:rPr>
                <w:sz w:val="20"/>
              </w:rPr>
            </w:pPr>
            <w:r>
              <w:rPr>
                <w:sz w:val="20"/>
              </w:rPr>
              <w:t>3,034,080,957.00</w:t>
            </w:r>
          </w:p>
        </w:tc>
        <w:tc>
          <w:tcPr>
            <w:tcW w:w="1654" w:type="dxa"/>
            <w:tcBorders>
              <w:top w:val="single" w:sz="8" w:space="0" w:color="000000"/>
              <w:bottom w:val="single" w:sz="8" w:space="0" w:color="000000"/>
            </w:tcBorders>
          </w:tcPr>
          <w:p>
            <w:pPr>
              <w:pStyle w:val="TableParagraph"/>
              <w:spacing w:line="230" w:lineRule="exact"/>
              <w:ind w:left="193"/>
              <w:rPr>
                <w:sz w:val="20"/>
              </w:rPr>
            </w:pPr>
            <w:r>
              <w:rPr>
                <w:sz w:val="20"/>
              </w:rPr>
              <w:t>-16.8%</w:t>
            </w:r>
          </w:p>
        </w:tc>
        <w:tc>
          <w:tcPr>
            <w:tcW w:w="1954" w:type="dxa"/>
            <w:tcBorders>
              <w:top w:val="single" w:sz="8" w:space="0" w:color="000000"/>
              <w:bottom w:val="single" w:sz="8" w:space="0" w:color="000000"/>
            </w:tcBorders>
          </w:tcPr>
          <w:p>
            <w:pPr>
              <w:pStyle w:val="TableParagraph"/>
              <w:spacing w:line="230" w:lineRule="exact"/>
              <w:ind w:left="150"/>
              <w:rPr>
                <w:sz w:val="20"/>
              </w:rPr>
            </w:pPr>
            <w:r>
              <w:rPr>
                <w:sz w:val="20"/>
              </w:rPr>
              <w:t>7,286,483,971.00</w:t>
            </w:r>
          </w:p>
        </w:tc>
        <w:tc>
          <w:tcPr>
            <w:tcW w:w="1749" w:type="dxa"/>
            <w:tcBorders>
              <w:top w:val="single" w:sz="8" w:space="0" w:color="000000"/>
              <w:bottom w:val="single" w:sz="8" w:space="0" w:color="000000"/>
              <w:right w:val="single" w:sz="8" w:space="0" w:color="000000"/>
            </w:tcBorders>
          </w:tcPr>
          <w:p>
            <w:pPr>
              <w:pStyle w:val="TableParagraph"/>
              <w:spacing w:line="230" w:lineRule="exact"/>
              <w:ind w:left="248"/>
              <w:rPr>
                <w:sz w:val="20"/>
              </w:rPr>
            </w:pPr>
            <w:r>
              <w:rPr>
                <w:sz w:val="20"/>
              </w:rPr>
              <w:t>6.8%</w:t>
            </w:r>
          </w:p>
        </w:tc>
      </w:tr>
      <w:tr>
        <w:trPr>
          <w:trHeight w:val="483" w:hRule="exact"/>
        </w:trPr>
        <w:tc>
          <w:tcPr>
            <w:tcW w:w="1050" w:type="dxa"/>
            <w:tcBorders>
              <w:top w:val="single" w:sz="8" w:space="0" w:color="000000"/>
              <w:left w:val="single" w:sz="8" w:space="0" w:color="000000"/>
              <w:bottom w:val="single" w:sz="8" w:space="0" w:color="000000"/>
            </w:tcBorders>
          </w:tcPr>
          <w:p>
            <w:pPr>
              <w:pStyle w:val="TableParagraph"/>
              <w:spacing w:line="227" w:lineRule="exact"/>
              <w:ind w:left="98"/>
              <w:rPr>
                <w:b/>
                <w:sz w:val="20"/>
              </w:rPr>
            </w:pPr>
            <w:r>
              <w:rPr>
                <w:b/>
                <w:sz w:val="20"/>
              </w:rPr>
              <w:t>2014</w:t>
            </w:r>
          </w:p>
        </w:tc>
        <w:tc>
          <w:tcPr>
            <w:tcW w:w="1968" w:type="dxa"/>
            <w:tcBorders>
              <w:top w:val="single" w:sz="8" w:space="0" w:color="000000"/>
              <w:bottom w:val="single" w:sz="8" w:space="0" w:color="000000"/>
            </w:tcBorders>
          </w:tcPr>
          <w:p>
            <w:pPr>
              <w:pStyle w:val="TableParagraph"/>
              <w:spacing w:line="230" w:lineRule="exact"/>
              <w:ind w:left="109"/>
              <w:rPr>
                <w:sz w:val="20"/>
              </w:rPr>
            </w:pPr>
            <w:r>
              <w:rPr>
                <w:sz w:val="20"/>
              </w:rPr>
              <w:t>3,289,271,727.00</w:t>
            </w:r>
          </w:p>
        </w:tc>
        <w:tc>
          <w:tcPr>
            <w:tcW w:w="1654" w:type="dxa"/>
            <w:tcBorders>
              <w:top w:val="single" w:sz="8" w:space="0" w:color="000000"/>
              <w:bottom w:val="single" w:sz="8" w:space="0" w:color="000000"/>
            </w:tcBorders>
          </w:tcPr>
          <w:p>
            <w:pPr>
              <w:pStyle w:val="TableParagraph"/>
              <w:spacing w:line="230" w:lineRule="exact"/>
              <w:ind w:left="193"/>
              <w:rPr>
                <w:sz w:val="20"/>
              </w:rPr>
            </w:pPr>
            <w:r>
              <w:rPr>
                <w:sz w:val="20"/>
              </w:rPr>
              <w:t>8.4%</w:t>
            </w:r>
          </w:p>
        </w:tc>
        <w:tc>
          <w:tcPr>
            <w:tcW w:w="1954" w:type="dxa"/>
            <w:tcBorders>
              <w:top w:val="single" w:sz="8" w:space="0" w:color="000000"/>
              <w:bottom w:val="single" w:sz="8" w:space="0" w:color="000000"/>
            </w:tcBorders>
          </w:tcPr>
          <w:p>
            <w:pPr>
              <w:pStyle w:val="TableParagraph"/>
              <w:spacing w:line="230" w:lineRule="exact"/>
              <w:ind w:left="150"/>
              <w:rPr>
                <w:sz w:val="20"/>
              </w:rPr>
            </w:pPr>
            <w:r>
              <w:rPr>
                <w:sz w:val="20"/>
              </w:rPr>
              <w:t>8,037,471,426.00</w:t>
            </w:r>
          </w:p>
        </w:tc>
        <w:tc>
          <w:tcPr>
            <w:tcW w:w="1749" w:type="dxa"/>
            <w:tcBorders>
              <w:top w:val="single" w:sz="8" w:space="0" w:color="000000"/>
              <w:bottom w:val="single" w:sz="8" w:space="0" w:color="000000"/>
              <w:right w:val="single" w:sz="8" w:space="0" w:color="000000"/>
            </w:tcBorders>
          </w:tcPr>
          <w:p>
            <w:pPr>
              <w:pStyle w:val="TableParagraph"/>
              <w:spacing w:line="230" w:lineRule="exact"/>
              <w:ind w:left="248"/>
              <w:rPr>
                <w:sz w:val="20"/>
              </w:rPr>
            </w:pPr>
            <w:r>
              <w:rPr>
                <w:sz w:val="20"/>
              </w:rPr>
              <w:t>10.3%</w:t>
            </w:r>
          </w:p>
        </w:tc>
      </w:tr>
      <w:tr>
        <w:trPr>
          <w:trHeight w:val="487" w:hRule="exact"/>
        </w:trPr>
        <w:tc>
          <w:tcPr>
            <w:tcW w:w="1050" w:type="dxa"/>
            <w:tcBorders>
              <w:top w:val="single" w:sz="8" w:space="0" w:color="000000"/>
              <w:left w:val="single" w:sz="8" w:space="0" w:color="000000"/>
              <w:bottom w:val="single" w:sz="8" w:space="0" w:color="000000"/>
            </w:tcBorders>
          </w:tcPr>
          <w:p>
            <w:pPr>
              <w:pStyle w:val="TableParagraph"/>
              <w:spacing w:line="230" w:lineRule="exact"/>
              <w:ind w:left="98"/>
              <w:rPr>
                <w:b/>
                <w:sz w:val="20"/>
              </w:rPr>
            </w:pPr>
            <w:r>
              <w:rPr>
                <w:b/>
                <w:sz w:val="20"/>
              </w:rPr>
              <w:t>Total</w:t>
            </w:r>
          </w:p>
        </w:tc>
        <w:tc>
          <w:tcPr>
            <w:tcW w:w="1968" w:type="dxa"/>
            <w:tcBorders>
              <w:top w:val="single" w:sz="8" w:space="0" w:color="000000"/>
              <w:bottom w:val="single" w:sz="8" w:space="0" w:color="000000"/>
            </w:tcBorders>
          </w:tcPr>
          <w:p>
            <w:pPr>
              <w:pStyle w:val="TableParagraph"/>
              <w:spacing w:before="2"/>
              <w:ind w:left="109"/>
              <w:rPr>
                <w:sz w:val="20"/>
              </w:rPr>
            </w:pPr>
            <w:r>
              <w:rPr>
                <w:sz w:val="20"/>
              </w:rPr>
              <w:t>22,115,828,992.00</w:t>
            </w:r>
          </w:p>
        </w:tc>
        <w:tc>
          <w:tcPr>
            <w:tcW w:w="1654" w:type="dxa"/>
            <w:tcBorders>
              <w:top w:val="single" w:sz="8" w:space="0" w:color="000000"/>
              <w:bottom w:val="single" w:sz="8" w:space="0" w:color="000000"/>
            </w:tcBorders>
          </w:tcPr>
          <w:p>
            <w:pPr/>
          </w:p>
        </w:tc>
        <w:tc>
          <w:tcPr>
            <w:tcW w:w="1954" w:type="dxa"/>
            <w:tcBorders>
              <w:top w:val="single" w:sz="8" w:space="0" w:color="000000"/>
              <w:bottom w:val="single" w:sz="8" w:space="0" w:color="000000"/>
            </w:tcBorders>
          </w:tcPr>
          <w:p>
            <w:pPr>
              <w:pStyle w:val="TableParagraph"/>
              <w:spacing w:before="2"/>
              <w:ind w:left="150"/>
              <w:rPr>
                <w:sz w:val="20"/>
              </w:rPr>
            </w:pPr>
            <w:r>
              <w:rPr>
                <w:sz w:val="20"/>
              </w:rPr>
              <w:t>45,435,381,803.00</w:t>
            </w:r>
          </w:p>
        </w:tc>
        <w:tc>
          <w:tcPr>
            <w:tcW w:w="1749" w:type="dxa"/>
            <w:tcBorders>
              <w:top w:val="single" w:sz="8" w:space="0" w:color="000000"/>
              <w:bottom w:val="single" w:sz="8" w:space="0" w:color="000000"/>
              <w:right w:val="single" w:sz="8" w:space="0" w:color="000000"/>
            </w:tcBorders>
          </w:tcPr>
          <w:p>
            <w:pPr/>
          </w:p>
        </w:tc>
      </w:tr>
    </w:tbl>
    <w:p>
      <w:pPr>
        <w:spacing w:line="240" w:lineRule="auto" w:before="0"/>
        <w:ind w:left="322" w:right="702" w:firstLine="0"/>
        <w:jc w:val="left"/>
        <w:rPr>
          <w:sz w:val="20"/>
        </w:rPr>
      </w:pPr>
      <w:r>
        <w:rPr>
          <w:b/>
          <w:sz w:val="20"/>
        </w:rPr>
        <w:t>Fuente: </w:t>
      </w:r>
      <w:r>
        <w:rPr>
          <w:sz w:val="20"/>
        </w:rPr>
        <w:t>Elaboración propia con base en los Decretos de los Presupuestos de Egresos del Estado de México de 2008-2014.</w:t>
      </w:r>
    </w:p>
    <w:p>
      <w:pPr>
        <w:pStyle w:val="BodyText"/>
        <w:rPr>
          <w:sz w:val="20"/>
        </w:rPr>
      </w:pPr>
    </w:p>
    <w:p>
      <w:pPr>
        <w:pStyle w:val="BodyText"/>
        <w:spacing w:before="5"/>
        <w:rPr>
          <w:sz w:val="17"/>
        </w:rPr>
      </w:pPr>
    </w:p>
    <w:p>
      <w:pPr>
        <w:pStyle w:val="BodyText"/>
        <w:spacing w:line="360" w:lineRule="auto"/>
        <w:ind w:left="102" w:right="116"/>
        <w:jc w:val="both"/>
      </w:pPr>
      <w:r>
        <w:rPr/>
        <w:t>Lo anterior, es con la finalidad de observar la relación que existe entre las esferas de gobierno, en particular la de la entidad con </w:t>
      </w:r>
      <w:r>
        <w:rPr>
          <w:spacing w:val="2"/>
        </w:rPr>
        <w:t>sus </w:t>
      </w:r>
      <w:r>
        <w:rPr/>
        <w:t>municipios, donde la Secretaría de Finanzas juega un papel importante, es a través de ésta es como se coordinan los</w:t>
      </w:r>
      <w:r>
        <w:rPr>
          <w:spacing w:val="-9"/>
        </w:rPr>
        <w:t> </w:t>
      </w:r>
      <w:r>
        <w:rPr/>
        <w:t>procedimientos</w:t>
      </w:r>
      <w:r>
        <w:rPr>
          <w:spacing w:val="-9"/>
        </w:rPr>
        <w:t> </w:t>
      </w:r>
      <w:r>
        <w:rPr/>
        <w:t>para</w:t>
      </w:r>
      <w:r>
        <w:rPr>
          <w:spacing w:val="-9"/>
        </w:rPr>
        <w:t> </w:t>
      </w:r>
      <w:r>
        <w:rPr/>
        <w:t>la</w:t>
      </w:r>
      <w:r>
        <w:rPr>
          <w:spacing w:val="-7"/>
        </w:rPr>
        <w:t> </w:t>
      </w:r>
      <w:r>
        <w:rPr/>
        <w:t>distribución</w:t>
      </w:r>
      <w:r>
        <w:rPr>
          <w:spacing w:val="-7"/>
        </w:rPr>
        <w:t> </w:t>
      </w:r>
      <w:r>
        <w:rPr/>
        <w:t>de</w:t>
      </w:r>
      <w:r>
        <w:rPr>
          <w:spacing w:val="-8"/>
        </w:rPr>
        <w:t> </w:t>
      </w:r>
      <w:r>
        <w:rPr/>
        <w:t>los</w:t>
      </w:r>
      <w:r>
        <w:rPr>
          <w:spacing w:val="-12"/>
        </w:rPr>
        <w:t> </w:t>
      </w:r>
      <w:r>
        <w:rPr/>
        <w:t>fondos</w:t>
      </w:r>
      <w:r>
        <w:rPr>
          <w:spacing w:val="-12"/>
        </w:rPr>
        <w:t> </w:t>
      </w:r>
      <w:r>
        <w:rPr/>
        <w:t>federales</w:t>
      </w:r>
      <w:r>
        <w:rPr>
          <w:spacing w:val="-12"/>
        </w:rPr>
        <w:t> </w:t>
      </w:r>
      <w:r>
        <w:rPr/>
        <w:t>hacia</w:t>
      </w:r>
      <w:r>
        <w:rPr>
          <w:spacing w:val="-11"/>
        </w:rPr>
        <w:t> </w:t>
      </w:r>
      <w:r>
        <w:rPr/>
        <w:t>los</w:t>
      </w:r>
      <w:r>
        <w:rPr>
          <w:spacing w:val="-9"/>
        </w:rPr>
        <w:t> </w:t>
      </w:r>
      <w:r>
        <w:rPr/>
        <w:t>municipios.</w:t>
      </w:r>
    </w:p>
    <w:p>
      <w:pPr>
        <w:pStyle w:val="BodyText"/>
        <w:spacing w:line="360" w:lineRule="auto" w:before="205"/>
        <w:ind w:left="102" w:right="116"/>
        <w:jc w:val="both"/>
      </w:pPr>
      <w:r>
        <w:rPr/>
        <w:t>No cabe duda, que la actividad administrativa es una actividad de grupo y de coordinación;</w:t>
      </w:r>
      <w:r>
        <w:rPr>
          <w:spacing w:val="45"/>
        </w:rPr>
        <w:t> </w:t>
      </w:r>
      <w:r>
        <w:rPr/>
        <w:t>lograr</w:t>
      </w:r>
      <w:r>
        <w:rPr>
          <w:spacing w:val="-12"/>
        </w:rPr>
        <w:t> </w:t>
      </w:r>
      <w:r>
        <w:rPr/>
        <w:t>distribuir</w:t>
      </w:r>
      <w:r>
        <w:rPr>
          <w:spacing w:val="-13"/>
        </w:rPr>
        <w:t> </w:t>
      </w:r>
      <w:r>
        <w:rPr/>
        <w:t>los</w:t>
      </w:r>
      <w:r>
        <w:rPr>
          <w:spacing w:val="-11"/>
        </w:rPr>
        <w:t> </w:t>
      </w:r>
      <w:r>
        <w:rPr/>
        <w:t>recursos</w:t>
      </w:r>
      <w:r>
        <w:rPr>
          <w:spacing w:val="-11"/>
        </w:rPr>
        <w:t> </w:t>
      </w:r>
      <w:r>
        <w:rPr/>
        <w:t>hacia</w:t>
      </w:r>
      <w:r>
        <w:rPr>
          <w:spacing w:val="-10"/>
        </w:rPr>
        <w:t> </w:t>
      </w:r>
      <w:r>
        <w:rPr/>
        <w:t>los</w:t>
      </w:r>
      <w:r>
        <w:rPr>
          <w:spacing w:val="-11"/>
        </w:rPr>
        <w:t> </w:t>
      </w:r>
      <w:r>
        <w:rPr/>
        <w:t>municipios</w:t>
      </w:r>
      <w:r>
        <w:rPr>
          <w:spacing w:val="-13"/>
        </w:rPr>
        <w:t> </w:t>
      </w:r>
      <w:r>
        <w:rPr/>
        <w:t>es</w:t>
      </w:r>
      <w:r>
        <w:rPr>
          <w:spacing w:val="-12"/>
        </w:rPr>
        <w:t> </w:t>
      </w:r>
      <w:r>
        <w:rPr/>
        <w:t>una</w:t>
      </w:r>
      <w:r>
        <w:rPr>
          <w:spacing w:val="-11"/>
        </w:rPr>
        <w:t> </w:t>
      </w:r>
      <w:r>
        <w:rPr/>
        <w:t>tarea</w:t>
      </w:r>
      <w:r>
        <w:rPr>
          <w:spacing w:val="-11"/>
        </w:rPr>
        <w:t> </w:t>
      </w:r>
      <w:r>
        <w:rPr/>
        <w:t>titánica que a bien el gobierno mexiquense ha sabido delegar en particular a la Secretaría citada, por lo que coordinar los procesos administrativos entre las esferas de gobierno así como entre las estructuras administrativas internas de la entidad y de cada uno de los municipios que la integran, es de vital importancia para lograr </w:t>
      </w:r>
      <w:r>
        <w:rPr>
          <w:spacing w:val="65"/>
        </w:rPr>
        <w:t> </w:t>
      </w:r>
      <w:r>
        <w:rPr/>
        <w:t>los</w:t>
      </w:r>
    </w:p>
    <w:p>
      <w:pPr>
        <w:spacing w:after="0" w:line="360" w:lineRule="auto"/>
        <w:jc w:val="both"/>
        <w:sectPr>
          <w:pgSz w:w="12240" w:h="15840"/>
          <w:pgMar w:header="0" w:footer="992" w:top="1360" w:bottom="1180" w:left="1600" w:right="1580"/>
        </w:sectPr>
      </w:pPr>
    </w:p>
    <w:p>
      <w:pPr>
        <w:pStyle w:val="BodyText"/>
        <w:spacing w:line="360" w:lineRule="auto" w:before="54"/>
        <w:ind w:left="102" w:right="117"/>
        <w:jc w:val="both"/>
      </w:pPr>
      <w:r>
        <w:rPr/>
        <w:t>resultados</w:t>
      </w:r>
      <w:r>
        <w:rPr>
          <w:spacing w:val="-7"/>
        </w:rPr>
        <w:t> </w:t>
      </w:r>
      <w:r>
        <w:rPr/>
        <w:t>de</w:t>
      </w:r>
      <w:r>
        <w:rPr>
          <w:spacing w:val="-6"/>
        </w:rPr>
        <w:t> </w:t>
      </w:r>
      <w:r>
        <w:rPr/>
        <w:t>eficiencia</w:t>
      </w:r>
      <w:r>
        <w:rPr>
          <w:spacing w:val="-6"/>
        </w:rPr>
        <w:t> </w:t>
      </w:r>
      <w:r>
        <w:rPr/>
        <w:t>y</w:t>
      </w:r>
      <w:r>
        <w:rPr>
          <w:spacing w:val="-9"/>
        </w:rPr>
        <w:t> </w:t>
      </w:r>
      <w:r>
        <w:rPr/>
        <w:t>eficacia</w:t>
      </w:r>
      <w:r>
        <w:rPr>
          <w:spacing w:val="-6"/>
        </w:rPr>
        <w:t> </w:t>
      </w:r>
      <w:r>
        <w:rPr/>
        <w:t>en</w:t>
      </w:r>
      <w:r>
        <w:rPr>
          <w:spacing w:val="-6"/>
        </w:rPr>
        <w:t> </w:t>
      </w:r>
      <w:r>
        <w:rPr/>
        <w:t>el</w:t>
      </w:r>
      <w:r>
        <w:rPr>
          <w:spacing w:val="-10"/>
        </w:rPr>
        <w:t> </w:t>
      </w:r>
      <w:r>
        <w:rPr/>
        <w:t>ejercicio</w:t>
      </w:r>
      <w:r>
        <w:rPr>
          <w:spacing w:val="-6"/>
        </w:rPr>
        <w:t> </w:t>
      </w:r>
      <w:r>
        <w:rPr/>
        <w:t>del</w:t>
      </w:r>
      <w:r>
        <w:rPr>
          <w:spacing w:val="-7"/>
        </w:rPr>
        <w:t> </w:t>
      </w:r>
      <w:r>
        <w:rPr/>
        <w:t>gasto</w:t>
      </w:r>
      <w:r>
        <w:rPr>
          <w:spacing w:val="-6"/>
        </w:rPr>
        <w:t> </w:t>
      </w:r>
      <w:r>
        <w:rPr/>
        <w:t>y</w:t>
      </w:r>
      <w:r>
        <w:rPr>
          <w:spacing w:val="-8"/>
        </w:rPr>
        <w:t> </w:t>
      </w:r>
      <w:r>
        <w:rPr/>
        <w:t>no</w:t>
      </w:r>
      <w:r>
        <w:rPr>
          <w:spacing w:val="-6"/>
        </w:rPr>
        <w:t> </w:t>
      </w:r>
      <w:r>
        <w:rPr/>
        <w:t>tener</w:t>
      </w:r>
      <w:r>
        <w:rPr>
          <w:spacing w:val="-7"/>
        </w:rPr>
        <w:t> </w:t>
      </w:r>
      <w:r>
        <w:rPr/>
        <w:t>un</w:t>
      </w:r>
      <w:r>
        <w:rPr>
          <w:spacing w:val="-6"/>
        </w:rPr>
        <w:t> </w:t>
      </w:r>
      <w:r>
        <w:rPr/>
        <w:t>limitante</w:t>
      </w:r>
      <w:r>
        <w:rPr>
          <w:spacing w:val="-6"/>
        </w:rPr>
        <w:t> </w:t>
      </w:r>
      <w:r>
        <w:rPr/>
        <w:t>de toma de decisiones que sería el “tiempo”. Que los municipios cuenten en tiempo y forma con los recursos que les corresponden de estos fondos, implica una herramienta de información para adoptar decisiones en tiempo y</w:t>
      </w:r>
      <w:r>
        <w:rPr>
          <w:spacing w:val="-29"/>
        </w:rPr>
        <w:t> </w:t>
      </w:r>
      <w:r>
        <w:rPr/>
        <w:t>forma.</w:t>
      </w:r>
    </w:p>
    <w:p>
      <w:pPr>
        <w:pStyle w:val="BodyText"/>
        <w:spacing w:line="360" w:lineRule="auto" w:before="204"/>
        <w:ind w:left="102" w:right="115"/>
        <w:jc w:val="both"/>
      </w:pPr>
      <w:r>
        <w:rPr/>
        <w:t>En</w:t>
      </w:r>
      <w:r>
        <w:rPr>
          <w:spacing w:val="-6"/>
        </w:rPr>
        <w:t> </w:t>
      </w:r>
      <w:r>
        <w:rPr/>
        <w:t>resumen,</w:t>
      </w:r>
      <w:r>
        <w:rPr>
          <w:spacing w:val="-9"/>
        </w:rPr>
        <w:t> </w:t>
      </w:r>
      <w:r>
        <w:rPr/>
        <w:t>el</w:t>
      </w:r>
      <w:r>
        <w:rPr>
          <w:spacing w:val="-7"/>
        </w:rPr>
        <w:t> </w:t>
      </w:r>
      <w:r>
        <w:rPr/>
        <w:t>Estado</w:t>
      </w:r>
      <w:r>
        <w:rPr>
          <w:spacing w:val="-8"/>
        </w:rPr>
        <w:t> </w:t>
      </w:r>
      <w:r>
        <w:rPr/>
        <w:t>de</w:t>
      </w:r>
      <w:r>
        <w:rPr>
          <w:spacing w:val="-8"/>
        </w:rPr>
        <w:t> </w:t>
      </w:r>
      <w:r>
        <w:rPr/>
        <w:t>México,</w:t>
      </w:r>
      <w:r>
        <w:rPr>
          <w:spacing w:val="-6"/>
        </w:rPr>
        <w:t> </w:t>
      </w:r>
      <w:r>
        <w:rPr/>
        <w:t>a</w:t>
      </w:r>
      <w:r>
        <w:rPr>
          <w:spacing w:val="-6"/>
        </w:rPr>
        <w:t> </w:t>
      </w:r>
      <w:r>
        <w:rPr/>
        <w:t>través</w:t>
      </w:r>
      <w:r>
        <w:rPr>
          <w:spacing w:val="-9"/>
        </w:rPr>
        <w:t> </w:t>
      </w:r>
      <w:r>
        <w:rPr/>
        <w:t>de</w:t>
      </w:r>
      <w:r>
        <w:rPr>
          <w:spacing w:val="-8"/>
        </w:rPr>
        <w:t> </w:t>
      </w:r>
      <w:r>
        <w:rPr/>
        <w:t>la</w:t>
      </w:r>
      <w:r>
        <w:rPr>
          <w:spacing w:val="-6"/>
        </w:rPr>
        <w:t> </w:t>
      </w:r>
      <w:r>
        <w:rPr/>
        <w:t>Secretaría</w:t>
      </w:r>
      <w:r>
        <w:rPr>
          <w:spacing w:val="-6"/>
        </w:rPr>
        <w:t> </w:t>
      </w:r>
      <w:r>
        <w:rPr/>
        <w:t>de</w:t>
      </w:r>
      <w:r>
        <w:rPr>
          <w:spacing w:val="-6"/>
        </w:rPr>
        <w:t> </w:t>
      </w:r>
      <w:r>
        <w:rPr/>
        <w:t>Finanzas,</w:t>
      </w:r>
      <w:r>
        <w:rPr>
          <w:spacing w:val="-6"/>
        </w:rPr>
        <w:t> </w:t>
      </w:r>
      <w:r>
        <w:rPr/>
        <w:t>se</w:t>
      </w:r>
      <w:r>
        <w:rPr>
          <w:spacing w:val="-6"/>
        </w:rPr>
        <w:t> </w:t>
      </w:r>
      <w:r>
        <w:rPr/>
        <w:t>vincula con los municipios en la ministración del recurso federal, lo que significa que el gobierno del Estado es la primera instancia en conocer y contar con el recurso proveniente de las aportaciones, situación que puede complicar la distribución puntual a los municipios por razones políticas o de otra índole. Esto lleva a establecer</w:t>
      </w:r>
      <w:r>
        <w:rPr>
          <w:spacing w:val="-18"/>
        </w:rPr>
        <w:t> </w:t>
      </w:r>
      <w:r>
        <w:rPr/>
        <w:t>la</w:t>
      </w:r>
      <w:r>
        <w:rPr>
          <w:spacing w:val="-18"/>
        </w:rPr>
        <w:t> </w:t>
      </w:r>
      <w:r>
        <w:rPr/>
        <w:t>necesidad</w:t>
      </w:r>
      <w:r>
        <w:rPr>
          <w:spacing w:val="-17"/>
        </w:rPr>
        <w:t> </w:t>
      </w:r>
      <w:r>
        <w:rPr/>
        <w:t>de</w:t>
      </w:r>
      <w:r>
        <w:rPr>
          <w:spacing w:val="-17"/>
        </w:rPr>
        <w:t> </w:t>
      </w:r>
      <w:r>
        <w:rPr/>
        <w:t>generar</w:t>
      </w:r>
      <w:r>
        <w:rPr>
          <w:spacing w:val="-18"/>
        </w:rPr>
        <w:t> </w:t>
      </w:r>
      <w:r>
        <w:rPr/>
        <w:t>reglas</w:t>
      </w:r>
      <w:r>
        <w:rPr>
          <w:spacing w:val="-17"/>
        </w:rPr>
        <w:t> </w:t>
      </w:r>
      <w:r>
        <w:rPr/>
        <w:t>claras</w:t>
      </w:r>
      <w:r>
        <w:rPr>
          <w:spacing w:val="-17"/>
        </w:rPr>
        <w:t> </w:t>
      </w:r>
      <w:r>
        <w:rPr/>
        <w:t>para</w:t>
      </w:r>
      <w:r>
        <w:rPr>
          <w:spacing w:val="-19"/>
        </w:rPr>
        <w:t> </w:t>
      </w:r>
      <w:r>
        <w:rPr/>
        <w:t>la</w:t>
      </w:r>
      <w:r>
        <w:rPr>
          <w:spacing w:val="-18"/>
        </w:rPr>
        <w:t> </w:t>
      </w:r>
      <w:r>
        <w:rPr/>
        <w:t>ministración</w:t>
      </w:r>
      <w:r>
        <w:rPr>
          <w:spacing w:val="-18"/>
        </w:rPr>
        <w:t> </w:t>
      </w:r>
      <w:r>
        <w:rPr/>
        <w:t>de</w:t>
      </w:r>
      <w:r>
        <w:rPr>
          <w:spacing w:val="-18"/>
        </w:rPr>
        <w:t> </w:t>
      </w:r>
      <w:r>
        <w:rPr/>
        <w:t>los</w:t>
      </w:r>
      <w:r>
        <w:rPr>
          <w:spacing w:val="-17"/>
        </w:rPr>
        <w:t> </w:t>
      </w:r>
      <w:r>
        <w:rPr/>
        <w:t>recursos a los</w:t>
      </w:r>
      <w:r>
        <w:rPr>
          <w:spacing w:val="-6"/>
        </w:rPr>
        <w:t> </w:t>
      </w:r>
      <w:r>
        <w:rPr/>
        <w:t>municipios.</w:t>
      </w:r>
    </w:p>
    <w:p>
      <w:pPr>
        <w:pStyle w:val="BodyText"/>
      </w:pPr>
    </w:p>
    <w:p>
      <w:pPr>
        <w:pStyle w:val="Heading1"/>
        <w:numPr>
          <w:ilvl w:val="1"/>
          <w:numId w:val="52"/>
        </w:numPr>
        <w:tabs>
          <w:tab w:pos="2072" w:val="left" w:leader="none"/>
          <w:tab w:pos="2073" w:val="left" w:leader="none"/>
        </w:tabs>
        <w:spacing w:line="242" w:lineRule="auto" w:before="203" w:after="0"/>
        <w:ind w:left="1263" w:right="201" w:firstLine="89"/>
        <w:jc w:val="left"/>
      </w:pPr>
      <w:r>
        <w:rPr/>
        <w:t>Lineamientos Generales de Operación de las Aportaciones Federales para los Municipios en el</w:t>
      </w:r>
      <w:r>
        <w:rPr>
          <w:spacing w:val="-24"/>
        </w:rPr>
        <w:t> </w:t>
      </w:r>
      <w:r>
        <w:rPr/>
        <w:t>Estado</w:t>
      </w:r>
    </w:p>
    <w:p>
      <w:pPr>
        <w:spacing w:line="318" w:lineRule="exact" w:before="0"/>
        <w:ind w:left="1820" w:right="755" w:firstLine="0"/>
        <w:jc w:val="center"/>
        <w:rPr>
          <w:b/>
          <w:sz w:val="28"/>
        </w:rPr>
      </w:pPr>
      <w:r>
        <w:rPr>
          <w:b/>
          <w:sz w:val="28"/>
        </w:rPr>
        <w:t>de México</w:t>
      </w:r>
    </w:p>
    <w:p>
      <w:pPr>
        <w:pStyle w:val="BodyText"/>
        <w:rPr>
          <w:b/>
          <w:sz w:val="28"/>
        </w:rPr>
      </w:pPr>
    </w:p>
    <w:p>
      <w:pPr>
        <w:pStyle w:val="BodyText"/>
        <w:rPr>
          <w:b/>
          <w:sz w:val="28"/>
        </w:rPr>
      </w:pPr>
    </w:p>
    <w:p>
      <w:pPr>
        <w:pStyle w:val="BodyText"/>
        <w:spacing w:before="6"/>
        <w:rPr>
          <w:b/>
          <w:sz w:val="30"/>
        </w:rPr>
      </w:pPr>
    </w:p>
    <w:p>
      <w:pPr>
        <w:pStyle w:val="BodyText"/>
        <w:spacing w:line="360" w:lineRule="auto"/>
        <w:ind w:left="102" w:right="116"/>
        <w:jc w:val="both"/>
      </w:pPr>
      <w:r>
        <w:rPr/>
        <w:t>Con base en el artículo 49 de la LCF que cita que las aportaciones federales </w:t>
      </w:r>
      <w:r>
        <w:rPr>
          <w:u w:val="single"/>
        </w:rPr>
        <w:t>serán administradas y ejercidas </w:t>
      </w:r>
      <w:r>
        <w:rPr/>
        <w:t>por los gobiernos estatales y en su caso los municipales, que las reciban, </w:t>
      </w:r>
      <w:r>
        <w:rPr>
          <w:u w:val="single"/>
        </w:rPr>
        <w:t>de acuerdo a sus propias leyes</w:t>
      </w:r>
      <w:r>
        <w:rPr/>
        <w:t>. Motivo por el cual, el gobierno mexiquense ha tenido la tarea titánica de adecuar sus leyes que faciliten el manejo adecuado del capítulo V de la ley mencionada.</w:t>
      </w:r>
    </w:p>
    <w:p>
      <w:pPr>
        <w:pStyle w:val="BodyText"/>
        <w:spacing w:line="360" w:lineRule="auto" w:before="204"/>
        <w:ind w:left="102" w:right="116"/>
        <w:jc w:val="both"/>
      </w:pPr>
      <w:r>
        <w:rPr/>
        <w:t>Para fortalecer la coordinación y potenciar el uso de los recursos el Gobierno del Estado de México a través de la Secretaría de Finanzas diseñó un manual de operatividad de los fondos que con el transcurso del tiempo se ha ido modificando de</w:t>
      </w:r>
      <w:r>
        <w:rPr>
          <w:spacing w:val="-7"/>
        </w:rPr>
        <w:t> </w:t>
      </w:r>
      <w:r>
        <w:rPr/>
        <w:t>acuerdo</w:t>
      </w:r>
      <w:r>
        <w:rPr>
          <w:spacing w:val="-7"/>
        </w:rPr>
        <w:t> </w:t>
      </w:r>
      <w:r>
        <w:rPr/>
        <w:t>a</w:t>
      </w:r>
      <w:r>
        <w:rPr>
          <w:spacing w:val="-7"/>
        </w:rPr>
        <w:t> </w:t>
      </w:r>
      <w:r>
        <w:rPr/>
        <w:t>las</w:t>
      </w:r>
      <w:r>
        <w:rPr>
          <w:spacing w:val="-10"/>
        </w:rPr>
        <w:t> </w:t>
      </w:r>
      <w:r>
        <w:rPr/>
        <w:t>actualizaciones</w:t>
      </w:r>
      <w:r>
        <w:rPr>
          <w:spacing w:val="-8"/>
        </w:rPr>
        <w:t> </w:t>
      </w:r>
      <w:r>
        <w:rPr/>
        <w:t>que</w:t>
      </w:r>
      <w:r>
        <w:rPr>
          <w:spacing w:val="-7"/>
        </w:rPr>
        <w:t> </w:t>
      </w:r>
      <w:r>
        <w:rPr/>
        <w:t>ha</w:t>
      </w:r>
      <w:r>
        <w:rPr>
          <w:spacing w:val="-7"/>
        </w:rPr>
        <w:t> </w:t>
      </w:r>
      <w:r>
        <w:rPr/>
        <w:t>sufrido</w:t>
      </w:r>
      <w:r>
        <w:rPr>
          <w:spacing w:val="-7"/>
        </w:rPr>
        <w:t> </w:t>
      </w:r>
      <w:r>
        <w:rPr/>
        <w:t>la</w:t>
      </w:r>
      <w:r>
        <w:rPr>
          <w:spacing w:val="-8"/>
        </w:rPr>
        <w:t> </w:t>
      </w:r>
      <w:r>
        <w:rPr/>
        <w:t>Ley</w:t>
      </w:r>
      <w:r>
        <w:rPr>
          <w:spacing w:val="-11"/>
        </w:rPr>
        <w:t> </w:t>
      </w:r>
      <w:r>
        <w:rPr/>
        <w:t>de</w:t>
      </w:r>
      <w:r>
        <w:rPr>
          <w:spacing w:val="-6"/>
        </w:rPr>
        <w:t> </w:t>
      </w:r>
      <w:r>
        <w:rPr/>
        <w:t>Coordinación</w:t>
      </w:r>
      <w:r>
        <w:rPr>
          <w:spacing w:val="-6"/>
        </w:rPr>
        <w:t> </w:t>
      </w:r>
      <w:r>
        <w:rPr/>
        <w:t>Fiscal</w:t>
      </w:r>
      <w:r>
        <w:rPr>
          <w:spacing w:val="-9"/>
        </w:rPr>
        <w:t> </w:t>
      </w:r>
      <w:r>
        <w:rPr/>
        <w:t>y</w:t>
      </w:r>
      <w:r>
        <w:rPr>
          <w:spacing w:val="-10"/>
        </w:rPr>
        <w:t> </w:t>
      </w:r>
      <w:r>
        <w:rPr/>
        <w:t>con base en las necesidades de los municipios y de la propia entidad, con el fin de auxiliar</w:t>
      </w:r>
      <w:r>
        <w:rPr>
          <w:spacing w:val="-7"/>
        </w:rPr>
        <w:t> </w:t>
      </w:r>
      <w:r>
        <w:rPr/>
        <w:t>a</w:t>
      </w:r>
      <w:r>
        <w:rPr>
          <w:spacing w:val="-6"/>
        </w:rPr>
        <w:t> </w:t>
      </w:r>
      <w:r>
        <w:rPr/>
        <w:t>los</w:t>
      </w:r>
      <w:r>
        <w:rPr>
          <w:spacing w:val="-6"/>
        </w:rPr>
        <w:t> </w:t>
      </w:r>
      <w:r>
        <w:rPr/>
        <w:t>municipios</w:t>
      </w:r>
      <w:r>
        <w:rPr>
          <w:spacing w:val="-7"/>
        </w:rPr>
        <w:t> </w:t>
      </w:r>
      <w:r>
        <w:rPr/>
        <w:t>en</w:t>
      </w:r>
      <w:r>
        <w:rPr>
          <w:spacing w:val="-6"/>
        </w:rPr>
        <w:t> </w:t>
      </w:r>
      <w:r>
        <w:rPr/>
        <w:t>la</w:t>
      </w:r>
      <w:r>
        <w:rPr>
          <w:spacing w:val="-4"/>
        </w:rPr>
        <w:t> </w:t>
      </w:r>
      <w:r>
        <w:rPr/>
        <w:t>administración</w:t>
      </w:r>
      <w:r>
        <w:rPr>
          <w:spacing w:val="-7"/>
        </w:rPr>
        <w:t> </w:t>
      </w:r>
      <w:r>
        <w:rPr/>
        <w:t>de</w:t>
      </w:r>
      <w:r>
        <w:rPr>
          <w:spacing w:val="-6"/>
        </w:rPr>
        <w:t> </w:t>
      </w:r>
      <w:r>
        <w:rPr/>
        <w:t>los</w:t>
      </w:r>
      <w:r>
        <w:rPr>
          <w:spacing w:val="-9"/>
        </w:rPr>
        <w:t> </w:t>
      </w:r>
      <w:r>
        <w:rPr/>
        <w:t>fondos</w:t>
      </w:r>
      <w:r>
        <w:rPr>
          <w:spacing w:val="-7"/>
        </w:rPr>
        <w:t> </w:t>
      </w:r>
      <w:r>
        <w:rPr/>
        <w:t>y</w:t>
      </w:r>
      <w:r>
        <w:rPr>
          <w:spacing w:val="-8"/>
        </w:rPr>
        <w:t> </w:t>
      </w:r>
      <w:r>
        <w:rPr/>
        <w:t>que</w:t>
      </w:r>
      <w:r>
        <w:rPr>
          <w:spacing w:val="-6"/>
        </w:rPr>
        <w:t> </w:t>
      </w:r>
      <w:r>
        <w:rPr/>
        <w:t>estos</w:t>
      </w:r>
      <w:r>
        <w:rPr>
          <w:spacing w:val="-5"/>
        </w:rPr>
        <w:t> </w:t>
      </w:r>
      <w:r>
        <w:rPr/>
        <w:t>tuvieran</w:t>
      </w:r>
      <w:r>
        <w:rPr>
          <w:spacing w:val="-6"/>
        </w:rPr>
        <w:t> </w:t>
      </w:r>
      <w:r>
        <w:rPr/>
        <w:t>a</w:t>
      </w:r>
      <w:r>
        <w:rPr>
          <w:spacing w:val="-6"/>
        </w:rPr>
        <w:t> </w:t>
      </w:r>
      <w:r>
        <w:rPr/>
        <w:t>la mano las condiciones básicas para tomar</w:t>
      </w:r>
      <w:r>
        <w:rPr>
          <w:spacing w:val="-19"/>
        </w:rPr>
        <w:t> </w:t>
      </w:r>
      <w:r>
        <w:rPr/>
        <w:t>decisiones</w:t>
      </w:r>
    </w:p>
    <w:p>
      <w:pPr>
        <w:pStyle w:val="BodyText"/>
        <w:spacing w:before="204"/>
        <w:ind w:left="102"/>
        <w:jc w:val="both"/>
      </w:pPr>
      <w:r>
        <w:rPr/>
        <w:t>La administración de los recursos en términos de las leyes locales desempeña  un</w:t>
      </w:r>
    </w:p>
    <w:p>
      <w:pPr>
        <w:spacing w:after="0"/>
        <w:jc w:val="both"/>
        <w:sectPr>
          <w:footerReference w:type="default" r:id="rId48"/>
          <w:pgSz w:w="12240" w:h="15840"/>
          <w:pgMar w:footer="992" w:header="0" w:top="1360" w:bottom="1180" w:left="1600" w:right="1580"/>
        </w:sectPr>
      </w:pPr>
    </w:p>
    <w:p>
      <w:pPr>
        <w:pStyle w:val="BodyText"/>
        <w:spacing w:line="360" w:lineRule="auto" w:before="54"/>
        <w:ind w:left="102" w:right="116"/>
        <w:jc w:val="both"/>
      </w:pPr>
      <w:r>
        <w:rPr/>
        <w:t>papel</w:t>
      </w:r>
      <w:r>
        <w:rPr>
          <w:spacing w:val="-11"/>
        </w:rPr>
        <w:t> </w:t>
      </w:r>
      <w:r>
        <w:rPr/>
        <w:t>fundamental</w:t>
      </w:r>
      <w:r>
        <w:rPr>
          <w:spacing w:val="-8"/>
        </w:rPr>
        <w:t> </w:t>
      </w:r>
      <w:r>
        <w:rPr/>
        <w:t>en</w:t>
      </w:r>
      <w:r>
        <w:rPr>
          <w:spacing w:val="-7"/>
        </w:rPr>
        <w:t> </w:t>
      </w:r>
      <w:r>
        <w:rPr/>
        <w:t>la</w:t>
      </w:r>
      <w:r>
        <w:rPr>
          <w:spacing w:val="-7"/>
        </w:rPr>
        <w:t> </w:t>
      </w:r>
      <w:r>
        <w:rPr/>
        <w:t>regulación</w:t>
      </w:r>
      <w:r>
        <w:rPr>
          <w:spacing w:val="-9"/>
        </w:rPr>
        <w:t> </w:t>
      </w:r>
      <w:r>
        <w:rPr/>
        <w:t>de</w:t>
      </w:r>
      <w:r>
        <w:rPr>
          <w:spacing w:val="-9"/>
        </w:rPr>
        <w:t> </w:t>
      </w:r>
      <w:r>
        <w:rPr/>
        <w:t>determinadas</w:t>
      </w:r>
      <w:r>
        <w:rPr>
          <w:spacing w:val="-13"/>
        </w:rPr>
        <w:t> </w:t>
      </w:r>
      <w:r>
        <w:rPr/>
        <w:t>fases</w:t>
      </w:r>
      <w:r>
        <w:rPr>
          <w:spacing w:val="-10"/>
        </w:rPr>
        <w:t> </w:t>
      </w:r>
      <w:r>
        <w:rPr/>
        <w:t>de</w:t>
      </w:r>
      <w:r>
        <w:rPr>
          <w:spacing w:val="-9"/>
        </w:rPr>
        <w:t> </w:t>
      </w:r>
      <w:r>
        <w:rPr/>
        <w:t>la</w:t>
      </w:r>
      <w:r>
        <w:rPr>
          <w:spacing w:val="-7"/>
        </w:rPr>
        <w:t> </w:t>
      </w:r>
      <w:r>
        <w:rPr/>
        <w:t>implementación</w:t>
      </w:r>
      <w:r>
        <w:rPr>
          <w:spacing w:val="-9"/>
        </w:rPr>
        <w:t> </w:t>
      </w:r>
      <w:r>
        <w:rPr/>
        <w:t>de los</w:t>
      </w:r>
      <w:r>
        <w:rPr>
          <w:spacing w:val="-9"/>
        </w:rPr>
        <w:t> </w:t>
      </w:r>
      <w:r>
        <w:rPr/>
        <w:t>recursos</w:t>
      </w:r>
      <w:r>
        <w:rPr>
          <w:spacing w:val="-9"/>
        </w:rPr>
        <w:t> </w:t>
      </w:r>
      <w:r>
        <w:rPr/>
        <w:t>hacia</w:t>
      </w:r>
      <w:r>
        <w:rPr>
          <w:spacing w:val="-9"/>
        </w:rPr>
        <w:t> </w:t>
      </w:r>
      <w:r>
        <w:rPr/>
        <w:t>el</w:t>
      </w:r>
      <w:r>
        <w:rPr>
          <w:spacing w:val="-10"/>
        </w:rPr>
        <w:t> </w:t>
      </w:r>
      <w:r>
        <w:rPr/>
        <w:t>interior</w:t>
      </w:r>
      <w:r>
        <w:rPr>
          <w:spacing w:val="-8"/>
        </w:rPr>
        <w:t> </w:t>
      </w:r>
      <w:r>
        <w:rPr/>
        <w:t>de</w:t>
      </w:r>
      <w:r>
        <w:rPr>
          <w:spacing w:val="-8"/>
        </w:rPr>
        <w:t> </w:t>
      </w:r>
      <w:r>
        <w:rPr/>
        <w:t>los</w:t>
      </w:r>
      <w:r>
        <w:rPr>
          <w:spacing w:val="-9"/>
        </w:rPr>
        <w:t> </w:t>
      </w:r>
      <w:r>
        <w:rPr/>
        <w:t>municipios</w:t>
      </w:r>
      <w:r>
        <w:rPr>
          <w:spacing w:val="-11"/>
        </w:rPr>
        <w:t> </w:t>
      </w:r>
      <w:r>
        <w:rPr/>
        <w:t>que</w:t>
      </w:r>
      <w:r>
        <w:rPr>
          <w:spacing w:val="-8"/>
        </w:rPr>
        <w:t> </w:t>
      </w:r>
      <w:r>
        <w:rPr/>
        <w:t>integran</w:t>
      </w:r>
      <w:r>
        <w:rPr>
          <w:spacing w:val="-8"/>
        </w:rPr>
        <w:t> </w:t>
      </w:r>
      <w:r>
        <w:rPr/>
        <w:t>el</w:t>
      </w:r>
      <w:r>
        <w:rPr>
          <w:spacing w:val="-10"/>
        </w:rPr>
        <w:t> </w:t>
      </w:r>
      <w:r>
        <w:rPr/>
        <w:t>Estado</w:t>
      </w:r>
      <w:r>
        <w:rPr>
          <w:spacing w:val="-11"/>
        </w:rPr>
        <w:t> </w:t>
      </w:r>
      <w:r>
        <w:rPr/>
        <w:t>de</w:t>
      </w:r>
      <w:r>
        <w:rPr>
          <w:spacing w:val="-8"/>
        </w:rPr>
        <w:t> </w:t>
      </w:r>
      <w:r>
        <w:rPr/>
        <w:t>México.</w:t>
      </w:r>
      <w:r>
        <w:rPr>
          <w:spacing w:val="-3"/>
        </w:rPr>
        <w:t> </w:t>
      </w:r>
      <w:r>
        <w:rPr/>
        <w:t>La toma</w:t>
      </w:r>
      <w:r>
        <w:rPr>
          <w:spacing w:val="-16"/>
        </w:rPr>
        <w:t> </w:t>
      </w:r>
      <w:r>
        <w:rPr/>
        <w:t>de</w:t>
      </w:r>
      <w:r>
        <w:rPr>
          <w:spacing w:val="-15"/>
        </w:rPr>
        <w:t> </w:t>
      </w:r>
      <w:r>
        <w:rPr/>
        <w:t>decisiones</w:t>
      </w:r>
      <w:r>
        <w:rPr>
          <w:spacing w:val="-16"/>
        </w:rPr>
        <w:t> </w:t>
      </w:r>
      <w:r>
        <w:rPr/>
        <w:t>es</w:t>
      </w:r>
      <w:r>
        <w:rPr>
          <w:spacing w:val="-19"/>
        </w:rPr>
        <w:t> </w:t>
      </w:r>
      <w:r>
        <w:rPr/>
        <w:t>la</w:t>
      </w:r>
      <w:r>
        <w:rPr>
          <w:spacing w:val="-13"/>
        </w:rPr>
        <w:t> </w:t>
      </w:r>
      <w:r>
        <w:rPr/>
        <w:t>tarea</w:t>
      </w:r>
      <w:r>
        <w:rPr>
          <w:spacing w:val="-16"/>
        </w:rPr>
        <w:t> </w:t>
      </w:r>
      <w:r>
        <w:rPr/>
        <w:t>más</w:t>
      </w:r>
      <w:r>
        <w:rPr>
          <w:spacing w:val="-16"/>
        </w:rPr>
        <w:t> </w:t>
      </w:r>
      <w:r>
        <w:rPr/>
        <w:t>importante</w:t>
      </w:r>
      <w:r>
        <w:rPr>
          <w:spacing w:val="-13"/>
        </w:rPr>
        <w:t> </w:t>
      </w:r>
      <w:r>
        <w:rPr/>
        <w:t>y</w:t>
      </w:r>
      <w:r>
        <w:rPr>
          <w:spacing w:val="-16"/>
        </w:rPr>
        <w:t> </w:t>
      </w:r>
      <w:r>
        <w:rPr/>
        <w:t>delicada</w:t>
      </w:r>
      <w:r>
        <w:rPr>
          <w:spacing w:val="-15"/>
        </w:rPr>
        <w:t> </w:t>
      </w:r>
      <w:r>
        <w:rPr/>
        <w:t>que</w:t>
      </w:r>
      <w:r>
        <w:rPr>
          <w:spacing w:val="-16"/>
        </w:rPr>
        <w:t> </w:t>
      </w:r>
      <w:r>
        <w:rPr/>
        <w:t>tienen</w:t>
      </w:r>
      <w:r>
        <w:rPr>
          <w:spacing w:val="-15"/>
        </w:rPr>
        <w:t> </w:t>
      </w:r>
      <w:r>
        <w:rPr/>
        <w:t>las</w:t>
      </w:r>
      <w:r>
        <w:rPr>
          <w:spacing w:val="-16"/>
        </w:rPr>
        <w:t> </w:t>
      </w:r>
      <w:r>
        <w:rPr/>
        <w:t>autoridades municipales, porque repercute en la ciudadanía que integran su demarcación territorial, en este caso los manuales tiene la función de ayudar en la decisión más recomendable</w:t>
      </w:r>
      <w:r>
        <w:rPr>
          <w:spacing w:val="-7"/>
        </w:rPr>
        <w:t> </w:t>
      </w:r>
      <w:r>
        <w:rPr/>
        <w:t>sobre</w:t>
      </w:r>
      <w:r>
        <w:rPr>
          <w:spacing w:val="-8"/>
        </w:rPr>
        <w:t> </w:t>
      </w:r>
      <w:r>
        <w:rPr/>
        <w:t>los</w:t>
      </w:r>
      <w:r>
        <w:rPr>
          <w:spacing w:val="-8"/>
        </w:rPr>
        <w:t> </w:t>
      </w:r>
      <w:r>
        <w:rPr/>
        <w:t>asuntos</w:t>
      </w:r>
      <w:r>
        <w:rPr>
          <w:spacing w:val="-10"/>
        </w:rPr>
        <w:t> </w:t>
      </w:r>
      <w:r>
        <w:rPr/>
        <w:t>de</w:t>
      </w:r>
      <w:r>
        <w:rPr>
          <w:spacing w:val="-7"/>
        </w:rPr>
        <w:t> </w:t>
      </w:r>
      <w:r>
        <w:rPr/>
        <w:t>las</w:t>
      </w:r>
      <w:r>
        <w:rPr>
          <w:spacing w:val="-10"/>
        </w:rPr>
        <w:t> </w:t>
      </w:r>
      <w:r>
        <w:rPr/>
        <w:t>aportaciones</w:t>
      </w:r>
      <w:r>
        <w:rPr>
          <w:spacing w:val="-10"/>
        </w:rPr>
        <w:t> </w:t>
      </w:r>
      <w:r>
        <w:rPr/>
        <w:t>federales,</w:t>
      </w:r>
      <w:r>
        <w:rPr>
          <w:spacing w:val="-6"/>
        </w:rPr>
        <w:t> </w:t>
      </w:r>
      <w:r>
        <w:rPr/>
        <w:t>aun</w:t>
      </w:r>
      <w:r>
        <w:rPr>
          <w:spacing w:val="-9"/>
        </w:rPr>
        <w:t> </w:t>
      </w:r>
      <w:r>
        <w:rPr/>
        <w:t>cuando</w:t>
      </w:r>
      <w:r>
        <w:rPr>
          <w:spacing w:val="-9"/>
        </w:rPr>
        <w:t> </w:t>
      </w:r>
      <w:r>
        <w:rPr/>
        <w:t>existen otros factores que influyen en la</w:t>
      </w:r>
      <w:r>
        <w:rPr>
          <w:spacing w:val="-16"/>
        </w:rPr>
        <w:t> </w:t>
      </w:r>
      <w:r>
        <w:rPr/>
        <w:t>decisión.</w:t>
      </w:r>
    </w:p>
    <w:p>
      <w:pPr>
        <w:pStyle w:val="BodyText"/>
        <w:spacing w:line="360" w:lineRule="auto" w:before="204"/>
        <w:ind w:left="102" w:right="116"/>
        <w:jc w:val="both"/>
      </w:pPr>
      <w:r>
        <w:rPr/>
        <w:t>Cuando las normas se han institucionalizado, es decir cuando los gobiernos estatales y municipales están convencidos de que las reglas, valores y rutinas que han ido implementando en la operatividad de los fondos federales simplifican la toma</w:t>
      </w:r>
      <w:r>
        <w:rPr>
          <w:spacing w:val="-5"/>
        </w:rPr>
        <w:t> </w:t>
      </w:r>
      <w:r>
        <w:rPr/>
        <w:t>de</w:t>
      </w:r>
      <w:r>
        <w:rPr>
          <w:spacing w:val="-7"/>
        </w:rPr>
        <w:t> </w:t>
      </w:r>
      <w:r>
        <w:rPr/>
        <w:t>decisiones,</w:t>
      </w:r>
      <w:r>
        <w:rPr>
          <w:spacing w:val="-2"/>
        </w:rPr>
        <w:t> </w:t>
      </w:r>
      <w:r>
        <w:rPr/>
        <w:t>son</w:t>
      </w:r>
      <w:r>
        <w:rPr>
          <w:spacing w:val="-5"/>
        </w:rPr>
        <w:t> </w:t>
      </w:r>
      <w:r>
        <w:rPr/>
        <w:t>una</w:t>
      </w:r>
      <w:r>
        <w:rPr>
          <w:spacing w:val="-5"/>
        </w:rPr>
        <w:t> </w:t>
      </w:r>
      <w:r>
        <w:rPr/>
        <w:t>estrategia</w:t>
      </w:r>
      <w:r>
        <w:rPr>
          <w:spacing w:val="-5"/>
        </w:rPr>
        <w:t> </w:t>
      </w:r>
      <w:r>
        <w:rPr/>
        <w:t>para</w:t>
      </w:r>
      <w:r>
        <w:rPr>
          <w:spacing w:val="-8"/>
        </w:rPr>
        <w:t> </w:t>
      </w:r>
      <w:r>
        <w:rPr/>
        <w:t>que</w:t>
      </w:r>
      <w:r>
        <w:rPr>
          <w:spacing w:val="-2"/>
        </w:rPr>
        <w:t> </w:t>
      </w:r>
      <w:r>
        <w:rPr/>
        <w:t>los</w:t>
      </w:r>
      <w:r>
        <w:rPr>
          <w:spacing w:val="-5"/>
        </w:rPr>
        <w:t> </w:t>
      </w:r>
      <w:r>
        <w:rPr/>
        <w:t>resultados</w:t>
      </w:r>
      <w:r>
        <w:rPr>
          <w:spacing w:val="-5"/>
        </w:rPr>
        <w:t> </w:t>
      </w:r>
      <w:r>
        <w:rPr/>
        <w:t>sean</w:t>
      </w:r>
      <w:r>
        <w:rPr>
          <w:spacing w:val="-5"/>
        </w:rPr>
        <w:t> </w:t>
      </w:r>
      <w:r>
        <w:rPr/>
        <w:t>satisfactorios; sin embargo si bien es cierto que los recursos son institucionalizados y la normatividad de igual forma y que las reformas se van efectuando conforme van cambiando</w:t>
      </w:r>
      <w:r>
        <w:rPr>
          <w:spacing w:val="-6"/>
        </w:rPr>
        <w:t> </w:t>
      </w:r>
      <w:r>
        <w:rPr/>
        <w:t>las</w:t>
      </w:r>
      <w:r>
        <w:rPr>
          <w:spacing w:val="-6"/>
        </w:rPr>
        <w:t> </w:t>
      </w:r>
      <w:r>
        <w:rPr/>
        <w:t>realidades,</w:t>
      </w:r>
      <w:r>
        <w:rPr>
          <w:spacing w:val="-6"/>
        </w:rPr>
        <w:t> </w:t>
      </w:r>
      <w:r>
        <w:rPr/>
        <w:t>no</w:t>
      </w:r>
      <w:r>
        <w:rPr>
          <w:spacing w:val="-6"/>
        </w:rPr>
        <w:t> </w:t>
      </w:r>
      <w:r>
        <w:rPr/>
        <w:t>implica</w:t>
      </w:r>
      <w:r>
        <w:rPr>
          <w:spacing w:val="-6"/>
        </w:rPr>
        <w:t> </w:t>
      </w:r>
      <w:r>
        <w:rPr/>
        <w:t>necesariamente</w:t>
      </w:r>
      <w:r>
        <w:rPr>
          <w:spacing w:val="-5"/>
        </w:rPr>
        <w:t> </w:t>
      </w:r>
      <w:r>
        <w:rPr/>
        <w:t>que</w:t>
      </w:r>
      <w:r>
        <w:rPr>
          <w:spacing w:val="-2"/>
        </w:rPr>
        <w:t> </w:t>
      </w:r>
      <w:r>
        <w:rPr/>
        <w:t>se</w:t>
      </w:r>
      <w:r>
        <w:rPr>
          <w:spacing w:val="-6"/>
        </w:rPr>
        <w:t> </w:t>
      </w:r>
      <w:r>
        <w:rPr/>
        <w:t>cumplan</w:t>
      </w:r>
      <w:r>
        <w:rPr>
          <w:spacing w:val="-6"/>
        </w:rPr>
        <w:t> </w:t>
      </w:r>
      <w:r>
        <w:rPr/>
        <w:t>los</w:t>
      </w:r>
      <w:r>
        <w:rPr>
          <w:spacing w:val="-6"/>
        </w:rPr>
        <w:t> </w:t>
      </w:r>
      <w:r>
        <w:rPr/>
        <w:t>objetivos y que se eviten las irregularidades, la opacidad, discrecionalidad u omisiones al momento de ejecutar los recursos. Esto da pie a enfatizar que el tomador de decisiones</w:t>
      </w:r>
      <w:r>
        <w:rPr>
          <w:spacing w:val="-17"/>
        </w:rPr>
        <w:t> </w:t>
      </w:r>
      <w:r>
        <w:rPr/>
        <w:t>puede</w:t>
      </w:r>
      <w:r>
        <w:rPr>
          <w:spacing w:val="-17"/>
        </w:rPr>
        <w:t> </w:t>
      </w:r>
      <w:r>
        <w:rPr/>
        <w:t>hace</w:t>
      </w:r>
      <w:r>
        <w:rPr>
          <w:spacing w:val="-16"/>
        </w:rPr>
        <w:t> </w:t>
      </w:r>
      <w:r>
        <w:rPr/>
        <w:t>uso</w:t>
      </w:r>
      <w:r>
        <w:rPr>
          <w:spacing w:val="-14"/>
        </w:rPr>
        <w:t> </w:t>
      </w:r>
      <w:r>
        <w:rPr/>
        <w:t>de</w:t>
      </w:r>
      <w:r>
        <w:rPr>
          <w:spacing w:val="-14"/>
        </w:rPr>
        <w:t> </w:t>
      </w:r>
      <w:r>
        <w:rPr/>
        <w:t>su</w:t>
      </w:r>
      <w:r>
        <w:rPr>
          <w:spacing w:val="-14"/>
        </w:rPr>
        <w:t> </w:t>
      </w:r>
      <w:r>
        <w:rPr/>
        <w:t>discrecionalidad</w:t>
      </w:r>
      <w:r>
        <w:rPr>
          <w:spacing w:val="-17"/>
        </w:rPr>
        <w:t> </w:t>
      </w:r>
      <w:r>
        <w:rPr/>
        <w:t>para</w:t>
      </w:r>
      <w:r>
        <w:rPr>
          <w:spacing w:val="-15"/>
        </w:rPr>
        <w:t> </w:t>
      </w:r>
      <w:r>
        <w:rPr/>
        <w:t>aplicar</w:t>
      </w:r>
      <w:r>
        <w:rPr>
          <w:spacing w:val="-16"/>
        </w:rPr>
        <w:t> </w:t>
      </w:r>
      <w:r>
        <w:rPr/>
        <w:t>recursos,</w:t>
      </w:r>
      <w:r>
        <w:rPr>
          <w:spacing w:val="-14"/>
        </w:rPr>
        <w:t> </w:t>
      </w:r>
      <w:r>
        <w:rPr/>
        <w:t>misma</w:t>
      </w:r>
      <w:r>
        <w:rPr>
          <w:spacing w:val="-14"/>
        </w:rPr>
        <w:t> </w:t>
      </w:r>
      <w:r>
        <w:rPr/>
        <w:t>que puede ocasionarle incurrir en</w:t>
      </w:r>
      <w:r>
        <w:rPr>
          <w:spacing w:val="-22"/>
        </w:rPr>
        <w:t> </w:t>
      </w:r>
      <w:r>
        <w:rPr/>
        <w:t>responsabilidades.</w:t>
      </w:r>
    </w:p>
    <w:p>
      <w:pPr>
        <w:spacing w:line="360" w:lineRule="auto" w:before="204"/>
        <w:ind w:left="102" w:right="113" w:firstLine="0"/>
        <w:jc w:val="both"/>
        <w:rPr>
          <w:sz w:val="24"/>
        </w:rPr>
      </w:pPr>
      <w:r>
        <w:rPr>
          <w:sz w:val="24"/>
        </w:rPr>
        <w:t>Cabe</w:t>
      </w:r>
      <w:r>
        <w:rPr>
          <w:spacing w:val="-15"/>
          <w:sz w:val="24"/>
        </w:rPr>
        <w:t> </w:t>
      </w:r>
      <w:r>
        <w:rPr>
          <w:sz w:val="24"/>
        </w:rPr>
        <w:t>hacer</w:t>
      </w:r>
      <w:r>
        <w:rPr>
          <w:spacing w:val="-15"/>
          <w:sz w:val="24"/>
        </w:rPr>
        <w:t> </w:t>
      </w:r>
      <w:r>
        <w:rPr>
          <w:sz w:val="24"/>
        </w:rPr>
        <w:t>hincapié,</w:t>
      </w:r>
      <w:r>
        <w:rPr>
          <w:spacing w:val="-13"/>
          <w:sz w:val="24"/>
        </w:rPr>
        <w:t> </w:t>
      </w:r>
      <w:r>
        <w:rPr>
          <w:sz w:val="24"/>
        </w:rPr>
        <w:t>que</w:t>
      </w:r>
      <w:r>
        <w:rPr>
          <w:spacing w:val="-16"/>
          <w:sz w:val="24"/>
        </w:rPr>
        <w:t> </w:t>
      </w:r>
      <w:r>
        <w:rPr>
          <w:sz w:val="24"/>
        </w:rPr>
        <w:t>antes</w:t>
      </w:r>
      <w:r>
        <w:rPr>
          <w:spacing w:val="-16"/>
          <w:sz w:val="24"/>
        </w:rPr>
        <w:t> </w:t>
      </w:r>
      <w:r>
        <w:rPr>
          <w:sz w:val="24"/>
        </w:rPr>
        <w:t>de</w:t>
      </w:r>
      <w:r>
        <w:rPr>
          <w:spacing w:val="-15"/>
          <w:sz w:val="24"/>
        </w:rPr>
        <w:t> </w:t>
      </w:r>
      <w:r>
        <w:rPr>
          <w:sz w:val="24"/>
        </w:rPr>
        <w:t>la</w:t>
      </w:r>
      <w:r>
        <w:rPr>
          <w:spacing w:val="-16"/>
          <w:sz w:val="24"/>
        </w:rPr>
        <w:t> </w:t>
      </w:r>
      <w:r>
        <w:rPr>
          <w:sz w:val="24"/>
        </w:rPr>
        <w:t>reforma</w:t>
      </w:r>
      <w:r>
        <w:rPr>
          <w:spacing w:val="-18"/>
          <w:sz w:val="24"/>
        </w:rPr>
        <w:t> </w:t>
      </w:r>
      <w:r>
        <w:rPr>
          <w:sz w:val="24"/>
        </w:rPr>
        <w:t>del</w:t>
      </w:r>
      <w:r>
        <w:rPr>
          <w:spacing w:val="-17"/>
          <w:sz w:val="24"/>
        </w:rPr>
        <w:t> </w:t>
      </w:r>
      <w:r>
        <w:rPr>
          <w:sz w:val="24"/>
        </w:rPr>
        <w:t>09</w:t>
      </w:r>
      <w:r>
        <w:rPr>
          <w:spacing w:val="-15"/>
          <w:sz w:val="24"/>
        </w:rPr>
        <w:t> </w:t>
      </w:r>
      <w:r>
        <w:rPr>
          <w:sz w:val="24"/>
        </w:rPr>
        <w:t>de</w:t>
      </w:r>
      <w:r>
        <w:rPr>
          <w:spacing w:val="-10"/>
          <w:sz w:val="24"/>
        </w:rPr>
        <w:t> </w:t>
      </w:r>
      <w:r>
        <w:rPr>
          <w:sz w:val="24"/>
        </w:rPr>
        <w:t>diciembre</w:t>
      </w:r>
      <w:r>
        <w:rPr>
          <w:spacing w:val="-15"/>
          <w:sz w:val="24"/>
        </w:rPr>
        <w:t> </w:t>
      </w:r>
      <w:r>
        <w:rPr>
          <w:sz w:val="24"/>
        </w:rPr>
        <w:t>de</w:t>
      </w:r>
      <w:r>
        <w:rPr>
          <w:spacing w:val="-16"/>
          <w:sz w:val="24"/>
        </w:rPr>
        <w:t> </w:t>
      </w:r>
      <w:r>
        <w:rPr>
          <w:sz w:val="24"/>
        </w:rPr>
        <w:t>2013</w:t>
      </w:r>
      <w:r>
        <w:rPr>
          <w:spacing w:val="-16"/>
          <w:sz w:val="24"/>
        </w:rPr>
        <w:t> </w:t>
      </w:r>
      <w:r>
        <w:rPr>
          <w:sz w:val="24"/>
        </w:rPr>
        <w:t>el</w:t>
      </w:r>
      <w:r>
        <w:rPr>
          <w:spacing w:val="-14"/>
          <w:sz w:val="24"/>
        </w:rPr>
        <w:t> </w:t>
      </w:r>
      <w:r>
        <w:rPr>
          <w:sz w:val="24"/>
        </w:rPr>
        <w:t>Estado de México venía manejando para la operatividad de los fondos los manuales; el último que estuvo vigente fue hasta el año 2009. Más tarde, se conocerían como lineamientos de operación donde se estableció como premisa que los “</w:t>
      </w:r>
      <w:r>
        <w:rPr>
          <w:b/>
          <w:sz w:val="24"/>
        </w:rPr>
        <w:t>Ayuntamientos asumen plenamente y por sí mimos, la correcta aplicación y ejercicio de los recursos públicos de los fondos”</w:t>
      </w:r>
      <w:r>
        <w:rPr>
          <w:sz w:val="24"/>
        </w:rPr>
        <w:t>. Con esta premisa, entonces, la</w:t>
      </w:r>
      <w:r>
        <w:rPr>
          <w:spacing w:val="-18"/>
          <w:sz w:val="24"/>
        </w:rPr>
        <w:t> </w:t>
      </w:r>
      <w:r>
        <w:rPr>
          <w:sz w:val="24"/>
        </w:rPr>
        <w:t>toma</w:t>
      </w:r>
      <w:r>
        <w:rPr>
          <w:spacing w:val="-18"/>
          <w:sz w:val="24"/>
        </w:rPr>
        <w:t> </w:t>
      </w:r>
      <w:r>
        <w:rPr>
          <w:sz w:val="24"/>
        </w:rPr>
        <w:t>de</w:t>
      </w:r>
      <w:r>
        <w:rPr>
          <w:spacing w:val="-18"/>
          <w:sz w:val="24"/>
        </w:rPr>
        <w:t> </w:t>
      </w:r>
      <w:r>
        <w:rPr>
          <w:sz w:val="24"/>
        </w:rPr>
        <w:t>decisiones</w:t>
      </w:r>
      <w:r>
        <w:rPr>
          <w:spacing w:val="-21"/>
          <w:sz w:val="24"/>
        </w:rPr>
        <w:t> </w:t>
      </w:r>
      <w:r>
        <w:rPr>
          <w:sz w:val="24"/>
        </w:rPr>
        <w:t>de</w:t>
      </w:r>
      <w:r>
        <w:rPr>
          <w:spacing w:val="-18"/>
          <w:sz w:val="24"/>
        </w:rPr>
        <w:t> </w:t>
      </w:r>
      <w:r>
        <w:rPr>
          <w:sz w:val="24"/>
        </w:rPr>
        <w:t>la</w:t>
      </w:r>
      <w:r>
        <w:rPr>
          <w:spacing w:val="-18"/>
          <w:sz w:val="24"/>
        </w:rPr>
        <w:t> </w:t>
      </w:r>
      <w:r>
        <w:rPr>
          <w:sz w:val="24"/>
        </w:rPr>
        <w:t>aplicación</w:t>
      </w:r>
      <w:r>
        <w:rPr>
          <w:spacing w:val="-18"/>
          <w:sz w:val="24"/>
        </w:rPr>
        <w:t> </w:t>
      </w:r>
      <w:r>
        <w:rPr>
          <w:sz w:val="24"/>
        </w:rPr>
        <w:t>de</w:t>
      </w:r>
      <w:r>
        <w:rPr>
          <w:spacing w:val="-18"/>
          <w:sz w:val="24"/>
        </w:rPr>
        <w:t> </w:t>
      </w:r>
      <w:r>
        <w:rPr>
          <w:sz w:val="24"/>
        </w:rPr>
        <w:t>los</w:t>
      </w:r>
      <w:r>
        <w:rPr>
          <w:spacing w:val="-18"/>
          <w:sz w:val="24"/>
        </w:rPr>
        <w:t> </w:t>
      </w:r>
      <w:r>
        <w:rPr>
          <w:sz w:val="24"/>
        </w:rPr>
        <w:t>recursos</w:t>
      </w:r>
      <w:r>
        <w:rPr>
          <w:spacing w:val="-19"/>
          <w:sz w:val="24"/>
        </w:rPr>
        <w:t> </w:t>
      </w:r>
      <w:r>
        <w:rPr>
          <w:sz w:val="24"/>
        </w:rPr>
        <w:t>está</w:t>
      </w:r>
      <w:r>
        <w:rPr>
          <w:spacing w:val="-18"/>
          <w:sz w:val="24"/>
        </w:rPr>
        <w:t> </w:t>
      </w:r>
      <w:r>
        <w:rPr>
          <w:sz w:val="24"/>
        </w:rPr>
        <w:t>circunscrita</w:t>
      </w:r>
      <w:r>
        <w:rPr>
          <w:spacing w:val="-18"/>
          <w:sz w:val="24"/>
        </w:rPr>
        <w:t> </w:t>
      </w:r>
      <w:r>
        <w:rPr>
          <w:sz w:val="24"/>
        </w:rPr>
        <w:t>a</w:t>
      </w:r>
      <w:r>
        <w:rPr>
          <w:spacing w:val="-18"/>
          <w:sz w:val="24"/>
        </w:rPr>
        <w:t> </w:t>
      </w:r>
      <w:r>
        <w:rPr>
          <w:sz w:val="24"/>
        </w:rPr>
        <w:t>la</w:t>
      </w:r>
      <w:r>
        <w:rPr>
          <w:spacing w:val="-18"/>
          <w:sz w:val="24"/>
        </w:rPr>
        <w:t> </w:t>
      </w:r>
      <w:r>
        <w:rPr>
          <w:sz w:val="24"/>
        </w:rPr>
        <w:t>autoridad municipal.</w:t>
      </w:r>
    </w:p>
    <w:p>
      <w:pPr>
        <w:pStyle w:val="BodyText"/>
        <w:spacing w:line="360" w:lineRule="auto" w:before="204"/>
        <w:ind w:left="102" w:right="116"/>
        <w:jc w:val="both"/>
      </w:pPr>
      <w:r>
        <w:rPr/>
        <w:t>Posterior a la reforma mencionada, sólo se limitaba a dar a conocer las variables, fórmula,</w:t>
      </w:r>
      <w:r>
        <w:rPr>
          <w:spacing w:val="-7"/>
        </w:rPr>
        <w:t> </w:t>
      </w:r>
      <w:r>
        <w:rPr/>
        <w:t>metodología,</w:t>
      </w:r>
      <w:r>
        <w:rPr>
          <w:spacing w:val="-7"/>
        </w:rPr>
        <w:t> </w:t>
      </w:r>
      <w:r>
        <w:rPr/>
        <w:t>distribución</w:t>
      </w:r>
      <w:r>
        <w:rPr>
          <w:spacing w:val="-6"/>
        </w:rPr>
        <w:t> </w:t>
      </w:r>
      <w:r>
        <w:rPr/>
        <w:t>y</w:t>
      </w:r>
      <w:r>
        <w:rPr>
          <w:spacing w:val="-5"/>
        </w:rPr>
        <w:t> </w:t>
      </w:r>
      <w:r>
        <w:rPr/>
        <w:t>calendarización</w:t>
      </w:r>
      <w:r>
        <w:rPr>
          <w:spacing w:val="-3"/>
        </w:rPr>
        <w:t> </w:t>
      </w:r>
      <w:r>
        <w:rPr/>
        <w:t>de</w:t>
      </w:r>
      <w:r>
        <w:rPr>
          <w:spacing w:val="-7"/>
        </w:rPr>
        <w:t> </w:t>
      </w:r>
      <w:r>
        <w:rPr/>
        <w:t>los</w:t>
      </w:r>
      <w:r>
        <w:rPr>
          <w:spacing w:val="-7"/>
        </w:rPr>
        <w:t> </w:t>
      </w:r>
      <w:r>
        <w:rPr/>
        <w:t>fondos,</w:t>
      </w:r>
      <w:r>
        <w:rPr>
          <w:spacing w:val="-7"/>
        </w:rPr>
        <w:t> </w:t>
      </w:r>
      <w:r>
        <w:rPr/>
        <w:t>dando</w:t>
      </w:r>
      <w:r>
        <w:rPr>
          <w:spacing w:val="-2"/>
        </w:rPr>
        <w:t> </w:t>
      </w:r>
      <w:r>
        <w:rPr/>
        <w:t>pie</w:t>
      </w:r>
      <w:r>
        <w:rPr>
          <w:spacing w:val="-4"/>
        </w:rPr>
        <w:t> </w:t>
      </w:r>
      <w:r>
        <w:rPr/>
        <w:t>a</w:t>
      </w:r>
      <w:r>
        <w:rPr>
          <w:spacing w:val="-7"/>
        </w:rPr>
        <w:t> </w:t>
      </w:r>
      <w:r>
        <w:rPr/>
        <w:t>que los municipios deben en todo momento apegarse sin menoscabo a lo establecido en la Ley de Coordinación</w:t>
      </w:r>
      <w:r>
        <w:rPr>
          <w:spacing w:val="-6"/>
        </w:rPr>
        <w:t> </w:t>
      </w:r>
      <w:r>
        <w:rPr/>
        <w:t>Fiscal.</w:t>
      </w:r>
    </w:p>
    <w:p>
      <w:pPr>
        <w:spacing w:after="0" w:line="360" w:lineRule="auto"/>
        <w:jc w:val="both"/>
        <w:sectPr>
          <w:footerReference w:type="default" r:id="rId49"/>
          <w:pgSz w:w="12240" w:h="15840"/>
          <w:pgMar w:footer="992" w:header="0" w:top="1360" w:bottom="1180" w:left="1600" w:right="1580"/>
          <w:pgNumType w:start="141"/>
        </w:sectPr>
      </w:pPr>
    </w:p>
    <w:p>
      <w:pPr>
        <w:pStyle w:val="BodyText"/>
        <w:spacing w:line="360" w:lineRule="auto" w:before="54"/>
        <w:ind w:left="102" w:right="116"/>
        <w:jc w:val="both"/>
      </w:pPr>
      <w:r>
        <w:rPr/>
        <w:t>En virtud de lo anterior se revisaron los manuales de operación de los recursos federales con el fin de analizar, si estos cumplían con su cometido de otorgar las herramientas</w:t>
      </w:r>
      <w:r>
        <w:rPr>
          <w:spacing w:val="-9"/>
        </w:rPr>
        <w:t> </w:t>
      </w:r>
      <w:r>
        <w:rPr/>
        <w:t>que</w:t>
      </w:r>
      <w:r>
        <w:rPr>
          <w:spacing w:val="-8"/>
        </w:rPr>
        <w:t> </w:t>
      </w:r>
      <w:r>
        <w:rPr/>
        <w:t>coadyuven</w:t>
      </w:r>
      <w:r>
        <w:rPr>
          <w:spacing w:val="-8"/>
        </w:rPr>
        <w:t> </w:t>
      </w:r>
      <w:r>
        <w:rPr/>
        <w:t>con</w:t>
      </w:r>
      <w:r>
        <w:rPr>
          <w:spacing w:val="-8"/>
        </w:rPr>
        <w:t> </w:t>
      </w:r>
      <w:r>
        <w:rPr/>
        <w:t>los</w:t>
      </w:r>
      <w:r>
        <w:rPr>
          <w:spacing w:val="-9"/>
        </w:rPr>
        <w:t> </w:t>
      </w:r>
      <w:r>
        <w:rPr/>
        <w:t>gobiernos</w:t>
      </w:r>
      <w:r>
        <w:rPr>
          <w:spacing w:val="-9"/>
        </w:rPr>
        <w:t> </w:t>
      </w:r>
      <w:r>
        <w:rPr/>
        <w:t>municipales</w:t>
      </w:r>
      <w:r>
        <w:rPr>
          <w:spacing w:val="-9"/>
        </w:rPr>
        <w:t> </w:t>
      </w:r>
      <w:r>
        <w:rPr/>
        <w:t>para</w:t>
      </w:r>
      <w:r>
        <w:rPr>
          <w:spacing w:val="-9"/>
        </w:rPr>
        <w:t> </w:t>
      </w:r>
      <w:r>
        <w:rPr/>
        <w:t>operar</w:t>
      </w:r>
      <w:r>
        <w:rPr>
          <w:spacing w:val="-10"/>
        </w:rPr>
        <w:t> </w:t>
      </w:r>
      <w:r>
        <w:rPr/>
        <w:t>de</w:t>
      </w:r>
      <w:r>
        <w:rPr>
          <w:spacing w:val="-8"/>
        </w:rPr>
        <w:t> </w:t>
      </w:r>
      <w:r>
        <w:rPr/>
        <w:t>manera correcta</w:t>
      </w:r>
      <w:r>
        <w:rPr>
          <w:spacing w:val="-8"/>
        </w:rPr>
        <w:t> </w:t>
      </w:r>
      <w:r>
        <w:rPr/>
        <w:t>los</w:t>
      </w:r>
      <w:r>
        <w:rPr>
          <w:spacing w:val="-11"/>
        </w:rPr>
        <w:t> </w:t>
      </w:r>
      <w:r>
        <w:rPr/>
        <w:t>fondos,</w:t>
      </w:r>
      <w:r>
        <w:rPr>
          <w:spacing w:val="-9"/>
        </w:rPr>
        <w:t> </w:t>
      </w:r>
      <w:r>
        <w:rPr/>
        <w:t>y</w:t>
      </w:r>
      <w:r>
        <w:rPr>
          <w:spacing w:val="-12"/>
        </w:rPr>
        <w:t> </w:t>
      </w:r>
      <w:r>
        <w:rPr/>
        <w:t>evitar</w:t>
      </w:r>
      <w:r>
        <w:rPr>
          <w:spacing w:val="-7"/>
        </w:rPr>
        <w:t> </w:t>
      </w:r>
      <w:r>
        <w:rPr/>
        <w:t>así</w:t>
      </w:r>
      <w:r>
        <w:rPr>
          <w:spacing w:val="-11"/>
        </w:rPr>
        <w:t> </w:t>
      </w:r>
      <w:r>
        <w:rPr/>
        <w:t>observaciones</w:t>
      </w:r>
      <w:r>
        <w:rPr>
          <w:spacing w:val="-9"/>
        </w:rPr>
        <w:t> </w:t>
      </w:r>
      <w:r>
        <w:rPr/>
        <w:t>que</w:t>
      </w:r>
      <w:r>
        <w:rPr>
          <w:spacing w:val="-7"/>
        </w:rPr>
        <w:t> </w:t>
      </w:r>
      <w:r>
        <w:rPr/>
        <w:t>conllevaran</w:t>
      </w:r>
      <w:r>
        <w:rPr>
          <w:spacing w:val="-7"/>
        </w:rPr>
        <w:t> </w:t>
      </w:r>
      <w:r>
        <w:rPr/>
        <w:t>a</w:t>
      </w:r>
      <w:r>
        <w:rPr>
          <w:spacing w:val="-8"/>
        </w:rPr>
        <w:t> </w:t>
      </w:r>
      <w:r>
        <w:rPr/>
        <w:t>responsabilidades administrativas o en su caso resarcitoria hacia los gobiernos municipales. Por lo tanto, en los siguientes subtemas se desglosara ese</w:t>
      </w:r>
      <w:r>
        <w:rPr>
          <w:spacing w:val="-12"/>
        </w:rPr>
        <w:t> </w:t>
      </w:r>
      <w:r>
        <w:rPr/>
        <w:t>análisis.</w:t>
      </w:r>
    </w:p>
    <w:p>
      <w:pPr>
        <w:spacing w:after="0" w:line="360" w:lineRule="auto"/>
        <w:jc w:val="both"/>
        <w:sectPr>
          <w:pgSz w:w="12240" w:h="15840"/>
          <w:pgMar w:header="0" w:footer="992" w:top="1360" w:bottom="1180" w:left="1600" w:right="1580"/>
        </w:sectPr>
      </w:pPr>
    </w:p>
    <w:p>
      <w:pPr>
        <w:pStyle w:val="BodyText"/>
        <w:spacing w:before="11"/>
        <w:rPr>
          <w:sz w:val="10"/>
        </w:rPr>
      </w:pPr>
    </w:p>
    <w:p>
      <w:pPr>
        <w:pStyle w:val="Heading1"/>
        <w:numPr>
          <w:ilvl w:val="2"/>
          <w:numId w:val="53"/>
        </w:numPr>
        <w:tabs>
          <w:tab w:pos="1223" w:val="left" w:leader="none"/>
        </w:tabs>
        <w:spacing w:line="240" w:lineRule="auto" w:before="65" w:after="0"/>
        <w:ind w:left="1222" w:right="0" w:hanging="703"/>
        <w:jc w:val="left"/>
      </w:pPr>
      <w:bookmarkStart w:name="_TOC_250012" w:id="40"/>
      <w:r>
        <w:rPr/>
        <w:t>Distribución, Asignación y Comunicación de</w:t>
      </w:r>
      <w:r>
        <w:rPr>
          <w:spacing w:val="-26"/>
        </w:rPr>
        <w:t> </w:t>
      </w:r>
      <w:bookmarkEnd w:id="40"/>
      <w:r>
        <w:rPr/>
        <w:t>Recursos</w:t>
      </w:r>
    </w:p>
    <w:p>
      <w:pPr>
        <w:pStyle w:val="BodyText"/>
        <w:rPr>
          <w:b/>
          <w:sz w:val="28"/>
        </w:rPr>
      </w:pPr>
    </w:p>
    <w:p>
      <w:pPr>
        <w:pStyle w:val="BodyText"/>
        <w:spacing w:before="9"/>
        <w:rPr>
          <w:b/>
          <w:sz w:val="22"/>
        </w:rPr>
      </w:pPr>
    </w:p>
    <w:p>
      <w:pPr>
        <w:pStyle w:val="BodyText"/>
        <w:spacing w:line="360" w:lineRule="auto"/>
        <w:ind w:left="102" w:right="115"/>
        <w:jc w:val="both"/>
      </w:pPr>
      <w:r>
        <w:rPr/>
        <w:t>Una vez hecha la distribución, asignación y radicación de los recursos a las entidades federativas, éstas a su vez realizan el mismo procedimiento con sus municipios respectivos, a través de la Secretaría de Finanzas mediante acuerdo publicado en la Gaceta de Gobierno, donde da a conocer los montos asignados, la metodología y calendarización para cada municipio, información que es publicada a más tardar el 31 de Enero de cada ejercicio fiscal.</w:t>
      </w:r>
    </w:p>
    <w:p>
      <w:pPr>
        <w:pStyle w:val="BodyText"/>
      </w:pPr>
    </w:p>
    <w:p>
      <w:pPr>
        <w:pStyle w:val="Heading1"/>
        <w:numPr>
          <w:ilvl w:val="2"/>
          <w:numId w:val="53"/>
        </w:numPr>
        <w:tabs>
          <w:tab w:pos="3006" w:val="left" w:leader="none"/>
        </w:tabs>
        <w:spacing w:line="240" w:lineRule="auto" w:before="206" w:after="0"/>
        <w:ind w:left="3005" w:right="0" w:hanging="702"/>
        <w:jc w:val="left"/>
      </w:pPr>
      <w:bookmarkStart w:name="_TOC_250011" w:id="41"/>
      <w:r>
        <w:rPr/>
        <w:t>Radicación de los</w:t>
      </w:r>
      <w:r>
        <w:rPr>
          <w:spacing w:val="-10"/>
        </w:rPr>
        <w:t> </w:t>
      </w:r>
      <w:bookmarkEnd w:id="41"/>
      <w:r>
        <w:rPr/>
        <w:t>Recursos</w:t>
      </w:r>
    </w:p>
    <w:p>
      <w:pPr>
        <w:pStyle w:val="BodyText"/>
        <w:rPr>
          <w:b/>
          <w:sz w:val="28"/>
        </w:rPr>
      </w:pPr>
    </w:p>
    <w:p>
      <w:pPr>
        <w:pStyle w:val="BodyText"/>
        <w:spacing w:before="7"/>
        <w:rPr>
          <w:b/>
          <w:sz w:val="22"/>
        </w:rPr>
      </w:pPr>
    </w:p>
    <w:p>
      <w:pPr>
        <w:pStyle w:val="BodyText"/>
        <w:spacing w:line="360" w:lineRule="auto"/>
        <w:ind w:left="102" w:right="116"/>
        <w:jc w:val="both"/>
      </w:pPr>
      <w:r>
        <w:rPr/>
        <w:t>La Secretaría de Finanzas atendiendo sus atribuciones y con base en la calendarización publicada en Gaceta de Gobierno, entrega a los municipios los recursos de manera ágil y directa  a través de la Caja General de Gobierno.</w:t>
      </w:r>
    </w:p>
    <w:p>
      <w:pPr>
        <w:pStyle w:val="BodyText"/>
        <w:spacing w:line="360" w:lineRule="auto" w:before="204"/>
        <w:ind w:left="102" w:right="116"/>
        <w:jc w:val="both"/>
      </w:pPr>
      <w:r>
        <w:rPr/>
        <w:t>De</w:t>
      </w:r>
      <w:r>
        <w:rPr>
          <w:spacing w:val="-6"/>
        </w:rPr>
        <w:t> </w:t>
      </w:r>
      <w:r>
        <w:rPr/>
        <w:t>acuerdo</w:t>
      </w:r>
      <w:r>
        <w:rPr>
          <w:spacing w:val="-6"/>
        </w:rPr>
        <w:t> </w:t>
      </w:r>
      <w:r>
        <w:rPr/>
        <w:t>a</w:t>
      </w:r>
      <w:r>
        <w:rPr>
          <w:spacing w:val="-6"/>
        </w:rPr>
        <w:t> </w:t>
      </w:r>
      <w:r>
        <w:rPr/>
        <w:t>lo</w:t>
      </w:r>
      <w:r>
        <w:rPr>
          <w:spacing w:val="-6"/>
        </w:rPr>
        <w:t> </w:t>
      </w:r>
      <w:r>
        <w:rPr/>
        <w:t>anterior,</w:t>
      </w:r>
      <w:r>
        <w:rPr>
          <w:spacing w:val="-7"/>
        </w:rPr>
        <w:t> </w:t>
      </w:r>
      <w:r>
        <w:rPr/>
        <w:t>es</w:t>
      </w:r>
      <w:r>
        <w:rPr>
          <w:spacing w:val="-7"/>
        </w:rPr>
        <w:t> </w:t>
      </w:r>
      <w:r>
        <w:rPr/>
        <w:t>tarea</w:t>
      </w:r>
      <w:r>
        <w:rPr>
          <w:spacing w:val="-8"/>
        </w:rPr>
        <w:t> </w:t>
      </w:r>
      <w:r>
        <w:rPr/>
        <w:t>de</w:t>
      </w:r>
      <w:r>
        <w:rPr>
          <w:spacing w:val="-6"/>
        </w:rPr>
        <w:t> </w:t>
      </w:r>
      <w:r>
        <w:rPr/>
        <w:t>los</w:t>
      </w:r>
      <w:r>
        <w:rPr>
          <w:spacing w:val="-9"/>
        </w:rPr>
        <w:t> </w:t>
      </w:r>
      <w:r>
        <w:rPr/>
        <w:t>municipios</w:t>
      </w:r>
      <w:r>
        <w:rPr>
          <w:spacing w:val="-6"/>
        </w:rPr>
        <w:t> </w:t>
      </w:r>
      <w:r>
        <w:rPr/>
        <w:t>aperturar</w:t>
      </w:r>
      <w:r>
        <w:rPr>
          <w:spacing w:val="-7"/>
        </w:rPr>
        <w:t> </w:t>
      </w:r>
      <w:r>
        <w:rPr/>
        <w:t>debidamente</w:t>
      </w:r>
      <w:r>
        <w:rPr>
          <w:spacing w:val="-6"/>
        </w:rPr>
        <w:t> </w:t>
      </w:r>
      <w:r>
        <w:rPr/>
        <w:t>cuentas bancarias productivas y específicas para cada fondo y por ejercicio fiscal, con la finalidad de identificar la evolución de las erogaciones. Como son cuentas productivas, generan rendimientos, estos de igual manera tienen que ser utilizados para los mismos fines previstos en la</w:t>
      </w:r>
      <w:r>
        <w:rPr>
          <w:spacing w:val="-14"/>
        </w:rPr>
        <w:t> </w:t>
      </w:r>
      <w:r>
        <w:rPr/>
        <w:t>LCF.</w:t>
      </w:r>
    </w:p>
    <w:p>
      <w:pPr>
        <w:pStyle w:val="BodyText"/>
        <w:spacing w:line="360" w:lineRule="auto" w:before="204"/>
        <w:ind w:left="102" w:right="115"/>
        <w:jc w:val="both"/>
      </w:pPr>
      <w:r>
        <w:rPr/>
        <w:t>El</w:t>
      </w:r>
      <w:r>
        <w:rPr>
          <w:spacing w:val="-5"/>
        </w:rPr>
        <w:t> </w:t>
      </w:r>
      <w:r>
        <w:rPr/>
        <w:t>Fondo</w:t>
      </w:r>
      <w:r>
        <w:rPr>
          <w:spacing w:val="-6"/>
        </w:rPr>
        <w:t> </w:t>
      </w:r>
      <w:r>
        <w:rPr/>
        <w:t>para</w:t>
      </w:r>
      <w:r>
        <w:rPr>
          <w:spacing w:val="-4"/>
        </w:rPr>
        <w:t> </w:t>
      </w:r>
      <w:r>
        <w:rPr/>
        <w:t>la</w:t>
      </w:r>
      <w:r>
        <w:rPr>
          <w:spacing w:val="-4"/>
        </w:rPr>
        <w:t> </w:t>
      </w:r>
      <w:r>
        <w:rPr/>
        <w:t>Infraestructura</w:t>
      </w:r>
      <w:r>
        <w:rPr>
          <w:spacing w:val="-7"/>
        </w:rPr>
        <w:t> </w:t>
      </w:r>
      <w:r>
        <w:rPr/>
        <w:t>Social</w:t>
      </w:r>
      <w:r>
        <w:rPr>
          <w:spacing w:val="-4"/>
        </w:rPr>
        <w:t> </w:t>
      </w:r>
      <w:r>
        <w:rPr/>
        <w:t>Municipal</w:t>
      </w:r>
      <w:r>
        <w:rPr>
          <w:spacing w:val="-5"/>
        </w:rPr>
        <w:t> </w:t>
      </w:r>
      <w:r>
        <w:rPr/>
        <w:t>se</w:t>
      </w:r>
      <w:r>
        <w:rPr>
          <w:spacing w:val="-6"/>
        </w:rPr>
        <w:t> </w:t>
      </w:r>
      <w:r>
        <w:rPr/>
        <w:t>entrega</w:t>
      </w:r>
      <w:r>
        <w:rPr>
          <w:spacing w:val="-4"/>
        </w:rPr>
        <w:t> </w:t>
      </w:r>
      <w:r>
        <w:rPr/>
        <w:t>en</w:t>
      </w:r>
      <w:r>
        <w:rPr>
          <w:spacing w:val="-4"/>
        </w:rPr>
        <w:t> </w:t>
      </w:r>
      <w:r>
        <w:rPr/>
        <w:t>10</w:t>
      </w:r>
      <w:r>
        <w:rPr>
          <w:spacing w:val="-6"/>
        </w:rPr>
        <w:t> </w:t>
      </w:r>
      <w:r>
        <w:rPr/>
        <w:t>exhibiciones,</w:t>
      </w:r>
      <w:r>
        <w:rPr>
          <w:spacing w:val="-4"/>
        </w:rPr>
        <w:t> </w:t>
      </w:r>
      <w:r>
        <w:rPr/>
        <w:t>las transferencias se efectúan de forma mensual. En cuanto al Fondo de Aportaciones para el Fortalecimiento de los Municipios y de las Demarcaciones Territoriales del Distrito Federal se paga en 12 mensualidades iguales de acuerdo al</w:t>
      </w:r>
      <w:r>
        <w:rPr>
          <w:spacing w:val="-30"/>
        </w:rPr>
        <w:t> </w:t>
      </w:r>
      <w:r>
        <w:rPr/>
        <w:t>calendario.</w:t>
      </w:r>
    </w:p>
    <w:p>
      <w:pPr>
        <w:pStyle w:val="BodyText"/>
      </w:pPr>
    </w:p>
    <w:p>
      <w:pPr>
        <w:pStyle w:val="Heading1"/>
        <w:numPr>
          <w:ilvl w:val="2"/>
          <w:numId w:val="53"/>
        </w:numPr>
        <w:tabs>
          <w:tab w:pos="3492" w:val="left" w:leader="none"/>
        </w:tabs>
        <w:spacing w:line="240" w:lineRule="auto" w:before="206" w:after="0"/>
        <w:ind w:left="3491" w:right="0" w:hanging="799"/>
        <w:jc w:val="left"/>
      </w:pPr>
      <w:bookmarkStart w:name="_TOC_250010" w:id="42"/>
      <w:r>
        <w:rPr/>
        <w:t>Participación</w:t>
      </w:r>
      <w:r>
        <w:rPr>
          <w:spacing w:val="-12"/>
        </w:rPr>
        <w:t> </w:t>
      </w:r>
      <w:bookmarkEnd w:id="42"/>
      <w:r>
        <w:rPr/>
        <w:t>ciudadana</w:t>
      </w:r>
    </w:p>
    <w:p>
      <w:pPr>
        <w:pStyle w:val="BodyText"/>
        <w:rPr>
          <w:b/>
          <w:sz w:val="28"/>
        </w:rPr>
      </w:pPr>
    </w:p>
    <w:p>
      <w:pPr>
        <w:pStyle w:val="BodyText"/>
        <w:rPr>
          <w:b/>
          <w:sz w:val="28"/>
        </w:rPr>
      </w:pPr>
    </w:p>
    <w:p>
      <w:pPr>
        <w:pStyle w:val="BodyText"/>
        <w:spacing w:before="8"/>
        <w:rPr>
          <w:b/>
          <w:sz w:val="30"/>
        </w:rPr>
      </w:pPr>
    </w:p>
    <w:p>
      <w:pPr>
        <w:pStyle w:val="BodyText"/>
        <w:spacing w:line="360" w:lineRule="auto"/>
        <w:ind w:left="102" w:right="117"/>
        <w:jc w:val="both"/>
      </w:pPr>
      <w:r>
        <w:rPr/>
        <w:t>En el marco institucional de las Aportaciones federales la participación ciudadana es  un  aspecto  fundamental  en  la  toma  de  decisiones,  la  sociedad        y  sus</w:t>
      </w:r>
    </w:p>
    <w:p>
      <w:pPr>
        <w:spacing w:after="0" w:line="360" w:lineRule="auto"/>
        <w:jc w:val="both"/>
        <w:sectPr>
          <w:pgSz w:w="12240" w:h="15840"/>
          <w:pgMar w:header="0" w:footer="992" w:top="1500" w:bottom="1180" w:left="1600" w:right="1580"/>
        </w:sectPr>
      </w:pPr>
    </w:p>
    <w:p>
      <w:pPr>
        <w:pStyle w:val="BodyText"/>
        <w:spacing w:line="362" w:lineRule="auto" w:before="54"/>
        <w:ind w:left="102" w:right="126"/>
        <w:jc w:val="both"/>
      </w:pPr>
      <w:r>
        <w:rPr/>
        <w:t>organizaciones deben formar parte en la formulación, ejecución y evaluación principalmente del Fondo de Infraestructura social Municipal.</w:t>
      </w:r>
    </w:p>
    <w:p>
      <w:pPr>
        <w:pStyle w:val="BodyText"/>
        <w:spacing w:line="360" w:lineRule="auto" w:before="201"/>
        <w:ind w:left="102" w:right="118"/>
        <w:jc w:val="both"/>
      </w:pPr>
      <w:r>
        <w:rPr/>
        <w:t>En cumplimiento a lo establecido en el artículo 33 de la Ley de Coordinación Fiscal así</w:t>
      </w:r>
      <w:r>
        <w:rPr>
          <w:spacing w:val="-18"/>
        </w:rPr>
        <w:t> </w:t>
      </w:r>
      <w:r>
        <w:rPr/>
        <w:t>como</w:t>
      </w:r>
      <w:r>
        <w:rPr>
          <w:spacing w:val="-18"/>
        </w:rPr>
        <w:t> </w:t>
      </w:r>
      <w:r>
        <w:rPr/>
        <w:t>en</w:t>
      </w:r>
      <w:r>
        <w:rPr>
          <w:spacing w:val="-18"/>
        </w:rPr>
        <w:t> </w:t>
      </w:r>
      <w:r>
        <w:rPr/>
        <w:t>lo</w:t>
      </w:r>
      <w:r>
        <w:rPr>
          <w:spacing w:val="-18"/>
        </w:rPr>
        <w:t> </w:t>
      </w:r>
      <w:r>
        <w:rPr/>
        <w:t>dispuesto</w:t>
      </w:r>
      <w:r>
        <w:rPr>
          <w:spacing w:val="-15"/>
        </w:rPr>
        <w:t> </w:t>
      </w:r>
      <w:r>
        <w:rPr/>
        <w:t>en</w:t>
      </w:r>
      <w:r>
        <w:rPr>
          <w:spacing w:val="-16"/>
        </w:rPr>
        <w:t> </w:t>
      </w:r>
      <w:r>
        <w:rPr/>
        <w:t>los</w:t>
      </w:r>
      <w:r>
        <w:rPr>
          <w:spacing w:val="-18"/>
        </w:rPr>
        <w:t> </w:t>
      </w:r>
      <w:r>
        <w:rPr/>
        <w:t>artículos</w:t>
      </w:r>
      <w:r>
        <w:rPr>
          <w:spacing w:val="-16"/>
        </w:rPr>
        <w:t> </w:t>
      </w:r>
      <w:r>
        <w:rPr/>
        <w:t>232</w:t>
      </w:r>
      <w:r>
        <w:rPr>
          <w:spacing w:val="-18"/>
        </w:rPr>
        <w:t> </w:t>
      </w:r>
      <w:r>
        <w:rPr/>
        <w:t>y</w:t>
      </w:r>
      <w:r>
        <w:rPr>
          <w:spacing w:val="-19"/>
        </w:rPr>
        <w:t> </w:t>
      </w:r>
      <w:r>
        <w:rPr/>
        <w:t>233</w:t>
      </w:r>
      <w:r>
        <w:rPr>
          <w:spacing w:val="-16"/>
        </w:rPr>
        <w:t> </w:t>
      </w:r>
      <w:r>
        <w:rPr/>
        <w:t>del</w:t>
      </w:r>
      <w:r>
        <w:rPr>
          <w:spacing w:val="-17"/>
        </w:rPr>
        <w:t> </w:t>
      </w:r>
      <w:r>
        <w:rPr/>
        <w:t>Código</w:t>
      </w:r>
      <w:r>
        <w:rPr>
          <w:spacing w:val="-16"/>
        </w:rPr>
        <w:t> </w:t>
      </w:r>
      <w:r>
        <w:rPr/>
        <w:t>Financiero</w:t>
      </w:r>
      <w:r>
        <w:rPr>
          <w:spacing w:val="-16"/>
        </w:rPr>
        <w:t> </w:t>
      </w:r>
      <w:r>
        <w:rPr/>
        <w:t>del</w:t>
      </w:r>
      <w:r>
        <w:rPr>
          <w:spacing w:val="-19"/>
        </w:rPr>
        <w:t> </w:t>
      </w:r>
      <w:r>
        <w:rPr/>
        <w:t>Estado de México y Municipios, es menester implicar al ciudadano en el proceso operativo (ejecución, seguimiento y evaluación) así como en la determinación de las obras y acciones</w:t>
      </w:r>
      <w:r>
        <w:rPr>
          <w:spacing w:val="-9"/>
        </w:rPr>
        <w:t> </w:t>
      </w:r>
      <w:r>
        <w:rPr/>
        <w:t>que</w:t>
      </w:r>
      <w:r>
        <w:rPr>
          <w:spacing w:val="-8"/>
        </w:rPr>
        <w:t> </w:t>
      </w:r>
      <w:r>
        <w:rPr/>
        <w:t>se</w:t>
      </w:r>
      <w:r>
        <w:rPr>
          <w:spacing w:val="-8"/>
        </w:rPr>
        <w:t> </w:t>
      </w:r>
      <w:r>
        <w:rPr/>
        <w:t>lleven</w:t>
      </w:r>
      <w:r>
        <w:rPr>
          <w:spacing w:val="-11"/>
        </w:rPr>
        <w:t> </w:t>
      </w:r>
      <w:r>
        <w:rPr/>
        <w:t>a</w:t>
      </w:r>
      <w:r>
        <w:rPr>
          <w:spacing w:val="-8"/>
        </w:rPr>
        <w:t> </w:t>
      </w:r>
      <w:r>
        <w:rPr/>
        <w:t>cabo</w:t>
      </w:r>
      <w:r>
        <w:rPr>
          <w:spacing w:val="-8"/>
        </w:rPr>
        <w:t> </w:t>
      </w:r>
      <w:r>
        <w:rPr/>
        <w:t>con</w:t>
      </w:r>
      <w:r>
        <w:rPr>
          <w:spacing w:val="-5"/>
        </w:rPr>
        <w:t> </w:t>
      </w:r>
      <w:r>
        <w:rPr/>
        <w:t>las</w:t>
      </w:r>
      <w:r>
        <w:rPr>
          <w:spacing w:val="-9"/>
        </w:rPr>
        <w:t> </w:t>
      </w:r>
      <w:r>
        <w:rPr/>
        <w:t>aportaciones</w:t>
      </w:r>
      <w:r>
        <w:rPr>
          <w:spacing w:val="-12"/>
        </w:rPr>
        <w:t> </w:t>
      </w:r>
      <w:r>
        <w:rPr/>
        <w:t>federales,</w:t>
      </w:r>
      <w:r>
        <w:rPr>
          <w:spacing w:val="-9"/>
        </w:rPr>
        <w:t> </w:t>
      </w:r>
      <w:r>
        <w:rPr/>
        <w:t>bajo</w:t>
      </w:r>
      <w:r>
        <w:rPr>
          <w:spacing w:val="-9"/>
        </w:rPr>
        <w:t> </w:t>
      </w:r>
      <w:r>
        <w:rPr/>
        <w:t>los</w:t>
      </w:r>
      <w:r>
        <w:rPr>
          <w:spacing w:val="-9"/>
        </w:rPr>
        <w:t> </w:t>
      </w:r>
      <w:r>
        <w:rPr/>
        <w:t>mecanismos estipulados por el Gobierno del Estado de</w:t>
      </w:r>
      <w:r>
        <w:rPr>
          <w:spacing w:val="-15"/>
        </w:rPr>
        <w:t> </w:t>
      </w:r>
      <w:r>
        <w:rPr/>
        <w:t>México.</w:t>
      </w:r>
    </w:p>
    <w:p>
      <w:pPr>
        <w:pStyle w:val="BodyText"/>
        <w:spacing w:line="360" w:lineRule="auto" w:before="205"/>
        <w:ind w:left="102" w:right="115"/>
        <w:jc w:val="both"/>
      </w:pPr>
      <w:r>
        <w:rPr/>
        <w:t>El</w:t>
      </w:r>
      <w:r>
        <w:rPr>
          <w:spacing w:val="-15"/>
        </w:rPr>
        <w:t> </w:t>
      </w:r>
      <w:r>
        <w:rPr/>
        <w:t>Estado</w:t>
      </w:r>
      <w:r>
        <w:rPr>
          <w:spacing w:val="-16"/>
        </w:rPr>
        <w:t> </w:t>
      </w:r>
      <w:r>
        <w:rPr/>
        <w:t>de</w:t>
      </w:r>
      <w:r>
        <w:rPr>
          <w:spacing w:val="-16"/>
        </w:rPr>
        <w:t> </w:t>
      </w:r>
      <w:r>
        <w:rPr/>
        <w:t>México</w:t>
      </w:r>
      <w:r>
        <w:rPr>
          <w:spacing w:val="-14"/>
        </w:rPr>
        <w:t> </w:t>
      </w:r>
      <w:r>
        <w:rPr/>
        <w:t>contempla</w:t>
      </w:r>
      <w:r>
        <w:rPr>
          <w:spacing w:val="-12"/>
        </w:rPr>
        <w:t> </w:t>
      </w:r>
      <w:r>
        <w:rPr/>
        <w:t>como</w:t>
      </w:r>
      <w:r>
        <w:rPr>
          <w:spacing w:val="-17"/>
        </w:rPr>
        <w:t> </w:t>
      </w:r>
      <w:r>
        <w:rPr/>
        <w:t>mecanismos</w:t>
      </w:r>
      <w:r>
        <w:rPr>
          <w:spacing w:val="-17"/>
        </w:rPr>
        <w:t> </w:t>
      </w:r>
      <w:r>
        <w:rPr/>
        <w:t>de</w:t>
      </w:r>
      <w:r>
        <w:rPr>
          <w:spacing w:val="-16"/>
        </w:rPr>
        <w:t> </w:t>
      </w:r>
      <w:r>
        <w:rPr/>
        <w:t>participación</w:t>
      </w:r>
      <w:r>
        <w:rPr>
          <w:spacing w:val="-18"/>
        </w:rPr>
        <w:t> </w:t>
      </w:r>
      <w:r>
        <w:rPr/>
        <w:t>ciudadana</w:t>
      </w:r>
      <w:r>
        <w:rPr>
          <w:spacing w:val="-16"/>
        </w:rPr>
        <w:t> </w:t>
      </w:r>
      <w:r>
        <w:rPr/>
        <w:t>entre los municipios y su población a los: Consejos de Participación Ciudadana (COPACI), a las comisiones de los ayuntamientos (Comisión de Participación Ciudadana), a las organizaciones sociales más representativas, el Comité de Planeación</w:t>
      </w:r>
      <w:r>
        <w:rPr>
          <w:spacing w:val="-7"/>
        </w:rPr>
        <w:t> </w:t>
      </w:r>
      <w:r>
        <w:rPr/>
        <w:t>para</w:t>
      </w:r>
      <w:r>
        <w:rPr>
          <w:spacing w:val="-8"/>
        </w:rPr>
        <w:t> </w:t>
      </w:r>
      <w:r>
        <w:rPr/>
        <w:t>el</w:t>
      </w:r>
      <w:r>
        <w:rPr>
          <w:spacing w:val="-6"/>
        </w:rPr>
        <w:t> </w:t>
      </w:r>
      <w:r>
        <w:rPr/>
        <w:t>Desarrollo</w:t>
      </w:r>
      <w:r>
        <w:rPr>
          <w:spacing w:val="-5"/>
        </w:rPr>
        <w:t> </w:t>
      </w:r>
      <w:r>
        <w:rPr/>
        <w:t>Municipal</w:t>
      </w:r>
      <w:r>
        <w:rPr>
          <w:spacing w:val="-6"/>
        </w:rPr>
        <w:t> </w:t>
      </w:r>
      <w:r>
        <w:rPr/>
        <w:t>(COPLADEMUN),</w:t>
      </w:r>
      <w:r>
        <w:rPr>
          <w:spacing w:val="-5"/>
        </w:rPr>
        <w:t> </w:t>
      </w:r>
      <w:r>
        <w:rPr/>
        <w:t>el</w:t>
      </w:r>
      <w:r>
        <w:rPr>
          <w:spacing w:val="-6"/>
        </w:rPr>
        <w:t> </w:t>
      </w:r>
      <w:r>
        <w:rPr/>
        <w:t>Comité</w:t>
      </w:r>
      <w:r>
        <w:rPr>
          <w:spacing w:val="-5"/>
        </w:rPr>
        <w:t> </w:t>
      </w:r>
      <w:r>
        <w:rPr/>
        <w:t>Ciudadano</w:t>
      </w:r>
      <w:r>
        <w:rPr>
          <w:spacing w:val="-5"/>
        </w:rPr>
        <w:t> </w:t>
      </w:r>
      <w:r>
        <w:rPr/>
        <w:t>de Control y Vigilancia (COCICOVI), y al Consejo de Desarrollo Municipal (CODEMUN).</w:t>
      </w:r>
      <w:r>
        <w:rPr>
          <w:spacing w:val="-18"/>
        </w:rPr>
        <w:t> </w:t>
      </w:r>
      <w:r>
        <w:rPr/>
        <w:t>Estos</w:t>
      </w:r>
      <w:r>
        <w:rPr>
          <w:spacing w:val="-18"/>
        </w:rPr>
        <w:t> </w:t>
      </w:r>
      <w:r>
        <w:rPr/>
        <w:t>mecanismos</w:t>
      </w:r>
      <w:r>
        <w:rPr>
          <w:spacing w:val="-18"/>
        </w:rPr>
        <w:t> </w:t>
      </w:r>
      <w:r>
        <w:rPr/>
        <w:t>encuentran</w:t>
      </w:r>
      <w:r>
        <w:rPr>
          <w:spacing w:val="-20"/>
        </w:rPr>
        <w:t> </w:t>
      </w:r>
      <w:r>
        <w:rPr/>
        <w:t>su</w:t>
      </w:r>
      <w:r>
        <w:rPr>
          <w:spacing w:val="-20"/>
        </w:rPr>
        <w:t> </w:t>
      </w:r>
      <w:r>
        <w:rPr/>
        <w:t>fundamento</w:t>
      </w:r>
      <w:r>
        <w:rPr>
          <w:spacing w:val="-12"/>
        </w:rPr>
        <w:t> </w:t>
      </w:r>
      <w:r>
        <w:rPr/>
        <w:t>jurídico</w:t>
      </w:r>
      <w:r>
        <w:rPr>
          <w:spacing w:val="-17"/>
        </w:rPr>
        <w:t> </w:t>
      </w:r>
      <w:r>
        <w:rPr/>
        <w:t>principalmente en</w:t>
      </w:r>
      <w:r>
        <w:rPr>
          <w:spacing w:val="-7"/>
        </w:rPr>
        <w:t> </w:t>
      </w:r>
      <w:r>
        <w:rPr/>
        <w:t>la</w:t>
      </w:r>
      <w:r>
        <w:rPr>
          <w:spacing w:val="-8"/>
        </w:rPr>
        <w:t> </w:t>
      </w:r>
      <w:r>
        <w:rPr/>
        <w:t>Ley</w:t>
      </w:r>
      <w:r>
        <w:rPr>
          <w:spacing w:val="-11"/>
        </w:rPr>
        <w:t> </w:t>
      </w:r>
      <w:r>
        <w:rPr/>
        <w:t>Orgánica</w:t>
      </w:r>
      <w:r>
        <w:rPr>
          <w:spacing w:val="-8"/>
        </w:rPr>
        <w:t> </w:t>
      </w:r>
      <w:r>
        <w:rPr/>
        <w:t>Municipal</w:t>
      </w:r>
      <w:r>
        <w:rPr>
          <w:spacing w:val="-9"/>
        </w:rPr>
        <w:t> </w:t>
      </w:r>
      <w:r>
        <w:rPr/>
        <w:t>y</w:t>
      </w:r>
      <w:r>
        <w:rPr>
          <w:spacing w:val="-11"/>
        </w:rPr>
        <w:t> </w:t>
      </w:r>
      <w:r>
        <w:rPr/>
        <w:t>en</w:t>
      </w:r>
      <w:r>
        <w:rPr>
          <w:spacing w:val="-7"/>
        </w:rPr>
        <w:t> </w:t>
      </w:r>
      <w:r>
        <w:rPr/>
        <w:t>la</w:t>
      </w:r>
      <w:r>
        <w:rPr>
          <w:spacing w:val="-8"/>
        </w:rPr>
        <w:t> </w:t>
      </w:r>
      <w:r>
        <w:rPr/>
        <w:t>Ley</w:t>
      </w:r>
      <w:r>
        <w:rPr>
          <w:spacing w:val="-11"/>
        </w:rPr>
        <w:t> </w:t>
      </w:r>
      <w:r>
        <w:rPr/>
        <w:t>de</w:t>
      </w:r>
      <w:r>
        <w:rPr>
          <w:spacing w:val="-6"/>
        </w:rPr>
        <w:t> </w:t>
      </w:r>
      <w:r>
        <w:rPr/>
        <w:t>Planeación</w:t>
      </w:r>
      <w:r>
        <w:rPr>
          <w:spacing w:val="-6"/>
        </w:rPr>
        <w:t> </w:t>
      </w:r>
      <w:r>
        <w:rPr/>
        <w:t>del</w:t>
      </w:r>
      <w:r>
        <w:rPr>
          <w:spacing w:val="-9"/>
        </w:rPr>
        <w:t> </w:t>
      </w:r>
      <w:r>
        <w:rPr/>
        <w:t>Estado</w:t>
      </w:r>
      <w:r>
        <w:rPr>
          <w:spacing w:val="-6"/>
        </w:rPr>
        <w:t> </w:t>
      </w:r>
      <w:r>
        <w:rPr/>
        <w:t>y</w:t>
      </w:r>
      <w:r>
        <w:rPr>
          <w:spacing w:val="-11"/>
        </w:rPr>
        <w:t> </w:t>
      </w:r>
      <w:r>
        <w:rPr/>
        <w:t>sus</w:t>
      </w:r>
      <w:r>
        <w:rPr>
          <w:spacing w:val="-7"/>
        </w:rPr>
        <w:t> </w:t>
      </w:r>
      <w:r>
        <w:rPr/>
        <w:t>municipios de la entidad, y en los manuales de operación para los fondos</w:t>
      </w:r>
      <w:r>
        <w:rPr>
          <w:spacing w:val="-27"/>
        </w:rPr>
        <w:t> </w:t>
      </w:r>
      <w:r>
        <w:rPr/>
        <w:t>federales.</w:t>
      </w:r>
    </w:p>
    <w:p>
      <w:pPr>
        <w:pStyle w:val="BodyText"/>
        <w:spacing w:line="360" w:lineRule="auto" w:before="204"/>
        <w:ind w:left="102" w:right="118"/>
        <w:jc w:val="both"/>
      </w:pPr>
      <w:r>
        <w:rPr/>
        <w:t>Es</w:t>
      </w:r>
      <w:r>
        <w:rPr>
          <w:spacing w:val="-12"/>
        </w:rPr>
        <w:t> </w:t>
      </w:r>
      <w:r>
        <w:rPr/>
        <w:t>importante</w:t>
      </w:r>
      <w:r>
        <w:rPr>
          <w:spacing w:val="-11"/>
        </w:rPr>
        <w:t> </w:t>
      </w:r>
      <w:r>
        <w:rPr/>
        <w:t>mencionar</w:t>
      </w:r>
      <w:r>
        <w:rPr>
          <w:spacing w:val="-12"/>
        </w:rPr>
        <w:t> </w:t>
      </w:r>
      <w:r>
        <w:rPr/>
        <w:t>que</w:t>
      </w:r>
      <w:r>
        <w:rPr>
          <w:spacing w:val="-11"/>
        </w:rPr>
        <w:t> </w:t>
      </w:r>
      <w:r>
        <w:rPr/>
        <w:t>en</w:t>
      </w:r>
      <w:r>
        <w:rPr>
          <w:spacing w:val="-11"/>
        </w:rPr>
        <w:t> </w:t>
      </w:r>
      <w:r>
        <w:rPr/>
        <w:t>los</w:t>
      </w:r>
      <w:r>
        <w:rPr>
          <w:spacing w:val="-13"/>
        </w:rPr>
        <w:t> </w:t>
      </w:r>
      <w:r>
        <w:rPr/>
        <w:t>manuales</w:t>
      </w:r>
      <w:r>
        <w:rPr>
          <w:spacing w:val="-12"/>
        </w:rPr>
        <w:t> </w:t>
      </w:r>
      <w:r>
        <w:rPr/>
        <w:t>a</w:t>
      </w:r>
      <w:r>
        <w:rPr>
          <w:spacing w:val="-11"/>
        </w:rPr>
        <w:t> </w:t>
      </w:r>
      <w:r>
        <w:rPr/>
        <w:t>los</w:t>
      </w:r>
      <w:r>
        <w:rPr>
          <w:spacing w:val="-11"/>
        </w:rPr>
        <w:t> </w:t>
      </w:r>
      <w:r>
        <w:rPr/>
        <w:t>que</w:t>
      </w:r>
      <w:r>
        <w:rPr>
          <w:spacing w:val="-11"/>
        </w:rPr>
        <w:t> </w:t>
      </w:r>
      <w:r>
        <w:rPr/>
        <w:t>se</w:t>
      </w:r>
      <w:r>
        <w:rPr>
          <w:spacing w:val="-11"/>
        </w:rPr>
        <w:t> </w:t>
      </w:r>
      <w:r>
        <w:rPr/>
        <w:t>tuvo</w:t>
      </w:r>
      <w:r>
        <w:rPr>
          <w:spacing w:val="-11"/>
        </w:rPr>
        <w:t> </w:t>
      </w:r>
      <w:r>
        <w:rPr/>
        <w:t>acceso</w:t>
      </w:r>
      <w:r>
        <w:rPr>
          <w:spacing w:val="-11"/>
        </w:rPr>
        <w:t> </w:t>
      </w:r>
      <w:r>
        <w:rPr/>
        <w:t>se</w:t>
      </w:r>
      <w:r>
        <w:rPr>
          <w:spacing w:val="-13"/>
        </w:rPr>
        <w:t> </w:t>
      </w:r>
      <w:r>
        <w:rPr/>
        <w:t>observó, que otra figura de participación son los Comités Comunitarios de base territorial, para el caso de que en algunos municipios no opten por el</w:t>
      </w:r>
      <w:r>
        <w:rPr>
          <w:spacing w:val="-24"/>
        </w:rPr>
        <w:t> </w:t>
      </w:r>
      <w:r>
        <w:rPr/>
        <w:t>COPACI.</w:t>
      </w:r>
    </w:p>
    <w:p>
      <w:pPr>
        <w:pStyle w:val="BodyText"/>
        <w:spacing w:line="360" w:lineRule="auto" w:before="202"/>
        <w:ind w:left="102" w:right="115"/>
        <w:jc w:val="both"/>
      </w:pPr>
      <w:r>
        <w:rPr/>
        <w:t>Como ya se ha mencionado la participación ciudadana es un aspecto fundamental en la toma de decisiones, es parte medular para operar específicamente los recursos del Fondo de Infraestructura Municipal y de las Demarcaciones Territoriales del Distrito Federal, de ahí la importancia de comprobar si se constituyeron y operaron en los municipios órganos de participación para la programación, destino, aplicación, vigilancia, control, seguimiento y evaluación del fondo.</w:t>
      </w:r>
    </w:p>
    <w:p>
      <w:pPr>
        <w:pStyle w:val="BodyText"/>
        <w:spacing w:line="360" w:lineRule="auto" w:before="204"/>
        <w:ind w:left="102" w:right="117"/>
        <w:jc w:val="both"/>
      </w:pPr>
      <w:r>
        <w:rPr/>
        <w:t>Durante</w:t>
      </w:r>
      <w:r>
        <w:rPr>
          <w:spacing w:val="-20"/>
        </w:rPr>
        <w:t> </w:t>
      </w:r>
      <w:r>
        <w:rPr/>
        <w:t>el</w:t>
      </w:r>
      <w:r>
        <w:rPr>
          <w:spacing w:val="-19"/>
        </w:rPr>
        <w:t> </w:t>
      </w:r>
      <w:r>
        <w:rPr/>
        <w:t>ejercicio</w:t>
      </w:r>
      <w:r>
        <w:rPr>
          <w:spacing w:val="-19"/>
        </w:rPr>
        <w:t> </w:t>
      </w:r>
      <w:r>
        <w:rPr/>
        <w:t>2008</w:t>
      </w:r>
      <w:r>
        <w:rPr>
          <w:spacing w:val="-20"/>
        </w:rPr>
        <w:t> </w:t>
      </w:r>
      <w:r>
        <w:rPr/>
        <w:t>fueron</w:t>
      </w:r>
      <w:r>
        <w:rPr>
          <w:spacing w:val="-19"/>
        </w:rPr>
        <w:t> </w:t>
      </w:r>
      <w:r>
        <w:rPr/>
        <w:t>auditados</w:t>
      </w:r>
      <w:r>
        <w:rPr>
          <w:spacing w:val="-21"/>
        </w:rPr>
        <w:t> </w:t>
      </w:r>
      <w:r>
        <w:rPr/>
        <w:t>por</w:t>
      </w:r>
      <w:r>
        <w:rPr>
          <w:spacing w:val="-19"/>
        </w:rPr>
        <w:t> </w:t>
      </w:r>
      <w:r>
        <w:rPr/>
        <w:t>la</w:t>
      </w:r>
      <w:r>
        <w:rPr>
          <w:spacing w:val="-14"/>
        </w:rPr>
        <w:t> </w:t>
      </w:r>
      <w:r>
        <w:rPr/>
        <w:t>Auditoría</w:t>
      </w:r>
      <w:r>
        <w:rPr>
          <w:spacing w:val="-19"/>
        </w:rPr>
        <w:t> </w:t>
      </w:r>
      <w:r>
        <w:rPr/>
        <w:t>Superior</w:t>
      </w:r>
      <w:r>
        <w:rPr>
          <w:spacing w:val="-18"/>
        </w:rPr>
        <w:t> </w:t>
      </w:r>
      <w:r>
        <w:rPr/>
        <w:t>de</w:t>
      </w:r>
      <w:r>
        <w:rPr>
          <w:spacing w:val="-19"/>
        </w:rPr>
        <w:t> </w:t>
      </w:r>
      <w:r>
        <w:rPr/>
        <w:t>la</w:t>
      </w:r>
      <w:r>
        <w:rPr>
          <w:spacing w:val="-19"/>
        </w:rPr>
        <w:t> </w:t>
      </w:r>
      <w:r>
        <w:rPr/>
        <w:t>Federación (ASF)   4   municipios   de   la   entidad:   Almoloya   de   Juárez,    </w:t>
      </w:r>
      <w:r>
        <w:rPr>
          <w:spacing w:val="34"/>
        </w:rPr>
        <w:t> </w:t>
      </w:r>
      <w:r>
        <w:rPr/>
        <w:t>Chimalhuacán,</w:t>
      </w:r>
    </w:p>
    <w:p>
      <w:pPr>
        <w:spacing w:after="0" w:line="360" w:lineRule="auto"/>
        <w:jc w:val="both"/>
        <w:sectPr>
          <w:pgSz w:w="12240" w:h="15840"/>
          <w:pgMar w:header="0" w:footer="992" w:top="1360" w:bottom="1180" w:left="1600" w:right="1580"/>
        </w:sectPr>
      </w:pPr>
    </w:p>
    <w:p>
      <w:pPr>
        <w:pStyle w:val="BodyText"/>
        <w:spacing w:line="360" w:lineRule="auto" w:before="54"/>
        <w:ind w:left="102" w:right="117"/>
        <w:jc w:val="both"/>
      </w:pPr>
      <w:r>
        <w:rPr/>
        <w:t>Nezahualcóyotl y San Felipe del Progreso. En general la participación social en la operación</w:t>
      </w:r>
      <w:r>
        <w:rPr>
          <w:spacing w:val="-12"/>
        </w:rPr>
        <w:t> </w:t>
      </w:r>
      <w:r>
        <w:rPr/>
        <w:t>y</w:t>
      </w:r>
      <w:r>
        <w:rPr>
          <w:spacing w:val="-15"/>
        </w:rPr>
        <w:t> </w:t>
      </w:r>
      <w:r>
        <w:rPr/>
        <w:t>desarrollo</w:t>
      </w:r>
      <w:r>
        <w:rPr>
          <w:spacing w:val="-14"/>
        </w:rPr>
        <w:t> </w:t>
      </w:r>
      <w:r>
        <w:rPr/>
        <w:t>del</w:t>
      </w:r>
      <w:r>
        <w:rPr>
          <w:spacing w:val="-13"/>
        </w:rPr>
        <w:t> </w:t>
      </w:r>
      <w:r>
        <w:rPr/>
        <w:t>Fondo</w:t>
      </w:r>
      <w:r>
        <w:rPr>
          <w:spacing w:val="-14"/>
        </w:rPr>
        <w:t> </w:t>
      </w:r>
      <w:r>
        <w:rPr/>
        <w:t>de</w:t>
      </w:r>
      <w:r>
        <w:rPr>
          <w:spacing w:val="-14"/>
        </w:rPr>
        <w:t> </w:t>
      </w:r>
      <w:r>
        <w:rPr/>
        <w:t>Infraestructura</w:t>
      </w:r>
      <w:r>
        <w:rPr>
          <w:spacing w:val="-12"/>
        </w:rPr>
        <w:t> </w:t>
      </w:r>
      <w:r>
        <w:rPr/>
        <w:t>Social</w:t>
      </w:r>
      <w:r>
        <w:rPr>
          <w:spacing w:val="-13"/>
        </w:rPr>
        <w:t> </w:t>
      </w:r>
      <w:r>
        <w:rPr/>
        <w:t>Municipal</w:t>
      </w:r>
      <w:r>
        <w:rPr>
          <w:spacing w:val="-15"/>
        </w:rPr>
        <w:t> </w:t>
      </w:r>
      <w:r>
        <w:rPr/>
        <w:t>de</w:t>
      </w:r>
      <w:r>
        <w:rPr>
          <w:spacing w:val="-14"/>
        </w:rPr>
        <w:t> </w:t>
      </w:r>
      <w:r>
        <w:rPr/>
        <w:t>estos</w:t>
      </w:r>
      <w:r>
        <w:rPr>
          <w:spacing w:val="-15"/>
        </w:rPr>
        <w:t> </w:t>
      </w:r>
      <w:r>
        <w:rPr/>
        <w:t>cuatro municipios</w:t>
      </w:r>
      <w:r>
        <w:rPr>
          <w:spacing w:val="-14"/>
        </w:rPr>
        <w:t> </w:t>
      </w:r>
      <w:r>
        <w:rPr/>
        <w:t>observó</w:t>
      </w:r>
      <w:r>
        <w:rPr>
          <w:spacing w:val="-13"/>
        </w:rPr>
        <w:t> </w:t>
      </w:r>
      <w:r>
        <w:rPr/>
        <w:t>avances.</w:t>
      </w:r>
      <w:r>
        <w:rPr>
          <w:spacing w:val="-17"/>
        </w:rPr>
        <w:t> </w:t>
      </w:r>
      <w:r>
        <w:rPr/>
        <w:t>El</w:t>
      </w:r>
      <w:r>
        <w:rPr>
          <w:spacing w:val="-15"/>
        </w:rPr>
        <w:t> </w:t>
      </w:r>
      <w:r>
        <w:rPr/>
        <w:t>mecanismo</w:t>
      </w:r>
      <w:r>
        <w:rPr>
          <w:spacing w:val="-14"/>
        </w:rPr>
        <w:t> </w:t>
      </w:r>
      <w:r>
        <w:rPr/>
        <w:t>de</w:t>
      </w:r>
      <w:r>
        <w:rPr>
          <w:spacing w:val="-14"/>
        </w:rPr>
        <w:t> </w:t>
      </w:r>
      <w:r>
        <w:rPr/>
        <w:t>participación</w:t>
      </w:r>
      <w:r>
        <w:rPr>
          <w:spacing w:val="-14"/>
        </w:rPr>
        <w:t> </w:t>
      </w:r>
      <w:r>
        <w:rPr/>
        <w:t>utilizado</w:t>
      </w:r>
      <w:r>
        <w:rPr>
          <w:spacing w:val="-17"/>
        </w:rPr>
        <w:t> </w:t>
      </w:r>
      <w:r>
        <w:rPr/>
        <w:t>fue</w:t>
      </w:r>
      <w:r>
        <w:rPr>
          <w:spacing w:val="-17"/>
        </w:rPr>
        <w:t> </w:t>
      </w:r>
      <w:r>
        <w:rPr/>
        <w:t>el</w:t>
      </w:r>
      <w:r>
        <w:rPr>
          <w:spacing w:val="-15"/>
        </w:rPr>
        <w:t> </w:t>
      </w:r>
      <w:r>
        <w:rPr/>
        <w:t>Consejo de Desarrollo Municipal (CODEMUN) bajo el cual se integró la propuesta de inversión del fondo, con base a las solicitudes de la comunidad, dando así </w:t>
      </w:r>
      <w:r>
        <w:rPr>
          <w:spacing w:val="-2"/>
        </w:rPr>
        <w:t>una </w:t>
      </w:r>
      <w:r>
        <w:rPr/>
        <w:t>participación muy activa de los comités comunitarios de obra en la programación, aplicación,</w:t>
      </w:r>
      <w:r>
        <w:rPr>
          <w:spacing w:val="-13"/>
        </w:rPr>
        <w:t> </w:t>
      </w:r>
      <w:r>
        <w:rPr/>
        <w:t>vigilancia,</w:t>
      </w:r>
      <w:r>
        <w:rPr>
          <w:spacing w:val="-13"/>
        </w:rPr>
        <w:t> </w:t>
      </w:r>
      <w:r>
        <w:rPr/>
        <w:t>ejecución,</w:t>
      </w:r>
      <w:r>
        <w:rPr>
          <w:spacing w:val="-13"/>
        </w:rPr>
        <w:t> </w:t>
      </w:r>
      <w:r>
        <w:rPr/>
        <w:t>control</w:t>
      </w:r>
      <w:r>
        <w:rPr>
          <w:spacing w:val="-14"/>
        </w:rPr>
        <w:t> </w:t>
      </w:r>
      <w:r>
        <w:rPr/>
        <w:t>y</w:t>
      </w:r>
      <w:r>
        <w:rPr>
          <w:spacing w:val="-16"/>
        </w:rPr>
        <w:t> </w:t>
      </w:r>
      <w:r>
        <w:rPr/>
        <w:t>seguimiento</w:t>
      </w:r>
      <w:r>
        <w:rPr>
          <w:spacing w:val="-13"/>
        </w:rPr>
        <w:t> </w:t>
      </w:r>
      <w:r>
        <w:rPr/>
        <w:t>de</w:t>
      </w:r>
      <w:r>
        <w:rPr>
          <w:spacing w:val="-13"/>
        </w:rPr>
        <w:t> </w:t>
      </w:r>
      <w:r>
        <w:rPr/>
        <w:t>obras</w:t>
      </w:r>
      <w:r>
        <w:rPr>
          <w:spacing w:val="-14"/>
        </w:rPr>
        <w:t> </w:t>
      </w:r>
      <w:r>
        <w:rPr/>
        <w:t>y</w:t>
      </w:r>
      <w:r>
        <w:rPr>
          <w:spacing w:val="-16"/>
        </w:rPr>
        <w:t> </w:t>
      </w:r>
      <w:r>
        <w:rPr/>
        <w:t>acciones.</w:t>
      </w:r>
      <w:r>
        <w:rPr>
          <w:spacing w:val="-13"/>
        </w:rPr>
        <w:t> </w:t>
      </w:r>
      <w:r>
        <w:rPr/>
        <w:t>Además de un dato importante en los cuatro municipios hubo un reglamento de funcionamiento del CODEMUN que regulaba su existencia y</w:t>
      </w:r>
      <w:r>
        <w:rPr>
          <w:spacing w:val="-18"/>
        </w:rPr>
        <w:t> </w:t>
      </w:r>
      <w:r>
        <w:rPr/>
        <w:t>operación.</w:t>
      </w:r>
    </w:p>
    <w:p>
      <w:pPr>
        <w:pStyle w:val="BodyText"/>
        <w:spacing w:line="360" w:lineRule="auto" w:before="205"/>
        <w:ind w:left="102" w:right="124"/>
        <w:jc w:val="both"/>
      </w:pPr>
      <w:r>
        <w:rPr/>
        <w:t>Ahora bien, la integración real de estos consejos responden a estrategias que el tomador de decisiones despliega para asegurar que sus miembros apoyen los proyectos</w:t>
      </w:r>
      <w:r>
        <w:rPr>
          <w:spacing w:val="-16"/>
        </w:rPr>
        <w:t> </w:t>
      </w:r>
      <w:r>
        <w:rPr/>
        <w:t>que</w:t>
      </w:r>
      <w:r>
        <w:rPr>
          <w:spacing w:val="-16"/>
        </w:rPr>
        <w:t> </w:t>
      </w:r>
      <w:r>
        <w:rPr/>
        <w:t>él</w:t>
      </w:r>
      <w:r>
        <w:rPr>
          <w:spacing w:val="-17"/>
        </w:rPr>
        <w:t> </w:t>
      </w:r>
      <w:r>
        <w:rPr/>
        <w:t>tiene</w:t>
      </w:r>
      <w:r>
        <w:rPr>
          <w:spacing w:val="-18"/>
        </w:rPr>
        <w:t> </w:t>
      </w:r>
      <w:r>
        <w:rPr/>
        <w:t>como</w:t>
      </w:r>
      <w:r>
        <w:rPr>
          <w:spacing w:val="-18"/>
        </w:rPr>
        <w:t> </w:t>
      </w:r>
      <w:r>
        <w:rPr/>
        <w:t>prioritarios,</w:t>
      </w:r>
      <w:r>
        <w:rPr>
          <w:spacing w:val="-16"/>
        </w:rPr>
        <w:t> </w:t>
      </w:r>
      <w:r>
        <w:rPr/>
        <w:t>de</w:t>
      </w:r>
      <w:r>
        <w:rPr>
          <w:spacing w:val="-16"/>
        </w:rPr>
        <w:t> </w:t>
      </w:r>
      <w:r>
        <w:rPr/>
        <w:t>tal</w:t>
      </w:r>
      <w:r>
        <w:rPr>
          <w:spacing w:val="-19"/>
        </w:rPr>
        <w:t> </w:t>
      </w:r>
      <w:r>
        <w:rPr/>
        <w:t>suerte</w:t>
      </w:r>
      <w:r>
        <w:rPr>
          <w:spacing w:val="-16"/>
        </w:rPr>
        <w:t> </w:t>
      </w:r>
      <w:r>
        <w:rPr/>
        <w:t>que</w:t>
      </w:r>
      <w:r>
        <w:rPr>
          <w:spacing w:val="-18"/>
        </w:rPr>
        <w:t> </w:t>
      </w:r>
      <w:r>
        <w:rPr/>
        <w:t>en</w:t>
      </w:r>
      <w:r>
        <w:rPr>
          <w:spacing w:val="-16"/>
        </w:rPr>
        <w:t> </w:t>
      </w:r>
      <w:r>
        <w:rPr/>
        <w:t>realidad</w:t>
      </w:r>
      <w:r>
        <w:rPr>
          <w:spacing w:val="-18"/>
        </w:rPr>
        <w:t> </w:t>
      </w:r>
      <w:r>
        <w:rPr/>
        <w:t>estos</w:t>
      </w:r>
      <w:r>
        <w:rPr>
          <w:spacing w:val="-16"/>
        </w:rPr>
        <w:t> </w:t>
      </w:r>
      <w:r>
        <w:rPr/>
        <w:t>consejos y demás figuras de participación carecen, en la mayoría de las ocasiones, de representatividad social. En este sentido, con consejos y comités a modo, la toma de decisión es avalada por estos órganos, no aplicando un estudio serio y con principio</w:t>
      </w:r>
      <w:r>
        <w:rPr>
          <w:spacing w:val="-2"/>
        </w:rPr>
        <w:t> </w:t>
      </w:r>
      <w:r>
        <w:rPr/>
        <w:t>social.</w:t>
      </w:r>
    </w:p>
    <w:p>
      <w:pPr>
        <w:pStyle w:val="BodyText"/>
        <w:spacing w:line="360" w:lineRule="auto" w:before="204"/>
        <w:ind w:left="102" w:right="119"/>
        <w:jc w:val="both"/>
      </w:pPr>
      <w:r>
        <w:rPr/>
        <w:t>No hay contradicción entre estos dos párrafos anteriores, pues lo que la ASF lleva a cabó, es validar la operación del órgano de participación, más no puede probar porque no es de su interés los mecanismos de representatividad.</w:t>
      </w:r>
    </w:p>
    <w:p>
      <w:pPr>
        <w:pStyle w:val="BodyText"/>
      </w:pPr>
    </w:p>
    <w:p>
      <w:pPr>
        <w:pStyle w:val="Heading1"/>
        <w:numPr>
          <w:ilvl w:val="2"/>
          <w:numId w:val="53"/>
        </w:numPr>
        <w:tabs>
          <w:tab w:pos="1355" w:val="left" w:leader="none"/>
        </w:tabs>
        <w:spacing w:line="240" w:lineRule="auto" w:before="205" w:after="0"/>
        <w:ind w:left="1354" w:right="0" w:hanging="703"/>
        <w:jc w:val="left"/>
      </w:pPr>
      <w:bookmarkStart w:name="_TOC_250009" w:id="43"/>
      <w:r>
        <w:rPr/>
        <w:t>Proyectos a Financiar de las Aportaciones</w:t>
      </w:r>
      <w:r>
        <w:rPr>
          <w:spacing w:val="-20"/>
        </w:rPr>
        <w:t> </w:t>
      </w:r>
      <w:bookmarkEnd w:id="43"/>
      <w:r>
        <w:rPr/>
        <w:t>Federales</w:t>
      </w:r>
    </w:p>
    <w:p>
      <w:pPr>
        <w:pStyle w:val="BodyText"/>
        <w:rPr>
          <w:b/>
          <w:sz w:val="28"/>
        </w:rPr>
      </w:pPr>
    </w:p>
    <w:p>
      <w:pPr>
        <w:pStyle w:val="BodyText"/>
        <w:rPr>
          <w:b/>
          <w:sz w:val="28"/>
        </w:rPr>
      </w:pPr>
    </w:p>
    <w:p>
      <w:pPr>
        <w:pStyle w:val="BodyText"/>
        <w:rPr>
          <w:b/>
          <w:sz w:val="28"/>
        </w:rPr>
      </w:pPr>
    </w:p>
    <w:p>
      <w:pPr>
        <w:pStyle w:val="BodyText"/>
        <w:spacing w:line="360" w:lineRule="auto" w:before="195"/>
        <w:ind w:left="102" w:right="116"/>
        <w:jc w:val="both"/>
      </w:pPr>
      <w:r>
        <w:rPr/>
        <w:t>Como ya se ha mencionado y en repetidas veces, las aportaciones federales son transferencias federales que se encuentran condicionadas o etiquetadas para el cumplimiento</w:t>
      </w:r>
      <w:r>
        <w:rPr>
          <w:spacing w:val="-7"/>
        </w:rPr>
        <w:t> </w:t>
      </w:r>
      <w:r>
        <w:rPr/>
        <w:t>de</w:t>
      </w:r>
      <w:r>
        <w:rPr>
          <w:spacing w:val="-7"/>
        </w:rPr>
        <w:t> </w:t>
      </w:r>
      <w:r>
        <w:rPr/>
        <w:t>los</w:t>
      </w:r>
      <w:r>
        <w:rPr>
          <w:spacing w:val="-8"/>
        </w:rPr>
        <w:t> </w:t>
      </w:r>
      <w:r>
        <w:rPr/>
        <w:t>objetivos</w:t>
      </w:r>
      <w:r>
        <w:rPr>
          <w:spacing w:val="-8"/>
        </w:rPr>
        <w:t> </w:t>
      </w:r>
      <w:r>
        <w:rPr/>
        <w:t>para</w:t>
      </w:r>
      <w:r>
        <w:rPr>
          <w:spacing w:val="-8"/>
        </w:rPr>
        <w:t> </w:t>
      </w:r>
      <w:r>
        <w:rPr/>
        <w:t>las</w:t>
      </w:r>
      <w:r>
        <w:rPr>
          <w:spacing w:val="-8"/>
        </w:rPr>
        <w:t> </w:t>
      </w:r>
      <w:r>
        <w:rPr/>
        <w:t>cuales</w:t>
      </w:r>
      <w:r>
        <w:rPr>
          <w:spacing w:val="-8"/>
        </w:rPr>
        <w:t> </w:t>
      </w:r>
      <w:r>
        <w:rPr/>
        <w:t>fueron</w:t>
      </w:r>
      <w:r>
        <w:rPr>
          <w:spacing w:val="-7"/>
        </w:rPr>
        <w:t> </w:t>
      </w:r>
      <w:r>
        <w:rPr/>
        <w:t>constituidas,</w:t>
      </w:r>
      <w:r>
        <w:rPr>
          <w:spacing w:val="-10"/>
        </w:rPr>
        <w:t> </w:t>
      </w:r>
      <w:r>
        <w:rPr/>
        <w:t>motivo</w:t>
      </w:r>
      <w:r>
        <w:rPr>
          <w:spacing w:val="-7"/>
        </w:rPr>
        <w:t> </w:t>
      </w:r>
      <w:r>
        <w:rPr/>
        <w:t>por</w:t>
      </w:r>
      <w:r>
        <w:rPr>
          <w:spacing w:val="-9"/>
        </w:rPr>
        <w:t> </w:t>
      </w:r>
      <w:r>
        <w:rPr/>
        <w:t>el</w:t>
      </w:r>
      <w:r>
        <w:rPr>
          <w:spacing w:val="-9"/>
        </w:rPr>
        <w:t> </w:t>
      </w:r>
      <w:r>
        <w:rPr/>
        <w:t>cual los recursos se tienen y deben destinar conforme a lo establecido en el art. 33 y 37 de la Ley de Coordinación</w:t>
      </w:r>
      <w:r>
        <w:rPr>
          <w:spacing w:val="-8"/>
        </w:rPr>
        <w:t> </w:t>
      </w:r>
      <w:r>
        <w:rPr/>
        <w:t>fiscal.</w:t>
      </w:r>
    </w:p>
    <w:p>
      <w:pPr>
        <w:pStyle w:val="Heading2"/>
        <w:spacing w:before="204"/>
      </w:pPr>
      <w:r>
        <w:rPr/>
        <w:t>Fondo de Aportaciones para la Infraestructura Social de las   Demarcaciones</w:t>
      </w:r>
    </w:p>
    <w:p>
      <w:pPr>
        <w:spacing w:after="0"/>
        <w:sectPr>
          <w:pgSz w:w="12240" w:h="15840"/>
          <w:pgMar w:header="0" w:footer="992" w:top="1360" w:bottom="1180" w:left="1600" w:right="1580"/>
        </w:sectPr>
      </w:pPr>
    </w:p>
    <w:p>
      <w:pPr>
        <w:spacing w:before="54"/>
        <w:ind w:left="102" w:right="0" w:firstLine="0"/>
        <w:jc w:val="both"/>
        <w:rPr>
          <w:b/>
          <w:sz w:val="24"/>
        </w:rPr>
      </w:pPr>
      <w:r>
        <w:rPr>
          <w:b/>
          <w:sz w:val="24"/>
        </w:rPr>
        <w:t>Territoriales del Distrito Federal.</w:t>
      </w:r>
    </w:p>
    <w:p>
      <w:pPr>
        <w:pStyle w:val="BodyText"/>
        <w:rPr>
          <w:b/>
        </w:rPr>
      </w:pPr>
    </w:p>
    <w:p>
      <w:pPr>
        <w:pStyle w:val="BodyText"/>
        <w:spacing w:line="360" w:lineRule="auto" w:before="144"/>
        <w:ind w:left="102" w:right="118"/>
        <w:jc w:val="both"/>
      </w:pPr>
      <w:r>
        <w:rPr/>
        <w:t>Con</w:t>
      </w:r>
      <w:r>
        <w:rPr>
          <w:spacing w:val="-5"/>
        </w:rPr>
        <w:t> </w:t>
      </w:r>
      <w:r>
        <w:rPr/>
        <w:t>base</w:t>
      </w:r>
      <w:r>
        <w:rPr>
          <w:spacing w:val="-5"/>
        </w:rPr>
        <w:t> </w:t>
      </w:r>
      <w:r>
        <w:rPr/>
        <w:t>en</w:t>
      </w:r>
      <w:r>
        <w:rPr>
          <w:spacing w:val="-8"/>
        </w:rPr>
        <w:t> </w:t>
      </w:r>
      <w:r>
        <w:rPr/>
        <w:t>el</w:t>
      </w:r>
      <w:r>
        <w:rPr>
          <w:spacing w:val="-7"/>
        </w:rPr>
        <w:t> </w:t>
      </w:r>
      <w:r>
        <w:rPr/>
        <w:t>artículo</w:t>
      </w:r>
      <w:r>
        <w:rPr>
          <w:spacing w:val="-5"/>
        </w:rPr>
        <w:t> </w:t>
      </w:r>
      <w:r>
        <w:rPr/>
        <w:t>33</w:t>
      </w:r>
      <w:r>
        <w:rPr>
          <w:spacing w:val="-6"/>
        </w:rPr>
        <w:t> </w:t>
      </w:r>
      <w:r>
        <w:rPr/>
        <w:t>de</w:t>
      </w:r>
      <w:r>
        <w:rPr>
          <w:spacing w:val="-6"/>
        </w:rPr>
        <w:t> </w:t>
      </w:r>
      <w:r>
        <w:rPr/>
        <w:t>la</w:t>
      </w:r>
      <w:r>
        <w:rPr>
          <w:spacing w:val="-9"/>
        </w:rPr>
        <w:t> </w:t>
      </w:r>
      <w:r>
        <w:rPr/>
        <w:t>LCF</w:t>
      </w:r>
      <w:r>
        <w:rPr>
          <w:spacing w:val="-7"/>
        </w:rPr>
        <w:t> </w:t>
      </w:r>
      <w:r>
        <w:rPr/>
        <w:t>y</w:t>
      </w:r>
      <w:r>
        <w:rPr>
          <w:spacing w:val="-9"/>
        </w:rPr>
        <w:t> </w:t>
      </w:r>
      <w:r>
        <w:rPr/>
        <w:t>conforme</w:t>
      </w:r>
      <w:r>
        <w:rPr>
          <w:spacing w:val="-6"/>
        </w:rPr>
        <w:t> </w:t>
      </w:r>
      <w:r>
        <w:rPr/>
        <w:t>a</w:t>
      </w:r>
      <w:r>
        <w:rPr>
          <w:spacing w:val="-6"/>
        </w:rPr>
        <w:t> </w:t>
      </w:r>
      <w:r>
        <w:rPr/>
        <w:t>los</w:t>
      </w:r>
      <w:r>
        <w:rPr>
          <w:spacing w:val="-9"/>
        </w:rPr>
        <w:t> </w:t>
      </w:r>
      <w:r>
        <w:rPr/>
        <w:t>Lineamientos</w:t>
      </w:r>
      <w:r>
        <w:rPr>
          <w:spacing w:val="-9"/>
        </w:rPr>
        <w:t> </w:t>
      </w:r>
      <w:r>
        <w:rPr/>
        <w:t>generales</w:t>
      </w:r>
      <w:r>
        <w:rPr>
          <w:spacing w:val="-7"/>
        </w:rPr>
        <w:t> </w:t>
      </w:r>
      <w:r>
        <w:rPr/>
        <w:t>para la</w:t>
      </w:r>
      <w:r>
        <w:rPr>
          <w:spacing w:val="-6"/>
        </w:rPr>
        <w:t> </w:t>
      </w:r>
      <w:r>
        <w:rPr/>
        <w:t>operación</w:t>
      </w:r>
      <w:r>
        <w:rPr>
          <w:spacing w:val="-6"/>
        </w:rPr>
        <w:t> </w:t>
      </w:r>
      <w:r>
        <w:rPr/>
        <w:t>del</w:t>
      </w:r>
      <w:r>
        <w:rPr>
          <w:spacing w:val="-7"/>
        </w:rPr>
        <w:t> </w:t>
      </w:r>
      <w:r>
        <w:rPr/>
        <w:t>Fondo</w:t>
      </w:r>
      <w:r>
        <w:rPr>
          <w:spacing w:val="-8"/>
        </w:rPr>
        <w:t> </w:t>
      </w:r>
      <w:r>
        <w:rPr/>
        <w:t>de</w:t>
      </w:r>
      <w:r>
        <w:rPr>
          <w:spacing w:val="-6"/>
        </w:rPr>
        <w:t> </w:t>
      </w:r>
      <w:r>
        <w:rPr/>
        <w:t>Aportaciones</w:t>
      </w:r>
      <w:r>
        <w:rPr>
          <w:spacing w:val="-7"/>
        </w:rPr>
        <w:t> </w:t>
      </w:r>
      <w:r>
        <w:rPr/>
        <w:t>para</w:t>
      </w:r>
      <w:r>
        <w:rPr>
          <w:spacing w:val="-7"/>
        </w:rPr>
        <w:t> </w:t>
      </w:r>
      <w:r>
        <w:rPr/>
        <w:t>la</w:t>
      </w:r>
      <w:r>
        <w:rPr>
          <w:spacing w:val="-6"/>
        </w:rPr>
        <w:t> </w:t>
      </w:r>
      <w:r>
        <w:rPr/>
        <w:t>Infraestructura</w:t>
      </w:r>
      <w:r>
        <w:rPr>
          <w:spacing w:val="-3"/>
        </w:rPr>
        <w:t> </w:t>
      </w:r>
      <w:r>
        <w:rPr/>
        <w:t>Social</w:t>
      </w:r>
      <w:r>
        <w:rPr>
          <w:spacing w:val="-7"/>
        </w:rPr>
        <w:t> </w:t>
      </w:r>
      <w:r>
        <w:rPr/>
        <w:t>emitido</w:t>
      </w:r>
      <w:r>
        <w:rPr>
          <w:spacing w:val="-6"/>
        </w:rPr>
        <w:t> </w:t>
      </w:r>
      <w:r>
        <w:rPr/>
        <w:t>por</w:t>
      </w:r>
      <w:r>
        <w:rPr>
          <w:spacing w:val="-7"/>
        </w:rPr>
        <w:t> </w:t>
      </w:r>
      <w:r>
        <w:rPr/>
        <w:t>la Secretaría de Desarrollo Social, normatividad que enuncia el destino, donde debe emplearse</w:t>
      </w:r>
      <w:r>
        <w:rPr>
          <w:spacing w:val="29"/>
        </w:rPr>
        <w:t> </w:t>
      </w:r>
      <w:r>
        <w:rPr/>
        <w:t>el</w:t>
      </w:r>
      <w:r>
        <w:rPr>
          <w:spacing w:val="-18"/>
        </w:rPr>
        <w:t> </w:t>
      </w:r>
      <w:r>
        <w:rPr/>
        <w:t>recurso,</w:t>
      </w:r>
      <w:r>
        <w:rPr>
          <w:spacing w:val="-18"/>
        </w:rPr>
        <w:t> </w:t>
      </w:r>
      <w:r>
        <w:rPr/>
        <w:t>quedando</w:t>
      </w:r>
      <w:r>
        <w:rPr>
          <w:spacing w:val="-18"/>
        </w:rPr>
        <w:t> </w:t>
      </w:r>
      <w:r>
        <w:rPr/>
        <w:t>establecido</w:t>
      </w:r>
      <w:r>
        <w:rPr>
          <w:spacing w:val="-18"/>
        </w:rPr>
        <w:t> </w:t>
      </w:r>
      <w:r>
        <w:rPr/>
        <w:t>específicamente</w:t>
      </w:r>
      <w:r>
        <w:rPr>
          <w:spacing w:val="-18"/>
        </w:rPr>
        <w:t> </w:t>
      </w:r>
      <w:r>
        <w:rPr/>
        <w:t>en</w:t>
      </w:r>
      <w:r>
        <w:rPr>
          <w:spacing w:val="-18"/>
        </w:rPr>
        <w:t> </w:t>
      </w:r>
      <w:r>
        <w:rPr/>
        <w:t>el</w:t>
      </w:r>
      <w:r>
        <w:rPr>
          <w:spacing w:val="-18"/>
        </w:rPr>
        <w:t> </w:t>
      </w:r>
      <w:r>
        <w:rPr/>
        <w:t>inciso</w:t>
      </w:r>
      <w:r>
        <w:rPr>
          <w:spacing w:val="-17"/>
        </w:rPr>
        <w:t> </w:t>
      </w:r>
      <w:r>
        <w:rPr/>
        <w:t>A</w:t>
      </w:r>
      <w:r>
        <w:rPr>
          <w:spacing w:val="-20"/>
        </w:rPr>
        <w:t> </w:t>
      </w:r>
      <w:r>
        <w:rPr/>
        <w:t>fracción I que a la letra</w:t>
      </w:r>
      <w:r>
        <w:rPr>
          <w:spacing w:val="-7"/>
        </w:rPr>
        <w:t> </w:t>
      </w:r>
      <w:r>
        <w:rPr/>
        <w:t>dice:</w:t>
      </w:r>
    </w:p>
    <w:p>
      <w:pPr>
        <w:pStyle w:val="BodyText"/>
        <w:spacing w:before="7"/>
      </w:pPr>
    </w:p>
    <w:p>
      <w:pPr>
        <w:pStyle w:val="ListParagraph"/>
        <w:numPr>
          <w:ilvl w:val="3"/>
          <w:numId w:val="53"/>
        </w:numPr>
        <w:tabs>
          <w:tab w:pos="1266" w:val="left" w:leader="none"/>
        </w:tabs>
        <w:spacing w:line="240" w:lineRule="auto" w:before="0" w:after="0"/>
        <w:ind w:left="954" w:right="115" w:firstLine="55"/>
        <w:jc w:val="both"/>
        <w:rPr>
          <w:sz w:val="22"/>
        </w:rPr>
      </w:pPr>
      <w:r>
        <w:rPr>
          <w:sz w:val="22"/>
        </w:rPr>
        <w:t>Fondo de Aportaciones para la Infraestructura Social Municipal y de las Demarcaciones Territoriales del Distrito Federal: agua potable, alcantarillado, drenaje y letrinas, urbanización, electrificación rural y de colonias pobres, infraestructura básica del sector salud y educativo, mejoramiento de vivienda, así como mantenimiento de infraestructura, conforme a lo señalado al catálogo </w:t>
      </w:r>
      <w:r>
        <w:rPr>
          <w:spacing w:val="-3"/>
          <w:sz w:val="22"/>
        </w:rPr>
        <w:t>de </w:t>
      </w:r>
      <w:r>
        <w:rPr>
          <w:sz w:val="22"/>
        </w:rPr>
        <w:t>acciones establecido en los Lineamientos del Fondo que emita la Secretaria de Desarrollo Social (LCF ART.33,</w:t>
      </w:r>
      <w:r>
        <w:rPr>
          <w:spacing w:val="-8"/>
          <w:sz w:val="22"/>
        </w:rPr>
        <w:t> </w:t>
      </w:r>
      <w:r>
        <w:rPr>
          <w:sz w:val="22"/>
        </w:rPr>
        <w:t>2015).</w:t>
      </w:r>
    </w:p>
    <w:p>
      <w:pPr>
        <w:pStyle w:val="BodyText"/>
        <w:spacing w:before="4"/>
      </w:pPr>
    </w:p>
    <w:p>
      <w:pPr>
        <w:pStyle w:val="BodyText"/>
        <w:spacing w:line="360" w:lineRule="auto"/>
        <w:ind w:left="102" w:right="116"/>
        <w:jc w:val="both"/>
      </w:pPr>
      <w:r>
        <w:rPr/>
        <w:t>Los gobiernos locales deben utilizar los recursos del fondo para la realización de obras y acciones que atiendan prioritariamente las carencias sociales identificadas en el Informe Anual de Pobreza. Para ello, los gobiernos locales deben incorporar a su plan de desarrollo estatal y municipal la información contenida en el Informe Anual, el cual permite identificar qué indicadores de situación de pobreza y rezago social son prioritarios de atender para mejorar el bienestar de las comunidad y que van de acuerdo al catálogo de acciones.</w:t>
      </w:r>
    </w:p>
    <w:p>
      <w:pPr>
        <w:pStyle w:val="BodyText"/>
        <w:spacing w:before="7"/>
      </w:pPr>
    </w:p>
    <w:p>
      <w:pPr>
        <w:pStyle w:val="BodyText"/>
        <w:spacing w:line="360" w:lineRule="auto"/>
        <w:ind w:left="102" w:right="118"/>
        <w:jc w:val="both"/>
      </w:pPr>
      <w:r>
        <w:rPr/>
        <w:t>La clave para que el tomador de decisiones no tenga consecuencias legales en su contra</w:t>
      </w:r>
      <w:r>
        <w:rPr>
          <w:spacing w:val="-16"/>
        </w:rPr>
        <w:t> </w:t>
      </w:r>
      <w:r>
        <w:rPr/>
        <w:t>consiste</w:t>
      </w:r>
      <w:r>
        <w:rPr>
          <w:spacing w:val="-16"/>
        </w:rPr>
        <w:t> </w:t>
      </w:r>
      <w:r>
        <w:rPr/>
        <w:t>en</w:t>
      </w:r>
      <w:r>
        <w:rPr>
          <w:spacing w:val="-15"/>
        </w:rPr>
        <w:t> </w:t>
      </w:r>
      <w:r>
        <w:rPr/>
        <w:t>incluir</w:t>
      </w:r>
      <w:r>
        <w:rPr>
          <w:spacing w:val="-15"/>
        </w:rPr>
        <w:t> </w:t>
      </w:r>
      <w:r>
        <w:rPr/>
        <w:t>sus</w:t>
      </w:r>
      <w:r>
        <w:rPr>
          <w:spacing w:val="-16"/>
        </w:rPr>
        <w:t> </w:t>
      </w:r>
      <w:r>
        <w:rPr/>
        <w:t>prioridades</w:t>
      </w:r>
      <w:r>
        <w:rPr>
          <w:spacing w:val="-16"/>
        </w:rPr>
        <w:t> </w:t>
      </w:r>
      <w:r>
        <w:rPr/>
        <w:t>en</w:t>
      </w:r>
      <w:r>
        <w:rPr>
          <w:spacing w:val="-15"/>
        </w:rPr>
        <w:t> </w:t>
      </w:r>
      <w:r>
        <w:rPr/>
        <w:t>el</w:t>
      </w:r>
      <w:r>
        <w:rPr>
          <w:spacing w:val="-14"/>
        </w:rPr>
        <w:t> </w:t>
      </w:r>
      <w:r>
        <w:rPr/>
        <w:t>plan</w:t>
      </w:r>
      <w:r>
        <w:rPr>
          <w:spacing w:val="-17"/>
        </w:rPr>
        <w:t> </w:t>
      </w:r>
      <w:r>
        <w:rPr/>
        <w:t>municipal</w:t>
      </w:r>
      <w:r>
        <w:rPr>
          <w:spacing w:val="-14"/>
        </w:rPr>
        <w:t> </w:t>
      </w:r>
      <w:r>
        <w:rPr/>
        <w:t>de</w:t>
      </w:r>
      <w:r>
        <w:rPr>
          <w:spacing w:val="-16"/>
        </w:rPr>
        <w:t> </w:t>
      </w:r>
      <w:r>
        <w:rPr/>
        <w:t>desarrollo</w:t>
      </w:r>
      <w:r>
        <w:rPr>
          <w:spacing w:val="-13"/>
        </w:rPr>
        <w:t> </w:t>
      </w:r>
      <w:r>
        <w:rPr/>
        <w:t>y</w:t>
      </w:r>
      <w:r>
        <w:rPr>
          <w:spacing w:val="-16"/>
        </w:rPr>
        <w:t> </w:t>
      </w:r>
      <w:r>
        <w:rPr/>
        <w:t>de</w:t>
      </w:r>
      <w:r>
        <w:rPr>
          <w:spacing w:val="-15"/>
        </w:rPr>
        <w:t> </w:t>
      </w:r>
      <w:r>
        <w:rPr/>
        <w:t>esta forma la metodología que se ocupa de medir indicadores tendrá consistencia y no ocasionará observaciones ni medidas</w:t>
      </w:r>
      <w:r>
        <w:rPr>
          <w:spacing w:val="-14"/>
        </w:rPr>
        <w:t> </w:t>
      </w:r>
      <w:r>
        <w:rPr/>
        <w:t>resarcitorias.</w:t>
      </w:r>
    </w:p>
    <w:p>
      <w:pPr>
        <w:pStyle w:val="BodyText"/>
        <w:spacing w:before="8"/>
      </w:pPr>
    </w:p>
    <w:p>
      <w:pPr>
        <w:pStyle w:val="BodyText"/>
        <w:spacing w:line="360" w:lineRule="auto"/>
        <w:ind w:left="102" w:right="118"/>
        <w:jc w:val="both"/>
      </w:pPr>
      <w:r>
        <w:rPr/>
        <w:t>Como parte del análisis se identificaron los rubros sobre los cuales se aplicaron</w:t>
      </w:r>
      <w:r>
        <w:rPr>
          <w:spacing w:val="-33"/>
        </w:rPr>
        <w:t> </w:t>
      </w:r>
      <w:r>
        <w:rPr/>
        <w:t>los recursos del fondo con base en los resultados de las auditorías practicadas por la Auditoría Superior de la</w:t>
      </w:r>
      <w:r>
        <w:rPr>
          <w:spacing w:val="-10"/>
        </w:rPr>
        <w:t> </w:t>
      </w:r>
      <w:r>
        <w:rPr/>
        <w:t>Federación.</w:t>
      </w:r>
    </w:p>
    <w:p>
      <w:pPr>
        <w:pStyle w:val="BodyText"/>
        <w:spacing w:before="7"/>
      </w:pPr>
    </w:p>
    <w:p>
      <w:pPr>
        <w:pStyle w:val="BodyText"/>
        <w:spacing w:line="360" w:lineRule="auto"/>
        <w:ind w:left="102" w:right="117"/>
        <w:jc w:val="both"/>
      </w:pPr>
      <w:r>
        <w:rPr/>
        <w:t>En 2008 la ASF auditó 4 municipios los cuales fueron Almoloya de Juárez, Chimalhuacán, Nezahualcóyotl y San Felipe del Progreso. Para el caso del primer municipio</w:t>
      </w:r>
      <w:r>
        <w:rPr>
          <w:spacing w:val="-8"/>
        </w:rPr>
        <w:t> </w:t>
      </w:r>
      <w:r>
        <w:rPr/>
        <w:t>los</w:t>
      </w:r>
      <w:r>
        <w:rPr>
          <w:spacing w:val="-9"/>
        </w:rPr>
        <w:t> </w:t>
      </w:r>
      <w:r>
        <w:rPr/>
        <w:t>recursos</w:t>
      </w:r>
      <w:r>
        <w:rPr>
          <w:spacing w:val="-11"/>
        </w:rPr>
        <w:t> </w:t>
      </w:r>
      <w:r>
        <w:rPr/>
        <w:t>del</w:t>
      </w:r>
      <w:r>
        <w:rPr>
          <w:spacing w:val="-10"/>
        </w:rPr>
        <w:t> </w:t>
      </w:r>
      <w:r>
        <w:rPr/>
        <w:t>FISM</w:t>
      </w:r>
      <w:r>
        <w:rPr>
          <w:spacing w:val="-7"/>
        </w:rPr>
        <w:t> </w:t>
      </w:r>
      <w:r>
        <w:rPr/>
        <w:t>fueron</w:t>
      </w:r>
      <w:r>
        <w:rPr>
          <w:spacing w:val="-8"/>
        </w:rPr>
        <w:t> </w:t>
      </w:r>
      <w:r>
        <w:rPr/>
        <w:t>revisados</w:t>
      </w:r>
      <w:r>
        <w:rPr>
          <w:spacing w:val="-9"/>
        </w:rPr>
        <w:t> </w:t>
      </w:r>
      <w:r>
        <w:rPr/>
        <w:t>con</w:t>
      </w:r>
      <w:r>
        <w:rPr>
          <w:spacing w:val="-8"/>
        </w:rPr>
        <w:t> </w:t>
      </w:r>
      <w:r>
        <w:rPr/>
        <w:t>corte</w:t>
      </w:r>
      <w:r>
        <w:rPr>
          <w:spacing w:val="-8"/>
        </w:rPr>
        <w:t> </w:t>
      </w:r>
      <w:r>
        <w:rPr/>
        <w:t>al</w:t>
      </w:r>
      <w:r>
        <w:rPr>
          <w:spacing w:val="-10"/>
        </w:rPr>
        <w:t> </w:t>
      </w:r>
      <w:r>
        <w:rPr/>
        <w:t>mes</w:t>
      </w:r>
      <w:r>
        <w:rPr>
          <w:spacing w:val="-9"/>
        </w:rPr>
        <w:t> </w:t>
      </w:r>
      <w:r>
        <w:rPr/>
        <w:t>de</w:t>
      </w:r>
      <w:r>
        <w:rPr>
          <w:spacing w:val="-5"/>
        </w:rPr>
        <w:t> </w:t>
      </w:r>
      <w:r>
        <w:rPr/>
        <w:t>abril</w:t>
      </w:r>
      <w:r>
        <w:rPr>
          <w:spacing w:val="-10"/>
        </w:rPr>
        <w:t> </w:t>
      </w:r>
      <w:r>
        <w:rPr/>
        <w:t>de</w:t>
      </w:r>
      <w:r>
        <w:rPr>
          <w:spacing w:val="-8"/>
        </w:rPr>
        <w:t> </w:t>
      </w:r>
      <w:r>
        <w:rPr/>
        <w:t>2009,</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en dicha revisión se reportaron recursos ejercidos por 61, 571.9 miles de pesos en rubros de agua potable en términos de porcentaje con un 10.1%, drenaje y alcantarillado 2.3%, urbanización 46.0%, electrificación rural 10.6%, infraestructura básica educativa 6.3%, mejoramiento de vivienda 16.5%, caminos rurales 2.3, infraestructura productiva rural 3.6%, desarrollo institucional 1.1 y otros 0.3%.</w:t>
      </w:r>
    </w:p>
    <w:p>
      <w:pPr>
        <w:pStyle w:val="BodyText"/>
        <w:spacing w:before="10"/>
      </w:pPr>
    </w:p>
    <w:p>
      <w:pPr>
        <w:pStyle w:val="BodyText"/>
        <w:spacing w:line="360" w:lineRule="auto"/>
        <w:ind w:left="102" w:right="116"/>
        <w:jc w:val="both"/>
      </w:pPr>
      <w:r>
        <w:rPr/>
        <w:t>Cabe resaltar que la ASF verificó que el municipio ejecutó 26 obras y acciones por 13,804.4 miles de pesos en sitios que no beneficiaron directamente a sectores de su población que se encontraban en condiciones de rezago social y pobreza extrema.</w:t>
      </w:r>
    </w:p>
    <w:p>
      <w:pPr>
        <w:pStyle w:val="BodyText"/>
        <w:spacing w:before="7"/>
      </w:pPr>
    </w:p>
    <w:p>
      <w:pPr>
        <w:pStyle w:val="BodyText"/>
        <w:spacing w:line="360" w:lineRule="auto"/>
        <w:ind w:left="102" w:right="115"/>
        <w:jc w:val="both"/>
      </w:pPr>
      <w:r>
        <w:rPr/>
        <w:t>Para el caso de Chimalhuacán la revisión de los recursos del FISM 2008 se realizó con corte al mes de mayo de 2009, donde se reportaron recursos ejercidos por 85,492.4 miles de pesos distribuidos en los siguientes rubros igualmente en términos de porcentaje, en urbanización municipal un 43.1%, electrificación rural 14.6%,</w:t>
      </w:r>
      <w:r>
        <w:rPr>
          <w:spacing w:val="-7"/>
        </w:rPr>
        <w:t> </w:t>
      </w:r>
      <w:r>
        <w:rPr/>
        <w:t>infraestructura</w:t>
      </w:r>
      <w:r>
        <w:rPr>
          <w:spacing w:val="-10"/>
        </w:rPr>
        <w:t> </w:t>
      </w:r>
      <w:r>
        <w:rPr/>
        <w:t>básica</w:t>
      </w:r>
      <w:r>
        <w:rPr>
          <w:spacing w:val="-7"/>
        </w:rPr>
        <w:t> </w:t>
      </w:r>
      <w:r>
        <w:rPr/>
        <w:t>educativa</w:t>
      </w:r>
      <w:r>
        <w:rPr>
          <w:spacing w:val="-7"/>
        </w:rPr>
        <w:t> </w:t>
      </w:r>
      <w:r>
        <w:rPr/>
        <w:t>con</w:t>
      </w:r>
      <w:r>
        <w:rPr>
          <w:spacing w:val="-5"/>
        </w:rPr>
        <w:t> </w:t>
      </w:r>
      <w:r>
        <w:rPr/>
        <w:t>un</w:t>
      </w:r>
      <w:r>
        <w:rPr>
          <w:spacing w:val="-7"/>
        </w:rPr>
        <w:t> </w:t>
      </w:r>
      <w:r>
        <w:rPr/>
        <w:t>6.0%,</w:t>
      </w:r>
      <w:r>
        <w:rPr>
          <w:spacing w:val="-7"/>
        </w:rPr>
        <w:t> </w:t>
      </w:r>
      <w:r>
        <w:rPr/>
        <w:t>caminos</w:t>
      </w:r>
      <w:r>
        <w:rPr>
          <w:spacing w:val="-8"/>
        </w:rPr>
        <w:t> </w:t>
      </w:r>
      <w:r>
        <w:rPr/>
        <w:t>rurales</w:t>
      </w:r>
      <w:r>
        <w:rPr>
          <w:spacing w:val="-8"/>
        </w:rPr>
        <w:t> </w:t>
      </w:r>
      <w:r>
        <w:rPr/>
        <w:t>5.8%,</w:t>
      </w:r>
      <w:r>
        <w:rPr>
          <w:spacing w:val="-10"/>
        </w:rPr>
        <w:t> </w:t>
      </w:r>
      <w:r>
        <w:rPr/>
        <w:t>gastos indirectos</w:t>
      </w:r>
      <w:r>
        <w:rPr>
          <w:spacing w:val="-16"/>
        </w:rPr>
        <w:t> </w:t>
      </w:r>
      <w:r>
        <w:rPr/>
        <w:t>1.5%</w:t>
      </w:r>
      <w:r>
        <w:rPr>
          <w:spacing w:val="-14"/>
        </w:rPr>
        <w:t> </w:t>
      </w:r>
      <w:r>
        <w:rPr/>
        <w:t>y</w:t>
      </w:r>
      <w:r>
        <w:rPr>
          <w:spacing w:val="-16"/>
        </w:rPr>
        <w:t> </w:t>
      </w:r>
      <w:r>
        <w:rPr/>
        <w:t>agua</w:t>
      </w:r>
      <w:r>
        <w:rPr>
          <w:spacing w:val="-16"/>
        </w:rPr>
        <w:t> </w:t>
      </w:r>
      <w:r>
        <w:rPr/>
        <w:t>potable</w:t>
      </w:r>
      <w:r>
        <w:rPr>
          <w:spacing w:val="-13"/>
        </w:rPr>
        <w:t> </w:t>
      </w:r>
      <w:r>
        <w:rPr/>
        <w:t>16.5%.</w:t>
      </w:r>
      <w:r>
        <w:rPr>
          <w:spacing w:val="-13"/>
        </w:rPr>
        <w:t> </w:t>
      </w:r>
      <w:r>
        <w:rPr/>
        <w:t>Es</w:t>
      </w:r>
      <w:r>
        <w:rPr>
          <w:spacing w:val="-14"/>
        </w:rPr>
        <w:t> </w:t>
      </w:r>
      <w:r>
        <w:rPr/>
        <w:t>importante</w:t>
      </w:r>
      <w:r>
        <w:rPr>
          <w:spacing w:val="-13"/>
        </w:rPr>
        <w:t> </w:t>
      </w:r>
      <w:r>
        <w:rPr/>
        <w:t>señalar</w:t>
      </w:r>
      <w:r>
        <w:rPr>
          <w:spacing w:val="-14"/>
        </w:rPr>
        <w:t> </w:t>
      </w:r>
      <w:r>
        <w:rPr/>
        <w:t>que</w:t>
      </w:r>
      <w:r>
        <w:rPr>
          <w:spacing w:val="-16"/>
        </w:rPr>
        <w:t> </w:t>
      </w:r>
      <w:r>
        <w:rPr/>
        <w:t>el</w:t>
      </w:r>
      <w:r>
        <w:rPr>
          <w:spacing w:val="-17"/>
        </w:rPr>
        <w:t> </w:t>
      </w:r>
      <w:r>
        <w:rPr/>
        <w:t>7.8%</w:t>
      </w:r>
      <w:r>
        <w:rPr>
          <w:spacing w:val="-14"/>
        </w:rPr>
        <w:t> </w:t>
      </w:r>
      <w:r>
        <w:rPr/>
        <w:t>se</w:t>
      </w:r>
      <w:r>
        <w:rPr>
          <w:spacing w:val="-9"/>
        </w:rPr>
        <w:t> </w:t>
      </w:r>
      <w:r>
        <w:rPr/>
        <w:t>destinó a obras y acciones que no beneficiaron directamente a sectores de la población en rezago social y pobreza extrema y que el 4.7% correspondió a obras fuera de los rubros previstos por la Ley de Coordinación</w:t>
      </w:r>
      <w:r>
        <w:rPr>
          <w:spacing w:val="-16"/>
        </w:rPr>
        <w:t> </w:t>
      </w:r>
      <w:r>
        <w:rPr/>
        <w:t>fiscal.</w:t>
      </w:r>
    </w:p>
    <w:p>
      <w:pPr>
        <w:pStyle w:val="BodyText"/>
        <w:spacing w:before="7"/>
      </w:pPr>
    </w:p>
    <w:p>
      <w:pPr>
        <w:pStyle w:val="BodyText"/>
        <w:spacing w:line="360" w:lineRule="auto"/>
        <w:ind w:left="102" w:right="115"/>
        <w:jc w:val="both"/>
      </w:pPr>
      <w:r>
        <w:rPr/>
        <w:t>En</w:t>
      </w:r>
      <w:r>
        <w:rPr>
          <w:spacing w:val="-13"/>
        </w:rPr>
        <w:t> </w:t>
      </w:r>
      <w:r>
        <w:rPr/>
        <w:t>Nezahualcóyotl</w:t>
      </w:r>
      <w:r>
        <w:rPr>
          <w:spacing w:val="-14"/>
        </w:rPr>
        <w:t> </w:t>
      </w:r>
      <w:r>
        <w:rPr/>
        <w:t>se</w:t>
      </w:r>
      <w:r>
        <w:rPr>
          <w:spacing w:val="-15"/>
        </w:rPr>
        <w:t> </w:t>
      </w:r>
      <w:r>
        <w:rPr/>
        <w:t>revisaron</w:t>
      </w:r>
      <w:r>
        <w:rPr>
          <w:spacing w:val="-13"/>
        </w:rPr>
        <w:t> </w:t>
      </w:r>
      <w:r>
        <w:rPr/>
        <w:t>los</w:t>
      </w:r>
      <w:r>
        <w:rPr>
          <w:spacing w:val="-13"/>
        </w:rPr>
        <w:t> </w:t>
      </w:r>
      <w:r>
        <w:rPr/>
        <w:t>recursos</w:t>
      </w:r>
      <w:r>
        <w:rPr>
          <w:spacing w:val="-16"/>
        </w:rPr>
        <w:t> </w:t>
      </w:r>
      <w:r>
        <w:rPr/>
        <w:t>del</w:t>
      </w:r>
      <w:r>
        <w:rPr>
          <w:spacing w:val="-14"/>
        </w:rPr>
        <w:t> </w:t>
      </w:r>
      <w:r>
        <w:rPr/>
        <w:t>FISM</w:t>
      </w:r>
      <w:r>
        <w:rPr>
          <w:spacing w:val="-17"/>
        </w:rPr>
        <w:t> </w:t>
      </w:r>
      <w:r>
        <w:rPr/>
        <w:t>2008</w:t>
      </w:r>
      <w:r>
        <w:rPr>
          <w:spacing w:val="-15"/>
        </w:rPr>
        <w:t> </w:t>
      </w:r>
      <w:r>
        <w:rPr/>
        <w:t>con</w:t>
      </w:r>
      <w:r>
        <w:rPr>
          <w:spacing w:val="-18"/>
        </w:rPr>
        <w:t> </w:t>
      </w:r>
      <w:r>
        <w:rPr/>
        <w:t>fecha</w:t>
      </w:r>
      <w:r>
        <w:rPr>
          <w:spacing w:val="-11"/>
        </w:rPr>
        <w:t> </w:t>
      </w:r>
      <w:r>
        <w:rPr/>
        <w:t>de</w:t>
      </w:r>
      <w:r>
        <w:rPr>
          <w:spacing w:val="-16"/>
        </w:rPr>
        <w:t> </w:t>
      </w:r>
      <w:r>
        <w:rPr/>
        <w:t>30</w:t>
      </w:r>
      <w:r>
        <w:rPr>
          <w:spacing w:val="-15"/>
        </w:rPr>
        <w:t> </w:t>
      </w:r>
      <w:r>
        <w:rPr/>
        <w:t>de</w:t>
      </w:r>
      <w:r>
        <w:rPr>
          <w:spacing w:val="-15"/>
        </w:rPr>
        <w:t> </w:t>
      </w:r>
      <w:r>
        <w:rPr/>
        <w:t>Abril de</w:t>
      </w:r>
      <w:r>
        <w:rPr>
          <w:spacing w:val="-12"/>
        </w:rPr>
        <w:t> </w:t>
      </w:r>
      <w:r>
        <w:rPr/>
        <w:t>2009,</w:t>
      </w:r>
      <w:r>
        <w:rPr>
          <w:spacing w:val="-12"/>
        </w:rPr>
        <w:t> </w:t>
      </w:r>
      <w:r>
        <w:rPr/>
        <w:t>donde</w:t>
      </w:r>
      <w:r>
        <w:rPr>
          <w:spacing w:val="-14"/>
        </w:rPr>
        <w:t> </w:t>
      </w:r>
      <w:r>
        <w:rPr/>
        <w:t>a</w:t>
      </w:r>
      <w:r>
        <w:rPr>
          <w:spacing w:val="-12"/>
        </w:rPr>
        <w:t> </w:t>
      </w:r>
      <w:r>
        <w:rPr/>
        <w:t>la</w:t>
      </w:r>
      <w:r>
        <w:rPr>
          <w:spacing w:val="-14"/>
        </w:rPr>
        <w:t> </w:t>
      </w:r>
      <w:r>
        <w:rPr/>
        <w:t>fecha</w:t>
      </w:r>
      <w:r>
        <w:rPr>
          <w:spacing w:val="-9"/>
        </w:rPr>
        <w:t> </w:t>
      </w:r>
      <w:r>
        <w:rPr/>
        <w:t>ejerció</w:t>
      </w:r>
      <w:r>
        <w:rPr>
          <w:spacing w:val="-11"/>
        </w:rPr>
        <w:t> </w:t>
      </w:r>
      <w:r>
        <w:rPr/>
        <w:t>recursos</w:t>
      </w:r>
      <w:r>
        <w:rPr>
          <w:spacing w:val="-15"/>
        </w:rPr>
        <w:t> </w:t>
      </w:r>
      <w:r>
        <w:rPr/>
        <w:t>por</w:t>
      </w:r>
      <w:r>
        <w:rPr>
          <w:spacing w:val="-13"/>
        </w:rPr>
        <w:t> </w:t>
      </w:r>
      <w:r>
        <w:rPr/>
        <w:t>70,232.3</w:t>
      </w:r>
      <w:r>
        <w:rPr>
          <w:spacing w:val="-14"/>
        </w:rPr>
        <w:t> </w:t>
      </w:r>
      <w:r>
        <w:rPr/>
        <w:t>miles</w:t>
      </w:r>
      <w:r>
        <w:rPr>
          <w:spacing w:val="-13"/>
        </w:rPr>
        <w:t> </w:t>
      </w:r>
      <w:r>
        <w:rPr/>
        <w:t>de</w:t>
      </w:r>
      <w:r>
        <w:rPr>
          <w:spacing w:val="-12"/>
        </w:rPr>
        <w:t> </w:t>
      </w:r>
      <w:r>
        <w:rPr/>
        <w:t>pesos,</w:t>
      </w:r>
      <w:r>
        <w:rPr>
          <w:spacing w:val="-12"/>
        </w:rPr>
        <w:t> </w:t>
      </w:r>
      <w:r>
        <w:rPr/>
        <w:t>distribuidos en</w:t>
      </w:r>
      <w:r>
        <w:rPr>
          <w:spacing w:val="-14"/>
        </w:rPr>
        <w:t> </w:t>
      </w:r>
      <w:r>
        <w:rPr/>
        <w:t>los</w:t>
      </w:r>
      <w:r>
        <w:rPr>
          <w:spacing w:val="-17"/>
        </w:rPr>
        <w:t> </w:t>
      </w:r>
      <w:r>
        <w:rPr/>
        <w:t>rubros</w:t>
      </w:r>
      <w:r>
        <w:rPr>
          <w:spacing w:val="-15"/>
        </w:rPr>
        <w:t> </w:t>
      </w:r>
      <w:r>
        <w:rPr/>
        <w:t>de</w:t>
      </w:r>
      <w:r>
        <w:rPr>
          <w:spacing w:val="-17"/>
        </w:rPr>
        <w:t> </w:t>
      </w:r>
      <w:r>
        <w:rPr/>
        <w:t>drenaje,</w:t>
      </w:r>
      <w:r>
        <w:rPr>
          <w:spacing w:val="-14"/>
        </w:rPr>
        <w:t> </w:t>
      </w:r>
      <w:r>
        <w:rPr/>
        <w:t>letrinas</w:t>
      </w:r>
      <w:r>
        <w:rPr>
          <w:spacing w:val="-15"/>
        </w:rPr>
        <w:t> </w:t>
      </w:r>
      <w:r>
        <w:rPr/>
        <w:t>y</w:t>
      </w:r>
      <w:r>
        <w:rPr>
          <w:spacing w:val="-17"/>
        </w:rPr>
        <w:t> </w:t>
      </w:r>
      <w:r>
        <w:rPr/>
        <w:t>alcantarillado</w:t>
      </w:r>
      <w:r>
        <w:rPr>
          <w:spacing w:val="-14"/>
        </w:rPr>
        <w:t> </w:t>
      </w:r>
      <w:r>
        <w:rPr/>
        <w:t>con</w:t>
      </w:r>
      <w:r>
        <w:rPr>
          <w:spacing w:val="-16"/>
        </w:rPr>
        <w:t> </w:t>
      </w:r>
      <w:r>
        <w:rPr/>
        <w:t>el</w:t>
      </w:r>
      <w:r>
        <w:rPr>
          <w:spacing w:val="-18"/>
        </w:rPr>
        <w:t> </w:t>
      </w:r>
      <w:r>
        <w:rPr/>
        <w:t>10%,</w:t>
      </w:r>
      <w:r>
        <w:rPr>
          <w:spacing w:val="-17"/>
        </w:rPr>
        <w:t> </w:t>
      </w:r>
      <w:r>
        <w:rPr/>
        <w:t>urbanización</w:t>
      </w:r>
      <w:r>
        <w:rPr>
          <w:spacing w:val="-16"/>
        </w:rPr>
        <w:t> </w:t>
      </w:r>
      <w:r>
        <w:rPr/>
        <w:t>municipal 50.6%, electrificación rural 15.5%, infraestructura básica educativa 21.5% y gastos indirectos de 2.4%. Cabe añadir que el municipio ejecuto 13 obras y acciones por 12%, 166.2 miles de pesos en sitios que no beneficiaron directamente a sus sectores en condiciones de rezago social y pobreza</w:t>
      </w:r>
      <w:r>
        <w:rPr>
          <w:spacing w:val="-19"/>
        </w:rPr>
        <w:t> </w:t>
      </w:r>
      <w:r>
        <w:rPr/>
        <w:t>extrema.</w:t>
      </w:r>
    </w:p>
    <w:p>
      <w:pPr>
        <w:pStyle w:val="BodyText"/>
        <w:spacing w:before="7"/>
      </w:pPr>
    </w:p>
    <w:p>
      <w:pPr>
        <w:pStyle w:val="BodyText"/>
        <w:spacing w:line="360" w:lineRule="auto"/>
        <w:ind w:left="102" w:right="115"/>
        <w:jc w:val="both"/>
      </w:pPr>
      <w:r>
        <w:rPr/>
        <w:t>Por último en 2008 se la ASF auditó al municipio de San Felipe del Progreso con corte al mes de abril de 2009; este municipio ejerció un recurso de 94,243.0 miles de</w:t>
      </w:r>
      <w:r>
        <w:rPr>
          <w:spacing w:val="-18"/>
        </w:rPr>
        <w:t> </w:t>
      </w:r>
      <w:r>
        <w:rPr/>
        <w:t>pesos</w:t>
      </w:r>
      <w:r>
        <w:rPr>
          <w:spacing w:val="-19"/>
        </w:rPr>
        <w:t> </w:t>
      </w:r>
      <w:r>
        <w:rPr/>
        <w:t>aplicados</w:t>
      </w:r>
      <w:r>
        <w:rPr>
          <w:spacing w:val="-19"/>
        </w:rPr>
        <w:t> </w:t>
      </w:r>
      <w:r>
        <w:rPr/>
        <w:t>en</w:t>
      </w:r>
      <w:r>
        <w:rPr>
          <w:spacing w:val="-18"/>
        </w:rPr>
        <w:t> </w:t>
      </w:r>
      <w:r>
        <w:rPr/>
        <w:t>los</w:t>
      </w:r>
      <w:r>
        <w:rPr>
          <w:spacing w:val="-19"/>
        </w:rPr>
        <w:t> </w:t>
      </w:r>
      <w:r>
        <w:rPr/>
        <w:t>siguientes</w:t>
      </w:r>
      <w:r>
        <w:rPr>
          <w:spacing w:val="-19"/>
        </w:rPr>
        <w:t> </w:t>
      </w:r>
      <w:r>
        <w:rPr/>
        <w:t>rubros:</w:t>
      </w:r>
      <w:r>
        <w:rPr>
          <w:spacing w:val="-18"/>
        </w:rPr>
        <w:t> </w:t>
      </w:r>
      <w:r>
        <w:rPr/>
        <w:t>agua</w:t>
      </w:r>
      <w:r>
        <w:rPr>
          <w:spacing w:val="-18"/>
        </w:rPr>
        <w:t> </w:t>
      </w:r>
      <w:r>
        <w:rPr/>
        <w:t>potable</w:t>
      </w:r>
      <w:r>
        <w:rPr>
          <w:spacing w:val="-21"/>
        </w:rPr>
        <w:t> </w:t>
      </w:r>
      <w:r>
        <w:rPr/>
        <w:t>6.5%,</w:t>
      </w:r>
      <w:r>
        <w:rPr>
          <w:spacing w:val="-20"/>
        </w:rPr>
        <w:t> </w:t>
      </w:r>
      <w:r>
        <w:rPr/>
        <w:t>alcantarillado</w:t>
      </w:r>
      <w:r>
        <w:rPr>
          <w:spacing w:val="-20"/>
        </w:rPr>
        <w:t> </w:t>
      </w:r>
      <w:r>
        <w:rPr/>
        <w:t>2.9%, urbanización municipal 32.8%, electrificación rural 5.9%, infraestructura básica </w:t>
      </w:r>
      <w:r>
        <w:rPr>
          <w:spacing w:val="49"/>
        </w:rPr>
        <w:t> </w:t>
      </w:r>
      <w:r>
        <w:rPr/>
        <w:t>de</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salud 5.7%, infraestructura básica educativa 10.6%, mejoramiento de vivienda 2.8%, caminos rurales 8.3%, gastos indirectos 3.1% y desarrollo institucional</w:t>
      </w:r>
      <w:r>
        <w:rPr>
          <w:spacing w:val="-25"/>
        </w:rPr>
        <w:t> </w:t>
      </w:r>
      <w:r>
        <w:rPr/>
        <w:t>2.2%. Al igual que con los municipios anteriores, esté también destinó recursos en obras y</w:t>
      </w:r>
      <w:r>
        <w:rPr>
          <w:spacing w:val="-15"/>
        </w:rPr>
        <w:t> </w:t>
      </w:r>
      <w:r>
        <w:rPr/>
        <w:t>acciones</w:t>
      </w:r>
      <w:r>
        <w:rPr>
          <w:spacing w:val="-15"/>
        </w:rPr>
        <w:t> </w:t>
      </w:r>
      <w:r>
        <w:rPr/>
        <w:t>que</w:t>
      </w:r>
      <w:r>
        <w:rPr>
          <w:spacing w:val="-15"/>
        </w:rPr>
        <w:t> </w:t>
      </w:r>
      <w:r>
        <w:rPr/>
        <w:t>no</w:t>
      </w:r>
      <w:r>
        <w:rPr>
          <w:spacing w:val="-14"/>
        </w:rPr>
        <w:t> </w:t>
      </w:r>
      <w:r>
        <w:rPr/>
        <w:t>cumplen</w:t>
      </w:r>
      <w:r>
        <w:rPr>
          <w:spacing w:val="-14"/>
        </w:rPr>
        <w:t> </w:t>
      </w:r>
      <w:r>
        <w:rPr/>
        <w:t>con</w:t>
      </w:r>
      <w:r>
        <w:rPr>
          <w:spacing w:val="-14"/>
        </w:rPr>
        <w:t> </w:t>
      </w:r>
      <w:r>
        <w:rPr/>
        <w:t>lo</w:t>
      </w:r>
      <w:r>
        <w:rPr>
          <w:spacing w:val="-15"/>
        </w:rPr>
        <w:t> </w:t>
      </w:r>
      <w:r>
        <w:rPr/>
        <w:t>estipulado</w:t>
      </w:r>
      <w:r>
        <w:rPr>
          <w:spacing w:val="-15"/>
        </w:rPr>
        <w:t> </w:t>
      </w:r>
      <w:r>
        <w:rPr/>
        <w:t>por</w:t>
      </w:r>
      <w:r>
        <w:rPr>
          <w:spacing w:val="-14"/>
        </w:rPr>
        <w:t> </w:t>
      </w:r>
      <w:r>
        <w:rPr/>
        <w:t>el</w:t>
      </w:r>
      <w:r>
        <w:rPr>
          <w:spacing w:val="-16"/>
        </w:rPr>
        <w:t> </w:t>
      </w:r>
      <w:r>
        <w:rPr/>
        <w:t>art.</w:t>
      </w:r>
      <w:r>
        <w:rPr>
          <w:spacing w:val="-15"/>
        </w:rPr>
        <w:t> </w:t>
      </w:r>
      <w:r>
        <w:rPr/>
        <w:t>33</w:t>
      </w:r>
      <w:r>
        <w:rPr>
          <w:spacing w:val="-15"/>
        </w:rPr>
        <w:t> </w:t>
      </w:r>
      <w:r>
        <w:rPr/>
        <w:t>de</w:t>
      </w:r>
      <w:r>
        <w:rPr>
          <w:spacing w:val="-14"/>
        </w:rPr>
        <w:t> </w:t>
      </w:r>
      <w:r>
        <w:rPr/>
        <w:t>la</w:t>
      </w:r>
      <w:r>
        <w:rPr>
          <w:spacing w:val="-15"/>
        </w:rPr>
        <w:t> </w:t>
      </w:r>
      <w:r>
        <w:rPr/>
        <w:t>Ley</w:t>
      </w:r>
      <w:r>
        <w:rPr>
          <w:spacing w:val="-18"/>
        </w:rPr>
        <w:t> </w:t>
      </w:r>
      <w:r>
        <w:rPr/>
        <w:t>de</w:t>
      </w:r>
      <w:r>
        <w:rPr>
          <w:spacing w:val="-13"/>
        </w:rPr>
        <w:t> </w:t>
      </w:r>
      <w:r>
        <w:rPr/>
        <w:t>Coordinación Fiscal con un porcentaje del</w:t>
      </w:r>
      <w:r>
        <w:rPr>
          <w:spacing w:val="-9"/>
        </w:rPr>
        <w:t> </w:t>
      </w:r>
      <w:r>
        <w:rPr/>
        <w:t>19.2%.</w:t>
      </w:r>
    </w:p>
    <w:p>
      <w:pPr>
        <w:pStyle w:val="BodyText"/>
        <w:spacing w:before="10"/>
      </w:pPr>
    </w:p>
    <w:p>
      <w:pPr>
        <w:pStyle w:val="BodyText"/>
        <w:spacing w:line="360" w:lineRule="auto"/>
        <w:ind w:left="102" w:right="117"/>
        <w:jc w:val="both"/>
      </w:pPr>
      <w:r>
        <w:rPr/>
        <w:t>Para el ejercicio fiscal 2009, la ASF auditó a 5 municipios que son: Ecatepec de Morelos,</w:t>
      </w:r>
      <w:r>
        <w:rPr>
          <w:spacing w:val="-6"/>
        </w:rPr>
        <w:t> </w:t>
      </w:r>
      <w:r>
        <w:rPr/>
        <w:t>Ixtlahuaca,</w:t>
      </w:r>
      <w:r>
        <w:rPr>
          <w:spacing w:val="-9"/>
        </w:rPr>
        <w:t> </w:t>
      </w:r>
      <w:r>
        <w:rPr/>
        <w:t>nuevamente</w:t>
      </w:r>
      <w:r>
        <w:rPr>
          <w:spacing w:val="-8"/>
        </w:rPr>
        <w:t> </w:t>
      </w:r>
      <w:r>
        <w:rPr/>
        <w:t>a</w:t>
      </w:r>
      <w:r>
        <w:rPr>
          <w:spacing w:val="-6"/>
        </w:rPr>
        <w:t> </w:t>
      </w:r>
      <w:r>
        <w:rPr/>
        <w:t>San</w:t>
      </w:r>
      <w:r>
        <w:rPr>
          <w:spacing w:val="-8"/>
        </w:rPr>
        <w:t> </w:t>
      </w:r>
      <w:r>
        <w:rPr/>
        <w:t>Felipe</w:t>
      </w:r>
      <w:r>
        <w:rPr>
          <w:spacing w:val="-6"/>
        </w:rPr>
        <w:t> </w:t>
      </w:r>
      <w:r>
        <w:rPr/>
        <w:t>del</w:t>
      </w:r>
      <w:r>
        <w:rPr>
          <w:spacing w:val="-10"/>
        </w:rPr>
        <w:t> </w:t>
      </w:r>
      <w:r>
        <w:rPr/>
        <w:t>Progreso,</w:t>
      </w:r>
      <w:r>
        <w:rPr>
          <w:spacing w:val="-9"/>
        </w:rPr>
        <w:t> </w:t>
      </w:r>
      <w:r>
        <w:rPr/>
        <w:t>San</w:t>
      </w:r>
      <w:r>
        <w:rPr>
          <w:spacing w:val="-8"/>
        </w:rPr>
        <w:t> </w:t>
      </w:r>
      <w:r>
        <w:rPr/>
        <w:t>José</w:t>
      </w:r>
      <w:r>
        <w:rPr>
          <w:spacing w:val="-6"/>
        </w:rPr>
        <w:t> </w:t>
      </w:r>
      <w:r>
        <w:rPr/>
        <w:t>del</w:t>
      </w:r>
      <w:r>
        <w:rPr>
          <w:spacing w:val="-10"/>
        </w:rPr>
        <w:t> </w:t>
      </w:r>
      <w:r>
        <w:rPr/>
        <w:t>Rincón</w:t>
      </w:r>
      <w:r>
        <w:rPr>
          <w:spacing w:val="-8"/>
        </w:rPr>
        <w:t> </w:t>
      </w:r>
      <w:r>
        <w:rPr/>
        <w:t>y Toluca.</w:t>
      </w:r>
    </w:p>
    <w:p>
      <w:pPr>
        <w:pStyle w:val="BodyText"/>
        <w:spacing w:before="10"/>
      </w:pPr>
    </w:p>
    <w:p>
      <w:pPr>
        <w:pStyle w:val="BodyText"/>
        <w:spacing w:line="360" w:lineRule="auto"/>
        <w:ind w:left="102" w:right="116"/>
        <w:jc w:val="both"/>
      </w:pPr>
      <w:r>
        <w:rPr/>
        <w:t>En Ecatepec de Morelos al 31 de Julio de 2010 fecha de la auditoría, se ejercieron recursos del FISM 2009 de 45, 686.6 miles de pesos en obras, lo cual representó sólo el 27.5% de 166,336.6 miles de pesos asignados al municipio. Así mismo se realizaron traspasos a otras cuentas por 92,000.00 miles de pesos, dando un equivalente del 55.3% y el 17.2% se encontraba aún en la cuenta bancaria.</w:t>
      </w:r>
    </w:p>
    <w:p>
      <w:pPr>
        <w:pStyle w:val="BodyText"/>
        <w:spacing w:before="7"/>
      </w:pPr>
    </w:p>
    <w:p>
      <w:pPr>
        <w:pStyle w:val="BodyText"/>
        <w:spacing w:line="360" w:lineRule="auto"/>
        <w:ind w:left="102" w:right="115"/>
        <w:jc w:val="both"/>
      </w:pPr>
      <w:r>
        <w:rPr/>
        <w:t>El municipio de Ixtlahuaca al 31 de agosto de 2010, reportó recursos ejercidos de 79,816.8</w:t>
      </w:r>
      <w:r>
        <w:rPr>
          <w:spacing w:val="-17"/>
        </w:rPr>
        <w:t> </w:t>
      </w:r>
      <w:r>
        <w:rPr/>
        <w:t>miles</w:t>
      </w:r>
      <w:r>
        <w:rPr>
          <w:spacing w:val="-17"/>
        </w:rPr>
        <w:t> </w:t>
      </w:r>
      <w:r>
        <w:rPr/>
        <w:t>de</w:t>
      </w:r>
      <w:r>
        <w:rPr>
          <w:spacing w:val="-16"/>
        </w:rPr>
        <w:t> </w:t>
      </w:r>
      <w:r>
        <w:rPr/>
        <w:t>pesos,</w:t>
      </w:r>
      <w:r>
        <w:rPr>
          <w:spacing w:val="-14"/>
        </w:rPr>
        <w:t> </w:t>
      </w:r>
      <w:r>
        <w:rPr/>
        <w:t>distribuidos</w:t>
      </w:r>
      <w:r>
        <w:rPr>
          <w:spacing w:val="-17"/>
        </w:rPr>
        <w:t> </w:t>
      </w:r>
      <w:r>
        <w:rPr/>
        <w:t>en</w:t>
      </w:r>
      <w:r>
        <w:rPr>
          <w:spacing w:val="-16"/>
        </w:rPr>
        <w:t> </w:t>
      </w:r>
      <w:r>
        <w:rPr/>
        <w:t>los</w:t>
      </w:r>
      <w:r>
        <w:rPr>
          <w:spacing w:val="-17"/>
        </w:rPr>
        <w:t> </w:t>
      </w:r>
      <w:r>
        <w:rPr/>
        <w:t>rubros</w:t>
      </w:r>
      <w:r>
        <w:rPr>
          <w:spacing w:val="-15"/>
        </w:rPr>
        <w:t> </w:t>
      </w:r>
      <w:r>
        <w:rPr/>
        <w:t>de:</w:t>
      </w:r>
      <w:r>
        <w:rPr>
          <w:spacing w:val="-17"/>
        </w:rPr>
        <w:t> </w:t>
      </w:r>
      <w:r>
        <w:rPr/>
        <w:t>agua</w:t>
      </w:r>
      <w:r>
        <w:rPr>
          <w:spacing w:val="-16"/>
        </w:rPr>
        <w:t> </w:t>
      </w:r>
      <w:r>
        <w:rPr/>
        <w:t>potable</w:t>
      </w:r>
      <w:r>
        <w:rPr>
          <w:spacing w:val="-17"/>
        </w:rPr>
        <w:t> </w:t>
      </w:r>
      <w:r>
        <w:rPr/>
        <w:t>3.1%,</w:t>
      </w:r>
      <w:r>
        <w:rPr>
          <w:spacing w:val="-17"/>
        </w:rPr>
        <w:t> </w:t>
      </w:r>
      <w:r>
        <w:rPr/>
        <w:t>drenajes, letrinas y alcantarillado 22.0%; urbanización municipal 38.5%, electrificación rural 2.3%; infraestructura básica de salud 4.1; infraestructura básica educativa 5.8%; mejoramiento de vivienda 2.3%, caminos rurales 18.4%; desarrollo institucional 1.1% y gastos indirectos del</w:t>
      </w:r>
      <w:r>
        <w:rPr>
          <w:spacing w:val="-13"/>
        </w:rPr>
        <w:t> </w:t>
      </w:r>
      <w:r>
        <w:rPr/>
        <w:t>2.4%.</w:t>
      </w:r>
    </w:p>
    <w:p>
      <w:pPr>
        <w:pStyle w:val="BodyText"/>
        <w:spacing w:before="7"/>
      </w:pPr>
    </w:p>
    <w:p>
      <w:pPr>
        <w:pStyle w:val="BodyText"/>
        <w:spacing w:line="360" w:lineRule="auto"/>
        <w:ind w:left="102" w:right="116"/>
        <w:jc w:val="both"/>
      </w:pPr>
      <w:r>
        <w:rPr/>
        <w:t>En</w:t>
      </w:r>
      <w:r>
        <w:rPr>
          <w:spacing w:val="-6"/>
        </w:rPr>
        <w:t> </w:t>
      </w:r>
      <w:r>
        <w:rPr/>
        <w:t>San</w:t>
      </w:r>
      <w:r>
        <w:rPr>
          <w:spacing w:val="-8"/>
        </w:rPr>
        <w:t> </w:t>
      </w:r>
      <w:r>
        <w:rPr/>
        <w:t>Felipe</w:t>
      </w:r>
      <w:r>
        <w:rPr>
          <w:spacing w:val="-8"/>
        </w:rPr>
        <w:t> </w:t>
      </w:r>
      <w:r>
        <w:rPr/>
        <w:t>del</w:t>
      </w:r>
      <w:r>
        <w:rPr>
          <w:spacing w:val="-10"/>
        </w:rPr>
        <w:t> </w:t>
      </w:r>
      <w:r>
        <w:rPr/>
        <w:t>Progreso</w:t>
      </w:r>
      <w:r>
        <w:rPr>
          <w:spacing w:val="-6"/>
        </w:rPr>
        <w:t> </w:t>
      </w:r>
      <w:r>
        <w:rPr/>
        <w:t>para</w:t>
      </w:r>
      <w:r>
        <w:rPr>
          <w:spacing w:val="-9"/>
        </w:rPr>
        <w:t> </w:t>
      </w:r>
      <w:r>
        <w:rPr/>
        <w:t>el</w:t>
      </w:r>
      <w:r>
        <w:rPr>
          <w:spacing w:val="-7"/>
        </w:rPr>
        <w:t> </w:t>
      </w:r>
      <w:r>
        <w:rPr/>
        <w:t>2009</w:t>
      </w:r>
      <w:r>
        <w:rPr>
          <w:spacing w:val="-8"/>
        </w:rPr>
        <w:t> </w:t>
      </w:r>
      <w:r>
        <w:rPr/>
        <w:t>se</w:t>
      </w:r>
      <w:r>
        <w:rPr>
          <w:spacing w:val="-8"/>
        </w:rPr>
        <w:t> </w:t>
      </w:r>
      <w:r>
        <w:rPr/>
        <w:t>ejercieron</w:t>
      </w:r>
      <w:r>
        <w:rPr>
          <w:spacing w:val="-6"/>
        </w:rPr>
        <w:t> </w:t>
      </w:r>
      <w:r>
        <w:rPr/>
        <w:t>97,601.6</w:t>
      </w:r>
      <w:r>
        <w:rPr>
          <w:spacing w:val="-8"/>
        </w:rPr>
        <w:t> </w:t>
      </w:r>
      <w:r>
        <w:rPr/>
        <w:t>miles</w:t>
      </w:r>
      <w:r>
        <w:rPr>
          <w:spacing w:val="-7"/>
        </w:rPr>
        <w:t> </w:t>
      </w:r>
      <w:r>
        <w:rPr/>
        <w:t>de</w:t>
      </w:r>
      <w:r>
        <w:rPr>
          <w:spacing w:val="-8"/>
        </w:rPr>
        <w:t> </w:t>
      </w:r>
      <w:r>
        <w:rPr/>
        <w:t>pesos</w:t>
      </w:r>
      <w:r>
        <w:rPr>
          <w:spacing w:val="-7"/>
        </w:rPr>
        <w:t> </w:t>
      </w:r>
      <w:r>
        <w:rPr/>
        <w:t>que se aplicaron principalmente en urbanización municipal equivalente al 53.6%; en mejoramiento de vivienda 23.6%, electrificación rural 6.7%, infraestructura básica educativa 4.8%, drenajes y letrinas 2.5%, gastos indirectos 2.5%, infraestructura básica de salud 2.4%, agua potable 1.5%, caminos rurales 1.1% desarrollo institucional 0.8%, alcantarillado 0.1%, por otro lado aplicó recursos en rubros que no</w:t>
      </w:r>
      <w:r>
        <w:rPr>
          <w:spacing w:val="-5"/>
        </w:rPr>
        <w:t> </w:t>
      </w:r>
      <w:r>
        <w:rPr/>
        <w:t>se</w:t>
      </w:r>
      <w:r>
        <w:rPr>
          <w:spacing w:val="-5"/>
        </w:rPr>
        <w:t> </w:t>
      </w:r>
      <w:r>
        <w:rPr/>
        <w:t>encuentran</w:t>
      </w:r>
      <w:r>
        <w:rPr>
          <w:spacing w:val="-5"/>
        </w:rPr>
        <w:t> </w:t>
      </w:r>
      <w:r>
        <w:rPr/>
        <w:t>dentro</w:t>
      </w:r>
      <w:r>
        <w:rPr>
          <w:spacing w:val="-5"/>
        </w:rPr>
        <w:t> </w:t>
      </w:r>
      <w:r>
        <w:rPr/>
        <w:t>de</w:t>
      </w:r>
      <w:r>
        <w:rPr>
          <w:spacing w:val="-7"/>
        </w:rPr>
        <w:t> </w:t>
      </w:r>
      <w:r>
        <w:rPr/>
        <w:t>la</w:t>
      </w:r>
      <w:r>
        <w:rPr>
          <w:spacing w:val="-7"/>
        </w:rPr>
        <w:t> </w:t>
      </w:r>
      <w:r>
        <w:rPr/>
        <w:t>LCF</w:t>
      </w:r>
      <w:r>
        <w:rPr>
          <w:spacing w:val="-3"/>
        </w:rPr>
        <w:t> </w:t>
      </w:r>
      <w:r>
        <w:rPr/>
        <w:t>tales</w:t>
      </w:r>
      <w:r>
        <w:rPr>
          <w:spacing w:val="-7"/>
        </w:rPr>
        <w:t> </w:t>
      </w:r>
      <w:r>
        <w:rPr/>
        <w:t>como</w:t>
      </w:r>
      <w:r>
        <w:rPr>
          <w:spacing w:val="-5"/>
        </w:rPr>
        <w:t> </w:t>
      </w:r>
      <w:r>
        <w:rPr/>
        <w:t>arrendamiento</w:t>
      </w:r>
      <w:r>
        <w:rPr>
          <w:spacing w:val="-7"/>
        </w:rPr>
        <w:t> </w:t>
      </w:r>
      <w:r>
        <w:rPr/>
        <w:t>de</w:t>
      </w:r>
      <w:r>
        <w:rPr>
          <w:spacing w:val="-7"/>
        </w:rPr>
        <w:t> </w:t>
      </w:r>
      <w:r>
        <w:rPr/>
        <w:t>maquinaria</w:t>
      </w:r>
      <w:r>
        <w:rPr>
          <w:spacing w:val="-5"/>
        </w:rPr>
        <w:t> </w:t>
      </w:r>
      <w:r>
        <w:rPr/>
        <w:t>donde destino el</w:t>
      </w:r>
      <w:r>
        <w:rPr>
          <w:spacing w:val="-3"/>
        </w:rPr>
        <w:t> </w:t>
      </w:r>
      <w:r>
        <w:rPr/>
        <w:t>0.4%.</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El 30 de Septiembre de 2010 fue revisado el municipio de San José del Rincón ejerciendo para ese entonces un importe de 80,650.1 miles de pesos asignados</w:t>
      </w:r>
      <w:r>
        <w:rPr>
          <w:spacing w:val="-39"/>
        </w:rPr>
        <w:t> </w:t>
      </w:r>
      <w:r>
        <w:rPr/>
        <w:t>en agua potable con el 4.9%, alcantarillado 1.6%, urbanización municipal 10.1%, electrificación rural 7.5%, infraestructura básica de salud 0.6%, infraestructura básica</w:t>
      </w:r>
      <w:r>
        <w:rPr>
          <w:spacing w:val="-14"/>
        </w:rPr>
        <w:t> </w:t>
      </w:r>
      <w:r>
        <w:rPr/>
        <w:t>educativa</w:t>
      </w:r>
      <w:r>
        <w:rPr>
          <w:spacing w:val="-13"/>
        </w:rPr>
        <w:t> </w:t>
      </w:r>
      <w:r>
        <w:rPr/>
        <w:t>7.8%,</w:t>
      </w:r>
      <w:r>
        <w:rPr>
          <w:spacing w:val="-16"/>
        </w:rPr>
        <w:t> </w:t>
      </w:r>
      <w:r>
        <w:rPr/>
        <w:t>caminos</w:t>
      </w:r>
      <w:r>
        <w:rPr>
          <w:spacing w:val="-14"/>
        </w:rPr>
        <w:t> </w:t>
      </w:r>
      <w:r>
        <w:rPr/>
        <w:t>rurales</w:t>
      </w:r>
      <w:r>
        <w:rPr>
          <w:spacing w:val="-14"/>
        </w:rPr>
        <w:t> </w:t>
      </w:r>
      <w:r>
        <w:rPr/>
        <w:t>51.2%,</w:t>
      </w:r>
      <w:r>
        <w:rPr>
          <w:spacing w:val="-14"/>
        </w:rPr>
        <w:t> </w:t>
      </w:r>
      <w:r>
        <w:rPr/>
        <w:t>desarrollo</w:t>
      </w:r>
      <w:r>
        <w:rPr>
          <w:spacing w:val="-14"/>
        </w:rPr>
        <w:t> </w:t>
      </w:r>
      <w:r>
        <w:rPr/>
        <w:t>institucional</w:t>
      </w:r>
      <w:r>
        <w:rPr>
          <w:spacing w:val="-14"/>
        </w:rPr>
        <w:t> </w:t>
      </w:r>
      <w:r>
        <w:rPr/>
        <w:t>2.1%,</w:t>
      </w:r>
      <w:r>
        <w:rPr>
          <w:spacing w:val="-14"/>
        </w:rPr>
        <w:t> </w:t>
      </w:r>
      <w:r>
        <w:rPr/>
        <w:t>gastos indirectos</w:t>
      </w:r>
      <w:r>
        <w:rPr>
          <w:spacing w:val="-16"/>
        </w:rPr>
        <w:t> </w:t>
      </w:r>
      <w:r>
        <w:rPr/>
        <w:t>2.4%.</w:t>
      </w:r>
      <w:r>
        <w:rPr>
          <w:spacing w:val="-16"/>
        </w:rPr>
        <w:t> </w:t>
      </w:r>
      <w:r>
        <w:rPr/>
        <w:t>Por</w:t>
      </w:r>
      <w:r>
        <w:rPr>
          <w:spacing w:val="-17"/>
        </w:rPr>
        <w:t> </w:t>
      </w:r>
      <w:r>
        <w:rPr/>
        <w:t>otra</w:t>
      </w:r>
      <w:r>
        <w:rPr>
          <w:spacing w:val="-13"/>
        </w:rPr>
        <w:t> </w:t>
      </w:r>
      <w:r>
        <w:rPr/>
        <w:t>parte,</w:t>
      </w:r>
      <w:r>
        <w:rPr>
          <w:spacing w:val="-16"/>
        </w:rPr>
        <w:t> </w:t>
      </w:r>
      <w:r>
        <w:rPr/>
        <w:t>destino</w:t>
      </w:r>
      <w:r>
        <w:rPr>
          <w:spacing w:val="-15"/>
        </w:rPr>
        <w:t> </w:t>
      </w:r>
      <w:r>
        <w:rPr/>
        <w:t>el</w:t>
      </w:r>
      <w:r>
        <w:rPr>
          <w:spacing w:val="-17"/>
        </w:rPr>
        <w:t> </w:t>
      </w:r>
      <w:r>
        <w:rPr/>
        <w:t>11.8%</w:t>
      </w:r>
      <w:r>
        <w:rPr>
          <w:spacing w:val="-14"/>
        </w:rPr>
        <w:t> </w:t>
      </w:r>
      <w:r>
        <w:rPr/>
        <w:t>en</w:t>
      </w:r>
      <w:r>
        <w:rPr>
          <w:spacing w:val="-15"/>
        </w:rPr>
        <w:t> </w:t>
      </w:r>
      <w:r>
        <w:rPr/>
        <w:t>acciones</w:t>
      </w:r>
      <w:r>
        <w:rPr>
          <w:spacing w:val="-16"/>
        </w:rPr>
        <w:t> </w:t>
      </w:r>
      <w:r>
        <w:rPr/>
        <w:t>de</w:t>
      </w:r>
      <w:r>
        <w:rPr>
          <w:spacing w:val="-16"/>
        </w:rPr>
        <w:t> </w:t>
      </w:r>
      <w:r>
        <w:rPr/>
        <w:t>apoyo</w:t>
      </w:r>
      <w:r>
        <w:rPr>
          <w:spacing w:val="-13"/>
        </w:rPr>
        <w:t> </w:t>
      </w:r>
      <w:r>
        <w:rPr/>
        <w:t>a</w:t>
      </w:r>
      <w:r>
        <w:rPr>
          <w:spacing w:val="-15"/>
        </w:rPr>
        <w:t> </w:t>
      </w:r>
      <w:r>
        <w:rPr/>
        <w:t>la</w:t>
      </w:r>
      <w:r>
        <w:rPr>
          <w:spacing w:val="-16"/>
        </w:rPr>
        <w:t> </w:t>
      </w:r>
      <w:r>
        <w:rPr/>
        <w:t>vivienda.</w:t>
      </w:r>
    </w:p>
    <w:p>
      <w:pPr>
        <w:pStyle w:val="BodyText"/>
        <w:spacing w:before="7"/>
      </w:pPr>
    </w:p>
    <w:p>
      <w:pPr>
        <w:pStyle w:val="BodyText"/>
        <w:spacing w:line="360" w:lineRule="auto"/>
        <w:ind w:left="102" w:right="115"/>
        <w:jc w:val="both"/>
      </w:pPr>
      <w:r>
        <w:rPr/>
        <w:t>Finalmente Toluca es uno de los municipios que fueron auditados para el ejercicio 2009 por la ASF, éste municipio destinó exclusivamente financiamiento a obras de urbanización</w:t>
      </w:r>
      <w:r>
        <w:rPr>
          <w:spacing w:val="-8"/>
        </w:rPr>
        <w:t> </w:t>
      </w:r>
      <w:r>
        <w:rPr/>
        <w:t>municipal</w:t>
      </w:r>
      <w:r>
        <w:rPr>
          <w:spacing w:val="-10"/>
        </w:rPr>
        <w:t> </w:t>
      </w:r>
      <w:r>
        <w:rPr/>
        <w:t>y</w:t>
      </w:r>
      <w:r>
        <w:rPr>
          <w:spacing w:val="-9"/>
        </w:rPr>
        <w:t> </w:t>
      </w:r>
      <w:r>
        <w:rPr/>
        <w:t>de</w:t>
      </w:r>
      <w:r>
        <w:rPr>
          <w:spacing w:val="-8"/>
        </w:rPr>
        <w:t> </w:t>
      </w:r>
      <w:r>
        <w:rPr/>
        <w:t>mejoramiento</w:t>
      </w:r>
      <w:r>
        <w:rPr>
          <w:spacing w:val="-8"/>
        </w:rPr>
        <w:t> </w:t>
      </w:r>
      <w:r>
        <w:rPr/>
        <w:t>de</w:t>
      </w:r>
      <w:r>
        <w:rPr>
          <w:spacing w:val="-11"/>
        </w:rPr>
        <w:t> </w:t>
      </w:r>
      <w:r>
        <w:rPr/>
        <w:t>vivienda,</w:t>
      </w:r>
      <w:r>
        <w:rPr>
          <w:spacing w:val="-6"/>
        </w:rPr>
        <w:t> </w:t>
      </w:r>
      <w:r>
        <w:rPr/>
        <w:t>por</w:t>
      </w:r>
      <w:r>
        <w:rPr>
          <w:spacing w:val="-3"/>
        </w:rPr>
        <w:t> </w:t>
      </w:r>
      <w:r>
        <w:rPr/>
        <w:t>lo</w:t>
      </w:r>
      <w:r>
        <w:rPr>
          <w:spacing w:val="-9"/>
        </w:rPr>
        <w:t> </w:t>
      </w:r>
      <w:r>
        <w:rPr/>
        <w:t>que</w:t>
      </w:r>
      <w:r>
        <w:rPr>
          <w:spacing w:val="-8"/>
        </w:rPr>
        <w:t> </w:t>
      </w:r>
      <w:r>
        <w:rPr/>
        <w:t>el</w:t>
      </w:r>
      <w:r>
        <w:rPr>
          <w:spacing w:val="-10"/>
        </w:rPr>
        <w:t> </w:t>
      </w:r>
      <w:r>
        <w:rPr/>
        <w:t>75.2%</w:t>
      </w:r>
      <w:r>
        <w:rPr>
          <w:spacing w:val="-11"/>
        </w:rPr>
        <w:t> </w:t>
      </w:r>
      <w:r>
        <w:rPr/>
        <w:t>fue</w:t>
      </w:r>
      <w:r>
        <w:rPr>
          <w:spacing w:val="-8"/>
        </w:rPr>
        <w:t> </w:t>
      </w:r>
      <w:r>
        <w:rPr/>
        <w:t>para el primer rubro y el 24.6% para el mejoramiento de</w:t>
      </w:r>
      <w:r>
        <w:rPr>
          <w:spacing w:val="-23"/>
        </w:rPr>
        <w:t> </w:t>
      </w:r>
      <w:r>
        <w:rPr/>
        <w:t>vivienda.</w:t>
      </w:r>
    </w:p>
    <w:p>
      <w:pPr>
        <w:pStyle w:val="BodyText"/>
        <w:spacing w:before="10"/>
      </w:pPr>
    </w:p>
    <w:p>
      <w:pPr>
        <w:pStyle w:val="BodyText"/>
        <w:spacing w:line="360" w:lineRule="auto"/>
        <w:ind w:left="102" w:right="115"/>
        <w:jc w:val="both"/>
      </w:pPr>
      <w:r>
        <w:rPr/>
        <w:t>Para el 2010, fueron revisados los municipios de Almoloya de Juárez, Atizapán de Zaragoza,</w:t>
      </w:r>
      <w:r>
        <w:rPr>
          <w:spacing w:val="-7"/>
        </w:rPr>
        <w:t> </w:t>
      </w:r>
      <w:r>
        <w:rPr/>
        <w:t>Ecatepec</w:t>
      </w:r>
      <w:r>
        <w:rPr>
          <w:spacing w:val="-10"/>
        </w:rPr>
        <w:t> </w:t>
      </w:r>
      <w:r>
        <w:rPr/>
        <w:t>de</w:t>
      </w:r>
      <w:r>
        <w:rPr>
          <w:spacing w:val="-7"/>
        </w:rPr>
        <w:t> </w:t>
      </w:r>
      <w:r>
        <w:rPr/>
        <w:t>Morelos,</w:t>
      </w:r>
      <w:r>
        <w:rPr>
          <w:spacing w:val="-10"/>
        </w:rPr>
        <w:t> </w:t>
      </w:r>
      <w:r>
        <w:rPr/>
        <w:t>Jiquipilco,</w:t>
      </w:r>
      <w:r>
        <w:rPr>
          <w:spacing w:val="-9"/>
        </w:rPr>
        <w:t> </w:t>
      </w:r>
      <w:r>
        <w:rPr/>
        <w:t>Naucalpan</w:t>
      </w:r>
      <w:r>
        <w:rPr>
          <w:spacing w:val="-9"/>
        </w:rPr>
        <w:t> </w:t>
      </w:r>
      <w:r>
        <w:rPr/>
        <w:t>de</w:t>
      </w:r>
      <w:r>
        <w:rPr>
          <w:spacing w:val="-7"/>
        </w:rPr>
        <w:t> </w:t>
      </w:r>
      <w:r>
        <w:rPr/>
        <w:t>Juárez,</w:t>
      </w:r>
      <w:r>
        <w:rPr>
          <w:spacing w:val="-10"/>
        </w:rPr>
        <w:t> </w:t>
      </w:r>
      <w:r>
        <w:rPr/>
        <w:t>Nezahualcóyotl</w:t>
      </w:r>
      <w:r>
        <w:rPr>
          <w:spacing w:val="-8"/>
        </w:rPr>
        <w:t> </w:t>
      </w:r>
      <w:r>
        <w:rPr/>
        <w:t>y Toluca. Para cuestiones prácticas, trataremos a los municipios de Atizapán de Zaragoza,</w:t>
      </w:r>
      <w:r>
        <w:rPr>
          <w:spacing w:val="-7"/>
        </w:rPr>
        <w:t> </w:t>
      </w:r>
      <w:r>
        <w:rPr/>
        <w:t>Jiquipilco</w:t>
      </w:r>
      <w:r>
        <w:rPr>
          <w:spacing w:val="-7"/>
        </w:rPr>
        <w:t> </w:t>
      </w:r>
      <w:r>
        <w:rPr/>
        <w:t>y</w:t>
      </w:r>
      <w:r>
        <w:rPr>
          <w:spacing w:val="-8"/>
        </w:rPr>
        <w:t> </w:t>
      </w:r>
      <w:r>
        <w:rPr/>
        <w:t>Naucalpan</w:t>
      </w:r>
      <w:r>
        <w:rPr>
          <w:spacing w:val="-9"/>
        </w:rPr>
        <w:t> </w:t>
      </w:r>
      <w:r>
        <w:rPr/>
        <w:t>de</w:t>
      </w:r>
      <w:r>
        <w:rPr>
          <w:spacing w:val="-7"/>
        </w:rPr>
        <w:t> </w:t>
      </w:r>
      <w:r>
        <w:rPr/>
        <w:t>Juárez,</w:t>
      </w:r>
      <w:r>
        <w:rPr>
          <w:spacing w:val="-10"/>
        </w:rPr>
        <w:t> </w:t>
      </w:r>
      <w:r>
        <w:rPr/>
        <w:t>ya</w:t>
      </w:r>
      <w:r>
        <w:rPr>
          <w:spacing w:val="-7"/>
        </w:rPr>
        <w:t> </w:t>
      </w:r>
      <w:r>
        <w:rPr/>
        <w:t>que</w:t>
      </w:r>
      <w:r>
        <w:rPr>
          <w:spacing w:val="-7"/>
        </w:rPr>
        <w:t> </w:t>
      </w:r>
      <w:r>
        <w:rPr/>
        <w:t>estos</w:t>
      </w:r>
      <w:r>
        <w:rPr>
          <w:spacing w:val="-5"/>
        </w:rPr>
        <w:t> </w:t>
      </w:r>
      <w:r>
        <w:rPr/>
        <w:t>no</w:t>
      </w:r>
      <w:r>
        <w:rPr>
          <w:spacing w:val="-9"/>
        </w:rPr>
        <w:t> </w:t>
      </w:r>
      <w:r>
        <w:rPr/>
        <w:t>habían</w:t>
      </w:r>
      <w:r>
        <w:rPr>
          <w:spacing w:val="-5"/>
        </w:rPr>
        <w:t> </w:t>
      </w:r>
      <w:r>
        <w:rPr/>
        <w:t>sido</w:t>
      </w:r>
      <w:r>
        <w:rPr>
          <w:spacing w:val="-9"/>
        </w:rPr>
        <w:t> </w:t>
      </w:r>
      <w:r>
        <w:rPr/>
        <w:t>auditados en los años</w:t>
      </w:r>
      <w:r>
        <w:rPr>
          <w:spacing w:val="-8"/>
        </w:rPr>
        <w:t> </w:t>
      </w:r>
      <w:r>
        <w:rPr/>
        <w:t>anteriores.</w:t>
      </w:r>
    </w:p>
    <w:p>
      <w:pPr>
        <w:pStyle w:val="BodyText"/>
        <w:spacing w:before="8"/>
      </w:pPr>
    </w:p>
    <w:p>
      <w:pPr>
        <w:pStyle w:val="BodyText"/>
        <w:spacing w:line="360" w:lineRule="auto"/>
        <w:ind w:left="102" w:right="125"/>
        <w:jc w:val="both"/>
      </w:pPr>
      <w:r>
        <w:rPr/>
        <w:t>Atizapán de Zaragoza aplicó los recursos del fondo principalmente en rubros de infraestructura básica educativa con el 12.5%; infraestructura básica de salud, el 7.9%, y otros gastos, el 48.8% de la inversión total.</w:t>
      </w:r>
    </w:p>
    <w:p>
      <w:pPr>
        <w:pStyle w:val="BodyText"/>
        <w:spacing w:before="7"/>
      </w:pPr>
    </w:p>
    <w:p>
      <w:pPr>
        <w:pStyle w:val="BodyText"/>
        <w:spacing w:line="360" w:lineRule="auto"/>
        <w:ind w:left="102" w:right="115"/>
        <w:jc w:val="both"/>
      </w:pPr>
      <w:r>
        <w:rPr/>
        <w:t>En Jiquipilco los recursos fueron destinados en agua potable con el 2.3%; drenaje y</w:t>
      </w:r>
      <w:r>
        <w:rPr>
          <w:spacing w:val="-13"/>
        </w:rPr>
        <w:t> </w:t>
      </w:r>
      <w:r>
        <w:rPr/>
        <w:t>letrinas</w:t>
      </w:r>
      <w:r>
        <w:rPr>
          <w:spacing w:val="-10"/>
        </w:rPr>
        <w:t> </w:t>
      </w:r>
      <w:r>
        <w:rPr/>
        <w:t>16.0%;</w:t>
      </w:r>
      <w:r>
        <w:rPr>
          <w:spacing w:val="-12"/>
        </w:rPr>
        <w:t> </w:t>
      </w:r>
      <w:r>
        <w:rPr/>
        <w:t>urbanización</w:t>
      </w:r>
      <w:r>
        <w:rPr>
          <w:spacing w:val="-10"/>
        </w:rPr>
        <w:t> </w:t>
      </w:r>
      <w:r>
        <w:rPr/>
        <w:t>municipal</w:t>
      </w:r>
      <w:r>
        <w:rPr>
          <w:spacing w:val="-11"/>
        </w:rPr>
        <w:t> </w:t>
      </w:r>
      <w:r>
        <w:rPr/>
        <w:t>63.2%;</w:t>
      </w:r>
      <w:r>
        <w:rPr>
          <w:spacing w:val="-10"/>
        </w:rPr>
        <w:t> </w:t>
      </w:r>
      <w:r>
        <w:rPr/>
        <w:t>electrificación</w:t>
      </w:r>
      <w:r>
        <w:rPr>
          <w:spacing w:val="-10"/>
        </w:rPr>
        <w:t> </w:t>
      </w:r>
      <w:r>
        <w:rPr/>
        <w:t>0.7%;</w:t>
      </w:r>
      <w:r>
        <w:rPr>
          <w:spacing w:val="-10"/>
        </w:rPr>
        <w:t> </w:t>
      </w:r>
      <w:r>
        <w:rPr/>
        <w:t>infraestructura básica educativa 5.4%; mejoramiento a la vivienda 1.4%; caminos rurales 6.2%; gastos indirectos 6.2% y desarrollo institucional</w:t>
      </w:r>
      <w:r>
        <w:rPr>
          <w:spacing w:val="-13"/>
        </w:rPr>
        <w:t> </w:t>
      </w:r>
      <w:r>
        <w:rPr/>
        <w:t>2.1%.</w:t>
      </w:r>
    </w:p>
    <w:p>
      <w:pPr>
        <w:pStyle w:val="BodyText"/>
        <w:spacing w:before="8"/>
      </w:pPr>
    </w:p>
    <w:p>
      <w:pPr>
        <w:pStyle w:val="BodyText"/>
        <w:spacing w:line="360" w:lineRule="auto"/>
        <w:ind w:left="102" w:right="122"/>
        <w:jc w:val="both"/>
      </w:pPr>
      <w:r>
        <w:rPr/>
        <w:t>Para Naucalpan de Juárez la prioridad fue la urbanización municipal con el 39.2% infraestructura básica de educación del 24.0% y los gastos indirectos del 1.5%; el resto fueron recursos sin ejercer del 35.3%.</w:t>
      </w:r>
    </w:p>
    <w:p>
      <w:pPr>
        <w:pStyle w:val="BodyText"/>
        <w:spacing w:before="10"/>
      </w:pPr>
    </w:p>
    <w:p>
      <w:pPr>
        <w:pStyle w:val="BodyText"/>
        <w:spacing w:line="360" w:lineRule="auto"/>
        <w:ind w:left="102" w:right="119"/>
        <w:jc w:val="both"/>
      </w:pPr>
      <w:r>
        <w:rPr/>
        <w:t>Para</w:t>
      </w:r>
      <w:r>
        <w:rPr>
          <w:spacing w:val="-15"/>
        </w:rPr>
        <w:t> </w:t>
      </w:r>
      <w:r>
        <w:rPr/>
        <w:t>cuestiones</w:t>
      </w:r>
      <w:r>
        <w:rPr>
          <w:spacing w:val="-15"/>
        </w:rPr>
        <w:t> </w:t>
      </w:r>
      <w:r>
        <w:rPr/>
        <w:t>prácticas</w:t>
      </w:r>
      <w:r>
        <w:rPr>
          <w:spacing w:val="-15"/>
        </w:rPr>
        <w:t> </w:t>
      </w:r>
      <w:r>
        <w:rPr/>
        <w:t>de</w:t>
      </w:r>
      <w:r>
        <w:rPr>
          <w:spacing w:val="-14"/>
        </w:rPr>
        <w:t> </w:t>
      </w:r>
      <w:r>
        <w:rPr/>
        <w:t>los</w:t>
      </w:r>
      <w:r>
        <w:rPr>
          <w:spacing w:val="-16"/>
        </w:rPr>
        <w:t> </w:t>
      </w:r>
      <w:r>
        <w:rPr/>
        <w:t>municipios</w:t>
      </w:r>
      <w:r>
        <w:rPr>
          <w:spacing w:val="-16"/>
        </w:rPr>
        <w:t> </w:t>
      </w:r>
      <w:r>
        <w:rPr/>
        <w:t>auditados</w:t>
      </w:r>
      <w:r>
        <w:rPr>
          <w:spacing w:val="-15"/>
        </w:rPr>
        <w:t> </w:t>
      </w:r>
      <w:r>
        <w:rPr/>
        <w:t>en</w:t>
      </w:r>
      <w:r>
        <w:rPr>
          <w:spacing w:val="-14"/>
        </w:rPr>
        <w:t> </w:t>
      </w:r>
      <w:r>
        <w:rPr/>
        <w:t>el</w:t>
      </w:r>
      <w:r>
        <w:rPr>
          <w:spacing w:val="-15"/>
        </w:rPr>
        <w:t> </w:t>
      </w:r>
      <w:r>
        <w:rPr/>
        <w:t>ejercicio</w:t>
      </w:r>
      <w:r>
        <w:rPr>
          <w:spacing w:val="-14"/>
        </w:rPr>
        <w:t> </w:t>
      </w:r>
      <w:r>
        <w:rPr/>
        <w:t>fiscal</w:t>
      </w:r>
      <w:r>
        <w:rPr>
          <w:spacing w:val="-16"/>
        </w:rPr>
        <w:t> </w:t>
      </w:r>
      <w:r>
        <w:rPr/>
        <w:t>2011</w:t>
      </w:r>
      <w:r>
        <w:rPr>
          <w:spacing w:val="-14"/>
        </w:rPr>
        <w:t> </w:t>
      </w:r>
      <w:r>
        <w:rPr/>
        <w:t>que fueron Almoloya de Alquisiras,  Chimalhuacán,  Ixtlahuaca,  Naucalpan de </w:t>
      </w:r>
      <w:r>
        <w:rPr>
          <w:spacing w:val="8"/>
        </w:rPr>
        <w:t> </w:t>
      </w:r>
      <w:r>
        <w:rPr/>
        <w:t>Juárez,</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Sultepec y Zacualpan, se toman en cuenta los que no se revisaron en años anteriores del lapso de la presente investigación. Y estos son: Almoloya de Alquisiras, Sultepec y Zacualpan.</w:t>
      </w:r>
    </w:p>
    <w:p>
      <w:pPr>
        <w:pStyle w:val="BodyText"/>
        <w:spacing w:before="10"/>
      </w:pPr>
    </w:p>
    <w:p>
      <w:pPr>
        <w:pStyle w:val="BodyText"/>
        <w:spacing w:line="360" w:lineRule="auto"/>
        <w:ind w:left="102" w:right="116"/>
        <w:jc w:val="both"/>
      </w:pPr>
      <w:r>
        <w:rPr/>
        <w:t>El 31 de julio de 2012 el municipio de Almoloya de Alquisiras reportó recursos ejercidos del FISM 2011 de 12,409.0 miles de pesos distribuidos en: agua  potable</w:t>
      </w:r>
    </w:p>
    <w:p>
      <w:pPr>
        <w:pStyle w:val="ListParagraph"/>
        <w:numPr>
          <w:ilvl w:val="1"/>
          <w:numId w:val="54"/>
        </w:numPr>
        <w:tabs>
          <w:tab w:pos="608" w:val="left" w:leader="none"/>
        </w:tabs>
        <w:spacing w:line="360" w:lineRule="auto" w:before="5" w:after="0"/>
        <w:ind w:left="102" w:right="115" w:firstLine="0"/>
        <w:jc w:val="both"/>
        <w:rPr>
          <w:sz w:val="24"/>
        </w:rPr>
      </w:pPr>
      <w:r>
        <w:rPr>
          <w:sz w:val="24"/>
        </w:rPr>
        <w:t>%; alcantarillado, drenaje y letrinas 5.5%; urbanización municipal 46.9; infraestructura básica educativa 5.2%; mejoramiento de viviendas 12.1%; caminos rurales 7.9%; infraestructura productiva rural 15.6%; gastos indirectos 2.8% y desarrollo institucional con el</w:t>
      </w:r>
      <w:r>
        <w:rPr>
          <w:spacing w:val="-13"/>
          <w:sz w:val="24"/>
        </w:rPr>
        <w:t> </w:t>
      </w:r>
      <w:r>
        <w:rPr>
          <w:sz w:val="24"/>
        </w:rPr>
        <w:t>1.9%.</w:t>
      </w:r>
    </w:p>
    <w:p>
      <w:pPr>
        <w:pStyle w:val="BodyText"/>
        <w:spacing w:before="7"/>
      </w:pPr>
    </w:p>
    <w:p>
      <w:pPr>
        <w:pStyle w:val="BodyText"/>
        <w:spacing w:line="360" w:lineRule="auto"/>
        <w:ind w:left="102" w:right="115"/>
        <w:jc w:val="both"/>
      </w:pPr>
      <w:r>
        <w:rPr/>
        <w:t>Sultepec</w:t>
      </w:r>
      <w:r>
        <w:rPr>
          <w:spacing w:val="-4"/>
        </w:rPr>
        <w:t> </w:t>
      </w:r>
      <w:r>
        <w:rPr/>
        <w:t>ejerció</w:t>
      </w:r>
      <w:r>
        <w:rPr>
          <w:spacing w:val="-2"/>
        </w:rPr>
        <w:t> </w:t>
      </w:r>
      <w:r>
        <w:rPr/>
        <w:t>de</w:t>
      </w:r>
      <w:r>
        <w:rPr>
          <w:spacing w:val="-4"/>
        </w:rPr>
        <w:t> </w:t>
      </w:r>
      <w:r>
        <w:rPr/>
        <w:t>los</w:t>
      </w:r>
      <w:r>
        <w:rPr>
          <w:spacing w:val="-6"/>
        </w:rPr>
        <w:t> </w:t>
      </w:r>
      <w:r>
        <w:rPr/>
        <w:t>46,</w:t>
      </w:r>
      <w:r>
        <w:rPr>
          <w:spacing w:val="-4"/>
        </w:rPr>
        <w:t> </w:t>
      </w:r>
      <w:r>
        <w:rPr/>
        <w:t>974.5</w:t>
      </w:r>
      <w:r>
        <w:rPr>
          <w:spacing w:val="-6"/>
        </w:rPr>
        <w:t> </w:t>
      </w:r>
      <w:r>
        <w:rPr/>
        <w:t>miles</w:t>
      </w:r>
      <w:r>
        <w:rPr>
          <w:spacing w:val="-4"/>
        </w:rPr>
        <w:t> </w:t>
      </w:r>
      <w:r>
        <w:rPr/>
        <w:t>de</w:t>
      </w:r>
      <w:r>
        <w:rPr>
          <w:spacing w:val="-6"/>
        </w:rPr>
        <w:t> </w:t>
      </w:r>
      <w:r>
        <w:rPr/>
        <w:t>pesos</w:t>
      </w:r>
      <w:r>
        <w:rPr>
          <w:spacing w:val="-4"/>
        </w:rPr>
        <w:t> </w:t>
      </w:r>
      <w:r>
        <w:rPr/>
        <w:t>ministrados</w:t>
      </w:r>
      <w:r>
        <w:rPr>
          <w:spacing w:val="-4"/>
        </w:rPr>
        <w:t> </w:t>
      </w:r>
      <w:r>
        <w:rPr/>
        <w:t>a</w:t>
      </w:r>
      <w:r>
        <w:rPr>
          <w:spacing w:val="-4"/>
        </w:rPr>
        <w:t> </w:t>
      </w:r>
      <w:r>
        <w:rPr/>
        <w:t>esté</w:t>
      </w:r>
      <w:r>
        <w:rPr>
          <w:spacing w:val="-6"/>
        </w:rPr>
        <w:t> </w:t>
      </w:r>
      <w:r>
        <w:rPr/>
        <w:t>ente</w:t>
      </w:r>
      <w:r>
        <w:rPr>
          <w:spacing w:val="-6"/>
        </w:rPr>
        <w:t> </w:t>
      </w:r>
      <w:r>
        <w:rPr/>
        <w:t>público</w:t>
      </w:r>
      <w:r>
        <w:rPr>
          <w:spacing w:val="-4"/>
        </w:rPr>
        <w:t> </w:t>
      </w:r>
      <w:r>
        <w:rPr/>
        <w:t>en rubros como: agua potable con el 5.1%; alcantarillado, drenaje y letrinas 5.5%; urbanización municipal 25.8%; electrificación rural 1.9%; infraestructura básica de salud 0.8%; infraestructura básica educativa 7.7%; mejoramiento de viviendas 10.8%; caminos rurales 20.4%. De manera complementaria, este municipio ejerció el 22% en obras y acciones no comprendidas en los rubros previstos por la Ley de Coordinación</w:t>
      </w:r>
      <w:r>
        <w:rPr>
          <w:spacing w:val="-2"/>
        </w:rPr>
        <w:t> </w:t>
      </w:r>
      <w:r>
        <w:rPr/>
        <w:t>Fiscal.</w:t>
      </w:r>
    </w:p>
    <w:p>
      <w:pPr>
        <w:pStyle w:val="BodyText"/>
        <w:spacing w:before="7"/>
      </w:pPr>
    </w:p>
    <w:p>
      <w:pPr>
        <w:pStyle w:val="BodyText"/>
        <w:spacing w:line="360" w:lineRule="auto"/>
        <w:ind w:left="102" w:right="115"/>
        <w:jc w:val="both"/>
      </w:pPr>
      <w:r>
        <w:rPr/>
        <w:t>En Zacualpan al 31 de diciembre de 2011 ejerció 11,042 miles de pesos y al 31 de Julio de 2012 fue de 17, 290.7 miles de pesos, montos que representaron el</w:t>
      </w:r>
      <w:r>
        <w:rPr>
          <w:spacing w:val="-34"/>
        </w:rPr>
        <w:t> </w:t>
      </w:r>
      <w:r>
        <w:rPr/>
        <w:t>63.0% y el 98.6% respectivamente. Principalmente este destino recursos al rubro de urbanización municipal que representa el 51.9%, otro dato importante es que el 8.5%</w:t>
      </w:r>
      <w:r>
        <w:rPr>
          <w:spacing w:val="-7"/>
        </w:rPr>
        <w:t> </w:t>
      </w:r>
      <w:r>
        <w:rPr/>
        <w:t>se</w:t>
      </w:r>
      <w:r>
        <w:rPr>
          <w:spacing w:val="-6"/>
        </w:rPr>
        <w:t> </w:t>
      </w:r>
      <w:r>
        <w:rPr/>
        <w:t>aplicó</w:t>
      </w:r>
      <w:r>
        <w:rPr>
          <w:spacing w:val="-6"/>
        </w:rPr>
        <w:t> </w:t>
      </w:r>
      <w:r>
        <w:rPr/>
        <w:t>en</w:t>
      </w:r>
      <w:r>
        <w:rPr>
          <w:spacing w:val="-6"/>
        </w:rPr>
        <w:t> </w:t>
      </w:r>
      <w:r>
        <w:rPr/>
        <w:t>obras</w:t>
      </w:r>
      <w:r>
        <w:rPr>
          <w:spacing w:val="-7"/>
        </w:rPr>
        <w:t> </w:t>
      </w:r>
      <w:r>
        <w:rPr/>
        <w:t>y</w:t>
      </w:r>
      <w:r>
        <w:rPr>
          <w:spacing w:val="-9"/>
        </w:rPr>
        <w:t> </w:t>
      </w:r>
      <w:r>
        <w:rPr/>
        <w:t>acciones</w:t>
      </w:r>
      <w:r>
        <w:rPr>
          <w:spacing w:val="-7"/>
        </w:rPr>
        <w:t> </w:t>
      </w:r>
      <w:r>
        <w:rPr/>
        <w:t>que</w:t>
      </w:r>
      <w:r>
        <w:rPr>
          <w:spacing w:val="-8"/>
        </w:rPr>
        <w:t> </w:t>
      </w:r>
      <w:r>
        <w:rPr/>
        <w:t>no</w:t>
      </w:r>
      <w:r>
        <w:rPr>
          <w:spacing w:val="-5"/>
        </w:rPr>
        <w:t> </w:t>
      </w:r>
      <w:r>
        <w:rPr/>
        <w:t>están</w:t>
      </w:r>
      <w:r>
        <w:rPr>
          <w:spacing w:val="-5"/>
        </w:rPr>
        <w:t> </w:t>
      </w:r>
      <w:r>
        <w:rPr/>
        <w:t>comprendidas</w:t>
      </w:r>
      <w:r>
        <w:rPr>
          <w:spacing w:val="-9"/>
        </w:rPr>
        <w:t> </w:t>
      </w:r>
      <w:r>
        <w:rPr/>
        <w:t>dentro</w:t>
      </w:r>
      <w:r>
        <w:rPr>
          <w:spacing w:val="-7"/>
        </w:rPr>
        <w:t> </w:t>
      </w:r>
      <w:r>
        <w:rPr/>
        <w:t>de</w:t>
      </w:r>
      <w:r>
        <w:rPr>
          <w:spacing w:val="-6"/>
        </w:rPr>
        <w:t> </w:t>
      </w:r>
      <w:r>
        <w:rPr/>
        <w:t>la</w:t>
      </w:r>
      <w:r>
        <w:rPr>
          <w:spacing w:val="-6"/>
        </w:rPr>
        <w:t> </w:t>
      </w:r>
      <w:r>
        <w:rPr/>
        <w:t>Ley</w:t>
      </w:r>
      <w:r>
        <w:rPr>
          <w:spacing w:val="-9"/>
        </w:rPr>
        <w:t> </w:t>
      </w:r>
      <w:r>
        <w:rPr/>
        <w:t>de Coordinación</w:t>
      </w:r>
      <w:r>
        <w:rPr>
          <w:spacing w:val="-2"/>
        </w:rPr>
        <w:t> </w:t>
      </w:r>
      <w:r>
        <w:rPr/>
        <w:t>Fiscal.</w:t>
      </w:r>
    </w:p>
    <w:p>
      <w:pPr>
        <w:pStyle w:val="BodyText"/>
        <w:spacing w:before="8"/>
      </w:pPr>
    </w:p>
    <w:p>
      <w:pPr>
        <w:pStyle w:val="BodyText"/>
        <w:spacing w:line="360" w:lineRule="auto"/>
        <w:ind w:left="102" w:right="115"/>
        <w:jc w:val="both"/>
      </w:pPr>
      <w:r>
        <w:rPr/>
        <w:t>En el año 2012 Atizapán de Zaragoza, Cuautitlán Izcalli, Ecatepec de Morelos, Huixquilucan,</w:t>
      </w:r>
      <w:r>
        <w:rPr>
          <w:spacing w:val="-7"/>
        </w:rPr>
        <w:t> </w:t>
      </w:r>
      <w:r>
        <w:rPr/>
        <w:t>Naucalpan</w:t>
      </w:r>
      <w:r>
        <w:rPr>
          <w:spacing w:val="-7"/>
        </w:rPr>
        <w:t> </w:t>
      </w:r>
      <w:r>
        <w:rPr/>
        <w:t>de</w:t>
      </w:r>
      <w:r>
        <w:rPr>
          <w:spacing w:val="-7"/>
        </w:rPr>
        <w:t> </w:t>
      </w:r>
      <w:r>
        <w:rPr/>
        <w:t>Juárez,</w:t>
      </w:r>
      <w:r>
        <w:rPr>
          <w:spacing w:val="-7"/>
        </w:rPr>
        <w:t> </w:t>
      </w:r>
      <w:r>
        <w:rPr/>
        <w:t>San</w:t>
      </w:r>
      <w:r>
        <w:rPr>
          <w:spacing w:val="-7"/>
        </w:rPr>
        <w:t> </w:t>
      </w:r>
      <w:r>
        <w:rPr/>
        <w:t>Felipe</w:t>
      </w:r>
      <w:r>
        <w:rPr>
          <w:spacing w:val="-7"/>
        </w:rPr>
        <w:t> </w:t>
      </w:r>
      <w:r>
        <w:rPr/>
        <w:t>del</w:t>
      </w:r>
      <w:r>
        <w:rPr>
          <w:spacing w:val="-8"/>
        </w:rPr>
        <w:t> </w:t>
      </w:r>
      <w:r>
        <w:rPr/>
        <w:t>Progreso,</w:t>
      </w:r>
      <w:r>
        <w:rPr>
          <w:spacing w:val="-7"/>
        </w:rPr>
        <w:t> </w:t>
      </w:r>
      <w:r>
        <w:rPr/>
        <w:t>San</w:t>
      </w:r>
      <w:r>
        <w:rPr>
          <w:spacing w:val="-7"/>
        </w:rPr>
        <w:t> </w:t>
      </w:r>
      <w:r>
        <w:rPr/>
        <w:t>José</w:t>
      </w:r>
      <w:r>
        <w:rPr>
          <w:spacing w:val="-7"/>
        </w:rPr>
        <w:t> </w:t>
      </w:r>
      <w:r>
        <w:rPr/>
        <w:t>del</w:t>
      </w:r>
      <w:r>
        <w:rPr>
          <w:spacing w:val="-8"/>
        </w:rPr>
        <w:t> </w:t>
      </w:r>
      <w:r>
        <w:rPr/>
        <w:t>Rincón, Tejupilco,</w:t>
      </w:r>
      <w:r>
        <w:rPr>
          <w:spacing w:val="-13"/>
        </w:rPr>
        <w:t> </w:t>
      </w:r>
      <w:r>
        <w:rPr/>
        <w:t>Tlalnepantla</w:t>
      </w:r>
      <w:r>
        <w:rPr>
          <w:spacing w:val="-13"/>
        </w:rPr>
        <w:t> </w:t>
      </w:r>
      <w:r>
        <w:rPr/>
        <w:t>de</w:t>
      </w:r>
      <w:r>
        <w:rPr>
          <w:spacing w:val="-11"/>
        </w:rPr>
        <w:t> </w:t>
      </w:r>
      <w:r>
        <w:rPr/>
        <w:t>Baz.</w:t>
      </w:r>
      <w:r>
        <w:rPr>
          <w:spacing w:val="-8"/>
        </w:rPr>
        <w:t> </w:t>
      </w:r>
      <w:r>
        <w:rPr/>
        <w:t>Continuando</w:t>
      </w:r>
      <w:r>
        <w:rPr>
          <w:spacing w:val="-9"/>
        </w:rPr>
        <w:t> </w:t>
      </w:r>
      <w:r>
        <w:rPr/>
        <w:t>con</w:t>
      </w:r>
      <w:r>
        <w:rPr>
          <w:spacing w:val="-11"/>
        </w:rPr>
        <w:t> </w:t>
      </w:r>
      <w:r>
        <w:rPr/>
        <w:t>la</w:t>
      </w:r>
      <w:r>
        <w:rPr>
          <w:spacing w:val="-13"/>
        </w:rPr>
        <w:t> </w:t>
      </w:r>
      <w:r>
        <w:rPr/>
        <w:t>misma</w:t>
      </w:r>
      <w:r>
        <w:rPr>
          <w:spacing w:val="-11"/>
        </w:rPr>
        <w:t> </w:t>
      </w:r>
      <w:r>
        <w:rPr/>
        <w:t>dinámica</w:t>
      </w:r>
      <w:r>
        <w:rPr>
          <w:spacing w:val="-13"/>
        </w:rPr>
        <w:t> </w:t>
      </w:r>
      <w:r>
        <w:rPr/>
        <w:t>aludir</w:t>
      </w:r>
      <w:r>
        <w:rPr>
          <w:spacing w:val="-13"/>
        </w:rPr>
        <w:t> </w:t>
      </w:r>
      <w:r>
        <w:rPr/>
        <w:t>sólo</w:t>
      </w:r>
      <w:r>
        <w:rPr>
          <w:spacing w:val="-13"/>
        </w:rPr>
        <w:t> </w:t>
      </w:r>
      <w:r>
        <w:rPr/>
        <w:t>a</w:t>
      </w:r>
      <w:r>
        <w:rPr>
          <w:spacing w:val="-11"/>
        </w:rPr>
        <w:t> </w:t>
      </w:r>
      <w:r>
        <w:rPr/>
        <w:t>los municipios</w:t>
      </w:r>
      <w:r>
        <w:rPr>
          <w:spacing w:val="-12"/>
        </w:rPr>
        <w:t> </w:t>
      </w:r>
      <w:r>
        <w:rPr/>
        <w:t>que</w:t>
      </w:r>
      <w:r>
        <w:rPr>
          <w:spacing w:val="-14"/>
        </w:rPr>
        <w:t> </w:t>
      </w:r>
      <w:r>
        <w:rPr/>
        <w:t>no</w:t>
      </w:r>
      <w:r>
        <w:rPr>
          <w:spacing w:val="-14"/>
        </w:rPr>
        <w:t> </w:t>
      </w:r>
      <w:r>
        <w:rPr/>
        <w:t>hayan</w:t>
      </w:r>
      <w:r>
        <w:rPr>
          <w:spacing w:val="-12"/>
        </w:rPr>
        <w:t> </w:t>
      </w:r>
      <w:r>
        <w:rPr/>
        <w:t>sido</w:t>
      </w:r>
      <w:r>
        <w:rPr>
          <w:spacing w:val="-14"/>
        </w:rPr>
        <w:t> </w:t>
      </w:r>
      <w:r>
        <w:rPr/>
        <w:t>auditados</w:t>
      </w:r>
      <w:r>
        <w:rPr>
          <w:spacing w:val="-15"/>
        </w:rPr>
        <w:t> </w:t>
      </w:r>
      <w:r>
        <w:rPr/>
        <w:t>en</w:t>
      </w:r>
      <w:r>
        <w:rPr>
          <w:spacing w:val="-14"/>
        </w:rPr>
        <w:t> </w:t>
      </w:r>
      <w:r>
        <w:rPr/>
        <w:t>ejercicios</w:t>
      </w:r>
      <w:r>
        <w:rPr>
          <w:spacing w:val="-12"/>
        </w:rPr>
        <w:t> </w:t>
      </w:r>
      <w:r>
        <w:rPr/>
        <w:t>anteriores,</w:t>
      </w:r>
      <w:r>
        <w:rPr>
          <w:spacing w:val="-9"/>
        </w:rPr>
        <w:t> </w:t>
      </w:r>
      <w:r>
        <w:rPr/>
        <w:t>se</w:t>
      </w:r>
      <w:r>
        <w:rPr>
          <w:spacing w:val="-16"/>
        </w:rPr>
        <w:t> </w:t>
      </w:r>
      <w:r>
        <w:rPr/>
        <w:t>observa</w:t>
      </w:r>
      <w:r>
        <w:rPr>
          <w:spacing w:val="-10"/>
        </w:rPr>
        <w:t> </w:t>
      </w:r>
      <w:r>
        <w:rPr/>
        <w:t>en</w:t>
      </w:r>
      <w:r>
        <w:rPr>
          <w:spacing w:val="-14"/>
        </w:rPr>
        <w:t> </w:t>
      </w:r>
      <w:r>
        <w:rPr/>
        <w:t>esta ocasión a Cuautitlán Izcalli, Huixquilucan, Tejupilco y Tlalnepantla de Baz. Para el caso de Cuautitlán Izcalli principalmente destinó recursos al rubro de urbanización municipal</w:t>
      </w:r>
      <w:r>
        <w:rPr>
          <w:spacing w:val="-14"/>
        </w:rPr>
        <w:t> </w:t>
      </w:r>
      <w:r>
        <w:rPr/>
        <w:t>que</w:t>
      </w:r>
      <w:r>
        <w:rPr>
          <w:spacing w:val="-13"/>
        </w:rPr>
        <w:t> </w:t>
      </w:r>
      <w:r>
        <w:rPr/>
        <w:t>equivale</w:t>
      </w:r>
      <w:r>
        <w:rPr>
          <w:spacing w:val="-13"/>
        </w:rPr>
        <w:t> </w:t>
      </w:r>
      <w:r>
        <w:rPr/>
        <w:t>al</w:t>
      </w:r>
      <w:r>
        <w:rPr>
          <w:spacing w:val="-14"/>
        </w:rPr>
        <w:t> </w:t>
      </w:r>
      <w:r>
        <w:rPr/>
        <w:t>46.9%</w:t>
      </w:r>
      <w:r>
        <w:rPr>
          <w:spacing w:val="-14"/>
        </w:rPr>
        <w:t> </w:t>
      </w:r>
      <w:r>
        <w:rPr/>
        <w:t>de</w:t>
      </w:r>
      <w:r>
        <w:rPr>
          <w:spacing w:val="-13"/>
        </w:rPr>
        <w:t> </w:t>
      </w:r>
      <w:r>
        <w:rPr/>
        <w:t>los</w:t>
      </w:r>
      <w:r>
        <w:rPr>
          <w:spacing w:val="-16"/>
        </w:rPr>
        <w:t> </w:t>
      </w:r>
      <w:r>
        <w:rPr/>
        <w:t>dineros</w:t>
      </w:r>
      <w:r>
        <w:rPr>
          <w:spacing w:val="-14"/>
        </w:rPr>
        <w:t> </w:t>
      </w:r>
      <w:r>
        <w:rPr/>
        <w:t>que</w:t>
      </w:r>
      <w:r>
        <w:rPr>
          <w:spacing w:val="-13"/>
        </w:rPr>
        <w:t> </w:t>
      </w:r>
      <w:r>
        <w:rPr/>
        <w:t>le</w:t>
      </w:r>
      <w:r>
        <w:rPr>
          <w:spacing w:val="-16"/>
        </w:rPr>
        <w:t> </w:t>
      </w:r>
      <w:r>
        <w:rPr/>
        <w:t>fueron</w:t>
      </w:r>
      <w:r>
        <w:rPr>
          <w:spacing w:val="-15"/>
        </w:rPr>
        <w:t> </w:t>
      </w:r>
      <w:r>
        <w:rPr/>
        <w:t>ministrados,</w:t>
      </w:r>
      <w:r>
        <w:rPr>
          <w:spacing w:val="-13"/>
        </w:rPr>
        <w:t> </w:t>
      </w:r>
      <w:r>
        <w:rPr/>
        <w:t>así</w:t>
      </w:r>
      <w:r>
        <w:rPr>
          <w:spacing w:val="-16"/>
        </w:rPr>
        <w:t> </w:t>
      </w:r>
      <w:r>
        <w:rPr/>
        <w:t>mismo</w:t>
      </w:r>
    </w:p>
    <w:p>
      <w:pPr>
        <w:spacing w:after="0" w:line="360" w:lineRule="auto"/>
        <w:jc w:val="both"/>
        <w:sectPr>
          <w:footerReference w:type="default" r:id="rId50"/>
          <w:pgSz w:w="12240" w:h="15840"/>
          <w:pgMar w:footer="992" w:header="0" w:top="1360" w:bottom="1180" w:left="1600" w:right="1580"/>
        </w:sectPr>
      </w:pPr>
    </w:p>
    <w:p>
      <w:pPr>
        <w:pStyle w:val="BodyText"/>
        <w:spacing w:line="362" w:lineRule="auto" w:before="54"/>
        <w:ind w:left="102" w:right="127"/>
        <w:jc w:val="both"/>
      </w:pPr>
      <w:r>
        <w:rPr/>
        <w:t>el 10% fue aplicado en rubros fuera de la LCF y el 24.2% quedo pendiente de ejercer.</w:t>
      </w:r>
    </w:p>
    <w:p>
      <w:pPr>
        <w:pStyle w:val="BodyText"/>
        <w:spacing w:before="4"/>
      </w:pPr>
    </w:p>
    <w:p>
      <w:pPr>
        <w:pStyle w:val="BodyText"/>
        <w:spacing w:line="360" w:lineRule="auto" w:before="1"/>
        <w:ind w:left="102" w:right="116"/>
        <w:jc w:val="both"/>
      </w:pPr>
      <w:r>
        <w:rPr/>
        <w:t>De</w:t>
      </w:r>
      <w:r>
        <w:rPr>
          <w:spacing w:val="-12"/>
        </w:rPr>
        <w:t> </w:t>
      </w:r>
      <w:r>
        <w:rPr/>
        <w:t>los</w:t>
      </w:r>
      <w:r>
        <w:rPr>
          <w:spacing w:val="-14"/>
        </w:rPr>
        <w:t> </w:t>
      </w:r>
      <w:r>
        <w:rPr/>
        <w:t>recursos</w:t>
      </w:r>
      <w:r>
        <w:rPr>
          <w:spacing w:val="-15"/>
        </w:rPr>
        <w:t> </w:t>
      </w:r>
      <w:r>
        <w:rPr/>
        <w:t>asignados</w:t>
      </w:r>
      <w:r>
        <w:rPr>
          <w:spacing w:val="-15"/>
        </w:rPr>
        <w:t> </w:t>
      </w:r>
      <w:r>
        <w:rPr/>
        <w:t>a</w:t>
      </w:r>
      <w:r>
        <w:rPr>
          <w:spacing w:val="-12"/>
        </w:rPr>
        <w:t> </w:t>
      </w:r>
      <w:r>
        <w:rPr/>
        <w:t>Huixquilucan</w:t>
      </w:r>
      <w:r>
        <w:rPr>
          <w:spacing w:val="-12"/>
        </w:rPr>
        <w:t> </w:t>
      </w:r>
      <w:r>
        <w:rPr/>
        <w:t>de</w:t>
      </w:r>
      <w:r>
        <w:rPr>
          <w:spacing w:val="-14"/>
        </w:rPr>
        <w:t> </w:t>
      </w:r>
      <w:r>
        <w:rPr/>
        <w:t>igual</w:t>
      </w:r>
      <w:r>
        <w:rPr>
          <w:spacing w:val="-13"/>
        </w:rPr>
        <w:t> </w:t>
      </w:r>
      <w:r>
        <w:rPr/>
        <w:t>manera</w:t>
      </w:r>
      <w:r>
        <w:rPr>
          <w:spacing w:val="-15"/>
        </w:rPr>
        <w:t> </w:t>
      </w:r>
      <w:r>
        <w:rPr/>
        <w:t>se</w:t>
      </w:r>
      <w:r>
        <w:rPr>
          <w:spacing w:val="-14"/>
        </w:rPr>
        <w:t> </w:t>
      </w:r>
      <w:r>
        <w:rPr/>
        <w:t>observa</w:t>
      </w:r>
      <w:r>
        <w:rPr>
          <w:spacing w:val="-12"/>
        </w:rPr>
        <w:t> </w:t>
      </w:r>
      <w:r>
        <w:rPr/>
        <w:t>una</w:t>
      </w:r>
      <w:r>
        <w:rPr>
          <w:spacing w:val="-14"/>
        </w:rPr>
        <w:t> </w:t>
      </w:r>
      <w:r>
        <w:rPr/>
        <w:t>marcada tendencia a destinar los fondos al rubro de urbanización municipal representando así el 72.7% del total de los dineros</w:t>
      </w:r>
      <w:r>
        <w:rPr>
          <w:spacing w:val="-13"/>
        </w:rPr>
        <w:t> </w:t>
      </w:r>
      <w:r>
        <w:rPr/>
        <w:t>ministrados.</w:t>
      </w:r>
    </w:p>
    <w:p>
      <w:pPr>
        <w:pStyle w:val="BodyText"/>
        <w:spacing w:before="7"/>
      </w:pPr>
    </w:p>
    <w:p>
      <w:pPr>
        <w:pStyle w:val="BodyText"/>
        <w:spacing w:line="360" w:lineRule="auto"/>
        <w:ind w:left="102" w:right="126"/>
        <w:jc w:val="both"/>
      </w:pPr>
      <w:r>
        <w:rPr/>
        <w:t>Tejupilco tampoco es la excepción, aplicó el 57.0% al rubro de urbanización municipal y Tlalnepantla de Baz el 99.4% fue para este mismo rubro.</w:t>
      </w:r>
    </w:p>
    <w:p>
      <w:pPr>
        <w:pStyle w:val="BodyText"/>
        <w:spacing w:before="8"/>
      </w:pPr>
    </w:p>
    <w:p>
      <w:pPr>
        <w:pStyle w:val="BodyText"/>
        <w:spacing w:line="360" w:lineRule="auto"/>
        <w:ind w:left="102" w:right="115"/>
        <w:jc w:val="both"/>
      </w:pPr>
      <w:r>
        <w:rPr/>
        <w:t>Siguiendo con la misma temática, para el ejercicio 2013 los municipios auditados fueron: Atizapán de Zaragoza, Atlacomulco, Chimalhuacán, Cuautitlán Izcalli, Ecatepec de Morelos, Huehuetoca, Ixtapaluca, La Paz, Luvianos, Nezahualcóyotl, Nicolas Romero, San Felipe del Progreso, San José del Rincón, Temascaltepec, Temoaya, Tlalnepantla de Baz, Toluca, Tultitlán, Valle de Chalco, Villa Victoria y Zacualpan. De los cuales sólo se consideran a Atlacomulco, Huehuetoca, Ixtapaluca, La Paz, Luvianos, Nicolas Romero, Temascaltepec, Temoaya,</w:t>
      </w:r>
      <w:r>
        <w:rPr>
          <w:spacing w:val="-29"/>
        </w:rPr>
        <w:t> </w:t>
      </w:r>
      <w:r>
        <w:rPr/>
        <w:t>Tultitlán, Valle de Chalco y Villa</w:t>
      </w:r>
      <w:r>
        <w:rPr>
          <w:spacing w:val="-11"/>
        </w:rPr>
        <w:t> </w:t>
      </w:r>
      <w:r>
        <w:rPr/>
        <w:t>Victoria.</w:t>
      </w:r>
    </w:p>
    <w:p>
      <w:pPr>
        <w:pStyle w:val="BodyText"/>
        <w:spacing w:before="8"/>
      </w:pPr>
    </w:p>
    <w:p>
      <w:pPr>
        <w:pStyle w:val="BodyText"/>
        <w:spacing w:line="360" w:lineRule="auto"/>
        <w:ind w:left="102" w:right="114"/>
        <w:jc w:val="both"/>
      </w:pPr>
      <w:r>
        <w:rPr/>
        <w:t>Particularmente para Atlacomulco, en el informe de resultados de la cuenta pública revisada por la ASF, no detalla con exactitud, en que se destinó el recurso, sin embargo, los datos que hay que resaltar es que este municipio, al 31 de diciembre de 2013 gastó 20,177.5 miles de pesos, que represento el 50.4% del disponible, para el 31 de Agosto de 2014 se gastó 28,685.7 miles de pesos que represento el 84.5%</w:t>
      </w:r>
      <w:r>
        <w:rPr>
          <w:spacing w:val="-6"/>
        </w:rPr>
        <w:t> </w:t>
      </w:r>
      <w:r>
        <w:rPr/>
        <w:t>del</w:t>
      </w:r>
      <w:r>
        <w:rPr>
          <w:spacing w:val="-4"/>
        </w:rPr>
        <w:t> </w:t>
      </w:r>
      <w:r>
        <w:rPr/>
        <w:t>disponible,</w:t>
      </w:r>
      <w:r>
        <w:rPr>
          <w:spacing w:val="-3"/>
        </w:rPr>
        <w:t> </w:t>
      </w:r>
      <w:r>
        <w:rPr/>
        <w:t>por</w:t>
      </w:r>
      <w:r>
        <w:rPr>
          <w:spacing w:val="-4"/>
        </w:rPr>
        <w:t> </w:t>
      </w:r>
      <w:r>
        <w:rPr/>
        <w:t>lo</w:t>
      </w:r>
      <w:r>
        <w:rPr>
          <w:spacing w:val="-3"/>
        </w:rPr>
        <w:t> </w:t>
      </w:r>
      <w:r>
        <w:rPr/>
        <w:t>tanto</w:t>
      </w:r>
      <w:r>
        <w:rPr>
          <w:spacing w:val="-2"/>
        </w:rPr>
        <w:t> </w:t>
      </w:r>
      <w:r>
        <w:rPr/>
        <w:t>la</w:t>
      </w:r>
      <w:r>
        <w:rPr>
          <w:spacing w:val="-3"/>
        </w:rPr>
        <w:t> </w:t>
      </w:r>
      <w:r>
        <w:rPr/>
        <w:t>ASF</w:t>
      </w:r>
      <w:r>
        <w:rPr>
          <w:spacing w:val="-6"/>
        </w:rPr>
        <w:t> </w:t>
      </w:r>
      <w:r>
        <w:rPr/>
        <w:t>en</w:t>
      </w:r>
      <w:r>
        <w:rPr>
          <w:spacing w:val="-5"/>
        </w:rPr>
        <w:t> </w:t>
      </w:r>
      <w:r>
        <w:rPr/>
        <w:t>su</w:t>
      </w:r>
      <w:r>
        <w:rPr>
          <w:spacing w:val="-3"/>
        </w:rPr>
        <w:t> </w:t>
      </w:r>
      <w:r>
        <w:rPr/>
        <w:t>momento</w:t>
      </w:r>
      <w:r>
        <w:rPr>
          <w:spacing w:val="-5"/>
        </w:rPr>
        <w:t> </w:t>
      </w:r>
      <w:r>
        <w:rPr/>
        <w:t>determinó</w:t>
      </w:r>
      <w:r>
        <w:rPr>
          <w:spacing w:val="-5"/>
        </w:rPr>
        <w:t> </w:t>
      </w:r>
      <w:r>
        <w:rPr/>
        <w:t>un</w:t>
      </w:r>
      <w:r>
        <w:rPr>
          <w:spacing w:val="-3"/>
        </w:rPr>
        <w:t> </w:t>
      </w:r>
      <w:r>
        <w:rPr/>
        <w:t>subejercicio del</w:t>
      </w:r>
      <w:r>
        <w:rPr>
          <w:spacing w:val="-2"/>
        </w:rPr>
        <w:t> </w:t>
      </w:r>
      <w:r>
        <w:rPr/>
        <w:t>15.5%.</w:t>
      </w:r>
    </w:p>
    <w:p>
      <w:pPr>
        <w:pStyle w:val="BodyText"/>
        <w:spacing w:before="8"/>
      </w:pPr>
    </w:p>
    <w:p>
      <w:pPr>
        <w:pStyle w:val="BodyText"/>
        <w:spacing w:line="360" w:lineRule="auto"/>
        <w:ind w:left="102" w:right="117"/>
        <w:jc w:val="both"/>
      </w:pPr>
      <w:r>
        <w:rPr/>
        <w:t>Al municipio de Huehuetoca le fueron entregados 34,557.6 miles de pesos del Fondo de Infraestructura Social Municipal, los cuales al 31 de Diciembre de 2013 erogó</w:t>
      </w:r>
      <w:r>
        <w:rPr>
          <w:spacing w:val="-19"/>
        </w:rPr>
        <w:t> </w:t>
      </w:r>
      <w:r>
        <w:rPr/>
        <w:t>un</w:t>
      </w:r>
      <w:r>
        <w:rPr>
          <w:spacing w:val="-19"/>
        </w:rPr>
        <w:t> </w:t>
      </w:r>
      <w:r>
        <w:rPr/>
        <w:t>gasto</w:t>
      </w:r>
      <w:r>
        <w:rPr>
          <w:spacing w:val="-20"/>
        </w:rPr>
        <w:t> </w:t>
      </w:r>
      <w:r>
        <w:rPr/>
        <w:t>por</w:t>
      </w:r>
      <w:r>
        <w:rPr>
          <w:spacing w:val="-20"/>
        </w:rPr>
        <w:t> </w:t>
      </w:r>
      <w:r>
        <w:rPr/>
        <w:t>23,559.2</w:t>
      </w:r>
      <w:r>
        <w:rPr>
          <w:spacing w:val="-19"/>
        </w:rPr>
        <w:t> </w:t>
      </w:r>
      <w:r>
        <w:rPr/>
        <w:t>miles</w:t>
      </w:r>
      <w:r>
        <w:rPr>
          <w:spacing w:val="-21"/>
        </w:rPr>
        <w:t> </w:t>
      </w:r>
      <w:r>
        <w:rPr/>
        <w:t>de</w:t>
      </w:r>
      <w:r>
        <w:rPr>
          <w:spacing w:val="-19"/>
        </w:rPr>
        <w:t> </w:t>
      </w:r>
      <w:r>
        <w:rPr/>
        <w:t>pesos</w:t>
      </w:r>
      <w:r>
        <w:rPr>
          <w:spacing w:val="-20"/>
        </w:rPr>
        <w:t> </w:t>
      </w:r>
      <w:r>
        <w:rPr/>
        <w:t>que</w:t>
      </w:r>
      <w:r>
        <w:rPr>
          <w:spacing w:val="-19"/>
        </w:rPr>
        <w:t> </w:t>
      </w:r>
      <w:r>
        <w:rPr/>
        <w:t>representaron</w:t>
      </w:r>
      <w:r>
        <w:rPr>
          <w:spacing w:val="-19"/>
        </w:rPr>
        <w:t> </w:t>
      </w:r>
      <w:r>
        <w:rPr/>
        <w:t>el</w:t>
      </w:r>
      <w:r>
        <w:rPr>
          <w:spacing w:val="-22"/>
        </w:rPr>
        <w:t> </w:t>
      </w:r>
      <w:r>
        <w:rPr/>
        <w:t>68.0%.</w:t>
      </w:r>
      <w:r>
        <w:rPr>
          <w:spacing w:val="-14"/>
        </w:rPr>
        <w:t> </w:t>
      </w:r>
      <w:r>
        <w:rPr/>
        <w:t>Igualmente en la documental de los resultados de la cuenta pública de 2013 realizada por la ASF no se detalla en que rubros fueron aplicados los</w:t>
      </w:r>
      <w:r>
        <w:rPr>
          <w:spacing w:val="-24"/>
        </w:rPr>
        <w:t> </w:t>
      </w:r>
      <w:r>
        <w:rPr/>
        <w:t>dineros.</w:t>
      </w:r>
    </w:p>
    <w:p>
      <w:pPr>
        <w:spacing w:after="0" w:line="360" w:lineRule="auto"/>
        <w:jc w:val="both"/>
        <w:sectPr>
          <w:footerReference w:type="default" r:id="rId51"/>
          <w:pgSz w:w="12240" w:h="15840"/>
          <w:pgMar w:footer="992" w:header="0" w:top="1360" w:bottom="1180" w:left="1600" w:right="1580"/>
          <w:pgNumType w:start="151"/>
        </w:sectPr>
      </w:pPr>
    </w:p>
    <w:p>
      <w:pPr>
        <w:pStyle w:val="BodyText"/>
        <w:spacing w:line="360" w:lineRule="auto" w:before="54"/>
        <w:ind w:left="102" w:right="118"/>
        <w:jc w:val="both"/>
      </w:pPr>
      <w:r>
        <w:rPr/>
        <w:t>En</w:t>
      </w:r>
      <w:r>
        <w:rPr>
          <w:spacing w:val="-8"/>
        </w:rPr>
        <w:t> </w:t>
      </w:r>
      <w:r>
        <w:rPr/>
        <w:t>el</w:t>
      </w:r>
      <w:r>
        <w:rPr>
          <w:spacing w:val="-12"/>
        </w:rPr>
        <w:t> </w:t>
      </w:r>
      <w:r>
        <w:rPr/>
        <w:t>municipio</w:t>
      </w:r>
      <w:r>
        <w:rPr>
          <w:spacing w:val="-9"/>
        </w:rPr>
        <w:t> </w:t>
      </w:r>
      <w:r>
        <w:rPr/>
        <w:t>de</w:t>
      </w:r>
      <w:r>
        <w:rPr>
          <w:spacing w:val="-8"/>
        </w:rPr>
        <w:t> </w:t>
      </w:r>
      <w:r>
        <w:rPr/>
        <w:t>Ixtapaluca</w:t>
      </w:r>
      <w:r>
        <w:rPr>
          <w:spacing w:val="-10"/>
        </w:rPr>
        <w:t> </w:t>
      </w:r>
      <w:r>
        <w:rPr/>
        <w:t>al</w:t>
      </w:r>
      <w:r>
        <w:rPr>
          <w:spacing w:val="-10"/>
        </w:rPr>
        <w:t> </w:t>
      </w:r>
      <w:r>
        <w:rPr/>
        <w:t>31</w:t>
      </w:r>
      <w:r>
        <w:rPr>
          <w:spacing w:val="-8"/>
        </w:rPr>
        <w:t> </w:t>
      </w:r>
      <w:r>
        <w:rPr/>
        <w:t>de</w:t>
      </w:r>
      <w:r>
        <w:rPr>
          <w:spacing w:val="-8"/>
        </w:rPr>
        <w:t> </w:t>
      </w:r>
      <w:r>
        <w:rPr/>
        <w:t>diciembre</w:t>
      </w:r>
      <w:r>
        <w:rPr>
          <w:spacing w:val="-9"/>
        </w:rPr>
        <w:t> </w:t>
      </w:r>
      <w:r>
        <w:rPr/>
        <w:t>gastó</w:t>
      </w:r>
      <w:r>
        <w:rPr>
          <w:spacing w:val="-10"/>
        </w:rPr>
        <w:t> </w:t>
      </w:r>
      <w:r>
        <w:rPr/>
        <w:t>24,597.9</w:t>
      </w:r>
      <w:r>
        <w:rPr>
          <w:spacing w:val="-10"/>
        </w:rPr>
        <w:t> </w:t>
      </w:r>
      <w:r>
        <w:rPr/>
        <w:t>miles</w:t>
      </w:r>
      <w:r>
        <w:rPr>
          <w:spacing w:val="-9"/>
        </w:rPr>
        <w:t> </w:t>
      </w:r>
      <w:r>
        <w:rPr/>
        <w:t>de</w:t>
      </w:r>
      <w:r>
        <w:rPr>
          <w:spacing w:val="-11"/>
        </w:rPr>
        <w:t> </w:t>
      </w:r>
      <w:r>
        <w:rPr/>
        <w:t>pesos</w:t>
      </w:r>
      <w:r>
        <w:rPr>
          <w:spacing w:val="-9"/>
        </w:rPr>
        <w:t> </w:t>
      </w:r>
      <w:r>
        <w:rPr/>
        <w:t>que represento el 48.1%, el destino que le dio fue exclusivamente al financiamiento de obras.</w:t>
      </w:r>
    </w:p>
    <w:p>
      <w:pPr>
        <w:pStyle w:val="BodyText"/>
        <w:spacing w:before="10"/>
      </w:pPr>
    </w:p>
    <w:p>
      <w:pPr>
        <w:pStyle w:val="BodyText"/>
        <w:spacing w:line="360" w:lineRule="auto"/>
        <w:ind w:left="102" w:right="117"/>
        <w:jc w:val="both"/>
      </w:pPr>
      <w:r>
        <w:rPr/>
        <w:t>En el municipio de La Paz se observa que principalmente del recurso total que recibio</w:t>
      </w:r>
      <w:r>
        <w:rPr>
          <w:spacing w:val="-14"/>
        </w:rPr>
        <w:t> </w:t>
      </w:r>
      <w:r>
        <w:rPr/>
        <w:t>lo</w:t>
      </w:r>
      <w:r>
        <w:rPr>
          <w:spacing w:val="-14"/>
        </w:rPr>
        <w:t> </w:t>
      </w:r>
      <w:r>
        <w:rPr/>
        <w:t>destinó</w:t>
      </w:r>
      <w:r>
        <w:rPr>
          <w:spacing w:val="-13"/>
        </w:rPr>
        <w:t> </w:t>
      </w:r>
      <w:r>
        <w:rPr/>
        <w:t>exclusivamente</w:t>
      </w:r>
      <w:r>
        <w:rPr>
          <w:spacing w:val="-16"/>
        </w:rPr>
        <w:t> </w:t>
      </w:r>
      <w:r>
        <w:rPr/>
        <w:t>al</w:t>
      </w:r>
      <w:r>
        <w:rPr>
          <w:spacing w:val="-15"/>
        </w:rPr>
        <w:t> </w:t>
      </w:r>
      <w:r>
        <w:rPr/>
        <w:t>financiamiento</w:t>
      </w:r>
      <w:r>
        <w:rPr>
          <w:spacing w:val="-14"/>
        </w:rPr>
        <w:t> </w:t>
      </w:r>
      <w:r>
        <w:rPr/>
        <w:t>de</w:t>
      </w:r>
      <w:r>
        <w:rPr>
          <w:spacing w:val="-14"/>
        </w:rPr>
        <w:t> </w:t>
      </w:r>
      <w:r>
        <w:rPr/>
        <w:t>obras,</w:t>
      </w:r>
      <w:r>
        <w:rPr>
          <w:spacing w:val="-14"/>
        </w:rPr>
        <w:t> </w:t>
      </w:r>
      <w:r>
        <w:rPr/>
        <w:t>acciones</w:t>
      </w:r>
      <w:r>
        <w:rPr>
          <w:spacing w:val="-15"/>
        </w:rPr>
        <w:t> </w:t>
      </w:r>
      <w:r>
        <w:rPr/>
        <w:t>e</w:t>
      </w:r>
      <w:r>
        <w:rPr>
          <w:spacing w:val="-14"/>
        </w:rPr>
        <w:t> </w:t>
      </w:r>
      <w:r>
        <w:rPr/>
        <w:t>inversiones que beneficiaron directamente a sectores de la población que se encontraban en condiciones de rezago social o de pobreza</w:t>
      </w:r>
      <w:r>
        <w:rPr>
          <w:spacing w:val="-22"/>
        </w:rPr>
        <w:t> </w:t>
      </w:r>
      <w:r>
        <w:rPr/>
        <w:t>extrema.</w:t>
      </w:r>
    </w:p>
    <w:p>
      <w:pPr>
        <w:pStyle w:val="BodyText"/>
        <w:spacing w:before="8"/>
      </w:pPr>
    </w:p>
    <w:p>
      <w:pPr>
        <w:pStyle w:val="BodyText"/>
        <w:spacing w:line="360" w:lineRule="auto"/>
        <w:ind w:left="102" w:right="116"/>
        <w:jc w:val="both"/>
      </w:pPr>
      <w:r>
        <w:rPr/>
        <w:t>Al municipio de Luvianos le fueron entregados 33,113.0 miles de pesos y durante su administración se generaron 47.8 miles de pesos de intereses, dando un total disponible</w:t>
      </w:r>
      <w:r>
        <w:rPr>
          <w:spacing w:val="-5"/>
        </w:rPr>
        <w:t> </w:t>
      </w:r>
      <w:r>
        <w:rPr/>
        <w:t>de</w:t>
      </w:r>
      <w:r>
        <w:rPr>
          <w:spacing w:val="-5"/>
        </w:rPr>
        <w:t> </w:t>
      </w:r>
      <w:r>
        <w:rPr/>
        <w:t>33,160.8</w:t>
      </w:r>
      <w:r>
        <w:rPr>
          <w:spacing w:val="-7"/>
        </w:rPr>
        <w:t> </w:t>
      </w:r>
      <w:r>
        <w:rPr/>
        <w:t>miles</w:t>
      </w:r>
      <w:r>
        <w:rPr>
          <w:spacing w:val="-8"/>
        </w:rPr>
        <w:t> </w:t>
      </w:r>
      <w:r>
        <w:rPr/>
        <w:t>de</w:t>
      </w:r>
      <w:r>
        <w:rPr>
          <w:spacing w:val="-7"/>
        </w:rPr>
        <w:t> </w:t>
      </w:r>
      <w:r>
        <w:rPr/>
        <w:t>pesos.</w:t>
      </w:r>
      <w:r>
        <w:rPr>
          <w:spacing w:val="-5"/>
        </w:rPr>
        <w:t> </w:t>
      </w:r>
      <w:r>
        <w:rPr/>
        <w:t>Al</w:t>
      </w:r>
      <w:r>
        <w:rPr>
          <w:spacing w:val="-8"/>
        </w:rPr>
        <w:t> </w:t>
      </w:r>
      <w:r>
        <w:rPr/>
        <w:t>31</w:t>
      </w:r>
      <w:r>
        <w:rPr>
          <w:spacing w:val="-9"/>
        </w:rPr>
        <w:t> </w:t>
      </w:r>
      <w:r>
        <w:rPr/>
        <w:t>de</w:t>
      </w:r>
      <w:r>
        <w:rPr>
          <w:spacing w:val="-5"/>
        </w:rPr>
        <w:t> </w:t>
      </w:r>
      <w:r>
        <w:rPr/>
        <w:t>diciembre</w:t>
      </w:r>
      <w:r>
        <w:rPr>
          <w:spacing w:val="-5"/>
        </w:rPr>
        <w:t> </w:t>
      </w:r>
      <w:r>
        <w:rPr/>
        <w:t>de</w:t>
      </w:r>
      <w:r>
        <w:rPr>
          <w:spacing w:val="-5"/>
        </w:rPr>
        <w:t> </w:t>
      </w:r>
      <w:r>
        <w:rPr/>
        <w:t>2013</w:t>
      </w:r>
      <w:r>
        <w:rPr>
          <w:spacing w:val="-7"/>
        </w:rPr>
        <w:t> </w:t>
      </w:r>
      <w:r>
        <w:rPr/>
        <w:t>llevaba</w:t>
      </w:r>
      <w:r>
        <w:rPr>
          <w:spacing w:val="-5"/>
        </w:rPr>
        <w:t> </w:t>
      </w:r>
      <w:r>
        <w:rPr/>
        <w:t>ejercido 32,517.3 miles de pesos que representó el 98.0% del disponible. Para el 28 de febrero de 2014 se gastó la totalidad del recurso disponible, por lo que no hubo subejercicios.</w:t>
      </w:r>
    </w:p>
    <w:p>
      <w:pPr>
        <w:pStyle w:val="BodyText"/>
        <w:spacing w:before="7"/>
      </w:pPr>
    </w:p>
    <w:p>
      <w:pPr>
        <w:pStyle w:val="BodyText"/>
        <w:spacing w:line="360" w:lineRule="auto"/>
        <w:ind w:left="102" w:right="116"/>
        <w:jc w:val="both"/>
      </w:pPr>
      <w:r>
        <w:rPr/>
        <w:t>Caso contrario con Nicolás Romero donde si hubo subejercicio, del monto entregado a este municipio de 44,052.3 miles de pesos soló erogó 42,864.8 miles de pesos dejando un disponible del 7.3%. De igual manera no se detalla en que se aplicó el recurso.</w:t>
      </w:r>
    </w:p>
    <w:p>
      <w:pPr>
        <w:pStyle w:val="BodyText"/>
        <w:spacing w:before="7"/>
      </w:pPr>
    </w:p>
    <w:p>
      <w:pPr>
        <w:pStyle w:val="BodyText"/>
        <w:spacing w:line="360" w:lineRule="auto"/>
        <w:ind w:left="102" w:right="116"/>
        <w:jc w:val="both"/>
      </w:pPr>
      <w:r>
        <w:rPr/>
        <w:t>En Temascaltepec hubo un subejercicio del 0.3% a la fecha de la Auditoría del 31 de Agosto de 2014, por lo tanto asignó un recurso total del 99.7%.</w:t>
      </w:r>
    </w:p>
    <w:p>
      <w:pPr>
        <w:pStyle w:val="BodyText"/>
        <w:spacing w:before="7"/>
      </w:pPr>
    </w:p>
    <w:p>
      <w:pPr>
        <w:pStyle w:val="BodyText"/>
        <w:ind w:left="102"/>
        <w:jc w:val="both"/>
      </w:pPr>
      <w:r>
        <w:rPr/>
        <w:t>Al municipio de Temoaya  le fueron entregados 39,206.6 miles de pesos y  generó</w:t>
      </w:r>
    </w:p>
    <w:p>
      <w:pPr>
        <w:pStyle w:val="BodyText"/>
        <w:spacing w:line="360" w:lineRule="auto" w:before="137"/>
        <w:ind w:left="102" w:right="122"/>
        <w:jc w:val="both"/>
      </w:pPr>
      <w:r>
        <w:rPr/>
        <w:t>515.3 miles de pesos de intereses, dando un total de 39, 721.9 miles de pesos, de los cuales gastó 23,550.0 miles de pesos al 31 de diciembre de 2013 y al 31 de agosto de 2014 se gastó 39,198.4 miles de pesos que representaron el 98.7% del disponible.</w:t>
      </w:r>
    </w:p>
    <w:p>
      <w:pPr>
        <w:pStyle w:val="BodyText"/>
        <w:spacing w:before="7"/>
      </w:pPr>
    </w:p>
    <w:p>
      <w:pPr>
        <w:pStyle w:val="BodyText"/>
        <w:spacing w:line="360" w:lineRule="auto"/>
        <w:ind w:left="102" w:right="124"/>
        <w:jc w:val="both"/>
      </w:pPr>
      <w:r>
        <w:rPr/>
        <w:t>En Tultitlán se destinó 21,862.6 miles de pesos que representaron el 57.6% de los recursos</w:t>
      </w:r>
      <w:r>
        <w:rPr>
          <w:spacing w:val="-11"/>
        </w:rPr>
        <w:t> </w:t>
      </w:r>
      <w:r>
        <w:rPr/>
        <w:t>asignados</w:t>
      </w:r>
      <w:r>
        <w:rPr>
          <w:spacing w:val="-12"/>
        </w:rPr>
        <w:t> </w:t>
      </w:r>
      <w:r>
        <w:rPr/>
        <w:t>al</w:t>
      </w:r>
      <w:r>
        <w:rPr>
          <w:spacing w:val="-14"/>
        </w:rPr>
        <w:t> </w:t>
      </w:r>
      <w:r>
        <w:rPr/>
        <w:t>pago</w:t>
      </w:r>
      <w:r>
        <w:rPr>
          <w:spacing w:val="-11"/>
        </w:rPr>
        <w:t> </w:t>
      </w:r>
      <w:r>
        <w:rPr/>
        <w:t>de</w:t>
      </w:r>
      <w:r>
        <w:rPr>
          <w:spacing w:val="-11"/>
        </w:rPr>
        <w:t> </w:t>
      </w:r>
      <w:r>
        <w:rPr/>
        <w:t>2</w:t>
      </w:r>
      <w:r>
        <w:rPr>
          <w:spacing w:val="-11"/>
        </w:rPr>
        <w:t> </w:t>
      </w:r>
      <w:r>
        <w:rPr/>
        <w:t>obras</w:t>
      </w:r>
      <w:r>
        <w:rPr>
          <w:spacing w:val="-11"/>
        </w:rPr>
        <w:t> </w:t>
      </w:r>
      <w:r>
        <w:rPr/>
        <w:t>que</w:t>
      </w:r>
      <w:r>
        <w:rPr>
          <w:spacing w:val="-11"/>
        </w:rPr>
        <w:t> </w:t>
      </w:r>
      <w:r>
        <w:rPr/>
        <w:t>no</w:t>
      </w:r>
      <w:r>
        <w:rPr>
          <w:spacing w:val="-11"/>
        </w:rPr>
        <w:t> </w:t>
      </w:r>
      <w:r>
        <w:rPr/>
        <w:t>beneficiaron</w:t>
      </w:r>
      <w:r>
        <w:rPr>
          <w:spacing w:val="-11"/>
        </w:rPr>
        <w:t> </w:t>
      </w:r>
      <w:r>
        <w:rPr/>
        <w:t>directamente</w:t>
      </w:r>
      <w:r>
        <w:rPr>
          <w:spacing w:val="-10"/>
        </w:rPr>
        <w:t> </w:t>
      </w:r>
      <w:r>
        <w:rPr/>
        <w:t>a</w:t>
      </w:r>
      <w:r>
        <w:rPr>
          <w:spacing w:val="-11"/>
        </w:rPr>
        <w:t> </w:t>
      </w:r>
      <w:r>
        <w:rPr/>
        <w:t>sectores de la población  en condiciones de rezago social y pobreza</w:t>
      </w:r>
      <w:r>
        <w:rPr>
          <w:spacing w:val="-23"/>
        </w:rPr>
        <w:t> </w:t>
      </w:r>
      <w:r>
        <w:rPr/>
        <w:t>extrema.</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Respecto a Valle de Chalco Solidaridad le fueron entregados 57,300.0 miles de pesos de los cuales 2,239.7 fueron aplicados en la construcción de guarniciones y banquetas que no beneficiaron directamente a sectores de la población en condiciones de rezago social y pobreza extrema.</w:t>
      </w:r>
    </w:p>
    <w:p>
      <w:pPr>
        <w:pStyle w:val="BodyText"/>
        <w:spacing w:before="7"/>
      </w:pPr>
    </w:p>
    <w:p>
      <w:pPr>
        <w:pStyle w:val="BodyText"/>
        <w:spacing w:line="360" w:lineRule="auto"/>
        <w:ind w:left="102" w:right="116"/>
        <w:jc w:val="both"/>
      </w:pPr>
      <w:r>
        <w:rPr/>
        <w:t>Finalmente en Villa Victoria de acuerdo con el informe del resultado de la fiscalización superior de la cuenta pública 2013 manifiesta que este municipio destinó el 2.5% al rubro de agua potable, el 0.8% a drenajes y letrinas, en urbanización municipal el 65.1%, electrificación rural el 3.7%, a infraestructura básica de salud el 0.2%, a infraestructura básica educativa 3.1, el 11.8% al mejoramiento</w:t>
      </w:r>
      <w:r>
        <w:rPr>
          <w:spacing w:val="-15"/>
        </w:rPr>
        <w:t> </w:t>
      </w:r>
      <w:r>
        <w:rPr/>
        <w:t>de</w:t>
      </w:r>
      <w:r>
        <w:rPr>
          <w:spacing w:val="-15"/>
        </w:rPr>
        <w:t> </w:t>
      </w:r>
      <w:r>
        <w:rPr/>
        <w:t>vivienda,</w:t>
      </w:r>
      <w:r>
        <w:rPr>
          <w:spacing w:val="-16"/>
        </w:rPr>
        <w:t> </w:t>
      </w:r>
      <w:r>
        <w:rPr/>
        <w:t>en</w:t>
      </w:r>
      <w:r>
        <w:rPr>
          <w:spacing w:val="-15"/>
        </w:rPr>
        <w:t> </w:t>
      </w:r>
      <w:r>
        <w:rPr/>
        <w:t>caminos</w:t>
      </w:r>
      <w:r>
        <w:rPr>
          <w:spacing w:val="-16"/>
        </w:rPr>
        <w:t> </w:t>
      </w:r>
      <w:r>
        <w:rPr/>
        <w:t>rurales</w:t>
      </w:r>
      <w:r>
        <w:rPr>
          <w:spacing w:val="-19"/>
        </w:rPr>
        <w:t> </w:t>
      </w:r>
      <w:r>
        <w:rPr/>
        <w:t>el</w:t>
      </w:r>
      <w:r>
        <w:rPr>
          <w:spacing w:val="-14"/>
        </w:rPr>
        <w:t> </w:t>
      </w:r>
      <w:r>
        <w:rPr/>
        <w:t>2.0,</w:t>
      </w:r>
      <w:r>
        <w:rPr>
          <w:spacing w:val="-16"/>
        </w:rPr>
        <w:t> </w:t>
      </w:r>
      <w:r>
        <w:rPr/>
        <w:t>a</w:t>
      </w:r>
      <w:r>
        <w:rPr>
          <w:spacing w:val="-13"/>
        </w:rPr>
        <w:t> </w:t>
      </w:r>
      <w:r>
        <w:rPr/>
        <w:t>gastos</w:t>
      </w:r>
      <w:r>
        <w:rPr>
          <w:spacing w:val="-14"/>
        </w:rPr>
        <w:t> </w:t>
      </w:r>
      <w:r>
        <w:rPr/>
        <w:t>indirectos</w:t>
      </w:r>
      <w:r>
        <w:rPr>
          <w:spacing w:val="-14"/>
        </w:rPr>
        <w:t> </w:t>
      </w:r>
      <w:r>
        <w:rPr/>
        <w:t>y</w:t>
      </w:r>
      <w:r>
        <w:rPr>
          <w:spacing w:val="-16"/>
        </w:rPr>
        <w:t> </w:t>
      </w:r>
      <w:r>
        <w:rPr/>
        <w:t>desarrollo institucional el 4.3% y en otros que no se especifica asignó el</w:t>
      </w:r>
      <w:r>
        <w:rPr>
          <w:spacing w:val="-18"/>
        </w:rPr>
        <w:t> </w:t>
      </w:r>
      <w:r>
        <w:rPr/>
        <w:t>6.5%.</w:t>
      </w:r>
    </w:p>
    <w:p>
      <w:pPr>
        <w:pStyle w:val="BodyText"/>
        <w:spacing w:before="7"/>
      </w:pPr>
    </w:p>
    <w:p>
      <w:pPr>
        <w:pStyle w:val="BodyText"/>
        <w:spacing w:line="360" w:lineRule="auto"/>
        <w:ind w:left="102" w:right="117"/>
        <w:jc w:val="both"/>
      </w:pPr>
      <w:r>
        <w:rPr/>
        <w:t>Para finalizar este período de estudio se tiene que para el ejercicio fiscal de 2014, se comenzó a trabajar con las reformas del 09 de Diciembre de 2013. Fueron 13 municipios auditados (Acambay, Chalco, Chimalhuacán, Ixtapaluca, Ixtlahuaca, Jilotepec, Metepec, Naucalpan de Juárez, Nezahualcóyotl, San José del Rincón, Temascalcingo, Villa de Allende y Villa Victoria) se observó que no existe un gran avance sobre el destino, los informes de resultados de la fiscalización superior de la cuenta pública 2014 presenta en cuanto el destino de los recursos opacidad en la aplicación efectiva estos mismos al 31 de diciembre de 2014 existieron subejercicios porque el recurso no fue erogado al 100%.</w:t>
      </w:r>
    </w:p>
    <w:p>
      <w:pPr>
        <w:pStyle w:val="BodyText"/>
        <w:spacing w:before="7"/>
      </w:pPr>
    </w:p>
    <w:p>
      <w:pPr>
        <w:pStyle w:val="BodyText"/>
        <w:spacing w:line="360" w:lineRule="auto"/>
        <w:ind w:left="102" w:right="116"/>
        <w:jc w:val="both"/>
      </w:pPr>
      <w:r>
        <w:rPr/>
        <w:t>Como puede apreciarse de la descripción anterior, la aplicación de los recursos atiende</w:t>
      </w:r>
      <w:r>
        <w:rPr>
          <w:spacing w:val="-19"/>
        </w:rPr>
        <w:t> </w:t>
      </w:r>
      <w:r>
        <w:rPr/>
        <w:t>a</w:t>
      </w:r>
      <w:r>
        <w:rPr>
          <w:spacing w:val="-19"/>
        </w:rPr>
        <w:t> </w:t>
      </w:r>
      <w:r>
        <w:rPr/>
        <w:t>necesidades</w:t>
      </w:r>
      <w:r>
        <w:rPr>
          <w:spacing w:val="-22"/>
        </w:rPr>
        <w:t> </w:t>
      </w:r>
      <w:r>
        <w:rPr/>
        <w:t>y</w:t>
      </w:r>
      <w:r>
        <w:rPr>
          <w:spacing w:val="-22"/>
        </w:rPr>
        <w:t> </w:t>
      </w:r>
      <w:r>
        <w:rPr/>
        <w:t>destinos</w:t>
      </w:r>
      <w:r>
        <w:rPr>
          <w:spacing w:val="-20"/>
        </w:rPr>
        <w:t> </w:t>
      </w:r>
      <w:r>
        <w:rPr/>
        <w:t>diversos,</w:t>
      </w:r>
      <w:r>
        <w:rPr>
          <w:spacing w:val="-19"/>
        </w:rPr>
        <w:t> </w:t>
      </w:r>
      <w:r>
        <w:rPr/>
        <w:t>aunque</w:t>
      </w:r>
      <w:r>
        <w:rPr>
          <w:spacing w:val="-19"/>
        </w:rPr>
        <w:t> </w:t>
      </w:r>
      <w:r>
        <w:rPr/>
        <w:t>principalmente</w:t>
      </w:r>
      <w:r>
        <w:rPr>
          <w:spacing w:val="-19"/>
        </w:rPr>
        <w:t> </w:t>
      </w:r>
      <w:r>
        <w:rPr/>
        <w:t>está</w:t>
      </w:r>
      <w:r>
        <w:rPr>
          <w:spacing w:val="-11"/>
        </w:rPr>
        <w:t> </w:t>
      </w:r>
      <w:r>
        <w:rPr/>
        <w:t>concentrado a la urbanización (véanse los anexos respectivos), por lo que se puede afirmar</w:t>
      </w:r>
      <w:r>
        <w:rPr>
          <w:spacing w:val="-36"/>
        </w:rPr>
        <w:t> </w:t>
      </w:r>
      <w:r>
        <w:rPr/>
        <w:t>que los tomadores de decisiones sí ocupan éste recurso para ese fin de la infraestructura, sin embargo, también se nota que es la discrecionalidad lo que prevalece en el tomador de decisiones al calificar la prioridad del uso de</w:t>
      </w:r>
      <w:r>
        <w:rPr>
          <w:spacing w:val="-27"/>
        </w:rPr>
        <w:t> </w:t>
      </w:r>
      <w:r>
        <w:rPr/>
        <w:t>recursos.</w:t>
      </w:r>
    </w:p>
    <w:p>
      <w:pPr>
        <w:pStyle w:val="BodyText"/>
        <w:spacing w:before="7"/>
      </w:pPr>
    </w:p>
    <w:p>
      <w:pPr>
        <w:pStyle w:val="BodyText"/>
        <w:spacing w:line="360" w:lineRule="auto"/>
        <w:ind w:left="102" w:right="122"/>
        <w:jc w:val="both"/>
      </w:pPr>
      <w:r>
        <w:rPr/>
        <w:t>En este sentido, es importante subrayar, como se mencionó en el capítulo uno, el que</w:t>
      </w:r>
      <w:r>
        <w:rPr>
          <w:spacing w:val="-13"/>
        </w:rPr>
        <w:t> </w:t>
      </w:r>
      <w:r>
        <w:rPr/>
        <w:t>toma</w:t>
      </w:r>
      <w:r>
        <w:rPr>
          <w:spacing w:val="-16"/>
        </w:rPr>
        <w:t> </w:t>
      </w:r>
      <w:r>
        <w:rPr/>
        <w:t>de</w:t>
      </w:r>
      <w:r>
        <w:rPr>
          <w:spacing w:val="-13"/>
        </w:rPr>
        <w:t> </w:t>
      </w:r>
      <w:r>
        <w:rPr/>
        <w:t>decisiones</w:t>
      </w:r>
      <w:r>
        <w:rPr>
          <w:spacing w:val="-14"/>
        </w:rPr>
        <w:t> </w:t>
      </w:r>
      <w:r>
        <w:rPr/>
        <w:t>es</w:t>
      </w:r>
      <w:r>
        <w:rPr>
          <w:spacing w:val="-14"/>
        </w:rPr>
        <w:t> </w:t>
      </w:r>
      <w:r>
        <w:rPr/>
        <w:t>quien</w:t>
      </w:r>
      <w:r>
        <w:rPr>
          <w:spacing w:val="-15"/>
        </w:rPr>
        <w:t> </w:t>
      </w:r>
      <w:r>
        <w:rPr/>
        <w:t>está</w:t>
      </w:r>
      <w:r>
        <w:rPr>
          <w:spacing w:val="-13"/>
        </w:rPr>
        <w:t> </w:t>
      </w:r>
      <w:r>
        <w:rPr/>
        <w:t>informado</w:t>
      </w:r>
      <w:r>
        <w:rPr>
          <w:spacing w:val="-13"/>
        </w:rPr>
        <w:t> </w:t>
      </w:r>
      <w:r>
        <w:rPr/>
        <w:t>y</w:t>
      </w:r>
      <w:r>
        <w:rPr>
          <w:spacing w:val="-16"/>
        </w:rPr>
        <w:t> </w:t>
      </w:r>
      <w:r>
        <w:rPr/>
        <w:t>dispone</w:t>
      </w:r>
      <w:r>
        <w:rPr>
          <w:spacing w:val="-13"/>
        </w:rPr>
        <w:t> </w:t>
      </w:r>
      <w:r>
        <w:rPr/>
        <w:t>de</w:t>
      </w:r>
      <w:r>
        <w:rPr>
          <w:spacing w:val="-13"/>
        </w:rPr>
        <w:t> </w:t>
      </w:r>
      <w:r>
        <w:rPr/>
        <w:t>elementos</w:t>
      </w:r>
      <w:r>
        <w:rPr>
          <w:spacing w:val="-16"/>
        </w:rPr>
        <w:t> </w:t>
      </w:r>
      <w:r>
        <w:rPr/>
        <w:t>para</w:t>
      </w:r>
      <w:r>
        <w:rPr>
          <w:spacing w:val="-16"/>
        </w:rPr>
        <w:t> </w:t>
      </w:r>
      <w:r>
        <w:rPr/>
        <w:t>poder jerarquizar opciones y decidir por la mejor que le convenga según sus valores  </w:t>
      </w:r>
      <w:r>
        <w:rPr>
          <w:spacing w:val="50"/>
        </w:rPr>
        <w:t> </w:t>
      </w:r>
      <w:r>
        <w:rPr/>
        <w:t>de</w:t>
      </w:r>
    </w:p>
    <w:p>
      <w:pPr>
        <w:spacing w:after="0" w:line="360" w:lineRule="auto"/>
        <w:jc w:val="both"/>
        <w:sectPr>
          <w:pgSz w:w="12240" w:h="15840"/>
          <w:pgMar w:header="0" w:footer="992" w:top="1360" w:bottom="1180" w:left="1600" w:right="1580"/>
        </w:sectPr>
      </w:pPr>
    </w:p>
    <w:p>
      <w:pPr>
        <w:pStyle w:val="BodyText"/>
        <w:spacing w:line="360" w:lineRule="auto" w:before="54"/>
        <w:ind w:left="102" w:right="125"/>
        <w:jc w:val="both"/>
      </w:pPr>
      <w:r>
        <w:rPr/>
        <w:t>jerarquización. Por lo tanto, el presidente municipal es el que cuenta con más información para poder realizar este ejercicio, en contra de los miembros de los órganos de participación ciudadana que avalan las tomas de decisiones.</w:t>
      </w:r>
    </w:p>
    <w:p>
      <w:pPr>
        <w:pStyle w:val="BodyText"/>
        <w:spacing w:before="10"/>
      </w:pPr>
    </w:p>
    <w:p>
      <w:pPr>
        <w:pStyle w:val="Heading2"/>
        <w:spacing w:line="360" w:lineRule="auto"/>
        <w:jc w:val="left"/>
      </w:pPr>
      <w:r>
        <w:rPr/>
        <w:t>Fondo de Aportaciones para el Fortalecimiento de los Municipios y de las Demarcaciones Territoriales del Distrito Federal (FORTAMUNDF)</w:t>
      </w:r>
    </w:p>
    <w:p>
      <w:pPr>
        <w:pStyle w:val="BodyText"/>
        <w:rPr>
          <w:b/>
        </w:rPr>
      </w:pPr>
    </w:p>
    <w:p>
      <w:pPr>
        <w:pStyle w:val="BodyText"/>
        <w:spacing w:line="360" w:lineRule="auto" w:before="142"/>
        <w:ind w:left="102" w:right="120"/>
        <w:jc w:val="both"/>
      </w:pPr>
      <w:r>
        <w:rPr/>
        <w:t>Los recursos que con cargo a este fondo reciban los municipios, se destinaran según lo señalado en el artículo 37 de la Ley de Coordinación Fiscal, para atender sus requerimientos dando cumplimiento principalmente a sus obligaciones financieras, a la modernización de los sistemas de recaudación locales, mantenimiento de infraestructura, y a la atención de las necesidades directamente vinculada  con la seguridad pública.</w:t>
      </w:r>
    </w:p>
    <w:p>
      <w:pPr>
        <w:pStyle w:val="BodyText"/>
        <w:spacing w:line="360" w:lineRule="auto" w:before="204"/>
        <w:ind w:left="102" w:right="115"/>
        <w:jc w:val="both"/>
      </w:pPr>
      <w:r>
        <w:rPr/>
        <w:t>Como resultado de la intervención de la Auditoría Superior de la Federacion de la revision del FORTAMUNDF a los municipios del Estado de México se observa que en el ejercicio fiscal 2008 se auditaron dos municipios que fueron Chimalhuacán y Nezahualcóyotl. El primero se revisó con corte al mes de mayo de 2009, donde se reportó</w:t>
      </w:r>
      <w:r>
        <w:rPr>
          <w:spacing w:val="-9"/>
        </w:rPr>
        <w:t> </w:t>
      </w:r>
      <w:r>
        <w:rPr/>
        <w:t>que</w:t>
      </w:r>
      <w:r>
        <w:rPr>
          <w:spacing w:val="-8"/>
        </w:rPr>
        <w:t> </w:t>
      </w:r>
      <w:r>
        <w:rPr/>
        <w:t>los</w:t>
      </w:r>
      <w:r>
        <w:rPr>
          <w:spacing w:val="-9"/>
        </w:rPr>
        <w:t> </w:t>
      </w:r>
      <w:r>
        <w:rPr/>
        <w:t>recursos</w:t>
      </w:r>
      <w:r>
        <w:rPr>
          <w:spacing w:val="-9"/>
        </w:rPr>
        <w:t> </w:t>
      </w:r>
      <w:r>
        <w:rPr/>
        <w:t>ejercidos</w:t>
      </w:r>
      <w:r>
        <w:rPr>
          <w:spacing w:val="-12"/>
        </w:rPr>
        <w:t> </w:t>
      </w:r>
      <w:r>
        <w:rPr/>
        <w:t>fueron</w:t>
      </w:r>
      <w:r>
        <w:rPr>
          <w:spacing w:val="-8"/>
        </w:rPr>
        <w:t> </w:t>
      </w:r>
      <w:r>
        <w:rPr/>
        <w:t>de</w:t>
      </w:r>
      <w:r>
        <w:rPr>
          <w:spacing w:val="-8"/>
        </w:rPr>
        <w:t> </w:t>
      </w:r>
      <w:r>
        <w:rPr/>
        <w:t>200,497</w:t>
      </w:r>
      <w:r>
        <w:rPr>
          <w:spacing w:val="-11"/>
        </w:rPr>
        <w:t> </w:t>
      </w:r>
      <w:r>
        <w:rPr/>
        <w:t>miles</w:t>
      </w:r>
      <w:r>
        <w:rPr>
          <w:spacing w:val="-12"/>
        </w:rPr>
        <w:t> </w:t>
      </w:r>
      <w:r>
        <w:rPr/>
        <w:t>de</w:t>
      </w:r>
      <w:r>
        <w:rPr>
          <w:spacing w:val="-11"/>
        </w:rPr>
        <w:t> </w:t>
      </w:r>
      <w:r>
        <w:rPr/>
        <w:t>pesos,</w:t>
      </w:r>
      <w:r>
        <w:rPr>
          <w:spacing w:val="-11"/>
        </w:rPr>
        <w:t> </w:t>
      </w:r>
      <w:r>
        <w:rPr/>
        <w:t>destinados</w:t>
      </w:r>
      <w:r>
        <w:rPr>
          <w:spacing w:val="-9"/>
        </w:rPr>
        <w:t> </w:t>
      </w:r>
      <w:r>
        <w:rPr/>
        <w:t>en los rubros de pago de obligaciones que representó el 30.9%, a la atención de las necesidades vinculadas con la seguridad pública de sus habitantes con el 32.1%,</w:t>
      </w:r>
      <w:r>
        <w:rPr>
          <w:spacing w:val="-46"/>
        </w:rPr>
        <w:t> </w:t>
      </w:r>
      <w:r>
        <w:rPr/>
        <w:t>y a otros requerimientos los cuales comprenden obra pública, adquisiciones, energía eléctrica, transferencias al programa hábitat, todo ello represento el 37.0%. Para el caso de Nezahualcóyotl la revisión fue con corte al mes de abril de 2009 donde se reportó un ejercicio de 404,332.5 miles de pesos, donde el destino de los recursos fue principalmente para el pago de sus obligaciones financieras que representó el 13.1%,</w:t>
      </w:r>
      <w:r>
        <w:rPr>
          <w:spacing w:val="-7"/>
        </w:rPr>
        <w:t> </w:t>
      </w:r>
      <w:r>
        <w:rPr/>
        <w:t>seguridad</w:t>
      </w:r>
      <w:r>
        <w:rPr>
          <w:spacing w:val="-7"/>
        </w:rPr>
        <w:t> </w:t>
      </w:r>
      <w:r>
        <w:rPr/>
        <w:t>pública</w:t>
      </w:r>
      <w:r>
        <w:rPr>
          <w:spacing w:val="-5"/>
        </w:rPr>
        <w:t> </w:t>
      </w:r>
      <w:r>
        <w:rPr/>
        <w:t>37.6%</w:t>
      </w:r>
      <w:r>
        <w:rPr>
          <w:spacing w:val="-8"/>
        </w:rPr>
        <w:t> </w:t>
      </w:r>
      <w:r>
        <w:rPr/>
        <w:t>y</w:t>
      </w:r>
      <w:r>
        <w:rPr>
          <w:spacing w:val="-10"/>
        </w:rPr>
        <w:t> </w:t>
      </w:r>
      <w:r>
        <w:rPr/>
        <w:t>otros</w:t>
      </w:r>
      <w:r>
        <w:rPr>
          <w:spacing w:val="-8"/>
        </w:rPr>
        <w:t> </w:t>
      </w:r>
      <w:r>
        <w:rPr/>
        <w:t>requerimientos</w:t>
      </w:r>
      <w:r>
        <w:rPr>
          <w:spacing w:val="-8"/>
        </w:rPr>
        <w:t> </w:t>
      </w:r>
      <w:r>
        <w:rPr/>
        <w:t>49.3%</w:t>
      </w:r>
      <w:r>
        <w:rPr>
          <w:spacing w:val="-8"/>
        </w:rPr>
        <w:t> </w:t>
      </w:r>
      <w:r>
        <w:rPr/>
        <w:t>(pago</w:t>
      </w:r>
      <w:r>
        <w:rPr>
          <w:spacing w:val="-7"/>
        </w:rPr>
        <w:t> </w:t>
      </w:r>
      <w:r>
        <w:rPr/>
        <w:t>de</w:t>
      </w:r>
      <w:r>
        <w:rPr>
          <w:spacing w:val="-7"/>
        </w:rPr>
        <w:t> </w:t>
      </w:r>
      <w:r>
        <w:rPr/>
        <w:t>ISSEMYM, energia</w:t>
      </w:r>
      <w:r>
        <w:rPr>
          <w:spacing w:val="-14"/>
        </w:rPr>
        <w:t> </w:t>
      </w:r>
      <w:r>
        <w:rPr/>
        <w:t>eléctrica,</w:t>
      </w:r>
      <w:r>
        <w:rPr>
          <w:spacing w:val="-14"/>
        </w:rPr>
        <w:t> </w:t>
      </w:r>
      <w:r>
        <w:rPr/>
        <w:t>equipamiento</w:t>
      </w:r>
      <w:r>
        <w:rPr>
          <w:spacing w:val="-14"/>
        </w:rPr>
        <w:t> </w:t>
      </w:r>
      <w:r>
        <w:rPr/>
        <w:t>de</w:t>
      </w:r>
      <w:r>
        <w:rPr>
          <w:spacing w:val="-14"/>
        </w:rPr>
        <w:t> </w:t>
      </w:r>
      <w:r>
        <w:rPr/>
        <w:t>áreas</w:t>
      </w:r>
      <w:r>
        <w:rPr>
          <w:spacing w:val="-15"/>
        </w:rPr>
        <w:t> </w:t>
      </w:r>
      <w:r>
        <w:rPr/>
        <w:t>administrativas,</w:t>
      </w:r>
      <w:r>
        <w:rPr>
          <w:spacing w:val="-14"/>
        </w:rPr>
        <w:t> </w:t>
      </w:r>
      <w:r>
        <w:rPr/>
        <w:t>adquisición</w:t>
      </w:r>
      <w:r>
        <w:rPr>
          <w:spacing w:val="-14"/>
        </w:rPr>
        <w:t> </w:t>
      </w:r>
      <w:r>
        <w:rPr/>
        <w:t>de</w:t>
      </w:r>
      <w:r>
        <w:rPr>
          <w:spacing w:val="-17"/>
        </w:rPr>
        <w:t> </w:t>
      </w:r>
      <w:r>
        <w:rPr/>
        <w:t>máquinaria para la reparación de pavimento asfáltico, programa de apoyo al desarrollo educativo, programa para personas de la tercera edad, mantenimiento de vialidades, entre</w:t>
      </w:r>
      <w:r>
        <w:rPr>
          <w:spacing w:val="-6"/>
        </w:rPr>
        <w:t> </w:t>
      </w:r>
      <w:r>
        <w:rPr/>
        <w:t>otros.</w:t>
      </w:r>
    </w:p>
    <w:p>
      <w:pPr>
        <w:pStyle w:val="BodyText"/>
        <w:spacing w:before="204"/>
        <w:ind w:left="102"/>
        <w:jc w:val="both"/>
      </w:pPr>
      <w:r>
        <w:rPr/>
        <w:t>En 2009 la ASF reviso al municipio de Ecatepec de Morelos y Nezahualcóyotl. Al 31</w:t>
      </w:r>
    </w:p>
    <w:p>
      <w:pPr>
        <w:spacing w:after="0"/>
        <w:jc w:val="both"/>
        <w:sectPr>
          <w:pgSz w:w="12240" w:h="15840"/>
          <w:pgMar w:header="0" w:footer="992" w:top="1360" w:bottom="1180" w:left="1600" w:right="1580"/>
        </w:sectPr>
      </w:pPr>
    </w:p>
    <w:p>
      <w:pPr>
        <w:pStyle w:val="BodyText"/>
        <w:spacing w:line="360" w:lineRule="auto" w:before="54"/>
        <w:ind w:left="102" w:right="116"/>
        <w:jc w:val="both"/>
      </w:pPr>
      <w:r>
        <w:rPr/>
        <w:t>de julio de 2010 Ecatepec ejerció 605,714.7 miles de pesos, que representaron el 89.6%,</w:t>
      </w:r>
      <w:r>
        <w:rPr>
          <w:spacing w:val="-6"/>
        </w:rPr>
        <w:t> </w:t>
      </w:r>
      <w:r>
        <w:rPr/>
        <w:t>aplicados</w:t>
      </w:r>
      <w:r>
        <w:rPr>
          <w:spacing w:val="-7"/>
        </w:rPr>
        <w:t> </w:t>
      </w:r>
      <w:r>
        <w:rPr/>
        <w:t>en</w:t>
      </w:r>
      <w:r>
        <w:rPr>
          <w:spacing w:val="-6"/>
        </w:rPr>
        <w:t> </w:t>
      </w:r>
      <w:r>
        <w:rPr/>
        <w:t>los</w:t>
      </w:r>
      <w:r>
        <w:rPr>
          <w:spacing w:val="-7"/>
        </w:rPr>
        <w:t> </w:t>
      </w:r>
      <w:r>
        <w:rPr/>
        <w:t>rubros</w:t>
      </w:r>
      <w:r>
        <w:rPr>
          <w:spacing w:val="-7"/>
        </w:rPr>
        <w:t> </w:t>
      </w:r>
      <w:r>
        <w:rPr/>
        <w:t>de:</w:t>
      </w:r>
      <w:r>
        <w:rPr>
          <w:spacing w:val="-9"/>
        </w:rPr>
        <w:t> </w:t>
      </w:r>
      <w:r>
        <w:rPr/>
        <w:t>obligaciones</w:t>
      </w:r>
      <w:r>
        <w:rPr>
          <w:spacing w:val="-7"/>
        </w:rPr>
        <w:t> </w:t>
      </w:r>
      <w:r>
        <w:rPr/>
        <w:t>financieras</w:t>
      </w:r>
      <w:r>
        <w:rPr>
          <w:spacing w:val="-7"/>
        </w:rPr>
        <w:t> </w:t>
      </w:r>
      <w:r>
        <w:rPr/>
        <w:t>con</w:t>
      </w:r>
      <w:r>
        <w:rPr>
          <w:spacing w:val="-6"/>
        </w:rPr>
        <w:t> </w:t>
      </w:r>
      <w:r>
        <w:rPr/>
        <w:t>el</w:t>
      </w:r>
      <w:r>
        <w:rPr>
          <w:spacing w:val="-10"/>
        </w:rPr>
        <w:t> </w:t>
      </w:r>
      <w:r>
        <w:rPr/>
        <w:t>12.6%,</w:t>
      </w:r>
      <w:r>
        <w:rPr>
          <w:spacing w:val="-8"/>
        </w:rPr>
        <w:t> </w:t>
      </w:r>
      <w:r>
        <w:rPr/>
        <w:t>pagos</w:t>
      </w:r>
      <w:r>
        <w:rPr>
          <w:spacing w:val="-7"/>
        </w:rPr>
        <w:t> </w:t>
      </w:r>
      <w:r>
        <w:rPr/>
        <w:t>de derechos y aprovechamientos de agua el 17.9%, seguridad pública el 26.1% y en otros requerimientos con el 43.4%. Nuevamente para el año 2009 la ASF auditó a Nezahualcóyotl y dió como resultado que el municipio ejerció 16,031.3 miles de pesos</w:t>
      </w:r>
      <w:r>
        <w:rPr>
          <w:spacing w:val="-12"/>
        </w:rPr>
        <w:t> </w:t>
      </w:r>
      <w:r>
        <w:rPr/>
        <w:t>en</w:t>
      </w:r>
      <w:r>
        <w:rPr>
          <w:spacing w:val="-8"/>
        </w:rPr>
        <w:t> </w:t>
      </w:r>
      <w:r>
        <w:rPr/>
        <w:t>becas</w:t>
      </w:r>
      <w:r>
        <w:rPr>
          <w:spacing w:val="-12"/>
        </w:rPr>
        <w:t> </w:t>
      </w:r>
      <w:r>
        <w:rPr/>
        <w:t>y</w:t>
      </w:r>
      <w:r>
        <w:rPr>
          <w:spacing w:val="-12"/>
        </w:rPr>
        <w:t> </w:t>
      </w:r>
      <w:r>
        <w:rPr/>
        <w:t>dotación</w:t>
      </w:r>
      <w:r>
        <w:rPr>
          <w:spacing w:val="-10"/>
        </w:rPr>
        <w:t> </w:t>
      </w:r>
      <w:r>
        <w:rPr/>
        <w:t>de</w:t>
      </w:r>
      <w:r>
        <w:rPr>
          <w:spacing w:val="-11"/>
        </w:rPr>
        <w:t> </w:t>
      </w:r>
      <w:r>
        <w:rPr/>
        <w:t>útiles</w:t>
      </w:r>
      <w:r>
        <w:rPr>
          <w:spacing w:val="-11"/>
        </w:rPr>
        <w:t> </w:t>
      </w:r>
      <w:r>
        <w:rPr/>
        <w:t>escolares</w:t>
      </w:r>
      <w:r>
        <w:rPr>
          <w:spacing w:val="-9"/>
        </w:rPr>
        <w:t> </w:t>
      </w:r>
      <w:r>
        <w:rPr/>
        <w:t>y</w:t>
      </w:r>
      <w:r>
        <w:rPr>
          <w:spacing w:val="-12"/>
        </w:rPr>
        <w:t> </w:t>
      </w:r>
      <w:r>
        <w:rPr/>
        <w:t>2,248.1,</w:t>
      </w:r>
      <w:r>
        <w:rPr>
          <w:spacing w:val="-11"/>
        </w:rPr>
        <w:t> </w:t>
      </w:r>
      <w:r>
        <w:rPr/>
        <w:t>en</w:t>
      </w:r>
      <w:r>
        <w:rPr>
          <w:spacing w:val="-11"/>
        </w:rPr>
        <w:t> </w:t>
      </w:r>
      <w:r>
        <w:rPr/>
        <w:t>la</w:t>
      </w:r>
      <w:r>
        <w:rPr>
          <w:spacing w:val="-11"/>
        </w:rPr>
        <w:t> </w:t>
      </w:r>
      <w:r>
        <w:rPr/>
        <w:t>compra</w:t>
      </w:r>
      <w:r>
        <w:rPr>
          <w:spacing w:val="-9"/>
        </w:rPr>
        <w:t> </w:t>
      </w:r>
      <w:r>
        <w:rPr/>
        <w:t>de</w:t>
      </w:r>
      <w:r>
        <w:rPr>
          <w:spacing w:val="-5"/>
        </w:rPr>
        <w:t> </w:t>
      </w:r>
      <w:r>
        <w:rPr/>
        <w:t>vehículos.</w:t>
      </w:r>
    </w:p>
    <w:p>
      <w:pPr>
        <w:pStyle w:val="BodyText"/>
        <w:spacing w:line="360" w:lineRule="auto" w:before="204"/>
        <w:ind w:left="102" w:right="116"/>
        <w:jc w:val="both"/>
      </w:pPr>
      <w:r>
        <w:rPr/>
        <w:t>Para 2010 la revisión fue hecha a Ecatepec de Morelos y Naucalpan de Juárez. Dando como hallazgo en el primer caso que el municipio ejerció 608, 535.4 miles de pesos, el 86.3% de lo asigando del fondo, y destinó preferentemente el recurso al pago de obligaciones financieras 30.0%, derechos y aprovechamientos por consumo de agua 20.8%, seguridad pública 22.2 y otros requerimientos 27.0%. la ASF comprobó que Naucalpan aplicó principalmente recursos a la atención de la seguridad pública y a las obligaciones financieras. En el conceto de seguridad pública Naucalpan el 100% de lo ejercido es el pago de la nómina del personal de seguridad pública, de acuerdo con esto el fondo financía una parte sustantiva del gasto del municipio en este rubro. En el pago de obligaciones financieras se destinaron 78,044.1 miles de pesos que significó el 22.7% del gasto ejercido, de este importe el 5.7% correspondió a deuda pública y el 94.3% a pago de pasivos corrientes.</w:t>
      </w:r>
    </w:p>
    <w:p>
      <w:pPr>
        <w:pStyle w:val="BodyText"/>
        <w:spacing w:line="360" w:lineRule="auto" w:before="204"/>
        <w:ind w:left="102" w:right="117"/>
        <w:jc w:val="both"/>
      </w:pPr>
      <w:r>
        <w:rPr/>
        <w:t>Naucalpan de Juárez y Nezahualcóyotl fueron nuevamente elegidos y en la cuenta pública de 2011, fueron auditados. Los resultados de la aplicación de los recursos no variaron en comparación con los otros ejercicios fiscales en que fueron observados. Los rubros de la asignación se fijaron en las obligaciones financieras, seguridad pública y pagos de agua.</w:t>
      </w:r>
    </w:p>
    <w:p>
      <w:pPr>
        <w:pStyle w:val="BodyText"/>
        <w:spacing w:line="360" w:lineRule="auto" w:before="205"/>
        <w:ind w:left="102" w:right="118"/>
        <w:jc w:val="both"/>
      </w:pPr>
      <w:r>
        <w:rPr/>
        <w:t>En 2012 los municipios de Atizapán de Zaragoza, Ecatepec de Morelos, Huixquilucan, Naucalpan de Juárez y Tlalnepantla de Baz son los elejidos para revisión.</w:t>
      </w:r>
      <w:r>
        <w:rPr>
          <w:spacing w:val="-7"/>
        </w:rPr>
        <w:t> </w:t>
      </w:r>
      <w:r>
        <w:rPr/>
        <w:t>De</w:t>
      </w:r>
      <w:r>
        <w:rPr>
          <w:spacing w:val="-7"/>
        </w:rPr>
        <w:t> </w:t>
      </w:r>
      <w:r>
        <w:rPr/>
        <w:t>los</w:t>
      </w:r>
      <w:r>
        <w:rPr>
          <w:spacing w:val="-7"/>
        </w:rPr>
        <w:t> </w:t>
      </w:r>
      <w:r>
        <w:rPr/>
        <w:t>cuale</w:t>
      </w:r>
      <w:r>
        <w:rPr>
          <w:spacing w:val="-10"/>
        </w:rPr>
        <w:t> </w:t>
      </w:r>
      <w:r>
        <w:rPr/>
        <w:t>Atizapán,</w:t>
      </w:r>
      <w:r>
        <w:rPr>
          <w:spacing w:val="-7"/>
        </w:rPr>
        <w:t> </w:t>
      </w:r>
      <w:r>
        <w:rPr/>
        <w:t>Huixquilucan</w:t>
      </w:r>
      <w:r>
        <w:rPr>
          <w:spacing w:val="-9"/>
        </w:rPr>
        <w:t> </w:t>
      </w:r>
      <w:r>
        <w:rPr/>
        <w:t>y</w:t>
      </w:r>
      <w:r>
        <w:rPr>
          <w:spacing w:val="-9"/>
        </w:rPr>
        <w:t> </w:t>
      </w:r>
      <w:r>
        <w:rPr/>
        <w:t>Tlalnepantla,</w:t>
      </w:r>
      <w:r>
        <w:rPr>
          <w:spacing w:val="-6"/>
        </w:rPr>
        <w:t> </w:t>
      </w:r>
      <w:r>
        <w:rPr/>
        <w:t>fueron</w:t>
      </w:r>
      <w:r>
        <w:rPr>
          <w:spacing w:val="-8"/>
        </w:rPr>
        <w:t> </w:t>
      </w:r>
      <w:r>
        <w:rPr/>
        <w:t>observados</w:t>
      </w:r>
      <w:r>
        <w:rPr>
          <w:spacing w:val="-9"/>
        </w:rPr>
        <w:t> </w:t>
      </w:r>
      <w:r>
        <w:rPr/>
        <w:t>por primera vez en este año</w:t>
      </w:r>
      <w:r>
        <w:rPr>
          <w:spacing w:val="-10"/>
        </w:rPr>
        <w:t> </w:t>
      </w:r>
      <w:r>
        <w:rPr/>
        <w:t>fiscal.</w:t>
      </w:r>
    </w:p>
    <w:p>
      <w:pPr>
        <w:pStyle w:val="BodyText"/>
        <w:spacing w:before="202"/>
        <w:ind w:left="102"/>
        <w:jc w:val="both"/>
      </w:pPr>
      <w:r>
        <w:rPr/>
        <w:t>Atizapán</w:t>
      </w:r>
      <w:r>
        <w:rPr>
          <w:spacing w:val="-13"/>
        </w:rPr>
        <w:t> </w:t>
      </w:r>
      <w:r>
        <w:rPr/>
        <w:t>de</w:t>
      </w:r>
      <w:r>
        <w:rPr>
          <w:spacing w:val="-13"/>
        </w:rPr>
        <w:t> </w:t>
      </w:r>
      <w:r>
        <w:rPr/>
        <w:t>Zaragoza</w:t>
      </w:r>
      <w:r>
        <w:rPr>
          <w:spacing w:val="-16"/>
        </w:rPr>
        <w:t> </w:t>
      </w:r>
      <w:r>
        <w:rPr/>
        <w:t>al</w:t>
      </w:r>
      <w:r>
        <w:rPr>
          <w:spacing w:val="-14"/>
        </w:rPr>
        <w:t> </w:t>
      </w:r>
      <w:r>
        <w:rPr/>
        <w:t>31</w:t>
      </w:r>
      <w:r>
        <w:rPr>
          <w:spacing w:val="-16"/>
        </w:rPr>
        <w:t> </w:t>
      </w:r>
      <w:r>
        <w:rPr/>
        <w:t>de</w:t>
      </w:r>
      <w:r>
        <w:rPr>
          <w:spacing w:val="-15"/>
        </w:rPr>
        <w:t> </w:t>
      </w:r>
      <w:r>
        <w:rPr/>
        <w:t>diciembre</w:t>
      </w:r>
      <w:r>
        <w:rPr>
          <w:spacing w:val="-16"/>
        </w:rPr>
        <w:t> </w:t>
      </w:r>
      <w:r>
        <w:rPr/>
        <w:t>de</w:t>
      </w:r>
      <w:r>
        <w:rPr>
          <w:spacing w:val="-16"/>
        </w:rPr>
        <w:t> </w:t>
      </w:r>
      <w:r>
        <w:rPr/>
        <w:t>2012</w:t>
      </w:r>
      <w:r>
        <w:rPr>
          <w:spacing w:val="-13"/>
        </w:rPr>
        <w:t> </w:t>
      </w:r>
      <w:r>
        <w:rPr/>
        <w:t>y</w:t>
      </w:r>
      <w:r>
        <w:rPr>
          <w:spacing w:val="-16"/>
        </w:rPr>
        <w:t> </w:t>
      </w:r>
      <w:r>
        <w:rPr/>
        <w:t>al</w:t>
      </w:r>
      <w:r>
        <w:rPr>
          <w:spacing w:val="-17"/>
        </w:rPr>
        <w:t> </w:t>
      </w:r>
      <w:r>
        <w:rPr/>
        <w:t>31</w:t>
      </w:r>
      <w:r>
        <w:rPr>
          <w:spacing w:val="-16"/>
        </w:rPr>
        <w:t> </w:t>
      </w:r>
      <w:r>
        <w:rPr/>
        <w:t>de</w:t>
      </w:r>
      <w:r>
        <w:rPr>
          <w:spacing w:val="-16"/>
        </w:rPr>
        <w:t> </w:t>
      </w:r>
      <w:r>
        <w:rPr/>
        <w:t>marzo</w:t>
      </w:r>
      <w:r>
        <w:rPr>
          <w:spacing w:val="-13"/>
        </w:rPr>
        <w:t> </w:t>
      </w:r>
      <w:r>
        <w:rPr/>
        <w:t>de</w:t>
      </w:r>
      <w:r>
        <w:rPr>
          <w:spacing w:val="-13"/>
        </w:rPr>
        <w:t> </w:t>
      </w:r>
      <w:r>
        <w:rPr/>
        <w:t>2013</w:t>
      </w:r>
      <w:r>
        <w:rPr>
          <w:spacing w:val="-16"/>
        </w:rPr>
        <w:t> </w:t>
      </w:r>
      <w:r>
        <w:rPr/>
        <w:t>ejercició</w:t>
      </w:r>
    </w:p>
    <w:p>
      <w:pPr>
        <w:spacing w:after="0"/>
        <w:jc w:val="both"/>
        <w:sectPr>
          <w:pgSz w:w="12240" w:h="15840"/>
          <w:pgMar w:header="0" w:footer="992" w:top="1360" w:bottom="1180" w:left="1600" w:right="1580"/>
        </w:sectPr>
      </w:pPr>
    </w:p>
    <w:p>
      <w:pPr>
        <w:pStyle w:val="BodyText"/>
        <w:spacing w:line="360" w:lineRule="auto" w:before="54"/>
        <w:ind w:left="102" w:right="118"/>
        <w:jc w:val="both"/>
      </w:pPr>
      <w:r>
        <w:rPr/>
        <w:t>un total de recursos de 215,029.8 miles de pesos que simboliza el 97.7% de lo asignado.</w:t>
      </w:r>
      <w:r>
        <w:rPr>
          <w:spacing w:val="-16"/>
        </w:rPr>
        <w:t> </w:t>
      </w:r>
      <w:r>
        <w:rPr/>
        <w:t>El</w:t>
      </w:r>
      <w:r>
        <w:rPr>
          <w:spacing w:val="-14"/>
        </w:rPr>
        <w:t> </w:t>
      </w:r>
      <w:r>
        <w:rPr/>
        <w:t>destino</w:t>
      </w:r>
      <w:r>
        <w:rPr>
          <w:spacing w:val="-16"/>
        </w:rPr>
        <w:t> </w:t>
      </w:r>
      <w:r>
        <w:rPr/>
        <w:t>del</w:t>
      </w:r>
      <w:r>
        <w:rPr>
          <w:spacing w:val="-14"/>
        </w:rPr>
        <w:t> </w:t>
      </w:r>
      <w:r>
        <w:rPr/>
        <w:t>recurso</w:t>
      </w:r>
      <w:r>
        <w:rPr>
          <w:spacing w:val="-16"/>
        </w:rPr>
        <w:t> </w:t>
      </w:r>
      <w:r>
        <w:rPr/>
        <w:t>fue</w:t>
      </w:r>
      <w:r>
        <w:rPr>
          <w:spacing w:val="-13"/>
        </w:rPr>
        <w:t> </w:t>
      </w:r>
      <w:r>
        <w:rPr/>
        <w:t>para</w:t>
      </w:r>
      <w:r>
        <w:rPr>
          <w:spacing w:val="-14"/>
        </w:rPr>
        <w:t> </w:t>
      </w:r>
      <w:r>
        <w:rPr/>
        <w:t>pago</w:t>
      </w:r>
      <w:r>
        <w:rPr>
          <w:spacing w:val="-13"/>
        </w:rPr>
        <w:t> </w:t>
      </w:r>
      <w:r>
        <w:rPr/>
        <w:t>de</w:t>
      </w:r>
      <w:r>
        <w:rPr>
          <w:spacing w:val="-16"/>
        </w:rPr>
        <w:t> </w:t>
      </w:r>
      <w:r>
        <w:rPr/>
        <w:t>derechos</w:t>
      </w:r>
      <w:r>
        <w:rPr>
          <w:spacing w:val="-14"/>
        </w:rPr>
        <w:t> </w:t>
      </w:r>
      <w:r>
        <w:rPr/>
        <w:t>y</w:t>
      </w:r>
      <w:r>
        <w:rPr>
          <w:spacing w:val="-16"/>
        </w:rPr>
        <w:t> </w:t>
      </w:r>
      <w:r>
        <w:rPr/>
        <w:t>aprovechamientos</w:t>
      </w:r>
      <w:r>
        <w:rPr>
          <w:spacing w:val="-14"/>
        </w:rPr>
        <w:t> </w:t>
      </w:r>
      <w:r>
        <w:rPr/>
        <w:t>por concepto de agua 70.0%, obligaciones financieras 12.6%, seguridad pública 9.6% y otros requerimientos (proyecto de ahorro de energía en el sistema de alumbrado público)</w:t>
      </w:r>
      <w:r>
        <w:rPr>
          <w:spacing w:val="-3"/>
        </w:rPr>
        <w:t> </w:t>
      </w:r>
      <w:r>
        <w:rPr/>
        <w:t>5.5%.</w:t>
      </w:r>
    </w:p>
    <w:p>
      <w:pPr>
        <w:pStyle w:val="BodyText"/>
        <w:spacing w:line="360" w:lineRule="auto" w:before="204"/>
        <w:ind w:left="102" w:right="124"/>
        <w:jc w:val="both"/>
      </w:pPr>
      <w:r>
        <w:rPr/>
        <w:t>Huixquilucan reportó un ejercicio de 106,096.9 miles de pesos que representó el 97.5% de lo asignado, la aplicación de estos fue en seguridad pública principalmente en servicios personales con el 30% de los recursos, y para el pago de derechos y aprovechamientos por concepto de agua el 70%.</w:t>
      </w:r>
    </w:p>
    <w:p>
      <w:pPr>
        <w:pStyle w:val="BodyText"/>
        <w:spacing w:line="360" w:lineRule="auto" w:before="202"/>
        <w:ind w:left="102" w:right="115"/>
        <w:jc w:val="both"/>
      </w:pPr>
      <w:r>
        <w:rPr/>
        <w:t>De los recursos asignados a Tlalnepantla de Baz por 298,431.6, se constató que</w:t>
      </w:r>
      <w:r>
        <w:rPr>
          <w:spacing w:val="-32"/>
        </w:rPr>
        <w:t> </w:t>
      </w:r>
      <w:r>
        <w:rPr/>
        <w:t>al 31 de diciembre de 2012 se ejercieron en su totalidad lo asignado significando el 100%. Se observa de nueva cuenta en comparación con los otros municipios ya auditados en años anteriores que se sigue invirtiendo en seguridad pública preferentemente en servicios personales 46.2%, obligaciones financieras 24.4%, pago</w:t>
      </w:r>
      <w:r>
        <w:rPr>
          <w:spacing w:val="-17"/>
        </w:rPr>
        <w:t> </w:t>
      </w:r>
      <w:r>
        <w:rPr/>
        <w:t>de</w:t>
      </w:r>
      <w:r>
        <w:rPr>
          <w:spacing w:val="-19"/>
        </w:rPr>
        <w:t> </w:t>
      </w:r>
      <w:r>
        <w:rPr/>
        <w:t>pasivos</w:t>
      </w:r>
      <w:r>
        <w:rPr>
          <w:spacing w:val="-17"/>
        </w:rPr>
        <w:t> </w:t>
      </w:r>
      <w:r>
        <w:rPr/>
        <w:t>6.1%,</w:t>
      </w:r>
      <w:r>
        <w:rPr>
          <w:spacing w:val="-21"/>
        </w:rPr>
        <w:t> </w:t>
      </w:r>
      <w:r>
        <w:rPr/>
        <w:t>deuda</w:t>
      </w:r>
      <w:r>
        <w:rPr>
          <w:spacing w:val="-19"/>
        </w:rPr>
        <w:t> </w:t>
      </w:r>
      <w:r>
        <w:rPr/>
        <w:t>pública</w:t>
      </w:r>
      <w:r>
        <w:rPr>
          <w:spacing w:val="-19"/>
        </w:rPr>
        <w:t> </w:t>
      </w:r>
      <w:r>
        <w:rPr/>
        <w:t>18.3%,</w:t>
      </w:r>
      <w:r>
        <w:rPr>
          <w:spacing w:val="-19"/>
        </w:rPr>
        <w:t> </w:t>
      </w:r>
      <w:r>
        <w:rPr/>
        <w:t>pago</w:t>
      </w:r>
      <w:r>
        <w:rPr>
          <w:spacing w:val="-17"/>
        </w:rPr>
        <w:t> </w:t>
      </w:r>
      <w:r>
        <w:rPr/>
        <w:t>de</w:t>
      </w:r>
      <w:r>
        <w:rPr>
          <w:spacing w:val="-19"/>
        </w:rPr>
        <w:t> </w:t>
      </w:r>
      <w:r>
        <w:rPr/>
        <w:t>derechos</w:t>
      </w:r>
      <w:r>
        <w:rPr>
          <w:spacing w:val="-20"/>
        </w:rPr>
        <w:t> </w:t>
      </w:r>
      <w:r>
        <w:rPr/>
        <w:t>y</w:t>
      </w:r>
      <w:r>
        <w:rPr>
          <w:spacing w:val="-20"/>
        </w:rPr>
        <w:t> </w:t>
      </w:r>
      <w:r>
        <w:rPr/>
        <w:t>aprovechamientos por concepto de agua</w:t>
      </w:r>
      <w:r>
        <w:rPr>
          <w:spacing w:val="-15"/>
        </w:rPr>
        <w:t> </w:t>
      </w:r>
      <w:r>
        <w:rPr/>
        <w:t>29.4%.</w:t>
      </w:r>
    </w:p>
    <w:p>
      <w:pPr>
        <w:pStyle w:val="BodyText"/>
        <w:spacing w:line="360" w:lineRule="auto" w:before="204"/>
        <w:ind w:left="102" w:right="126"/>
        <w:jc w:val="both"/>
      </w:pPr>
      <w:r>
        <w:rPr/>
        <w:t>En 2013 sólo fue auditado un municipio Ecatepec de Morelos, y en 2014 no hubo ningun municipio elegido para ser observado.</w:t>
      </w:r>
    </w:p>
    <w:p>
      <w:pPr>
        <w:pStyle w:val="BodyText"/>
      </w:pPr>
    </w:p>
    <w:p>
      <w:pPr>
        <w:pStyle w:val="BodyText"/>
      </w:pPr>
    </w:p>
    <w:p>
      <w:pPr>
        <w:pStyle w:val="BodyText"/>
      </w:pPr>
    </w:p>
    <w:p>
      <w:pPr>
        <w:pStyle w:val="BodyText"/>
        <w:spacing w:before="1"/>
        <w:rPr>
          <w:sz w:val="20"/>
        </w:rPr>
      </w:pPr>
    </w:p>
    <w:p>
      <w:pPr>
        <w:pStyle w:val="Heading1"/>
        <w:numPr>
          <w:ilvl w:val="1"/>
          <w:numId w:val="55"/>
        </w:numPr>
        <w:tabs>
          <w:tab w:pos="1424" w:val="left" w:leader="none"/>
          <w:tab w:pos="1425" w:val="left" w:leader="none"/>
        </w:tabs>
        <w:spacing w:line="240" w:lineRule="auto" w:before="0" w:after="0"/>
        <w:ind w:left="1424" w:right="0" w:hanging="720"/>
        <w:jc w:val="left"/>
      </w:pPr>
      <w:r>
        <w:rPr/>
        <w:t>Decisiones del Gobierno Municipal (Administración</w:t>
      </w:r>
      <w:r>
        <w:rPr>
          <w:spacing w:val="-20"/>
        </w:rPr>
        <w:t> </w:t>
      </w:r>
      <w:r>
        <w:rPr/>
        <w:t>y</w:t>
      </w:r>
    </w:p>
    <w:p>
      <w:pPr>
        <w:spacing w:before="2"/>
        <w:ind w:left="3220" w:right="0" w:firstLine="0"/>
        <w:jc w:val="left"/>
        <w:rPr>
          <w:b/>
          <w:sz w:val="28"/>
        </w:rPr>
      </w:pPr>
      <w:r>
        <w:rPr>
          <w:b/>
          <w:sz w:val="28"/>
        </w:rPr>
        <w:t>Ejercicio de los Recursos)</w:t>
      </w:r>
    </w:p>
    <w:p>
      <w:pPr>
        <w:pStyle w:val="BodyText"/>
        <w:rPr>
          <w:b/>
          <w:sz w:val="28"/>
        </w:rPr>
      </w:pPr>
    </w:p>
    <w:p>
      <w:pPr>
        <w:pStyle w:val="BodyText"/>
        <w:rPr>
          <w:b/>
          <w:sz w:val="28"/>
        </w:rPr>
      </w:pPr>
    </w:p>
    <w:p>
      <w:pPr>
        <w:pStyle w:val="BodyText"/>
        <w:spacing w:before="6"/>
        <w:rPr>
          <w:b/>
          <w:sz w:val="30"/>
        </w:rPr>
      </w:pPr>
    </w:p>
    <w:p>
      <w:pPr>
        <w:pStyle w:val="BodyText"/>
        <w:spacing w:line="360" w:lineRule="auto"/>
        <w:ind w:left="102" w:right="118"/>
        <w:jc w:val="both"/>
      </w:pPr>
      <w:r>
        <w:rPr/>
        <w:t>Los Ayuntamientos asumen plenamente y por sí mismos, la correcta aplicación y ejercicio de los recursos públicos de los fondos en su vertiente municipal, así</w:t>
      </w:r>
      <w:r>
        <w:rPr>
          <w:spacing w:val="-32"/>
        </w:rPr>
        <w:t> </w:t>
      </w:r>
      <w:r>
        <w:rPr/>
        <w:t>como el resguardo y custodia de la documentación comprobatoria del gasto, atendiendo al cumplimiento de las disposiciones</w:t>
      </w:r>
      <w:r>
        <w:rPr>
          <w:spacing w:val="-16"/>
        </w:rPr>
        <w:t> </w:t>
      </w:r>
      <w:r>
        <w:rPr/>
        <w:t>aplicables.</w:t>
      </w:r>
    </w:p>
    <w:p>
      <w:pPr>
        <w:pStyle w:val="BodyText"/>
        <w:spacing w:before="204"/>
        <w:ind w:left="102"/>
        <w:jc w:val="both"/>
      </w:pPr>
      <w:r>
        <w:rPr/>
        <w:t>El artículo 115 constitucional señala que el municipio es el responsable de  brindar</w:t>
      </w:r>
    </w:p>
    <w:p>
      <w:pPr>
        <w:spacing w:after="0"/>
        <w:jc w:val="both"/>
        <w:sectPr>
          <w:pgSz w:w="12240" w:h="15840"/>
          <w:pgMar w:header="0" w:footer="992" w:top="1360" w:bottom="1180" w:left="1600" w:right="1580"/>
        </w:sectPr>
      </w:pPr>
    </w:p>
    <w:p>
      <w:pPr>
        <w:pStyle w:val="BodyText"/>
        <w:spacing w:line="360" w:lineRule="auto" w:before="54"/>
        <w:ind w:left="102" w:right="112"/>
        <w:jc w:val="both"/>
      </w:pPr>
      <w:r>
        <w:rPr/>
        <w:t>y ofrecer los servicios de agua potable, alcantarillado, drenaje, alumbrado público</w:t>
      </w:r>
      <w:r>
        <w:rPr>
          <w:spacing w:val="-43"/>
        </w:rPr>
        <w:t> </w:t>
      </w:r>
      <w:r>
        <w:rPr/>
        <w:t>y las demás determinadas en dicho precepto jurídico. Por, ello el municipio requiere de recursos económicos que le permitan atender oportunamente </w:t>
      </w:r>
      <w:r>
        <w:rPr>
          <w:spacing w:val="3"/>
        </w:rPr>
        <w:t>las </w:t>
      </w:r>
      <w:r>
        <w:rPr/>
        <w:t>demandas ciudadanas, por lo que cuenta con sus ingresos propios, participaciones y aportaciones</w:t>
      </w:r>
      <w:r>
        <w:rPr>
          <w:spacing w:val="-17"/>
        </w:rPr>
        <w:t> </w:t>
      </w:r>
      <w:r>
        <w:rPr/>
        <w:t>federales.</w:t>
      </w:r>
      <w:r>
        <w:rPr>
          <w:spacing w:val="-12"/>
        </w:rPr>
        <w:t> </w:t>
      </w:r>
      <w:r>
        <w:rPr/>
        <w:t>Con</w:t>
      </w:r>
      <w:r>
        <w:rPr>
          <w:spacing w:val="-14"/>
        </w:rPr>
        <w:t> </w:t>
      </w:r>
      <w:r>
        <w:rPr/>
        <w:t>la</w:t>
      </w:r>
      <w:r>
        <w:rPr>
          <w:spacing w:val="-12"/>
        </w:rPr>
        <w:t> </w:t>
      </w:r>
      <w:r>
        <w:rPr/>
        <w:t>Aportaciones</w:t>
      </w:r>
      <w:r>
        <w:rPr>
          <w:spacing w:val="-17"/>
        </w:rPr>
        <w:t> </w:t>
      </w:r>
      <w:r>
        <w:rPr/>
        <w:t>Federales,</w:t>
      </w:r>
      <w:r>
        <w:rPr>
          <w:spacing w:val="-12"/>
        </w:rPr>
        <w:t> </w:t>
      </w:r>
      <w:r>
        <w:rPr/>
        <w:t>puede</w:t>
      </w:r>
      <w:r>
        <w:rPr>
          <w:spacing w:val="-12"/>
        </w:rPr>
        <w:t> </w:t>
      </w:r>
      <w:r>
        <w:rPr/>
        <w:t>cubrir</w:t>
      </w:r>
      <w:r>
        <w:rPr>
          <w:spacing w:val="-13"/>
        </w:rPr>
        <w:t> </w:t>
      </w:r>
      <w:r>
        <w:rPr/>
        <w:t>algunos</w:t>
      </w:r>
      <w:r>
        <w:rPr>
          <w:spacing w:val="-7"/>
        </w:rPr>
        <w:t> </w:t>
      </w:r>
      <w:r>
        <w:rPr/>
        <w:t>de</w:t>
      </w:r>
      <w:r>
        <w:rPr>
          <w:spacing w:val="-12"/>
        </w:rPr>
        <w:t> </w:t>
      </w:r>
      <w:r>
        <w:rPr/>
        <w:t>los servicios</w:t>
      </w:r>
      <w:r>
        <w:rPr>
          <w:spacing w:val="-9"/>
        </w:rPr>
        <w:t> </w:t>
      </w:r>
      <w:r>
        <w:rPr/>
        <w:t>enunciados</w:t>
      </w:r>
      <w:r>
        <w:rPr>
          <w:spacing w:val="-12"/>
        </w:rPr>
        <w:t> </w:t>
      </w:r>
      <w:r>
        <w:rPr/>
        <w:t>en</w:t>
      </w:r>
      <w:r>
        <w:rPr>
          <w:spacing w:val="-8"/>
        </w:rPr>
        <w:t> </w:t>
      </w:r>
      <w:r>
        <w:rPr/>
        <w:t>el</w:t>
      </w:r>
      <w:r>
        <w:rPr>
          <w:spacing w:val="-10"/>
        </w:rPr>
        <w:t> </w:t>
      </w:r>
      <w:r>
        <w:rPr/>
        <w:t>precepto</w:t>
      </w:r>
      <w:r>
        <w:rPr>
          <w:spacing w:val="-8"/>
        </w:rPr>
        <w:t> </w:t>
      </w:r>
      <w:r>
        <w:rPr/>
        <w:t>jurídico</w:t>
      </w:r>
      <w:r>
        <w:rPr>
          <w:spacing w:val="-9"/>
        </w:rPr>
        <w:t> </w:t>
      </w:r>
      <w:r>
        <w:rPr/>
        <w:t>constitucional.</w:t>
      </w:r>
      <w:r>
        <w:rPr>
          <w:spacing w:val="-9"/>
        </w:rPr>
        <w:t> </w:t>
      </w:r>
      <w:r>
        <w:rPr/>
        <w:t>De</w:t>
      </w:r>
      <w:r>
        <w:rPr>
          <w:spacing w:val="-11"/>
        </w:rPr>
        <w:t> </w:t>
      </w:r>
      <w:r>
        <w:rPr/>
        <w:t>ahí</w:t>
      </w:r>
      <w:r>
        <w:rPr>
          <w:spacing w:val="-11"/>
        </w:rPr>
        <w:t> </w:t>
      </w:r>
      <w:r>
        <w:rPr/>
        <w:t>la</w:t>
      </w:r>
      <w:r>
        <w:rPr>
          <w:spacing w:val="-11"/>
        </w:rPr>
        <w:t> </w:t>
      </w:r>
      <w:r>
        <w:rPr/>
        <w:t>importancia</w:t>
      </w:r>
      <w:r>
        <w:rPr>
          <w:spacing w:val="-9"/>
        </w:rPr>
        <w:t> </w:t>
      </w:r>
      <w:r>
        <w:rPr/>
        <w:t>de estos, y la gran dependencia económica que se tiene de estas</w:t>
      </w:r>
      <w:r>
        <w:rPr>
          <w:spacing w:val="-24"/>
        </w:rPr>
        <w:t> </w:t>
      </w:r>
      <w:r>
        <w:rPr/>
        <w:t>transferencias.</w:t>
      </w:r>
    </w:p>
    <w:p>
      <w:pPr>
        <w:pStyle w:val="BodyText"/>
        <w:spacing w:line="360" w:lineRule="auto" w:before="204"/>
        <w:ind w:left="102" w:right="116"/>
        <w:jc w:val="both"/>
      </w:pPr>
      <w:r>
        <w:rPr/>
        <w:t>Abriendo un paréntesis, sólo para ejemplicar en términos reales esa dependencia económica, se toman en cuenta 12 de los 35 municipios de nuestro estudio. Para ello,</w:t>
      </w:r>
      <w:r>
        <w:rPr>
          <w:spacing w:val="-7"/>
        </w:rPr>
        <w:t> </w:t>
      </w:r>
      <w:r>
        <w:rPr/>
        <w:t>se</w:t>
      </w:r>
      <w:r>
        <w:rPr>
          <w:spacing w:val="-9"/>
        </w:rPr>
        <w:t> </w:t>
      </w:r>
      <w:r>
        <w:rPr/>
        <w:t>tomó</w:t>
      </w:r>
      <w:r>
        <w:rPr>
          <w:spacing w:val="-7"/>
        </w:rPr>
        <w:t> </w:t>
      </w:r>
      <w:r>
        <w:rPr/>
        <w:t>como</w:t>
      </w:r>
      <w:r>
        <w:rPr>
          <w:spacing w:val="-9"/>
        </w:rPr>
        <w:t> </w:t>
      </w:r>
      <w:r>
        <w:rPr/>
        <w:t>base</w:t>
      </w:r>
      <w:r>
        <w:rPr>
          <w:spacing w:val="-7"/>
        </w:rPr>
        <w:t> </w:t>
      </w:r>
      <w:r>
        <w:rPr/>
        <w:t>los</w:t>
      </w:r>
      <w:r>
        <w:rPr>
          <w:spacing w:val="-10"/>
        </w:rPr>
        <w:t> </w:t>
      </w:r>
      <w:r>
        <w:rPr/>
        <w:t>Informes</w:t>
      </w:r>
      <w:r>
        <w:rPr>
          <w:spacing w:val="-10"/>
        </w:rPr>
        <w:t> </w:t>
      </w:r>
      <w:r>
        <w:rPr/>
        <w:t>de</w:t>
      </w:r>
      <w:r>
        <w:rPr>
          <w:spacing w:val="-7"/>
        </w:rPr>
        <w:t> </w:t>
      </w:r>
      <w:r>
        <w:rPr/>
        <w:t>Resultados</w:t>
      </w:r>
      <w:r>
        <w:rPr>
          <w:spacing w:val="-10"/>
        </w:rPr>
        <w:t> </w:t>
      </w:r>
      <w:r>
        <w:rPr/>
        <w:t>de</w:t>
      </w:r>
      <w:r>
        <w:rPr>
          <w:spacing w:val="-9"/>
        </w:rPr>
        <w:t> </w:t>
      </w:r>
      <w:r>
        <w:rPr/>
        <w:t>la</w:t>
      </w:r>
      <w:r>
        <w:rPr>
          <w:spacing w:val="-10"/>
        </w:rPr>
        <w:t> </w:t>
      </w:r>
      <w:r>
        <w:rPr/>
        <w:t>Fiscalización</w:t>
      </w:r>
      <w:r>
        <w:rPr>
          <w:spacing w:val="-9"/>
        </w:rPr>
        <w:t> </w:t>
      </w:r>
      <w:r>
        <w:rPr/>
        <w:t>Superior</w:t>
      </w:r>
      <w:r>
        <w:rPr>
          <w:spacing w:val="-8"/>
        </w:rPr>
        <w:t> </w:t>
      </w:r>
      <w:r>
        <w:rPr/>
        <w:t>de las Cuentas Públicas del Estado de México y Municipios del ejercicio fiscal 2014. Los ingresos de los municipios del Estado Mexiquense, primeramente se integran por</w:t>
      </w:r>
      <w:r>
        <w:rPr>
          <w:spacing w:val="-6"/>
        </w:rPr>
        <w:t> </w:t>
      </w:r>
      <w:r>
        <w:rPr/>
        <w:t>los</w:t>
      </w:r>
      <w:r>
        <w:rPr>
          <w:spacing w:val="-5"/>
        </w:rPr>
        <w:t> </w:t>
      </w:r>
      <w:r>
        <w:rPr/>
        <w:t>ingresos</w:t>
      </w:r>
      <w:r>
        <w:rPr>
          <w:spacing w:val="-6"/>
        </w:rPr>
        <w:t> </w:t>
      </w:r>
      <w:r>
        <w:rPr/>
        <w:t>de</w:t>
      </w:r>
      <w:r>
        <w:rPr>
          <w:spacing w:val="-5"/>
        </w:rPr>
        <w:t> </w:t>
      </w:r>
      <w:r>
        <w:rPr/>
        <w:t>gestión,</w:t>
      </w:r>
      <w:r>
        <w:rPr>
          <w:spacing w:val="-5"/>
        </w:rPr>
        <w:t> </w:t>
      </w:r>
      <w:r>
        <w:rPr/>
        <w:t>después</w:t>
      </w:r>
      <w:r>
        <w:rPr>
          <w:spacing w:val="-6"/>
        </w:rPr>
        <w:t> </w:t>
      </w:r>
      <w:r>
        <w:rPr/>
        <w:t>por</w:t>
      </w:r>
      <w:r>
        <w:rPr>
          <w:spacing w:val="-6"/>
        </w:rPr>
        <w:t> </w:t>
      </w:r>
      <w:r>
        <w:rPr/>
        <w:t>las</w:t>
      </w:r>
      <w:r>
        <w:rPr>
          <w:spacing w:val="-8"/>
        </w:rPr>
        <w:t> </w:t>
      </w:r>
      <w:r>
        <w:rPr/>
        <w:t>participaciones</w:t>
      </w:r>
      <w:r>
        <w:rPr>
          <w:spacing w:val="-8"/>
        </w:rPr>
        <w:t> </w:t>
      </w:r>
      <w:r>
        <w:rPr/>
        <w:t>federales,</w:t>
      </w:r>
      <w:r>
        <w:rPr>
          <w:spacing w:val="-5"/>
        </w:rPr>
        <w:t> </w:t>
      </w:r>
      <w:r>
        <w:rPr/>
        <w:t>el</w:t>
      </w:r>
      <w:r>
        <w:rPr>
          <w:spacing w:val="-6"/>
        </w:rPr>
        <w:t> </w:t>
      </w:r>
      <w:r>
        <w:rPr/>
        <w:t>FISMDF</w:t>
      </w:r>
      <w:r>
        <w:rPr>
          <w:spacing w:val="-6"/>
        </w:rPr>
        <w:t> </w:t>
      </w:r>
      <w:r>
        <w:rPr/>
        <w:t>y FORTAMUNDF, participaciones estatales y otros ingresos como se muestran en el cuadro</w:t>
      </w:r>
      <w:r>
        <w:rPr>
          <w:spacing w:val="-4"/>
        </w:rPr>
        <w:t> </w:t>
      </w:r>
      <w:r>
        <w:rPr/>
        <w:t>siguiente.</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3"/>
        </w:rPr>
      </w:pPr>
    </w:p>
    <w:p>
      <w:pPr>
        <w:pStyle w:val="Heading2"/>
        <w:ind w:left="2173"/>
        <w:jc w:val="left"/>
      </w:pPr>
      <w:r>
        <w:rPr/>
        <w:t>Cuadro 9. Ingresos de los Municipios (%)</w:t>
      </w:r>
    </w:p>
    <w:p>
      <w:pPr>
        <w:pStyle w:val="BodyText"/>
        <w:spacing w:before="6" w:after="1"/>
        <w:rPr>
          <w:b/>
          <w:sz w:val="2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67"/>
        <w:gridCol w:w="939"/>
        <w:gridCol w:w="1523"/>
        <w:gridCol w:w="862"/>
        <w:gridCol w:w="1457"/>
        <w:gridCol w:w="1526"/>
        <w:gridCol w:w="947"/>
      </w:tblGrid>
      <w:tr>
        <w:trPr>
          <w:trHeight w:val="650" w:hRule="exact"/>
        </w:trPr>
        <w:tc>
          <w:tcPr>
            <w:tcW w:w="1567" w:type="dxa"/>
            <w:shd w:val="clear" w:color="auto" w:fill="000000"/>
          </w:tcPr>
          <w:p>
            <w:pPr>
              <w:pStyle w:val="TableParagraph"/>
              <w:spacing w:before="13"/>
              <w:ind w:left="359" w:right="357" w:firstLine="84"/>
              <w:rPr>
                <w:b/>
                <w:sz w:val="18"/>
              </w:rPr>
            </w:pPr>
            <w:r>
              <w:rPr>
                <w:b/>
                <w:color w:val="FFFFFF"/>
                <w:sz w:val="18"/>
              </w:rPr>
              <w:t>Entidad Municipal</w:t>
            </w:r>
          </w:p>
        </w:tc>
        <w:tc>
          <w:tcPr>
            <w:tcW w:w="939" w:type="dxa"/>
            <w:shd w:val="clear" w:color="auto" w:fill="000000"/>
          </w:tcPr>
          <w:p>
            <w:pPr>
              <w:pStyle w:val="TableParagraph"/>
              <w:spacing w:before="13"/>
              <w:ind w:left="125" w:right="140" w:hanging="1"/>
              <w:jc w:val="center"/>
              <w:rPr>
                <w:b/>
                <w:sz w:val="18"/>
              </w:rPr>
            </w:pPr>
            <w:r>
              <w:rPr>
                <w:b/>
                <w:color w:val="FFFFFF"/>
                <w:sz w:val="18"/>
              </w:rPr>
              <w:t>Ingreso s de Gestión</w:t>
            </w:r>
          </w:p>
        </w:tc>
        <w:tc>
          <w:tcPr>
            <w:tcW w:w="1523" w:type="dxa"/>
            <w:shd w:val="clear" w:color="auto" w:fill="000000"/>
          </w:tcPr>
          <w:p>
            <w:pPr>
              <w:pStyle w:val="TableParagraph"/>
              <w:spacing w:before="13"/>
              <w:ind w:left="262" w:right="130" w:hanging="120"/>
              <w:rPr>
                <w:b/>
                <w:sz w:val="18"/>
              </w:rPr>
            </w:pPr>
            <w:r>
              <w:rPr>
                <w:b/>
                <w:color w:val="FFFFFF"/>
                <w:sz w:val="18"/>
              </w:rPr>
              <w:t>Participacione s Federales</w:t>
            </w:r>
          </w:p>
        </w:tc>
        <w:tc>
          <w:tcPr>
            <w:tcW w:w="862" w:type="dxa"/>
            <w:shd w:val="clear" w:color="auto" w:fill="000000"/>
          </w:tcPr>
          <w:p>
            <w:pPr>
              <w:pStyle w:val="TableParagraph"/>
              <w:spacing w:before="13"/>
              <w:ind w:left="371" w:right="134" w:hanging="224"/>
              <w:rPr>
                <w:b/>
                <w:sz w:val="18"/>
              </w:rPr>
            </w:pPr>
            <w:r>
              <w:rPr>
                <w:b/>
                <w:color w:val="FFFFFF"/>
                <w:sz w:val="18"/>
              </w:rPr>
              <w:t>FISMD F</w:t>
            </w:r>
          </w:p>
        </w:tc>
        <w:tc>
          <w:tcPr>
            <w:tcW w:w="1457" w:type="dxa"/>
            <w:shd w:val="clear" w:color="auto" w:fill="000000"/>
          </w:tcPr>
          <w:p>
            <w:pPr>
              <w:pStyle w:val="TableParagraph"/>
              <w:spacing w:before="13"/>
              <w:ind w:left="676" w:right="127" w:hanging="526"/>
              <w:rPr>
                <w:b/>
                <w:sz w:val="18"/>
              </w:rPr>
            </w:pPr>
            <w:r>
              <w:rPr>
                <w:b/>
                <w:color w:val="FFFFFF"/>
                <w:sz w:val="18"/>
              </w:rPr>
              <w:t>FORTAMUND F</w:t>
            </w:r>
          </w:p>
        </w:tc>
        <w:tc>
          <w:tcPr>
            <w:tcW w:w="1526" w:type="dxa"/>
            <w:shd w:val="clear" w:color="auto" w:fill="000000"/>
          </w:tcPr>
          <w:p>
            <w:pPr>
              <w:pStyle w:val="TableParagraph"/>
              <w:spacing w:before="13"/>
              <w:ind w:left="292" w:right="127" w:hanging="144"/>
              <w:rPr>
                <w:b/>
                <w:sz w:val="18"/>
              </w:rPr>
            </w:pPr>
            <w:r>
              <w:rPr>
                <w:b/>
                <w:color w:val="FFFFFF"/>
                <w:sz w:val="18"/>
              </w:rPr>
              <w:t>Participacione s Estatales</w:t>
            </w:r>
          </w:p>
        </w:tc>
        <w:tc>
          <w:tcPr>
            <w:tcW w:w="947" w:type="dxa"/>
            <w:shd w:val="clear" w:color="auto" w:fill="000000"/>
          </w:tcPr>
          <w:p>
            <w:pPr>
              <w:pStyle w:val="TableParagraph"/>
              <w:spacing w:before="13"/>
              <w:ind w:left="145" w:right="147"/>
              <w:jc w:val="center"/>
              <w:rPr>
                <w:b/>
                <w:sz w:val="18"/>
              </w:rPr>
            </w:pPr>
            <w:r>
              <w:rPr>
                <w:b/>
                <w:color w:val="FFFFFF"/>
                <w:sz w:val="18"/>
              </w:rPr>
              <w:t>Otros Ingreso s</w:t>
            </w:r>
          </w:p>
        </w:tc>
      </w:tr>
      <w:tr>
        <w:trPr>
          <w:trHeight w:val="564" w:hRule="exact"/>
        </w:trPr>
        <w:tc>
          <w:tcPr>
            <w:tcW w:w="1567" w:type="dxa"/>
            <w:tcBorders>
              <w:top w:val="single" w:sz="8" w:space="0" w:color="000000"/>
              <w:left w:val="single" w:sz="8" w:space="0" w:color="000000"/>
              <w:bottom w:val="single" w:sz="8" w:space="0" w:color="000000"/>
            </w:tcBorders>
          </w:tcPr>
          <w:p>
            <w:pPr>
              <w:pStyle w:val="TableParagraph"/>
              <w:spacing w:line="225" w:lineRule="exact"/>
              <w:ind w:left="98"/>
              <w:rPr>
                <w:b/>
                <w:sz w:val="20"/>
              </w:rPr>
            </w:pPr>
            <w:r>
              <w:rPr>
                <w:b/>
                <w:sz w:val="20"/>
              </w:rPr>
              <w:t>Acambay</w:t>
            </w:r>
          </w:p>
        </w:tc>
        <w:tc>
          <w:tcPr>
            <w:tcW w:w="939" w:type="dxa"/>
            <w:tcBorders>
              <w:top w:val="single" w:sz="8" w:space="0" w:color="000000"/>
              <w:bottom w:val="single" w:sz="8" w:space="0" w:color="000000"/>
            </w:tcBorders>
          </w:tcPr>
          <w:p>
            <w:pPr>
              <w:pStyle w:val="TableParagraph"/>
              <w:spacing w:line="230" w:lineRule="exact"/>
              <w:ind w:left="246" w:right="262"/>
              <w:jc w:val="center"/>
              <w:rPr>
                <w:sz w:val="20"/>
              </w:rPr>
            </w:pPr>
            <w:r>
              <w:rPr>
                <w:sz w:val="20"/>
              </w:rPr>
              <w:t>3.9</w:t>
            </w:r>
          </w:p>
        </w:tc>
        <w:tc>
          <w:tcPr>
            <w:tcW w:w="1523" w:type="dxa"/>
            <w:tcBorders>
              <w:top w:val="single" w:sz="8" w:space="0" w:color="000000"/>
              <w:bottom w:val="single" w:sz="8" w:space="0" w:color="000000"/>
            </w:tcBorders>
          </w:tcPr>
          <w:p>
            <w:pPr>
              <w:pStyle w:val="TableParagraph"/>
              <w:spacing w:line="230" w:lineRule="exact"/>
              <w:ind w:left="542" w:right="551"/>
              <w:jc w:val="center"/>
              <w:rPr>
                <w:sz w:val="20"/>
              </w:rPr>
            </w:pPr>
            <w:r>
              <w:rPr>
                <w:sz w:val="20"/>
              </w:rPr>
              <w:t>27.5</w:t>
            </w:r>
          </w:p>
        </w:tc>
        <w:tc>
          <w:tcPr>
            <w:tcW w:w="862" w:type="dxa"/>
            <w:tcBorders>
              <w:top w:val="single" w:sz="8" w:space="0" w:color="000000"/>
              <w:bottom w:val="single" w:sz="8" w:space="0" w:color="000000"/>
            </w:tcBorders>
          </w:tcPr>
          <w:p>
            <w:pPr>
              <w:pStyle w:val="TableParagraph"/>
              <w:spacing w:line="230" w:lineRule="exact"/>
              <w:ind w:left="232" w:right="134"/>
              <w:rPr>
                <w:sz w:val="20"/>
              </w:rPr>
            </w:pPr>
            <w:r>
              <w:rPr>
                <w:sz w:val="20"/>
              </w:rPr>
              <w:t>21.8</w:t>
            </w:r>
          </w:p>
        </w:tc>
        <w:tc>
          <w:tcPr>
            <w:tcW w:w="1457" w:type="dxa"/>
            <w:tcBorders>
              <w:top w:val="single" w:sz="8" w:space="0" w:color="000000"/>
              <w:bottom w:val="single" w:sz="8" w:space="0" w:color="000000"/>
            </w:tcBorders>
          </w:tcPr>
          <w:p>
            <w:pPr>
              <w:pStyle w:val="TableParagraph"/>
              <w:spacing w:line="230" w:lineRule="exact"/>
              <w:ind w:left="537" w:right="127"/>
              <w:rPr>
                <w:sz w:val="20"/>
              </w:rPr>
            </w:pPr>
            <w:r>
              <w:rPr>
                <w:sz w:val="20"/>
              </w:rPr>
              <w:t>11.5</w:t>
            </w:r>
          </w:p>
        </w:tc>
        <w:tc>
          <w:tcPr>
            <w:tcW w:w="1526" w:type="dxa"/>
            <w:tcBorders>
              <w:top w:val="single" w:sz="8" w:space="0" w:color="000000"/>
              <w:bottom w:val="single" w:sz="8" w:space="0" w:color="000000"/>
            </w:tcBorders>
          </w:tcPr>
          <w:p>
            <w:pPr>
              <w:pStyle w:val="TableParagraph"/>
              <w:spacing w:line="230" w:lineRule="exact"/>
              <w:ind w:left="603" w:right="604"/>
              <w:jc w:val="center"/>
              <w:rPr>
                <w:sz w:val="20"/>
              </w:rPr>
            </w:pPr>
            <w:r>
              <w:rPr>
                <w:sz w:val="20"/>
              </w:rPr>
              <w:t>0.8</w:t>
            </w:r>
          </w:p>
        </w:tc>
        <w:tc>
          <w:tcPr>
            <w:tcW w:w="947" w:type="dxa"/>
            <w:tcBorders>
              <w:top w:val="single" w:sz="8" w:space="0" w:color="000000"/>
              <w:bottom w:val="single" w:sz="8" w:space="0" w:color="000000"/>
              <w:right w:val="single" w:sz="8" w:space="0" w:color="000000"/>
            </w:tcBorders>
          </w:tcPr>
          <w:p>
            <w:pPr>
              <w:pStyle w:val="TableParagraph"/>
              <w:spacing w:line="230" w:lineRule="exact"/>
              <w:ind w:left="277"/>
              <w:rPr>
                <w:sz w:val="20"/>
              </w:rPr>
            </w:pPr>
            <w:r>
              <w:rPr>
                <w:sz w:val="20"/>
              </w:rPr>
              <w:t>19.6</w:t>
            </w:r>
          </w:p>
        </w:tc>
      </w:tr>
      <w:tr>
        <w:trPr>
          <w:trHeight w:val="567" w:hRule="exact"/>
        </w:trPr>
        <w:tc>
          <w:tcPr>
            <w:tcW w:w="1567" w:type="dxa"/>
            <w:tcBorders>
              <w:top w:val="single" w:sz="8" w:space="0" w:color="000000"/>
              <w:left w:val="single" w:sz="8" w:space="0" w:color="000000"/>
              <w:bottom w:val="single" w:sz="8" w:space="0" w:color="000000"/>
            </w:tcBorders>
          </w:tcPr>
          <w:p>
            <w:pPr>
              <w:pStyle w:val="TableParagraph"/>
              <w:tabs>
                <w:tab w:pos="1199" w:val="left" w:leader="none"/>
              </w:tabs>
              <w:ind w:left="98" w:right="123"/>
              <w:rPr>
                <w:b/>
                <w:sz w:val="20"/>
              </w:rPr>
            </w:pPr>
            <w:r>
              <w:rPr>
                <w:b/>
                <w:sz w:val="20"/>
              </w:rPr>
              <w:t>Almoloya</w:t>
              <w:tab/>
              <w:t>de</w:t>
            </w:r>
            <w:r>
              <w:rPr>
                <w:b/>
                <w:w w:val="99"/>
                <w:sz w:val="20"/>
              </w:rPr>
              <w:t> </w:t>
            </w:r>
            <w:r>
              <w:rPr>
                <w:b/>
                <w:sz w:val="20"/>
              </w:rPr>
              <w:t>Juárez</w:t>
            </w:r>
          </w:p>
        </w:tc>
        <w:tc>
          <w:tcPr>
            <w:tcW w:w="939" w:type="dxa"/>
            <w:tcBorders>
              <w:top w:val="single" w:sz="8" w:space="0" w:color="000000"/>
              <w:bottom w:val="single" w:sz="8" w:space="0" w:color="000000"/>
            </w:tcBorders>
          </w:tcPr>
          <w:p>
            <w:pPr>
              <w:pStyle w:val="TableParagraph"/>
              <w:ind w:left="246" w:right="262"/>
              <w:jc w:val="center"/>
              <w:rPr>
                <w:sz w:val="20"/>
              </w:rPr>
            </w:pPr>
            <w:r>
              <w:rPr>
                <w:sz w:val="20"/>
              </w:rPr>
              <w:t>7.7</w:t>
            </w:r>
          </w:p>
        </w:tc>
        <w:tc>
          <w:tcPr>
            <w:tcW w:w="1523" w:type="dxa"/>
            <w:tcBorders>
              <w:top w:val="single" w:sz="8" w:space="0" w:color="000000"/>
              <w:bottom w:val="single" w:sz="8" w:space="0" w:color="000000"/>
            </w:tcBorders>
          </w:tcPr>
          <w:p>
            <w:pPr>
              <w:pStyle w:val="TableParagraph"/>
              <w:ind w:left="542" w:right="551"/>
              <w:jc w:val="center"/>
              <w:rPr>
                <w:sz w:val="20"/>
              </w:rPr>
            </w:pPr>
            <w:r>
              <w:rPr>
                <w:sz w:val="20"/>
              </w:rPr>
              <w:t>35.9</w:t>
            </w:r>
          </w:p>
        </w:tc>
        <w:tc>
          <w:tcPr>
            <w:tcW w:w="862" w:type="dxa"/>
            <w:tcBorders>
              <w:top w:val="single" w:sz="8" w:space="0" w:color="000000"/>
              <w:bottom w:val="single" w:sz="8" w:space="0" w:color="000000"/>
            </w:tcBorders>
          </w:tcPr>
          <w:p>
            <w:pPr>
              <w:pStyle w:val="TableParagraph"/>
              <w:ind w:left="287" w:right="134"/>
              <w:rPr>
                <w:sz w:val="20"/>
              </w:rPr>
            </w:pPr>
            <w:r>
              <w:rPr>
                <w:sz w:val="20"/>
              </w:rPr>
              <w:t>9.1</w:t>
            </w:r>
          </w:p>
        </w:tc>
        <w:tc>
          <w:tcPr>
            <w:tcW w:w="1457" w:type="dxa"/>
            <w:tcBorders>
              <w:top w:val="single" w:sz="8" w:space="0" w:color="000000"/>
              <w:bottom w:val="single" w:sz="8" w:space="0" w:color="000000"/>
            </w:tcBorders>
          </w:tcPr>
          <w:p>
            <w:pPr>
              <w:pStyle w:val="TableParagraph"/>
              <w:ind w:left="537" w:right="127"/>
              <w:rPr>
                <w:sz w:val="20"/>
              </w:rPr>
            </w:pPr>
            <w:r>
              <w:rPr>
                <w:sz w:val="20"/>
              </w:rPr>
              <w:t>21.0</w:t>
            </w:r>
          </w:p>
        </w:tc>
        <w:tc>
          <w:tcPr>
            <w:tcW w:w="1526" w:type="dxa"/>
            <w:tcBorders>
              <w:top w:val="single" w:sz="8" w:space="0" w:color="000000"/>
              <w:bottom w:val="single" w:sz="8" w:space="0" w:color="000000"/>
            </w:tcBorders>
          </w:tcPr>
          <w:p>
            <w:pPr>
              <w:pStyle w:val="TableParagraph"/>
              <w:ind w:left="603" w:right="604"/>
              <w:jc w:val="center"/>
              <w:rPr>
                <w:sz w:val="20"/>
              </w:rPr>
            </w:pPr>
            <w:r>
              <w:rPr>
                <w:sz w:val="20"/>
              </w:rPr>
              <w:t>1.0</w:t>
            </w:r>
          </w:p>
        </w:tc>
        <w:tc>
          <w:tcPr>
            <w:tcW w:w="947" w:type="dxa"/>
            <w:tcBorders>
              <w:top w:val="single" w:sz="8" w:space="0" w:color="000000"/>
              <w:bottom w:val="single" w:sz="8" w:space="0" w:color="000000"/>
              <w:right w:val="single" w:sz="8" w:space="0" w:color="000000"/>
            </w:tcBorders>
          </w:tcPr>
          <w:p>
            <w:pPr>
              <w:pStyle w:val="TableParagraph"/>
              <w:ind w:left="277"/>
              <w:rPr>
                <w:sz w:val="20"/>
              </w:rPr>
            </w:pPr>
            <w:r>
              <w:rPr>
                <w:sz w:val="20"/>
              </w:rPr>
              <w:t>20.3</w:t>
            </w:r>
          </w:p>
        </w:tc>
      </w:tr>
      <w:tr>
        <w:trPr>
          <w:trHeight w:val="564" w:hRule="exact"/>
        </w:trPr>
        <w:tc>
          <w:tcPr>
            <w:tcW w:w="1567" w:type="dxa"/>
            <w:tcBorders>
              <w:top w:val="single" w:sz="8" w:space="0" w:color="000000"/>
              <w:left w:val="single" w:sz="8" w:space="0" w:color="000000"/>
              <w:bottom w:val="single" w:sz="8" w:space="0" w:color="000000"/>
            </w:tcBorders>
          </w:tcPr>
          <w:p>
            <w:pPr>
              <w:pStyle w:val="TableParagraph"/>
              <w:tabs>
                <w:tab w:pos="1198" w:val="left" w:leader="none"/>
              </w:tabs>
              <w:ind w:left="98" w:right="123"/>
              <w:rPr>
                <w:b/>
                <w:sz w:val="20"/>
              </w:rPr>
            </w:pPr>
            <w:r>
              <w:rPr>
                <w:b/>
                <w:sz w:val="20"/>
              </w:rPr>
              <w:t>Atizapán</w:t>
              <w:tab/>
              <w:t>de Zaragoza</w:t>
            </w:r>
          </w:p>
        </w:tc>
        <w:tc>
          <w:tcPr>
            <w:tcW w:w="939" w:type="dxa"/>
            <w:tcBorders>
              <w:top w:val="single" w:sz="8" w:space="0" w:color="000000"/>
              <w:bottom w:val="single" w:sz="8" w:space="0" w:color="000000"/>
            </w:tcBorders>
          </w:tcPr>
          <w:p>
            <w:pPr>
              <w:pStyle w:val="TableParagraph"/>
              <w:spacing w:line="230" w:lineRule="exact"/>
              <w:ind w:left="246" w:right="262"/>
              <w:jc w:val="center"/>
              <w:rPr>
                <w:sz w:val="20"/>
              </w:rPr>
            </w:pPr>
            <w:r>
              <w:rPr>
                <w:sz w:val="20"/>
              </w:rPr>
              <w:t>26.5</w:t>
            </w:r>
          </w:p>
        </w:tc>
        <w:tc>
          <w:tcPr>
            <w:tcW w:w="1523" w:type="dxa"/>
            <w:tcBorders>
              <w:top w:val="single" w:sz="8" w:space="0" w:color="000000"/>
              <w:bottom w:val="single" w:sz="8" w:space="0" w:color="000000"/>
            </w:tcBorders>
          </w:tcPr>
          <w:p>
            <w:pPr>
              <w:pStyle w:val="TableParagraph"/>
              <w:spacing w:line="230" w:lineRule="exact"/>
              <w:ind w:left="542" w:right="551"/>
              <w:jc w:val="center"/>
              <w:rPr>
                <w:sz w:val="20"/>
              </w:rPr>
            </w:pPr>
            <w:r>
              <w:rPr>
                <w:sz w:val="20"/>
              </w:rPr>
              <w:t>21.6</w:t>
            </w:r>
          </w:p>
        </w:tc>
        <w:tc>
          <w:tcPr>
            <w:tcW w:w="862" w:type="dxa"/>
            <w:tcBorders>
              <w:top w:val="single" w:sz="8" w:space="0" w:color="000000"/>
              <w:bottom w:val="single" w:sz="8" w:space="0" w:color="000000"/>
            </w:tcBorders>
          </w:tcPr>
          <w:p>
            <w:pPr>
              <w:pStyle w:val="TableParagraph"/>
              <w:spacing w:line="230" w:lineRule="exact"/>
              <w:ind w:left="287" w:right="134"/>
              <w:rPr>
                <w:sz w:val="20"/>
              </w:rPr>
            </w:pPr>
            <w:r>
              <w:rPr>
                <w:sz w:val="20"/>
              </w:rPr>
              <w:t>1.3</w:t>
            </w:r>
          </w:p>
        </w:tc>
        <w:tc>
          <w:tcPr>
            <w:tcW w:w="1457" w:type="dxa"/>
            <w:tcBorders>
              <w:top w:val="single" w:sz="8" w:space="0" w:color="000000"/>
              <w:bottom w:val="single" w:sz="8" w:space="0" w:color="000000"/>
            </w:tcBorders>
          </w:tcPr>
          <w:p>
            <w:pPr>
              <w:pStyle w:val="TableParagraph"/>
              <w:spacing w:line="230" w:lineRule="exact"/>
              <w:ind w:left="592" w:right="127"/>
              <w:rPr>
                <w:sz w:val="20"/>
              </w:rPr>
            </w:pPr>
            <w:r>
              <w:rPr>
                <w:sz w:val="20"/>
              </w:rPr>
              <w:t>9.6</w:t>
            </w:r>
          </w:p>
        </w:tc>
        <w:tc>
          <w:tcPr>
            <w:tcW w:w="1526" w:type="dxa"/>
            <w:tcBorders>
              <w:top w:val="single" w:sz="8" w:space="0" w:color="000000"/>
              <w:bottom w:val="single" w:sz="8" w:space="0" w:color="000000"/>
            </w:tcBorders>
          </w:tcPr>
          <w:p>
            <w:pPr>
              <w:pStyle w:val="TableParagraph"/>
              <w:spacing w:line="230" w:lineRule="exact"/>
              <w:ind w:left="603" w:right="604"/>
              <w:jc w:val="center"/>
              <w:rPr>
                <w:sz w:val="20"/>
              </w:rPr>
            </w:pPr>
            <w:r>
              <w:rPr>
                <w:sz w:val="20"/>
              </w:rPr>
              <w:t>0.5</w:t>
            </w:r>
          </w:p>
        </w:tc>
        <w:tc>
          <w:tcPr>
            <w:tcW w:w="947" w:type="dxa"/>
            <w:tcBorders>
              <w:top w:val="single" w:sz="8" w:space="0" w:color="000000"/>
              <w:bottom w:val="single" w:sz="8" w:space="0" w:color="000000"/>
              <w:right w:val="single" w:sz="8" w:space="0" w:color="000000"/>
            </w:tcBorders>
          </w:tcPr>
          <w:p>
            <w:pPr>
              <w:pStyle w:val="TableParagraph"/>
              <w:spacing w:line="230" w:lineRule="exact"/>
              <w:ind w:left="277"/>
              <w:rPr>
                <w:sz w:val="20"/>
              </w:rPr>
            </w:pPr>
            <w:r>
              <w:rPr>
                <w:sz w:val="20"/>
              </w:rPr>
              <w:t>40.5</w:t>
            </w:r>
          </w:p>
        </w:tc>
      </w:tr>
      <w:tr>
        <w:trPr>
          <w:trHeight w:val="564" w:hRule="exact"/>
        </w:trPr>
        <w:tc>
          <w:tcPr>
            <w:tcW w:w="1567" w:type="dxa"/>
            <w:tcBorders>
              <w:top w:val="single" w:sz="8" w:space="0" w:color="000000"/>
              <w:left w:val="single" w:sz="8" w:space="0" w:color="000000"/>
              <w:bottom w:val="single" w:sz="8" w:space="0" w:color="000000"/>
            </w:tcBorders>
          </w:tcPr>
          <w:p>
            <w:pPr>
              <w:pStyle w:val="TableParagraph"/>
              <w:spacing w:line="225" w:lineRule="exact"/>
              <w:ind w:left="98"/>
              <w:rPr>
                <w:b/>
                <w:sz w:val="20"/>
              </w:rPr>
            </w:pPr>
            <w:r>
              <w:rPr>
                <w:b/>
                <w:sz w:val="20"/>
              </w:rPr>
              <w:t>Atlacomulco</w:t>
            </w:r>
          </w:p>
        </w:tc>
        <w:tc>
          <w:tcPr>
            <w:tcW w:w="939" w:type="dxa"/>
            <w:tcBorders>
              <w:top w:val="single" w:sz="8" w:space="0" w:color="000000"/>
              <w:bottom w:val="single" w:sz="8" w:space="0" w:color="000000"/>
            </w:tcBorders>
          </w:tcPr>
          <w:p>
            <w:pPr>
              <w:pStyle w:val="TableParagraph"/>
              <w:spacing w:line="230" w:lineRule="exact"/>
              <w:ind w:left="246" w:right="262"/>
              <w:jc w:val="center"/>
              <w:rPr>
                <w:sz w:val="20"/>
              </w:rPr>
            </w:pPr>
            <w:r>
              <w:rPr>
                <w:sz w:val="20"/>
              </w:rPr>
              <w:t>19.5</w:t>
            </w:r>
          </w:p>
        </w:tc>
        <w:tc>
          <w:tcPr>
            <w:tcW w:w="1523" w:type="dxa"/>
            <w:tcBorders>
              <w:top w:val="single" w:sz="8" w:space="0" w:color="000000"/>
              <w:bottom w:val="single" w:sz="8" w:space="0" w:color="000000"/>
            </w:tcBorders>
          </w:tcPr>
          <w:p>
            <w:pPr>
              <w:pStyle w:val="TableParagraph"/>
              <w:spacing w:line="230" w:lineRule="exact"/>
              <w:ind w:left="542" w:right="551"/>
              <w:jc w:val="center"/>
              <w:rPr>
                <w:sz w:val="20"/>
              </w:rPr>
            </w:pPr>
            <w:r>
              <w:rPr>
                <w:sz w:val="20"/>
              </w:rPr>
              <w:t>29.8</w:t>
            </w:r>
          </w:p>
        </w:tc>
        <w:tc>
          <w:tcPr>
            <w:tcW w:w="862" w:type="dxa"/>
            <w:tcBorders>
              <w:top w:val="single" w:sz="8" w:space="0" w:color="000000"/>
              <w:bottom w:val="single" w:sz="8" w:space="0" w:color="000000"/>
            </w:tcBorders>
          </w:tcPr>
          <w:p>
            <w:pPr>
              <w:pStyle w:val="TableParagraph"/>
              <w:spacing w:line="230" w:lineRule="exact"/>
              <w:ind w:left="287" w:right="134"/>
              <w:rPr>
                <w:sz w:val="20"/>
              </w:rPr>
            </w:pPr>
            <w:r>
              <w:rPr>
                <w:sz w:val="20"/>
              </w:rPr>
              <w:t>8.6</w:t>
            </w:r>
          </w:p>
        </w:tc>
        <w:tc>
          <w:tcPr>
            <w:tcW w:w="1457" w:type="dxa"/>
            <w:tcBorders>
              <w:top w:val="single" w:sz="8" w:space="0" w:color="000000"/>
              <w:bottom w:val="single" w:sz="8" w:space="0" w:color="000000"/>
            </w:tcBorders>
          </w:tcPr>
          <w:p>
            <w:pPr>
              <w:pStyle w:val="TableParagraph"/>
              <w:spacing w:line="230" w:lineRule="exact"/>
              <w:ind w:left="537" w:right="127"/>
              <w:rPr>
                <w:sz w:val="20"/>
              </w:rPr>
            </w:pPr>
            <w:r>
              <w:rPr>
                <w:sz w:val="20"/>
              </w:rPr>
              <w:t>12.1</w:t>
            </w:r>
          </w:p>
        </w:tc>
        <w:tc>
          <w:tcPr>
            <w:tcW w:w="1526" w:type="dxa"/>
            <w:tcBorders>
              <w:top w:val="single" w:sz="8" w:space="0" w:color="000000"/>
              <w:bottom w:val="single" w:sz="8" w:space="0" w:color="000000"/>
            </w:tcBorders>
          </w:tcPr>
          <w:p>
            <w:pPr>
              <w:pStyle w:val="TableParagraph"/>
              <w:spacing w:line="230" w:lineRule="exact"/>
              <w:ind w:left="603" w:right="604"/>
              <w:jc w:val="center"/>
              <w:rPr>
                <w:sz w:val="20"/>
              </w:rPr>
            </w:pPr>
            <w:r>
              <w:rPr>
                <w:sz w:val="20"/>
              </w:rPr>
              <w:t>0.8</w:t>
            </w:r>
          </w:p>
        </w:tc>
        <w:tc>
          <w:tcPr>
            <w:tcW w:w="947" w:type="dxa"/>
            <w:tcBorders>
              <w:top w:val="single" w:sz="8" w:space="0" w:color="000000"/>
              <w:bottom w:val="single" w:sz="8" w:space="0" w:color="000000"/>
              <w:right w:val="single" w:sz="8" w:space="0" w:color="000000"/>
            </w:tcBorders>
          </w:tcPr>
          <w:p>
            <w:pPr>
              <w:pStyle w:val="TableParagraph"/>
              <w:spacing w:line="230" w:lineRule="exact"/>
              <w:ind w:left="277"/>
              <w:rPr>
                <w:sz w:val="20"/>
              </w:rPr>
            </w:pPr>
            <w:r>
              <w:rPr>
                <w:sz w:val="20"/>
              </w:rPr>
              <w:t>25.2</w:t>
            </w:r>
          </w:p>
        </w:tc>
      </w:tr>
      <w:tr>
        <w:trPr>
          <w:trHeight w:val="566" w:hRule="exact"/>
        </w:trPr>
        <w:tc>
          <w:tcPr>
            <w:tcW w:w="1567" w:type="dxa"/>
            <w:tcBorders>
              <w:top w:val="single" w:sz="8" w:space="0" w:color="000000"/>
              <w:left w:val="single" w:sz="8" w:space="0" w:color="000000"/>
              <w:bottom w:val="single" w:sz="8" w:space="0" w:color="000000"/>
            </w:tcBorders>
          </w:tcPr>
          <w:p>
            <w:pPr>
              <w:pStyle w:val="TableParagraph"/>
              <w:spacing w:line="227" w:lineRule="exact"/>
              <w:ind w:left="98"/>
              <w:rPr>
                <w:b/>
                <w:sz w:val="20"/>
              </w:rPr>
            </w:pPr>
            <w:r>
              <w:rPr>
                <w:b/>
                <w:sz w:val="20"/>
              </w:rPr>
              <w:t>Chalco</w:t>
            </w:r>
          </w:p>
        </w:tc>
        <w:tc>
          <w:tcPr>
            <w:tcW w:w="939" w:type="dxa"/>
            <w:tcBorders>
              <w:top w:val="single" w:sz="8" w:space="0" w:color="000000"/>
              <w:bottom w:val="single" w:sz="8" w:space="0" w:color="000000"/>
            </w:tcBorders>
          </w:tcPr>
          <w:p>
            <w:pPr>
              <w:pStyle w:val="TableParagraph"/>
              <w:spacing w:before="2"/>
              <w:ind w:left="246" w:right="262"/>
              <w:jc w:val="center"/>
              <w:rPr>
                <w:sz w:val="20"/>
              </w:rPr>
            </w:pPr>
            <w:r>
              <w:rPr>
                <w:sz w:val="20"/>
              </w:rPr>
              <w:t>13.7</w:t>
            </w:r>
          </w:p>
        </w:tc>
        <w:tc>
          <w:tcPr>
            <w:tcW w:w="1523" w:type="dxa"/>
            <w:tcBorders>
              <w:top w:val="single" w:sz="8" w:space="0" w:color="000000"/>
              <w:bottom w:val="single" w:sz="8" w:space="0" w:color="000000"/>
            </w:tcBorders>
          </w:tcPr>
          <w:p>
            <w:pPr>
              <w:pStyle w:val="TableParagraph"/>
              <w:spacing w:before="2"/>
              <w:ind w:left="542" w:right="551"/>
              <w:jc w:val="center"/>
              <w:rPr>
                <w:sz w:val="20"/>
              </w:rPr>
            </w:pPr>
            <w:r>
              <w:rPr>
                <w:sz w:val="20"/>
              </w:rPr>
              <w:t>25.0</w:t>
            </w:r>
          </w:p>
        </w:tc>
        <w:tc>
          <w:tcPr>
            <w:tcW w:w="862" w:type="dxa"/>
            <w:tcBorders>
              <w:top w:val="single" w:sz="8" w:space="0" w:color="000000"/>
              <w:bottom w:val="single" w:sz="8" w:space="0" w:color="000000"/>
            </w:tcBorders>
          </w:tcPr>
          <w:p>
            <w:pPr>
              <w:pStyle w:val="TableParagraph"/>
              <w:spacing w:before="2"/>
              <w:ind w:left="287" w:right="134"/>
              <w:rPr>
                <w:sz w:val="20"/>
              </w:rPr>
            </w:pPr>
            <w:r>
              <w:rPr>
                <w:sz w:val="20"/>
              </w:rPr>
              <w:t>5.9</w:t>
            </w:r>
          </w:p>
        </w:tc>
        <w:tc>
          <w:tcPr>
            <w:tcW w:w="1457" w:type="dxa"/>
            <w:tcBorders>
              <w:top w:val="single" w:sz="8" w:space="0" w:color="000000"/>
              <w:bottom w:val="single" w:sz="8" w:space="0" w:color="000000"/>
            </w:tcBorders>
          </w:tcPr>
          <w:p>
            <w:pPr>
              <w:pStyle w:val="TableParagraph"/>
              <w:spacing w:before="2"/>
              <w:ind w:left="537" w:right="127"/>
              <w:rPr>
                <w:sz w:val="20"/>
              </w:rPr>
            </w:pPr>
            <w:r>
              <w:rPr>
                <w:sz w:val="20"/>
              </w:rPr>
              <w:t>15.2</w:t>
            </w:r>
          </w:p>
        </w:tc>
        <w:tc>
          <w:tcPr>
            <w:tcW w:w="1526" w:type="dxa"/>
            <w:tcBorders>
              <w:top w:val="single" w:sz="8" w:space="0" w:color="000000"/>
              <w:bottom w:val="single" w:sz="8" w:space="0" w:color="000000"/>
            </w:tcBorders>
          </w:tcPr>
          <w:p>
            <w:pPr>
              <w:pStyle w:val="TableParagraph"/>
              <w:spacing w:before="2"/>
              <w:ind w:left="603" w:right="604"/>
              <w:jc w:val="center"/>
              <w:rPr>
                <w:sz w:val="20"/>
              </w:rPr>
            </w:pPr>
            <w:r>
              <w:rPr>
                <w:sz w:val="20"/>
              </w:rPr>
              <w:t>0.2</w:t>
            </w:r>
          </w:p>
        </w:tc>
        <w:tc>
          <w:tcPr>
            <w:tcW w:w="947" w:type="dxa"/>
            <w:tcBorders>
              <w:top w:val="single" w:sz="8" w:space="0" w:color="000000"/>
              <w:bottom w:val="single" w:sz="8" w:space="0" w:color="000000"/>
              <w:right w:val="single" w:sz="8" w:space="0" w:color="000000"/>
            </w:tcBorders>
          </w:tcPr>
          <w:p>
            <w:pPr>
              <w:pStyle w:val="TableParagraph"/>
              <w:spacing w:before="2"/>
              <w:ind w:left="277"/>
              <w:rPr>
                <w:sz w:val="20"/>
              </w:rPr>
            </w:pPr>
            <w:r>
              <w:rPr>
                <w:sz w:val="20"/>
              </w:rPr>
              <w:t>40.0</w:t>
            </w:r>
          </w:p>
        </w:tc>
      </w:tr>
    </w:tbl>
    <w:p>
      <w:pPr>
        <w:spacing w:after="0"/>
        <w:rPr>
          <w:sz w:val="20"/>
        </w:rPr>
        <w:sectPr>
          <w:pgSz w:w="12240" w:h="15840"/>
          <w:pgMar w:header="0" w:footer="992" w:top="1360" w:bottom="1180" w:left="1600" w:right="1580"/>
        </w:sectPr>
      </w:pP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38"/>
        <w:gridCol w:w="1006"/>
        <w:gridCol w:w="1214"/>
        <w:gridCol w:w="1180"/>
        <w:gridCol w:w="1355"/>
        <w:gridCol w:w="1306"/>
        <w:gridCol w:w="1121"/>
      </w:tblGrid>
      <w:tr>
        <w:trPr>
          <w:trHeight w:val="567" w:hRule="exact"/>
        </w:trPr>
        <w:tc>
          <w:tcPr>
            <w:tcW w:w="1638" w:type="dxa"/>
            <w:tcBorders>
              <w:right w:val="nil"/>
            </w:tcBorders>
          </w:tcPr>
          <w:p>
            <w:pPr>
              <w:pStyle w:val="TableParagraph"/>
              <w:ind w:left="98" w:right="245"/>
              <w:rPr>
                <w:b/>
                <w:sz w:val="20"/>
              </w:rPr>
            </w:pPr>
            <w:r>
              <w:rPr>
                <w:b/>
                <w:w w:val="95"/>
                <w:sz w:val="20"/>
              </w:rPr>
              <w:t>Chimalhuacá </w:t>
            </w:r>
            <w:r>
              <w:rPr>
                <w:b/>
                <w:sz w:val="20"/>
              </w:rPr>
              <w:t>n</w:t>
            </w:r>
          </w:p>
        </w:tc>
        <w:tc>
          <w:tcPr>
            <w:tcW w:w="1006" w:type="dxa"/>
            <w:tcBorders>
              <w:left w:val="nil"/>
              <w:right w:val="nil"/>
            </w:tcBorders>
          </w:tcPr>
          <w:p>
            <w:pPr>
              <w:pStyle w:val="TableParagraph"/>
              <w:spacing w:line="228" w:lineRule="exact"/>
              <w:ind w:left="175" w:right="401"/>
              <w:jc w:val="center"/>
              <w:rPr>
                <w:sz w:val="20"/>
              </w:rPr>
            </w:pPr>
            <w:r>
              <w:rPr>
                <w:sz w:val="20"/>
              </w:rPr>
              <w:t>7.2</w:t>
            </w:r>
          </w:p>
        </w:tc>
        <w:tc>
          <w:tcPr>
            <w:tcW w:w="1214" w:type="dxa"/>
            <w:tcBorders>
              <w:left w:val="nil"/>
              <w:right w:val="nil"/>
            </w:tcBorders>
          </w:tcPr>
          <w:p>
            <w:pPr>
              <w:pStyle w:val="TableParagraph"/>
              <w:spacing w:line="228" w:lineRule="exact"/>
              <w:ind w:right="401"/>
              <w:jc w:val="right"/>
              <w:rPr>
                <w:sz w:val="20"/>
              </w:rPr>
            </w:pPr>
            <w:r>
              <w:rPr>
                <w:sz w:val="20"/>
              </w:rPr>
              <w:t>19.9</w:t>
            </w:r>
          </w:p>
        </w:tc>
        <w:tc>
          <w:tcPr>
            <w:tcW w:w="1180" w:type="dxa"/>
            <w:tcBorders>
              <w:left w:val="nil"/>
              <w:right w:val="nil"/>
            </w:tcBorders>
          </w:tcPr>
          <w:p>
            <w:pPr>
              <w:pStyle w:val="TableParagraph"/>
              <w:spacing w:line="228" w:lineRule="exact"/>
              <w:ind w:left="381" w:right="368"/>
              <w:jc w:val="center"/>
              <w:rPr>
                <w:sz w:val="20"/>
              </w:rPr>
            </w:pPr>
            <w:r>
              <w:rPr>
                <w:sz w:val="20"/>
              </w:rPr>
              <w:t>5.7</w:t>
            </w:r>
          </w:p>
        </w:tc>
        <w:tc>
          <w:tcPr>
            <w:tcW w:w="1355" w:type="dxa"/>
            <w:tcBorders>
              <w:left w:val="nil"/>
              <w:right w:val="nil"/>
            </w:tcBorders>
          </w:tcPr>
          <w:p>
            <w:pPr>
              <w:pStyle w:val="TableParagraph"/>
              <w:spacing w:line="228" w:lineRule="exact"/>
              <w:ind w:left="390"/>
              <w:rPr>
                <w:sz w:val="20"/>
              </w:rPr>
            </w:pPr>
            <w:r>
              <w:rPr>
                <w:sz w:val="20"/>
              </w:rPr>
              <w:t>15.4</w:t>
            </w:r>
          </w:p>
        </w:tc>
        <w:tc>
          <w:tcPr>
            <w:tcW w:w="1306" w:type="dxa"/>
            <w:tcBorders>
              <w:left w:val="nil"/>
              <w:right w:val="nil"/>
            </w:tcBorders>
          </w:tcPr>
          <w:p>
            <w:pPr>
              <w:pStyle w:val="TableParagraph"/>
              <w:spacing w:line="228" w:lineRule="exact"/>
              <w:ind w:right="449"/>
              <w:jc w:val="right"/>
              <w:rPr>
                <w:sz w:val="20"/>
              </w:rPr>
            </w:pPr>
            <w:r>
              <w:rPr>
                <w:sz w:val="20"/>
              </w:rPr>
              <w:t>0.5</w:t>
            </w:r>
          </w:p>
        </w:tc>
        <w:tc>
          <w:tcPr>
            <w:tcW w:w="1121" w:type="dxa"/>
            <w:tcBorders>
              <w:left w:val="nil"/>
            </w:tcBorders>
          </w:tcPr>
          <w:p>
            <w:pPr>
              <w:pStyle w:val="TableParagraph"/>
              <w:spacing w:line="228" w:lineRule="exact"/>
              <w:ind w:left="451"/>
              <w:rPr>
                <w:sz w:val="20"/>
              </w:rPr>
            </w:pPr>
            <w:r>
              <w:rPr>
                <w:sz w:val="20"/>
              </w:rPr>
              <w:t>51.3</w:t>
            </w:r>
          </w:p>
        </w:tc>
      </w:tr>
      <w:tr>
        <w:trPr>
          <w:trHeight w:val="564" w:hRule="exact"/>
        </w:trPr>
        <w:tc>
          <w:tcPr>
            <w:tcW w:w="1638" w:type="dxa"/>
            <w:tcBorders>
              <w:right w:val="nil"/>
            </w:tcBorders>
          </w:tcPr>
          <w:p>
            <w:pPr>
              <w:pStyle w:val="TableParagraph"/>
              <w:ind w:left="98" w:right="245"/>
              <w:rPr>
                <w:b/>
                <w:sz w:val="20"/>
              </w:rPr>
            </w:pPr>
            <w:r>
              <w:rPr>
                <w:b/>
                <w:w w:val="95"/>
                <w:sz w:val="20"/>
              </w:rPr>
              <w:t>Cuautitlán </w:t>
            </w:r>
            <w:r>
              <w:rPr>
                <w:b/>
                <w:sz w:val="20"/>
              </w:rPr>
              <w:t>Izcalli</w:t>
            </w:r>
          </w:p>
        </w:tc>
        <w:tc>
          <w:tcPr>
            <w:tcW w:w="1006" w:type="dxa"/>
            <w:tcBorders>
              <w:left w:val="nil"/>
              <w:right w:val="nil"/>
            </w:tcBorders>
          </w:tcPr>
          <w:p>
            <w:pPr>
              <w:pStyle w:val="TableParagraph"/>
              <w:spacing w:line="226" w:lineRule="exact"/>
              <w:ind w:left="175" w:right="401"/>
              <w:jc w:val="center"/>
              <w:rPr>
                <w:sz w:val="20"/>
              </w:rPr>
            </w:pPr>
            <w:r>
              <w:rPr>
                <w:sz w:val="20"/>
              </w:rPr>
              <w:t>37.4</w:t>
            </w:r>
          </w:p>
        </w:tc>
        <w:tc>
          <w:tcPr>
            <w:tcW w:w="1214" w:type="dxa"/>
            <w:tcBorders>
              <w:left w:val="nil"/>
              <w:right w:val="nil"/>
            </w:tcBorders>
          </w:tcPr>
          <w:p>
            <w:pPr>
              <w:pStyle w:val="TableParagraph"/>
              <w:spacing w:line="226" w:lineRule="exact"/>
              <w:ind w:right="401"/>
              <w:jc w:val="right"/>
              <w:rPr>
                <w:sz w:val="20"/>
              </w:rPr>
            </w:pPr>
            <w:r>
              <w:rPr>
                <w:sz w:val="20"/>
              </w:rPr>
              <w:t>34.3</w:t>
            </w:r>
          </w:p>
        </w:tc>
        <w:tc>
          <w:tcPr>
            <w:tcW w:w="1180" w:type="dxa"/>
            <w:tcBorders>
              <w:left w:val="nil"/>
              <w:right w:val="nil"/>
            </w:tcBorders>
          </w:tcPr>
          <w:p>
            <w:pPr>
              <w:pStyle w:val="TableParagraph"/>
              <w:spacing w:line="226" w:lineRule="exact"/>
              <w:ind w:left="381" w:right="368"/>
              <w:jc w:val="center"/>
              <w:rPr>
                <w:sz w:val="20"/>
              </w:rPr>
            </w:pPr>
            <w:r>
              <w:rPr>
                <w:sz w:val="20"/>
              </w:rPr>
              <w:t>2.1</w:t>
            </w:r>
          </w:p>
        </w:tc>
        <w:tc>
          <w:tcPr>
            <w:tcW w:w="1355" w:type="dxa"/>
            <w:tcBorders>
              <w:left w:val="nil"/>
              <w:right w:val="nil"/>
            </w:tcBorders>
          </w:tcPr>
          <w:p>
            <w:pPr>
              <w:pStyle w:val="TableParagraph"/>
              <w:spacing w:line="226" w:lineRule="exact"/>
              <w:ind w:left="390"/>
              <w:rPr>
                <w:sz w:val="20"/>
              </w:rPr>
            </w:pPr>
            <w:r>
              <w:rPr>
                <w:sz w:val="20"/>
              </w:rPr>
              <w:t>16.0</w:t>
            </w:r>
          </w:p>
        </w:tc>
        <w:tc>
          <w:tcPr>
            <w:tcW w:w="1306" w:type="dxa"/>
            <w:tcBorders>
              <w:left w:val="nil"/>
              <w:right w:val="nil"/>
            </w:tcBorders>
          </w:tcPr>
          <w:p>
            <w:pPr>
              <w:pStyle w:val="TableParagraph"/>
              <w:spacing w:line="226" w:lineRule="exact"/>
              <w:ind w:right="449"/>
              <w:jc w:val="right"/>
              <w:rPr>
                <w:sz w:val="20"/>
              </w:rPr>
            </w:pPr>
            <w:r>
              <w:rPr>
                <w:sz w:val="20"/>
              </w:rPr>
              <w:t>0.9</w:t>
            </w:r>
          </w:p>
        </w:tc>
        <w:tc>
          <w:tcPr>
            <w:tcW w:w="1121" w:type="dxa"/>
            <w:tcBorders>
              <w:left w:val="nil"/>
            </w:tcBorders>
          </w:tcPr>
          <w:p>
            <w:pPr>
              <w:pStyle w:val="TableParagraph"/>
              <w:spacing w:line="226" w:lineRule="exact"/>
              <w:ind w:left="506"/>
              <w:rPr>
                <w:sz w:val="20"/>
              </w:rPr>
            </w:pPr>
            <w:r>
              <w:rPr>
                <w:sz w:val="20"/>
              </w:rPr>
              <w:t>9.3</w:t>
            </w:r>
          </w:p>
        </w:tc>
      </w:tr>
      <w:tr>
        <w:trPr>
          <w:trHeight w:val="566" w:hRule="exact"/>
        </w:trPr>
        <w:tc>
          <w:tcPr>
            <w:tcW w:w="1638" w:type="dxa"/>
            <w:tcBorders>
              <w:right w:val="nil"/>
            </w:tcBorders>
          </w:tcPr>
          <w:p>
            <w:pPr>
              <w:pStyle w:val="TableParagraph"/>
              <w:tabs>
                <w:tab w:pos="1199" w:val="left" w:leader="none"/>
              </w:tabs>
              <w:spacing w:line="237" w:lineRule="auto"/>
              <w:ind w:left="98" w:right="193"/>
              <w:rPr>
                <w:b/>
                <w:sz w:val="20"/>
              </w:rPr>
            </w:pPr>
            <w:r>
              <w:rPr>
                <w:b/>
                <w:sz w:val="20"/>
              </w:rPr>
              <w:t>Ecatepec</w:t>
              <w:tab/>
              <w:t>de Morelos</w:t>
            </w:r>
          </w:p>
        </w:tc>
        <w:tc>
          <w:tcPr>
            <w:tcW w:w="1006" w:type="dxa"/>
            <w:tcBorders>
              <w:left w:val="nil"/>
              <w:right w:val="nil"/>
            </w:tcBorders>
          </w:tcPr>
          <w:p>
            <w:pPr>
              <w:pStyle w:val="TableParagraph"/>
              <w:spacing w:line="228" w:lineRule="exact"/>
              <w:ind w:left="175" w:right="401"/>
              <w:jc w:val="center"/>
              <w:rPr>
                <w:sz w:val="20"/>
              </w:rPr>
            </w:pPr>
            <w:r>
              <w:rPr>
                <w:sz w:val="20"/>
              </w:rPr>
              <w:t>13.1</w:t>
            </w:r>
          </w:p>
        </w:tc>
        <w:tc>
          <w:tcPr>
            <w:tcW w:w="1214" w:type="dxa"/>
            <w:tcBorders>
              <w:left w:val="nil"/>
              <w:right w:val="nil"/>
            </w:tcBorders>
          </w:tcPr>
          <w:p>
            <w:pPr>
              <w:pStyle w:val="TableParagraph"/>
              <w:spacing w:line="228" w:lineRule="exact"/>
              <w:ind w:right="401"/>
              <w:jc w:val="right"/>
              <w:rPr>
                <w:sz w:val="20"/>
              </w:rPr>
            </w:pPr>
            <w:r>
              <w:rPr>
                <w:sz w:val="20"/>
              </w:rPr>
              <w:t>37.3</w:t>
            </w:r>
          </w:p>
        </w:tc>
        <w:tc>
          <w:tcPr>
            <w:tcW w:w="1180" w:type="dxa"/>
            <w:tcBorders>
              <w:left w:val="nil"/>
              <w:right w:val="nil"/>
            </w:tcBorders>
          </w:tcPr>
          <w:p>
            <w:pPr>
              <w:pStyle w:val="TableParagraph"/>
              <w:spacing w:line="228" w:lineRule="exact"/>
              <w:ind w:left="381" w:right="368"/>
              <w:jc w:val="center"/>
              <w:rPr>
                <w:sz w:val="20"/>
              </w:rPr>
            </w:pPr>
            <w:r>
              <w:rPr>
                <w:sz w:val="20"/>
              </w:rPr>
              <w:t>3.9</w:t>
            </w:r>
          </w:p>
        </w:tc>
        <w:tc>
          <w:tcPr>
            <w:tcW w:w="1355" w:type="dxa"/>
            <w:tcBorders>
              <w:left w:val="nil"/>
              <w:right w:val="nil"/>
            </w:tcBorders>
          </w:tcPr>
          <w:p>
            <w:pPr>
              <w:pStyle w:val="TableParagraph"/>
              <w:spacing w:line="228" w:lineRule="exact"/>
              <w:ind w:left="390"/>
              <w:rPr>
                <w:sz w:val="20"/>
              </w:rPr>
            </w:pPr>
            <w:r>
              <w:rPr>
                <w:sz w:val="20"/>
              </w:rPr>
              <w:t>20.4</w:t>
            </w:r>
          </w:p>
        </w:tc>
        <w:tc>
          <w:tcPr>
            <w:tcW w:w="1306" w:type="dxa"/>
            <w:tcBorders>
              <w:left w:val="nil"/>
              <w:right w:val="nil"/>
            </w:tcBorders>
          </w:tcPr>
          <w:p>
            <w:pPr>
              <w:pStyle w:val="TableParagraph"/>
              <w:spacing w:line="228" w:lineRule="exact"/>
              <w:ind w:right="449"/>
              <w:jc w:val="right"/>
              <w:rPr>
                <w:sz w:val="20"/>
              </w:rPr>
            </w:pPr>
            <w:r>
              <w:rPr>
                <w:sz w:val="20"/>
              </w:rPr>
              <w:t>0.9</w:t>
            </w:r>
          </w:p>
        </w:tc>
        <w:tc>
          <w:tcPr>
            <w:tcW w:w="1121" w:type="dxa"/>
            <w:tcBorders>
              <w:left w:val="nil"/>
            </w:tcBorders>
          </w:tcPr>
          <w:p>
            <w:pPr>
              <w:pStyle w:val="TableParagraph"/>
              <w:spacing w:line="228" w:lineRule="exact"/>
              <w:ind w:left="451"/>
              <w:rPr>
                <w:sz w:val="20"/>
              </w:rPr>
            </w:pPr>
            <w:r>
              <w:rPr>
                <w:sz w:val="20"/>
              </w:rPr>
              <w:t>24.4</w:t>
            </w:r>
          </w:p>
        </w:tc>
      </w:tr>
      <w:tr>
        <w:trPr>
          <w:trHeight w:val="564" w:hRule="exact"/>
        </w:trPr>
        <w:tc>
          <w:tcPr>
            <w:tcW w:w="1638" w:type="dxa"/>
            <w:tcBorders>
              <w:right w:val="nil"/>
            </w:tcBorders>
          </w:tcPr>
          <w:p>
            <w:pPr>
              <w:pStyle w:val="TableParagraph"/>
              <w:spacing w:line="221" w:lineRule="exact"/>
              <w:ind w:left="98" w:right="245"/>
              <w:rPr>
                <w:b/>
                <w:sz w:val="20"/>
              </w:rPr>
            </w:pPr>
            <w:r>
              <w:rPr>
                <w:b/>
                <w:sz w:val="20"/>
              </w:rPr>
              <w:t>Huehuetoca</w:t>
            </w:r>
          </w:p>
        </w:tc>
        <w:tc>
          <w:tcPr>
            <w:tcW w:w="1006" w:type="dxa"/>
            <w:tcBorders>
              <w:left w:val="nil"/>
              <w:right w:val="nil"/>
            </w:tcBorders>
          </w:tcPr>
          <w:p>
            <w:pPr>
              <w:pStyle w:val="TableParagraph"/>
              <w:spacing w:line="226" w:lineRule="exact"/>
              <w:ind w:left="175" w:right="401"/>
              <w:jc w:val="center"/>
              <w:rPr>
                <w:sz w:val="20"/>
              </w:rPr>
            </w:pPr>
            <w:r>
              <w:rPr>
                <w:sz w:val="20"/>
              </w:rPr>
              <w:t>32.2</w:t>
            </w:r>
          </w:p>
        </w:tc>
        <w:tc>
          <w:tcPr>
            <w:tcW w:w="1214" w:type="dxa"/>
            <w:tcBorders>
              <w:left w:val="nil"/>
              <w:right w:val="nil"/>
            </w:tcBorders>
          </w:tcPr>
          <w:p>
            <w:pPr>
              <w:pStyle w:val="TableParagraph"/>
              <w:spacing w:line="226" w:lineRule="exact"/>
              <w:ind w:right="401"/>
              <w:jc w:val="right"/>
              <w:rPr>
                <w:sz w:val="20"/>
              </w:rPr>
            </w:pPr>
            <w:r>
              <w:rPr>
                <w:sz w:val="20"/>
              </w:rPr>
              <w:t>22.6</w:t>
            </w:r>
          </w:p>
        </w:tc>
        <w:tc>
          <w:tcPr>
            <w:tcW w:w="1180" w:type="dxa"/>
            <w:tcBorders>
              <w:left w:val="nil"/>
              <w:right w:val="nil"/>
            </w:tcBorders>
          </w:tcPr>
          <w:p>
            <w:pPr>
              <w:pStyle w:val="TableParagraph"/>
              <w:spacing w:line="226" w:lineRule="exact"/>
              <w:ind w:left="381" w:right="368"/>
              <w:jc w:val="center"/>
              <w:rPr>
                <w:sz w:val="20"/>
              </w:rPr>
            </w:pPr>
            <w:r>
              <w:rPr>
                <w:sz w:val="20"/>
              </w:rPr>
              <w:t>9.1</w:t>
            </w:r>
          </w:p>
        </w:tc>
        <w:tc>
          <w:tcPr>
            <w:tcW w:w="1355" w:type="dxa"/>
            <w:tcBorders>
              <w:left w:val="nil"/>
              <w:right w:val="nil"/>
            </w:tcBorders>
          </w:tcPr>
          <w:p>
            <w:pPr>
              <w:pStyle w:val="TableParagraph"/>
              <w:spacing w:line="226" w:lineRule="exact"/>
              <w:ind w:left="390"/>
              <w:rPr>
                <w:sz w:val="20"/>
              </w:rPr>
            </w:pPr>
            <w:r>
              <w:rPr>
                <w:sz w:val="20"/>
              </w:rPr>
              <w:t>14.9</w:t>
            </w:r>
          </w:p>
        </w:tc>
        <w:tc>
          <w:tcPr>
            <w:tcW w:w="1306" w:type="dxa"/>
            <w:tcBorders>
              <w:left w:val="nil"/>
              <w:right w:val="nil"/>
            </w:tcBorders>
          </w:tcPr>
          <w:p>
            <w:pPr>
              <w:pStyle w:val="TableParagraph"/>
              <w:spacing w:line="226" w:lineRule="exact"/>
              <w:ind w:right="449"/>
              <w:jc w:val="right"/>
              <w:rPr>
                <w:sz w:val="20"/>
              </w:rPr>
            </w:pPr>
            <w:r>
              <w:rPr>
                <w:sz w:val="20"/>
              </w:rPr>
              <w:t>0.6</w:t>
            </w:r>
          </w:p>
        </w:tc>
        <w:tc>
          <w:tcPr>
            <w:tcW w:w="1121" w:type="dxa"/>
            <w:tcBorders>
              <w:left w:val="nil"/>
            </w:tcBorders>
          </w:tcPr>
          <w:p>
            <w:pPr>
              <w:pStyle w:val="TableParagraph"/>
              <w:spacing w:line="226" w:lineRule="exact"/>
              <w:ind w:left="451"/>
              <w:rPr>
                <w:sz w:val="20"/>
              </w:rPr>
            </w:pPr>
            <w:r>
              <w:rPr>
                <w:sz w:val="20"/>
              </w:rPr>
              <w:t>20.2</w:t>
            </w:r>
          </w:p>
        </w:tc>
      </w:tr>
      <w:tr>
        <w:trPr>
          <w:trHeight w:val="564" w:hRule="exact"/>
        </w:trPr>
        <w:tc>
          <w:tcPr>
            <w:tcW w:w="1638" w:type="dxa"/>
            <w:tcBorders>
              <w:right w:val="nil"/>
            </w:tcBorders>
          </w:tcPr>
          <w:p>
            <w:pPr>
              <w:pStyle w:val="TableParagraph"/>
              <w:spacing w:line="221" w:lineRule="exact"/>
              <w:ind w:left="98"/>
              <w:rPr>
                <w:b/>
                <w:sz w:val="20"/>
              </w:rPr>
            </w:pPr>
            <w:r>
              <w:rPr>
                <w:b/>
                <w:sz w:val="20"/>
              </w:rPr>
              <w:t>Huixquilucan</w:t>
            </w:r>
          </w:p>
        </w:tc>
        <w:tc>
          <w:tcPr>
            <w:tcW w:w="1006" w:type="dxa"/>
            <w:tcBorders>
              <w:left w:val="nil"/>
              <w:right w:val="nil"/>
            </w:tcBorders>
          </w:tcPr>
          <w:p>
            <w:pPr>
              <w:pStyle w:val="TableParagraph"/>
              <w:spacing w:line="226" w:lineRule="exact"/>
              <w:ind w:left="175" w:right="401"/>
              <w:jc w:val="center"/>
              <w:rPr>
                <w:sz w:val="20"/>
              </w:rPr>
            </w:pPr>
            <w:r>
              <w:rPr>
                <w:sz w:val="20"/>
              </w:rPr>
              <w:t>48.8</w:t>
            </w:r>
          </w:p>
        </w:tc>
        <w:tc>
          <w:tcPr>
            <w:tcW w:w="1214" w:type="dxa"/>
            <w:tcBorders>
              <w:left w:val="nil"/>
              <w:right w:val="nil"/>
            </w:tcBorders>
          </w:tcPr>
          <w:p>
            <w:pPr>
              <w:pStyle w:val="TableParagraph"/>
              <w:spacing w:line="226" w:lineRule="exact"/>
              <w:ind w:right="401"/>
              <w:jc w:val="right"/>
              <w:rPr>
                <w:sz w:val="20"/>
              </w:rPr>
            </w:pPr>
            <w:r>
              <w:rPr>
                <w:sz w:val="20"/>
              </w:rPr>
              <w:t>24.8</w:t>
            </w:r>
          </w:p>
        </w:tc>
        <w:tc>
          <w:tcPr>
            <w:tcW w:w="1180" w:type="dxa"/>
            <w:tcBorders>
              <w:left w:val="nil"/>
              <w:right w:val="nil"/>
            </w:tcBorders>
          </w:tcPr>
          <w:p>
            <w:pPr>
              <w:pStyle w:val="TableParagraph"/>
              <w:spacing w:line="226" w:lineRule="exact"/>
              <w:ind w:left="381" w:right="368"/>
              <w:jc w:val="center"/>
              <w:rPr>
                <w:sz w:val="20"/>
              </w:rPr>
            </w:pPr>
            <w:r>
              <w:rPr>
                <w:sz w:val="20"/>
              </w:rPr>
              <w:t>1.4</w:t>
            </w:r>
          </w:p>
        </w:tc>
        <w:tc>
          <w:tcPr>
            <w:tcW w:w="1355" w:type="dxa"/>
            <w:tcBorders>
              <w:left w:val="nil"/>
              <w:right w:val="nil"/>
            </w:tcBorders>
          </w:tcPr>
          <w:p>
            <w:pPr>
              <w:pStyle w:val="TableParagraph"/>
              <w:spacing w:line="226" w:lineRule="exact"/>
              <w:ind w:left="445"/>
              <w:rPr>
                <w:sz w:val="20"/>
              </w:rPr>
            </w:pPr>
            <w:r>
              <w:rPr>
                <w:sz w:val="20"/>
              </w:rPr>
              <w:t>7.8</w:t>
            </w:r>
          </w:p>
        </w:tc>
        <w:tc>
          <w:tcPr>
            <w:tcW w:w="1306" w:type="dxa"/>
            <w:tcBorders>
              <w:left w:val="nil"/>
              <w:right w:val="nil"/>
            </w:tcBorders>
          </w:tcPr>
          <w:p>
            <w:pPr>
              <w:pStyle w:val="TableParagraph"/>
              <w:spacing w:line="226" w:lineRule="exact"/>
              <w:ind w:right="449"/>
              <w:jc w:val="right"/>
              <w:rPr>
                <w:sz w:val="20"/>
              </w:rPr>
            </w:pPr>
            <w:r>
              <w:rPr>
                <w:sz w:val="20"/>
              </w:rPr>
              <w:t>0.1</w:t>
            </w:r>
          </w:p>
        </w:tc>
        <w:tc>
          <w:tcPr>
            <w:tcW w:w="1121" w:type="dxa"/>
            <w:tcBorders>
              <w:left w:val="nil"/>
            </w:tcBorders>
          </w:tcPr>
          <w:p>
            <w:pPr>
              <w:pStyle w:val="TableParagraph"/>
              <w:spacing w:line="226" w:lineRule="exact"/>
              <w:ind w:left="506"/>
              <w:rPr>
                <w:sz w:val="20"/>
              </w:rPr>
            </w:pPr>
            <w:r>
              <w:rPr>
                <w:sz w:val="20"/>
              </w:rPr>
              <w:t>9.7</w:t>
            </w:r>
          </w:p>
        </w:tc>
      </w:tr>
      <w:tr>
        <w:trPr>
          <w:trHeight w:val="566" w:hRule="exact"/>
        </w:trPr>
        <w:tc>
          <w:tcPr>
            <w:tcW w:w="1638" w:type="dxa"/>
            <w:tcBorders>
              <w:right w:val="nil"/>
            </w:tcBorders>
          </w:tcPr>
          <w:p>
            <w:pPr>
              <w:pStyle w:val="TableParagraph"/>
              <w:spacing w:line="223" w:lineRule="exact"/>
              <w:ind w:left="98" w:right="245"/>
              <w:rPr>
                <w:b/>
                <w:sz w:val="20"/>
              </w:rPr>
            </w:pPr>
            <w:r>
              <w:rPr>
                <w:b/>
                <w:sz w:val="20"/>
              </w:rPr>
              <w:t>Ixtapaluca</w:t>
            </w:r>
          </w:p>
        </w:tc>
        <w:tc>
          <w:tcPr>
            <w:tcW w:w="1006" w:type="dxa"/>
            <w:tcBorders>
              <w:left w:val="nil"/>
              <w:right w:val="nil"/>
            </w:tcBorders>
          </w:tcPr>
          <w:p>
            <w:pPr>
              <w:pStyle w:val="TableParagraph"/>
              <w:spacing w:line="228" w:lineRule="exact"/>
              <w:ind w:left="175" w:right="401"/>
              <w:jc w:val="center"/>
              <w:rPr>
                <w:sz w:val="20"/>
              </w:rPr>
            </w:pPr>
            <w:r>
              <w:rPr>
                <w:sz w:val="20"/>
              </w:rPr>
              <w:t>6.2</w:t>
            </w:r>
          </w:p>
        </w:tc>
        <w:tc>
          <w:tcPr>
            <w:tcW w:w="1214" w:type="dxa"/>
            <w:tcBorders>
              <w:left w:val="nil"/>
              <w:right w:val="nil"/>
            </w:tcBorders>
          </w:tcPr>
          <w:p>
            <w:pPr>
              <w:pStyle w:val="TableParagraph"/>
              <w:spacing w:line="228" w:lineRule="exact"/>
              <w:ind w:right="401"/>
              <w:jc w:val="right"/>
              <w:rPr>
                <w:sz w:val="20"/>
              </w:rPr>
            </w:pPr>
            <w:r>
              <w:rPr>
                <w:sz w:val="20"/>
              </w:rPr>
              <w:t>15.9</w:t>
            </w:r>
          </w:p>
        </w:tc>
        <w:tc>
          <w:tcPr>
            <w:tcW w:w="1180" w:type="dxa"/>
            <w:tcBorders>
              <w:left w:val="nil"/>
              <w:right w:val="nil"/>
            </w:tcBorders>
          </w:tcPr>
          <w:p>
            <w:pPr>
              <w:pStyle w:val="TableParagraph"/>
              <w:spacing w:line="228" w:lineRule="exact"/>
              <w:ind w:left="381" w:right="368"/>
              <w:jc w:val="center"/>
              <w:rPr>
                <w:sz w:val="20"/>
              </w:rPr>
            </w:pPr>
            <w:r>
              <w:rPr>
                <w:sz w:val="20"/>
              </w:rPr>
              <w:t>2.9</w:t>
            </w:r>
          </w:p>
        </w:tc>
        <w:tc>
          <w:tcPr>
            <w:tcW w:w="1355" w:type="dxa"/>
            <w:tcBorders>
              <w:left w:val="nil"/>
              <w:right w:val="nil"/>
            </w:tcBorders>
          </w:tcPr>
          <w:p>
            <w:pPr>
              <w:pStyle w:val="TableParagraph"/>
              <w:spacing w:line="228" w:lineRule="exact"/>
              <w:ind w:left="390"/>
              <w:rPr>
                <w:sz w:val="20"/>
              </w:rPr>
            </w:pPr>
            <w:r>
              <w:rPr>
                <w:sz w:val="20"/>
              </w:rPr>
              <w:t>12.5</w:t>
            </w:r>
          </w:p>
        </w:tc>
        <w:tc>
          <w:tcPr>
            <w:tcW w:w="1306" w:type="dxa"/>
            <w:tcBorders>
              <w:left w:val="nil"/>
              <w:right w:val="nil"/>
            </w:tcBorders>
          </w:tcPr>
          <w:p>
            <w:pPr>
              <w:pStyle w:val="TableParagraph"/>
              <w:spacing w:line="228" w:lineRule="exact"/>
              <w:ind w:right="449"/>
              <w:jc w:val="right"/>
              <w:rPr>
                <w:sz w:val="20"/>
              </w:rPr>
            </w:pPr>
            <w:r>
              <w:rPr>
                <w:sz w:val="20"/>
              </w:rPr>
              <w:t>0.4</w:t>
            </w:r>
          </w:p>
        </w:tc>
        <w:tc>
          <w:tcPr>
            <w:tcW w:w="1121" w:type="dxa"/>
            <w:tcBorders>
              <w:left w:val="nil"/>
            </w:tcBorders>
          </w:tcPr>
          <w:p>
            <w:pPr>
              <w:pStyle w:val="TableParagraph"/>
              <w:spacing w:line="228" w:lineRule="exact"/>
              <w:ind w:left="451"/>
              <w:rPr>
                <w:sz w:val="20"/>
              </w:rPr>
            </w:pPr>
            <w:r>
              <w:rPr>
                <w:sz w:val="20"/>
              </w:rPr>
              <w:t>34.2</w:t>
            </w:r>
          </w:p>
        </w:tc>
      </w:tr>
      <w:tr>
        <w:trPr>
          <w:trHeight w:val="567" w:hRule="exact"/>
        </w:trPr>
        <w:tc>
          <w:tcPr>
            <w:tcW w:w="1638" w:type="dxa"/>
            <w:tcBorders>
              <w:right w:val="nil"/>
            </w:tcBorders>
          </w:tcPr>
          <w:p>
            <w:pPr>
              <w:pStyle w:val="TableParagraph"/>
              <w:spacing w:line="221" w:lineRule="exact"/>
              <w:ind w:left="98" w:right="245"/>
              <w:rPr>
                <w:b/>
                <w:sz w:val="20"/>
              </w:rPr>
            </w:pPr>
            <w:r>
              <w:rPr>
                <w:b/>
                <w:sz w:val="20"/>
              </w:rPr>
              <w:t>Ixtlahuaca</w:t>
            </w:r>
          </w:p>
        </w:tc>
        <w:tc>
          <w:tcPr>
            <w:tcW w:w="1006" w:type="dxa"/>
            <w:tcBorders>
              <w:left w:val="nil"/>
              <w:right w:val="nil"/>
            </w:tcBorders>
          </w:tcPr>
          <w:p>
            <w:pPr>
              <w:pStyle w:val="TableParagraph"/>
              <w:spacing w:line="226" w:lineRule="exact"/>
              <w:ind w:left="175" w:right="401"/>
              <w:jc w:val="center"/>
              <w:rPr>
                <w:sz w:val="20"/>
              </w:rPr>
            </w:pPr>
            <w:r>
              <w:rPr>
                <w:sz w:val="20"/>
              </w:rPr>
              <w:t>6.2</w:t>
            </w:r>
          </w:p>
        </w:tc>
        <w:tc>
          <w:tcPr>
            <w:tcW w:w="1214" w:type="dxa"/>
            <w:tcBorders>
              <w:left w:val="nil"/>
              <w:right w:val="nil"/>
            </w:tcBorders>
          </w:tcPr>
          <w:p>
            <w:pPr>
              <w:pStyle w:val="TableParagraph"/>
              <w:spacing w:line="226" w:lineRule="exact"/>
              <w:ind w:right="401"/>
              <w:jc w:val="right"/>
              <w:rPr>
                <w:sz w:val="20"/>
              </w:rPr>
            </w:pPr>
            <w:r>
              <w:rPr>
                <w:sz w:val="20"/>
              </w:rPr>
              <w:t>29.6</w:t>
            </w:r>
          </w:p>
        </w:tc>
        <w:tc>
          <w:tcPr>
            <w:tcW w:w="1180" w:type="dxa"/>
            <w:tcBorders>
              <w:left w:val="nil"/>
              <w:right w:val="nil"/>
            </w:tcBorders>
          </w:tcPr>
          <w:p>
            <w:pPr>
              <w:pStyle w:val="TableParagraph"/>
              <w:spacing w:line="226" w:lineRule="exact"/>
              <w:ind w:left="381" w:right="369"/>
              <w:jc w:val="center"/>
              <w:rPr>
                <w:sz w:val="20"/>
              </w:rPr>
            </w:pPr>
            <w:r>
              <w:rPr>
                <w:sz w:val="20"/>
              </w:rPr>
              <w:t>18.6</w:t>
            </w:r>
          </w:p>
        </w:tc>
        <w:tc>
          <w:tcPr>
            <w:tcW w:w="1355" w:type="dxa"/>
            <w:tcBorders>
              <w:left w:val="nil"/>
              <w:right w:val="nil"/>
            </w:tcBorders>
          </w:tcPr>
          <w:p>
            <w:pPr>
              <w:pStyle w:val="TableParagraph"/>
              <w:spacing w:line="226" w:lineRule="exact"/>
              <w:ind w:left="390"/>
              <w:rPr>
                <w:sz w:val="20"/>
              </w:rPr>
            </w:pPr>
            <w:r>
              <w:rPr>
                <w:sz w:val="20"/>
              </w:rPr>
              <w:t>15.3</w:t>
            </w:r>
          </w:p>
        </w:tc>
        <w:tc>
          <w:tcPr>
            <w:tcW w:w="1306" w:type="dxa"/>
            <w:tcBorders>
              <w:left w:val="nil"/>
              <w:right w:val="nil"/>
            </w:tcBorders>
          </w:tcPr>
          <w:p>
            <w:pPr>
              <w:pStyle w:val="TableParagraph"/>
              <w:spacing w:line="226" w:lineRule="exact"/>
              <w:ind w:right="449"/>
              <w:jc w:val="right"/>
              <w:rPr>
                <w:sz w:val="20"/>
              </w:rPr>
            </w:pPr>
            <w:r>
              <w:rPr>
                <w:sz w:val="20"/>
              </w:rPr>
              <w:t>0.7</w:t>
            </w:r>
          </w:p>
        </w:tc>
        <w:tc>
          <w:tcPr>
            <w:tcW w:w="1121" w:type="dxa"/>
            <w:tcBorders>
              <w:left w:val="nil"/>
            </w:tcBorders>
          </w:tcPr>
          <w:p>
            <w:pPr>
              <w:pStyle w:val="TableParagraph"/>
              <w:spacing w:line="226" w:lineRule="exact"/>
              <w:ind w:left="451"/>
              <w:rPr>
                <w:sz w:val="20"/>
              </w:rPr>
            </w:pPr>
            <w:r>
              <w:rPr>
                <w:sz w:val="20"/>
              </w:rPr>
              <w:t>29.6</w:t>
            </w:r>
          </w:p>
        </w:tc>
      </w:tr>
    </w:tbl>
    <w:p>
      <w:pPr>
        <w:spacing w:line="240" w:lineRule="auto" w:before="0"/>
        <w:ind w:left="102" w:right="124" w:firstLine="0"/>
        <w:jc w:val="both"/>
        <w:rPr>
          <w:sz w:val="20"/>
        </w:rPr>
      </w:pPr>
      <w:r>
        <w:rPr>
          <w:b/>
          <w:sz w:val="20"/>
        </w:rPr>
        <w:t>Fuente: </w:t>
      </w:r>
      <w:r>
        <w:rPr>
          <w:sz w:val="20"/>
        </w:rPr>
        <w:t>Elaboración propia con base en los Informes de Resultados de la Fiscalización Superior</w:t>
      </w:r>
      <w:r>
        <w:rPr>
          <w:spacing w:val="-35"/>
          <w:sz w:val="20"/>
        </w:rPr>
        <w:t> </w:t>
      </w:r>
      <w:r>
        <w:rPr>
          <w:sz w:val="20"/>
        </w:rPr>
        <w:t>de las Cuentas Públicas del Estado de México y Municipios de</w:t>
      </w:r>
      <w:r>
        <w:rPr>
          <w:spacing w:val="-14"/>
          <w:sz w:val="20"/>
        </w:rPr>
        <w:t> </w:t>
      </w:r>
      <w:r>
        <w:rPr>
          <w:sz w:val="20"/>
        </w:rPr>
        <w:t>2014.</w:t>
      </w:r>
    </w:p>
    <w:p>
      <w:pPr>
        <w:pStyle w:val="BodyText"/>
        <w:rPr>
          <w:sz w:val="20"/>
        </w:rPr>
      </w:pPr>
    </w:p>
    <w:p>
      <w:pPr>
        <w:pStyle w:val="BodyText"/>
        <w:spacing w:before="2"/>
        <w:rPr>
          <w:sz w:val="20"/>
        </w:rPr>
      </w:pPr>
    </w:p>
    <w:p>
      <w:pPr>
        <w:pStyle w:val="BodyText"/>
        <w:spacing w:line="360" w:lineRule="auto"/>
        <w:ind w:left="102" w:right="114"/>
        <w:jc w:val="both"/>
      </w:pPr>
      <w:r>
        <w:rPr/>
        <w:t>En</w:t>
      </w:r>
      <w:r>
        <w:rPr>
          <w:spacing w:val="-19"/>
        </w:rPr>
        <w:t> </w:t>
      </w:r>
      <w:r>
        <w:rPr/>
        <w:t>México</w:t>
      </w:r>
      <w:r>
        <w:rPr>
          <w:spacing w:val="-19"/>
        </w:rPr>
        <w:t> </w:t>
      </w:r>
      <w:r>
        <w:rPr/>
        <w:t>los</w:t>
      </w:r>
      <w:r>
        <w:rPr>
          <w:spacing w:val="-19"/>
        </w:rPr>
        <w:t> </w:t>
      </w:r>
      <w:r>
        <w:rPr/>
        <w:t>gobiernos</w:t>
      </w:r>
      <w:r>
        <w:rPr>
          <w:spacing w:val="-20"/>
        </w:rPr>
        <w:t> </w:t>
      </w:r>
      <w:r>
        <w:rPr/>
        <w:t>municipales</w:t>
      </w:r>
      <w:r>
        <w:rPr>
          <w:spacing w:val="-19"/>
        </w:rPr>
        <w:t> </w:t>
      </w:r>
      <w:r>
        <w:rPr/>
        <w:t>se</w:t>
      </w:r>
      <w:r>
        <w:rPr>
          <w:spacing w:val="-19"/>
        </w:rPr>
        <w:t> </w:t>
      </w:r>
      <w:r>
        <w:rPr/>
        <w:t>caracterizan</w:t>
      </w:r>
      <w:r>
        <w:rPr>
          <w:spacing w:val="-19"/>
        </w:rPr>
        <w:t> </w:t>
      </w:r>
      <w:r>
        <w:rPr/>
        <w:t>por</w:t>
      </w:r>
      <w:r>
        <w:rPr>
          <w:spacing w:val="-20"/>
        </w:rPr>
        <w:t> </w:t>
      </w:r>
      <w:r>
        <w:rPr/>
        <w:t>tener</w:t>
      </w:r>
      <w:r>
        <w:rPr>
          <w:spacing w:val="-20"/>
        </w:rPr>
        <w:t> </w:t>
      </w:r>
      <w:r>
        <w:rPr/>
        <w:t>como</w:t>
      </w:r>
      <w:r>
        <w:rPr>
          <w:spacing w:val="-21"/>
        </w:rPr>
        <w:t> </w:t>
      </w:r>
      <w:r>
        <w:rPr/>
        <w:t>principal</w:t>
      </w:r>
      <w:r>
        <w:rPr>
          <w:spacing w:val="-23"/>
        </w:rPr>
        <w:t> </w:t>
      </w:r>
      <w:r>
        <w:rPr/>
        <w:t>fuente de ingresos los recursos que provienen del gobierno federal (participaciones y transferencias). Tal como se muestra en el cuadro anterior, donde con claridad se ve reflejada esa dependencia, aunque el municipio de Cuautitlán Izcalli y Huixquilucan tienen mayor ingresos propios (ingresos de gestión) generando así el 50% del total de sus ingresos, aún así sigue esa dependencia economica del gobierno</w:t>
      </w:r>
      <w:r>
        <w:rPr>
          <w:spacing w:val="-11"/>
        </w:rPr>
        <w:t> </w:t>
      </w:r>
      <w:r>
        <w:rPr/>
        <w:t>federal.</w:t>
      </w:r>
      <w:r>
        <w:rPr>
          <w:spacing w:val="-9"/>
        </w:rPr>
        <w:t> </w:t>
      </w:r>
      <w:r>
        <w:rPr/>
        <w:t>En</w:t>
      </w:r>
      <w:r>
        <w:rPr>
          <w:spacing w:val="-9"/>
        </w:rPr>
        <w:t> </w:t>
      </w:r>
      <w:r>
        <w:rPr/>
        <w:t>los</w:t>
      </w:r>
      <w:r>
        <w:rPr>
          <w:spacing w:val="-9"/>
        </w:rPr>
        <w:t> </w:t>
      </w:r>
      <w:r>
        <w:rPr/>
        <w:t>municipios</w:t>
      </w:r>
      <w:r>
        <w:rPr>
          <w:spacing w:val="-9"/>
        </w:rPr>
        <w:t> </w:t>
      </w:r>
      <w:r>
        <w:rPr/>
        <w:t>como</w:t>
      </w:r>
      <w:r>
        <w:rPr>
          <w:spacing w:val="-9"/>
        </w:rPr>
        <w:t> </w:t>
      </w:r>
      <w:r>
        <w:rPr/>
        <w:t>Acambay,</w:t>
      </w:r>
      <w:r>
        <w:rPr>
          <w:spacing w:val="-9"/>
        </w:rPr>
        <w:t> </w:t>
      </w:r>
      <w:r>
        <w:rPr/>
        <w:t>Chalco,</w:t>
      </w:r>
      <w:r>
        <w:rPr>
          <w:spacing w:val="-9"/>
        </w:rPr>
        <w:t> </w:t>
      </w:r>
      <w:r>
        <w:rPr/>
        <w:t>Ixtapaluca</w:t>
      </w:r>
      <w:r>
        <w:rPr>
          <w:spacing w:val="-9"/>
        </w:rPr>
        <w:t> </w:t>
      </w:r>
      <w:r>
        <w:rPr/>
        <w:t>y</w:t>
      </w:r>
      <w:r>
        <w:rPr>
          <w:spacing w:val="-12"/>
        </w:rPr>
        <w:t> </w:t>
      </w:r>
      <w:r>
        <w:rPr/>
        <w:t>los</w:t>
      </w:r>
      <w:r>
        <w:rPr>
          <w:spacing w:val="-9"/>
        </w:rPr>
        <w:t> </w:t>
      </w:r>
      <w:r>
        <w:rPr/>
        <w:t>demás relacionados en el cuadro, se observa una dependencia de más del 50% de los recursos federales. A medida que los ingresos provenientes del gobierno federal son</w:t>
      </w:r>
      <w:r>
        <w:rPr>
          <w:spacing w:val="-8"/>
        </w:rPr>
        <w:t> </w:t>
      </w:r>
      <w:r>
        <w:rPr/>
        <w:t>mayores</w:t>
      </w:r>
      <w:r>
        <w:rPr>
          <w:spacing w:val="-7"/>
        </w:rPr>
        <w:t> </w:t>
      </w:r>
      <w:r>
        <w:rPr/>
        <w:t>se</w:t>
      </w:r>
      <w:r>
        <w:rPr>
          <w:spacing w:val="-8"/>
        </w:rPr>
        <w:t> </w:t>
      </w:r>
      <w:r>
        <w:rPr/>
        <w:t>incrementa</w:t>
      </w:r>
      <w:r>
        <w:rPr>
          <w:spacing w:val="-8"/>
        </w:rPr>
        <w:t> </w:t>
      </w:r>
      <w:r>
        <w:rPr/>
        <w:t>esa</w:t>
      </w:r>
      <w:r>
        <w:rPr>
          <w:spacing w:val="-8"/>
        </w:rPr>
        <w:t> </w:t>
      </w:r>
      <w:r>
        <w:rPr/>
        <w:t>dependencia</w:t>
      </w:r>
      <w:r>
        <w:rPr>
          <w:spacing w:val="-6"/>
        </w:rPr>
        <w:t> </w:t>
      </w:r>
      <w:r>
        <w:rPr/>
        <w:t>y</w:t>
      </w:r>
      <w:r>
        <w:rPr>
          <w:spacing w:val="-9"/>
        </w:rPr>
        <w:t> </w:t>
      </w:r>
      <w:r>
        <w:rPr/>
        <w:t>se</w:t>
      </w:r>
      <w:r>
        <w:rPr>
          <w:spacing w:val="-6"/>
        </w:rPr>
        <w:t> </w:t>
      </w:r>
      <w:r>
        <w:rPr/>
        <w:t>reduce</w:t>
      </w:r>
      <w:r>
        <w:rPr>
          <w:spacing w:val="-6"/>
        </w:rPr>
        <w:t> </w:t>
      </w:r>
      <w:r>
        <w:rPr/>
        <w:t>la</w:t>
      </w:r>
      <w:r>
        <w:rPr>
          <w:spacing w:val="-9"/>
        </w:rPr>
        <w:t> </w:t>
      </w:r>
      <w:r>
        <w:rPr/>
        <w:t>autonomía</w:t>
      </w:r>
      <w:r>
        <w:rPr>
          <w:spacing w:val="-8"/>
        </w:rPr>
        <w:t> </w:t>
      </w:r>
      <w:r>
        <w:rPr/>
        <w:t>financiera</w:t>
      </w:r>
      <w:r>
        <w:rPr>
          <w:spacing w:val="-8"/>
        </w:rPr>
        <w:t> </w:t>
      </w:r>
      <w:r>
        <w:rPr/>
        <w:t>y por ende la libertad</w:t>
      </w:r>
      <w:r>
        <w:rPr>
          <w:spacing w:val="-11"/>
        </w:rPr>
        <w:t> </w:t>
      </w:r>
      <w:r>
        <w:rPr/>
        <w:t>municipal.</w:t>
      </w:r>
    </w:p>
    <w:p>
      <w:pPr>
        <w:pStyle w:val="BodyText"/>
        <w:spacing w:line="360" w:lineRule="auto" w:before="204"/>
        <w:ind w:left="102" w:right="116"/>
        <w:jc w:val="both"/>
      </w:pPr>
      <w:r>
        <w:rPr/>
        <w:t>Para efectuar, la labor que le corresponde a los gobiernos municipales de administración y ejercicio de los recursos, es indispensable “tomar decisiones”, la descentralización de competencias y recursos, permite que las decisiones sobre la construcción y ubicación de escuelas, clínicas de salud, caminos, drenajes, electrificación, agua potable, etc., sean tomadas directamente por los gobiernos municipales con la participación de la comunidad.</w:t>
      </w:r>
    </w:p>
    <w:p>
      <w:pPr>
        <w:spacing w:before="204"/>
        <w:ind w:left="954" w:right="0" w:firstLine="0"/>
        <w:jc w:val="left"/>
        <w:rPr>
          <w:sz w:val="22"/>
        </w:rPr>
      </w:pPr>
      <w:r>
        <w:rPr>
          <w:sz w:val="22"/>
        </w:rPr>
        <w:t>Es</w:t>
      </w:r>
      <w:r>
        <w:rPr>
          <w:spacing w:val="-16"/>
          <w:sz w:val="22"/>
        </w:rPr>
        <w:t> </w:t>
      </w:r>
      <w:r>
        <w:rPr>
          <w:sz w:val="22"/>
        </w:rPr>
        <w:t>frecuente</w:t>
      </w:r>
      <w:r>
        <w:rPr>
          <w:spacing w:val="-19"/>
          <w:sz w:val="22"/>
        </w:rPr>
        <w:t> </w:t>
      </w:r>
      <w:r>
        <w:rPr>
          <w:sz w:val="22"/>
        </w:rPr>
        <w:t>que</w:t>
      </w:r>
      <w:r>
        <w:rPr>
          <w:spacing w:val="-16"/>
          <w:sz w:val="22"/>
        </w:rPr>
        <w:t> </w:t>
      </w:r>
      <w:r>
        <w:rPr>
          <w:sz w:val="22"/>
        </w:rPr>
        <w:t>las</w:t>
      </w:r>
      <w:r>
        <w:rPr>
          <w:spacing w:val="-13"/>
          <w:sz w:val="22"/>
        </w:rPr>
        <w:t> </w:t>
      </w:r>
      <w:r>
        <w:rPr>
          <w:sz w:val="22"/>
        </w:rPr>
        <w:t>autoridades</w:t>
      </w:r>
      <w:r>
        <w:rPr>
          <w:spacing w:val="-16"/>
          <w:sz w:val="22"/>
        </w:rPr>
        <w:t> </w:t>
      </w:r>
      <w:r>
        <w:rPr>
          <w:sz w:val="22"/>
        </w:rPr>
        <w:t>municipales</w:t>
      </w:r>
      <w:r>
        <w:rPr>
          <w:spacing w:val="-13"/>
          <w:sz w:val="22"/>
        </w:rPr>
        <w:t> </w:t>
      </w:r>
      <w:r>
        <w:rPr>
          <w:sz w:val="22"/>
        </w:rPr>
        <w:t>se</w:t>
      </w:r>
      <w:r>
        <w:rPr>
          <w:spacing w:val="-13"/>
          <w:sz w:val="22"/>
        </w:rPr>
        <w:t> </w:t>
      </w:r>
      <w:r>
        <w:rPr>
          <w:sz w:val="22"/>
        </w:rPr>
        <w:t>enfrenten</w:t>
      </w:r>
      <w:r>
        <w:rPr>
          <w:spacing w:val="-14"/>
          <w:sz w:val="22"/>
        </w:rPr>
        <w:t> </w:t>
      </w:r>
      <w:r>
        <w:rPr>
          <w:sz w:val="22"/>
        </w:rPr>
        <w:t>a</w:t>
      </w:r>
      <w:r>
        <w:rPr>
          <w:spacing w:val="-16"/>
          <w:sz w:val="22"/>
        </w:rPr>
        <w:t> </w:t>
      </w:r>
      <w:r>
        <w:rPr>
          <w:sz w:val="22"/>
        </w:rPr>
        <w:t>ciertos</w:t>
      </w:r>
      <w:r>
        <w:rPr>
          <w:spacing w:val="-13"/>
          <w:sz w:val="22"/>
        </w:rPr>
        <w:t> </w:t>
      </w:r>
      <w:r>
        <w:rPr>
          <w:sz w:val="22"/>
        </w:rPr>
        <w:t>problemas</w:t>
      </w:r>
      <w:r>
        <w:rPr>
          <w:spacing w:val="-16"/>
          <w:sz w:val="22"/>
        </w:rPr>
        <w:t> </w:t>
      </w:r>
      <w:r>
        <w:rPr>
          <w:sz w:val="22"/>
        </w:rPr>
        <w:t>con un grado considerable de incertidumbre en la toma de decisiones es posible </w:t>
      </w:r>
      <w:r>
        <w:rPr>
          <w:spacing w:val="46"/>
          <w:sz w:val="22"/>
        </w:rPr>
        <w:t> </w:t>
      </w:r>
      <w:r>
        <w:rPr>
          <w:sz w:val="22"/>
        </w:rPr>
        <w:t>que</w:t>
      </w:r>
    </w:p>
    <w:p>
      <w:pPr>
        <w:spacing w:after="0"/>
        <w:jc w:val="left"/>
        <w:rPr>
          <w:sz w:val="22"/>
        </w:rPr>
        <w:sectPr>
          <w:pgSz w:w="12240" w:h="15840"/>
          <w:pgMar w:header="0" w:footer="992" w:top="1420" w:bottom="1180" w:left="1600" w:right="1580"/>
        </w:sectPr>
      </w:pPr>
    </w:p>
    <w:p>
      <w:pPr>
        <w:spacing w:before="53"/>
        <w:ind w:left="954" w:right="115" w:firstLine="0"/>
        <w:jc w:val="both"/>
        <w:rPr>
          <w:sz w:val="22"/>
        </w:rPr>
      </w:pPr>
      <w:r>
        <w:rPr>
          <w:sz w:val="22"/>
        </w:rPr>
        <w:t>esta situación sea producto de falta de información aunque pueda disponer de muchos datos, sin embargo, el tener muchos sobre un asunto específico no es suficiente para decidir correctamente, es necesario procesar esos datos en una información clara (Agüera y Oroza, 1998:67).</w:t>
      </w:r>
    </w:p>
    <w:p>
      <w:pPr>
        <w:pStyle w:val="BodyText"/>
        <w:spacing w:before="3"/>
        <w:rPr>
          <w:sz w:val="17"/>
        </w:rPr>
      </w:pPr>
    </w:p>
    <w:p>
      <w:pPr>
        <w:pStyle w:val="BodyText"/>
        <w:spacing w:line="360" w:lineRule="auto"/>
        <w:ind w:left="102" w:right="114"/>
        <w:jc w:val="both"/>
      </w:pPr>
      <w:r>
        <w:rPr/>
        <w:t>Disponer de información fresca o actualizada ayuda a realizar mejor las tareas de planeación, programación, evaluación y control de la gestión municipal, es por eso que la información tiene una gran relevancia porque es necesaria en todos los campos en que actúa el hombre, y precisamente cuando ese hombre actúa dentro de una administración pública. Cuando se cuenta con la información organizada y actualidad</w:t>
      </w:r>
      <w:r>
        <w:rPr>
          <w:spacing w:val="-13"/>
        </w:rPr>
        <w:t> </w:t>
      </w:r>
      <w:r>
        <w:rPr/>
        <w:t>se</w:t>
      </w:r>
      <w:r>
        <w:rPr>
          <w:spacing w:val="-15"/>
        </w:rPr>
        <w:t> </w:t>
      </w:r>
      <w:r>
        <w:rPr/>
        <w:t>pueden</w:t>
      </w:r>
      <w:r>
        <w:rPr>
          <w:spacing w:val="-13"/>
        </w:rPr>
        <w:t> </w:t>
      </w:r>
      <w:r>
        <w:rPr/>
        <w:t>lograr</w:t>
      </w:r>
      <w:r>
        <w:rPr>
          <w:spacing w:val="-14"/>
        </w:rPr>
        <w:t> </w:t>
      </w:r>
      <w:r>
        <w:rPr/>
        <w:t>mayores</w:t>
      </w:r>
      <w:r>
        <w:rPr>
          <w:spacing w:val="-14"/>
        </w:rPr>
        <w:t> </w:t>
      </w:r>
      <w:r>
        <w:rPr/>
        <w:t>oportunidades</w:t>
      </w:r>
      <w:r>
        <w:rPr>
          <w:spacing w:val="-16"/>
        </w:rPr>
        <w:t> </w:t>
      </w:r>
      <w:r>
        <w:rPr/>
        <w:t>en</w:t>
      </w:r>
      <w:r>
        <w:rPr>
          <w:spacing w:val="-13"/>
        </w:rPr>
        <w:t> </w:t>
      </w:r>
      <w:r>
        <w:rPr/>
        <w:t>su</w:t>
      </w:r>
      <w:r>
        <w:rPr>
          <w:spacing w:val="-16"/>
        </w:rPr>
        <w:t> </w:t>
      </w:r>
      <w:r>
        <w:rPr/>
        <w:t>función</w:t>
      </w:r>
      <w:r>
        <w:rPr>
          <w:spacing w:val="-9"/>
        </w:rPr>
        <w:t> </w:t>
      </w:r>
      <w:r>
        <w:rPr/>
        <w:t>específica</w:t>
      </w:r>
      <w:r>
        <w:rPr>
          <w:spacing w:val="-12"/>
        </w:rPr>
        <w:t> </w:t>
      </w:r>
      <w:r>
        <w:rPr/>
        <w:t>y</w:t>
      </w:r>
      <w:r>
        <w:rPr>
          <w:spacing w:val="-16"/>
        </w:rPr>
        <w:t> </w:t>
      </w:r>
      <w:r>
        <w:rPr/>
        <w:t>estar bien equipados para tomar decisiones lo más razonable posible inhibiendo en gran medida los</w:t>
      </w:r>
      <w:r>
        <w:rPr>
          <w:spacing w:val="-7"/>
        </w:rPr>
        <w:t> </w:t>
      </w:r>
      <w:r>
        <w:rPr/>
        <w:t>errores.</w:t>
      </w:r>
    </w:p>
    <w:p>
      <w:pPr>
        <w:spacing w:before="204"/>
        <w:ind w:left="954" w:right="113" w:firstLine="0"/>
        <w:jc w:val="both"/>
        <w:rPr>
          <w:sz w:val="22"/>
        </w:rPr>
      </w:pPr>
      <w:r>
        <w:rPr>
          <w:sz w:val="22"/>
        </w:rPr>
        <w:t>En virtud de que la toma de decisiones es la tarea más importante y delicada que tienen las autoridades municipales, porque repercute en la comunidad, la información tiene la función de ayudar en la decisión más recomendable sobre un asunto determinado, aun cuando existen otros factores que pueden influir en ella. Las funciones de planear, programar, organizar, dirigir personal y controlar requieren, en conjunto y cada una de ellas, tomar decisiones basadas en información</w:t>
      </w:r>
      <w:r>
        <w:rPr>
          <w:spacing w:val="-13"/>
          <w:sz w:val="22"/>
        </w:rPr>
        <w:t> </w:t>
      </w:r>
      <w:r>
        <w:rPr>
          <w:sz w:val="22"/>
        </w:rPr>
        <w:t>oportuna</w:t>
      </w:r>
      <w:r>
        <w:rPr>
          <w:spacing w:val="-13"/>
          <w:sz w:val="22"/>
        </w:rPr>
        <w:t> </w:t>
      </w:r>
      <w:r>
        <w:rPr>
          <w:sz w:val="22"/>
        </w:rPr>
        <w:t>y</w:t>
      </w:r>
      <w:r>
        <w:rPr>
          <w:spacing w:val="-12"/>
          <w:sz w:val="22"/>
        </w:rPr>
        <w:t> </w:t>
      </w:r>
      <w:r>
        <w:rPr>
          <w:sz w:val="22"/>
        </w:rPr>
        <w:t>adecuada.</w:t>
      </w:r>
      <w:r>
        <w:rPr>
          <w:spacing w:val="-11"/>
          <w:sz w:val="22"/>
        </w:rPr>
        <w:t> </w:t>
      </w:r>
      <w:r>
        <w:rPr>
          <w:sz w:val="22"/>
        </w:rPr>
        <w:t>Cuando</w:t>
      </w:r>
      <w:r>
        <w:rPr>
          <w:spacing w:val="-10"/>
          <w:sz w:val="22"/>
        </w:rPr>
        <w:t> </w:t>
      </w:r>
      <w:r>
        <w:rPr>
          <w:sz w:val="22"/>
        </w:rPr>
        <w:t>no</w:t>
      </w:r>
      <w:r>
        <w:rPr>
          <w:spacing w:val="-13"/>
          <w:sz w:val="22"/>
        </w:rPr>
        <w:t> </w:t>
      </w:r>
      <w:r>
        <w:rPr>
          <w:sz w:val="22"/>
        </w:rPr>
        <w:t>se</w:t>
      </w:r>
      <w:r>
        <w:rPr>
          <w:spacing w:val="-15"/>
          <w:sz w:val="22"/>
        </w:rPr>
        <w:t> </w:t>
      </w:r>
      <w:r>
        <w:rPr>
          <w:sz w:val="22"/>
        </w:rPr>
        <w:t>dispone</w:t>
      </w:r>
      <w:r>
        <w:rPr>
          <w:spacing w:val="-10"/>
          <w:sz w:val="22"/>
        </w:rPr>
        <w:t> </w:t>
      </w:r>
      <w:r>
        <w:rPr>
          <w:sz w:val="22"/>
        </w:rPr>
        <w:t>de</w:t>
      </w:r>
      <w:r>
        <w:rPr>
          <w:spacing w:val="-13"/>
          <w:sz w:val="22"/>
        </w:rPr>
        <w:t> </w:t>
      </w:r>
      <w:r>
        <w:rPr>
          <w:sz w:val="22"/>
        </w:rPr>
        <w:t>ésta</w:t>
      </w:r>
      <w:r>
        <w:rPr>
          <w:spacing w:val="-13"/>
          <w:sz w:val="22"/>
        </w:rPr>
        <w:t> </w:t>
      </w:r>
      <w:r>
        <w:rPr>
          <w:sz w:val="22"/>
        </w:rPr>
        <w:t>se</w:t>
      </w:r>
      <w:r>
        <w:rPr>
          <w:spacing w:val="-13"/>
          <w:sz w:val="22"/>
        </w:rPr>
        <w:t> </w:t>
      </w:r>
      <w:r>
        <w:rPr>
          <w:sz w:val="22"/>
        </w:rPr>
        <w:t>corre</w:t>
      </w:r>
      <w:r>
        <w:rPr>
          <w:spacing w:val="-15"/>
          <w:sz w:val="22"/>
        </w:rPr>
        <w:t> </w:t>
      </w:r>
      <w:r>
        <w:rPr>
          <w:sz w:val="22"/>
        </w:rPr>
        <w:t>el</w:t>
      </w:r>
      <w:r>
        <w:rPr>
          <w:spacing w:val="-11"/>
          <w:sz w:val="22"/>
        </w:rPr>
        <w:t> </w:t>
      </w:r>
      <w:r>
        <w:rPr>
          <w:sz w:val="22"/>
        </w:rPr>
        <w:t>riesgo de</w:t>
      </w:r>
      <w:r>
        <w:rPr>
          <w:spacing w:val="-4"/>
          <w:sz w:val="22"/>
        </w:rPr>
        <w:t> </w:t>
      </w:r>
      <w:r>
        <w:rPr>
          <w:sz w:val="22"/>
        </w:rPr>
        <w:t>que</w:t>
      </w:r>
      <w:r>
        <w:rPr>
          <w:spacing w:val="-7"/>
          <w:sz w:val="22"/>
        </w:rPr>
        <w:t> </w:t>
      </w:r>
      <w:r>
        <w:rPr>
          <w:sz w:val="22"/>
        </w:rPr>
        <w:t>la</w:t>
      </w:r>
      <w:r>
        <w:rPr>
          <w:spacing w:val="-4"/>
          <w:sz w:val="22"/>
        </w:rPr>
        <w:t> </w:t>
      </w:r>
      <w:r>
        <w:rPr>
          <w:sz w:val="22"/>
        </w:rPr>
        <w:t>decisión</w:t>
      </w:r>
      <w:r>
        <w:rPr>
          <w:spacing w:val="-4"/>
          <w:sz w:val="22"/>
        </w:rPr>
        <w:t> </w:t>
      </w:r>
      <w:r>
        <w:rPr>
          <w:sz w:val="22"/>
        </w:rPr>
        <w:t>tomada</w:t>
      </w:r>
      <w:r>
        <w:rPr>
          <w:spacing w:val="-4"/>
          <w:sz w:val="22"/>
        </w:rPr>
        <w:t> </w:t>
      </w:r>
      <w:r>
        <w:rPr>
          <w:sz w:val="22"/>
        </w:rPr>
        <w:t>no</w:t>
      </w:r>
      <w:r>
        <w:rPr>
          <w:spacing w:val="-4"/>
          <w:sz w:val="22"/>
        </w:rPr>
        <w:t> </w:t>
      </w:r>
      <w:r>
        <w:rPr>
          <w:sz w:val="22"/>
        </w:rPr>
        <w:t>cumpla</w:t>
      </w:r>
      <w:r>
        <w:rPr>
          <w:spacing w:val="-6"/>
          <w:sz w:val="22"/>
        </w:rPr>
        <w:t> </w:t>
      </w:r>
      <w:r>
        <w:rPr>
          <w:sz w:val="22"/>
        </w:rPr>
        <w:t>con</w:t>
      </w:r>
      <w:r>
        <w:rPr>
          <w:spacing w:val="-4"/>
          <w:sz w:val="22"/>
        </w:rPr>
        <w:t> </w:t>
      </w:r>
      <w:r>
        <w:rPr>
          <w:sz w:val="22"/>
        </w:rPr>
        <w:t>su</w:t>
      </w:r>
      <w:r>
        <w:rPr>
          <w:spacing w:val="-4"/>
          <w:sz w:val="22"/>
        </w:rPr>
        <w:t> </w:t>
      </w:r>
      <w:r>
        <w:rPr>
          <w:sz w:val="22"/>
        </w:rPr>
        <w:t>propósito.</w:t>
      </w:r>
      <w:r>
        <w:rPr>
          <w:spacing w:val="-3"/>
          <w:sz w:val="22"/>
        </w:rPr>
        <w:t> </w:t>
      </w:r>
      <w:r>
        <w:rPr>
          <w:sz w:val="22"/>
        </w:rPr>
        <w:t>En</w:t>
      </w:r>
      <w:r>
        <w:rPr>
          <w:spacing w:val="-4"/>
          <w:sz w:val="22"/>
        </w:rPr>
        <w:t> </w:t>
      </w:r>
      <w:r>
        <w:rPr>
          <w:sz w:val="22"/>
        </w:rPr>
        <w:t>síntesis,</w:t>
      </w:r>
      <w:r>
        <w:rPr>
          <w:spacing w:val="-3"/>
          <w:sz w:val="22"/>
        </w:rPr>
        <w:t> </w:t>
      </w:r>
      <w:r>
        <w:rPr>
          <w:sz w:val="22"/>
        </w:rPr>
        <w:t>la</w:t>
      </w:r>
      <w:r>
        <w:rPr>
          <w:spacing w:val="-4"/>
          <w:sz w:val="22"/>
        </w:rPr>
        <w:t> </w:t>
      </w:r>
      <w:r>
        <w:rPr>
          <w:sz w:val="22"/>
        </w:rPr>
        <w:t>información proporciona las bases primarias reales para lograr buenas decisiones (Aguera y Oroza,</w:t>
      </w:r>
      <w:r>
        <w:rPr>
          <w:spacing w:val="-4"/>
          <w:sz w:val="22"/>
        </w:rPr>
        <w:t> </w:t>
      </w:r>
      <w:r>
        <w:rPr>
          <w:sz w:val="22"/>
        </w:rPr>
        <w:t>1998:79).</w:t>
      </w:r>
    </w:p>
    <w:p>
      <w:pPr>
        <w:pStyle w:val="BodyText"/>
        <w:spacing w:before="5"/>
        <w:rPr>
          <w:sz w:val="17"/>
        </w:rPr>
      </w:pPr>
    </w:p>
    <w:p>
      <w:pPr>
        <w:pStyle w:val="BodyText"/>
        <w:spacing w:line="360" w:lineRule="auto"/>
        <w:ind w:left="102" w:right="117"/>
        <w:jc w:val="both"/>
      </w:pPr>
      <w:r>
        <w:rPr/>
        <w:t>La información a la que se hace referencia en los párrafos anteriores, para el caso específico que nos atañe, es o son aquellas herramientas que auxiliaran a los ayuntamientos para tomar decisiones en cuanto al destino de los recursos para cubrir las necesidades más urgentes y prioritarias dentro de la demarcación territorial de cada municipio, es por ello que la colaboración y participación social que fortalezca la coordinación y articulación de las acciones públicas coadyuvara a potenciar el uso de los recursos.</w:t>
      </w:r>
    </w:p>
    <w:p>
      <w:pPr>
        <w:pStyle w:val="BodyText"/>
        <w:spacing w:line="360" w:lineRule="auto" w:before="205"/>
        <w:ind w:left="102" w:right="115"/>
        <w:jc w:val="both"/>
      </w:pPr>
      <w:r>
        <w:rPr/>
        <w:t>La dinámica de los cambios dentro y fuera de la Administración Pública en sus tres esferas de gobierno impone adecuar un marco jurídico conveniente a las necesidades</w:t>
      </w:r>
      <w:r>
        <w:rPr>
          <w:spacing w:val="-10"/>
        </w:rPr>
        <w:t> </w:t>
      </w:r>
      <w:r>
        <w:rPr/>
        <w:t>derivadas</w:t>
      </w:r>
      <w:r>
        <w:rPr>
          <w:spacing w:val="-10"/>
        </w:rPr>
        <w:t> </w:t>
      </w:r>
      <w:r>
        <w:rPr/>
        <w:t>del</w:t>
      </w:r>
      <w:r>
        <w:rPr>
          <w:spacing w:val="-9"/>
        </w:rPr>
        <w:t> </w:t>
      </w:r>
      <w:r>
        <w:rPr/>
        <w:t>constante</w:t>
      </w:r>
      <w:r>
        <w:rPr>
          <w:spacing w:val="-9"/>
        </w:rPr>
        <w:t> </w:t>
      </w:r>
      <w:r>
        <w:rPr/>
        <w:t>desarrollo</w:t>
      </w:r>
      <w:r>
        <w:rPr>
          <w:spacing w:val="-8"/>
        </w:rPr>
        <w:t> </w:t>
      </w:r>
      <w:r>
        <w:rPr/>
        <w:t>del</w:t>
      </w:r>
      <w:r>
        <w:rPr>
          <w:spacing w:val="-9"/>
        </w:rPr>
        <w:t> </w:t>
      </w:r>
      <w:r>
        <w:rPr/>
        <w:t>Estado,</w:t>
      </w:r>
      <w:r>
        <w:rPr>
          <w:spacing w:val="-8"/>
        </w:rPr>
        <w:t> </w:t>
      </w:r>
      <w:r>
        <w:rPr/>
        <w:t>ya</w:t>
      </w:r>
      <w:r>
        <w:rPr>
          <w:spacing w:val="-8"/>
        </w:rPr>
        <w:t> </w:t>
      </w:r>
      <w:r>
        <w:rPr/>
        <w:t>sea</w:t>
      </w:r>
      <w:r>
        <w:rPr>
          <w:spacing w:val="-9"/>
        </w:rPr>
        <w:t> </w:t>
      </w:r>
      <w:r>
        <w:rPr/>
        <w:t>preservando</w:t>
      </w:r>
      <w:r>
        <w:rPr>
          <w:spacing w:val="-8"/>
        </w:rPr>
        <w:t> </w:t>
      </w:r>
      <w:r>
        <w:rPr/>
        <w:t>las disposiciones que han dado resultado, o en su caso sustituyendo o</w:t>
      </w:r>
      <w:r>
        <w:rPr>
          <w:spacing w:val="-43"/>
        </w:rPr>
        <w:t> </w:t>
      </w:r>
      <w:r>
        <w:rPr/>
        <w:t>perfeccionando aquellas que las circunstancias las han</w:t>
      </w:r>
      <w:r>
        <w:rPr>
          <w:spacing w:val="-17"/>
        </w:rPr>
        <w:t> </w:t>
      </w:r>
      <w:r>
        <w:rPr/>
        <w:t>rebasado.</w:t>
      </w:r>
    </w:p>
    <w:p>
      <w:pPr>
        <w:spacing w:after="0" w:line="360" w:lineRule="auto"/>
        <w:jc w:val="both"/>
        <w:sectPr>
          <w:pgSz w:w="12240" w:h="15840"/>
          <w:pgMar w:header="0" w:footer="992" w:top="1360" w:bottom="1180" w:left="1600" w:right="1580"/>
        </w:sectPr>
      </w:pPr>
    </w:p>
    <w:p>
      <w:pPr>
        <w:pStyle w:val="BodyText"/>
        <w:spacing w:line="360" w:lineRule="auto" w:before="54"/>
        <w:ind w:left="102" w:right="118"/>
        <w:jc w:val="both"/>
      </w:pPr>
      <w:r>
        <w:rPr/>
        <w:t>La pregunta que surge es ¿Cómo opera el Gobierno del Estado de México las aportaciones</w:t>
      </w:r>
      <w:r>
        <w:rPr>
          <w:spacing w:val="-13"/>
        </w:rPr>
        <w:t> </w:t>
      </w:r>
      <w:r>
        <w:rPr/>
        <w:t>destinadas</w:t>
      </w:r>
      <w:r>
        <w:rPr>
          <w:spacing w:val="-10"/>
        </w:rPr>
        <w:t> </w:t>
      </w:r>
      <w:r>
        <w:rPr/>
        <w:t>a</w:t>
      </w:r>
      <w:r>
        <w:rPr>
          <w:spacing w:val="-12"/>
        </w:rPr>
        <w:t> </w:t>
      </w:r>
      <w:r>
        <w:rPr/>
        <w:t>los</w:t>
      </w:r>
      <w:r>
        <w:rPr>
          <w:spacing w:val="-12"/>
        </w:rPr>
        <w:t> </w:t>
      </w:r>
      <w:r>
        <w:rPr/>
        <w:t>municipios</w:t>
      </w:r>
      <w:r>
        <w:rPr>
          <w:spacing w:val="-12"/>
        </w:rPr>
        <w:t> </w:t>
      </w:r>
      <w:r>
        <w:rPr/>
        <w:t>o</w:t>
      </w:r>
      <w:r>
        <w:rPr>
          <w:spacing w:val="-11"/>
        </w:rPr>
        <w:t> </w:t>
      </w:r>
      <w:r>
        <w:rPr/>
        <w:t>mejor</w:t>
      </w:r>
      <w:r>
        <w:rPr>
          <w:spacing w:val="-10"/>
        </w:rPr>
        <w:t> </w:t>
      </w:r>
      <w:r>
        <w:rPr/>
        <w:t>dicho</w:t>
      </w:r>
      <w:r>
        <w:rPr>
          <w:spacing w:val="-9"/>
        </w:rPr>
        <w:t> </w:t>
      </w:r>
      <w:r>
        <w:rPr/>
        <w:t>como</w:t>
      </w:r>
      <w:r>
        <w:rPr>
          <w:spacing w:val="-9"/>
        </w:rPr>
        <w:t> </w:t>
      </w:r>
      <w:r>
        <w:rPr/>
        <w:t>operan</w:t>
      </w:r>
      <w:r>
        <w:rPr>
          <w:spacing w:val="-9"/>
        </w:rPr>
        <w:t> </w:t>
      </w:r>
      <w:r>
        <w:rPr/>
        <w:t>los</w:t>
      </w:r>
      <w:r>
        <w:rPr>
          <w:spacing w:val="-12"/>
        </w:rPr>
        <w:t> </w:t>
      </w:r>
      <w:r>
        <w:rPr/>
        <w:t>municipios estos fondos a partir de su</w:t>
      </w:r>
      <w:r>
        <w:rPr>
          <w:spacing w:val="-9"/>
        </w:rPr>
        <w:t> </w:t>
      </w:r>
      <w:r>
        <w:rPr/>
        <w:t>creación?</w:t>
      </w:r>
    </w:p>
    <w:p>
      <w:pPr>
        <w:pStyle w:val="BodyText"/>
        <w:spacing w:line="360" w:lineRule="auto" w:before="204"/>
        <w:ind w:left="102" w:right="119"/>
        <w:jc w:val="both"/>
      </w:pPr>
      <w:r>
        <w:rPr/>
        <w:t>Para el ejercicio de los recursos a nivel estatal, la normatividad aplicable se encuentra en el Código Financiero del Estado de México y Municipios conforme a los</w:t>
      </w:r>
      <w:r>
        <w:rPr>
          <w:spacing w:val="-6"/>
        </w:rPr>
        <w:t> </w:t>
      </w:r>
      <w:r>
        <w:rPr/>
        <w:t>artículos</w:t>
      </w:r>
      <w:r>
        <w:rPr>
          <w:spacing w:val="-9"/>
        </w:rPr>
        <w:t> </w:t>
      </w:r>
      <w:r>
        <w:rPr/>
        <w:t>que</w:t>
      </w:r>
      <w:r>
        <w:rPr>
          <w:spacing w:val="-6"/>
        </w:rPr>
        <w:t> </w:t>
      </w:r>
      <w:r>
        <w:rPr/>
        <w:t>van</w:t>
      </w:r>
      <w:r>
        <w:rPr>
          <w:spacing w:val="-8"/>
        </w:rPr>
        <w:t> </w:t>
      </w:r>
      <w:r>
        <w:rPr/>
        <w:t>desde</w:t>
      </w:r>
      <w:r>
        <w:rPr>
          <w:spacing w:val="-8"/>
        </w:rPr>
        <w:t> </w:t>
      </w:r>
      <w:r>
        <w:rPr/>
        <w:t>el</w:t>
      </w:r>
      <w:r>
        <w:rPr>
          <w:spacing w:val="-10"/>
        </w:rPr>
        <w:t> </w:t>
      </w:r>
      <w:r>
        <w:rPr/>
        <w:t>227</w:t>
      </w:r>
      <w:r>
        <w:rPr>
          <w:spacing w:val="-8"/>
        </w:rPr>
        <w:t> </w:t>
      </w:r>
      <w:r>
        <w:rPr/>
        <w:t>hasta</w:t>
      </w:r>
      <w:r>
        <w:rPr>
          <w:spacing w:val="-8"/>
        </w:rPr>
        <w:t> </w:t>
      </w:r>
      <w:r>
        <w:rPr/>
        <w:t>el</w:t>
      </w:r>
      <w:r>
        <w:rPr>
          <w:spacing w:val="-10"/>
        </w:rPr>
        <w:t> </w:t>
      </w:r>
      <w:r>
        <w:rPr/>
        <w:t>244</w:t>
      </w:r>
      <w:r>
        <w:rPr>
          <w:spacing w:val="-6"/>
        </w:rPr>
        <w:t> </w:t>
      </w:r>
      <w:r>
        <w:rPr/>
        <w:t>y</w:t>
      </w:r>
      <w:r>
        <w:rPr>
          <w:spacing w:val="-9"/>
        </w:rPr>
        <w:t> </w:t>
      </w:r>
      <w:r>
        <w:rPr/>
        <w:t>327,</w:t>
      </w:r>
      <w:r>
        <w:rPr>
          <w:spacing w:val="-9"/>
        </w:rPr>
        <w:t> </w:t>
      </w:r>
      <w:r>
        <w:rPr/>
        <w:t>entre</w:t>
      </w:r>
      <w:r>
        <w:rPr>
          <w:spacing w:val="-9"/>
        </w:rPr>
        <w:t> </w:t>
      </w:r>
      <w:r>
        <w:rPr/>
        <w:t>otras</w:t>
      </w:r>
      <w:r>
        <w:rPr>
          <w:spacing w:val="-9"/>
        </w:rPr>
        <w:t> </w:t>
      </w:r>
      <w:r>
        <w:rPr/>
        <w:t>disposiciones</w:t>
      </w:r>
      <w:r>
        <w:rPr>
          <w:spacing w:val="-9"/>
        </w:rPr>
        <w:t> </w:t>
      </w:r>
      <w:r>
        <w:rPr/>
        <w:t>que van</w:t>
      </w:r>
      <w:r>
        <w:rPr>
          <w:spacing w:val="-3"/>
        </w:rPr>
        <w:t> </w:t>
      </w:r>
      <w:r>
        <w:rPr/>
        <w:t>dirigidas</w:t>
      </w:r>
      <w:r>
        <w:rPr>
          <w:spacing w:val="-3"/>
        </w:rPr>
        <w:t> </w:t>
      </w:r>
      <w:r>
        <w:rPr/>
        <w:t>ya</w:t>
      </w:r>
      <w:r>
        <w:rPr>
          <w:spacing w:val="-3"/>
        </w:rPr>
        <w:t> </w:t>
      </w:r>
      <w:r>
        <w:rPr/>
        <w:t>en</w:t>
      </w:r>
      <w:r>
        <w:rPr>
          <w:spacing w:val="-3"/>
        </w:rPr>
        <w:t> </w:t>
      </w:r>
      <w:r>
        <w:rPr/>
        <w:t>el</w:t>
      </w:r>
      <w:r>
        <w:rPr>
          <w:spacing w:val="-4"/>
        </w:rPr>
        <w:t> </w:t>
      </w:r>
      <w:r>
        <w:rPr/>
        <w:t>proceso</w:t>
      </w:r>
      <w:r>
        <w:rPr>
          <w:spacing w:val="-3"/>
        </w:rPr>
        <w:t> </w:t>
      </w:r>
      <w:r>
        <w:rPr/>
        <w:t>de</w:t>
      </w:r>
      <w:r>
        <w:rPr>
          <w:spacing w:val="-3"/>
        </w:rPr>
        <w:t> </w:t>
      </w:r>
      <w:r>
        <w:rPr/>
        <w:t>ejecución</w:t>
      </w:r>
      <w:r>
        <w:rPr>
          <w:spacing w:val="-3"/>
        </w:rPr>
        <w:t> </w:t>
      </w:r>
      <w:r>
        <w:rPr/>
        <w:t>de</w:t>
      </w:r>
      <w:r>
        <w:rPr>
          <w:spacing w:val="-3"/>
        </w:rPr>
        <w:t> </w:t>
      </w:r>
      <w:r>
        <w:rPr/>
        <w:t>las</w:t>
      </w:r>
      <w:r>
        <w:rPr>
          <w:spacing w:val="-3"/>
        </w:rPr>
        <w:t> </w:t>
      </w:r>
      <w:r>
        <w:rPr/>
        <w:t>obras</w:t>
      </w:r>
      <w:r>
        <w:rPr>
          <w:spacing w:val="-3"/>
        </w:rPr>
        <w:t> </w:t>
      </w:r>
      <w:r>
        <w:rPr/>
        <w:t>y</w:t>
      </w:r>
      <w:r>
        <w:rPr>
          <w:spacing w:val="-6"/>
        </w:rPr>
        <w:t> </w:t>
      </w:r>
      <w:r>
        <w:rPr/>
        <w:t>acciones</w:t>
      </w:r>
      <w:r>
        <w:rPr>
          <w:spacing w:val="-3"/>
        </w:rPr>
        <w:t> </w:t>
      </w:r>
      <w:r>
        <w:rPr/>
        <w:t>en</w:t>
      </w:r>
      <w:r>
        <w:rPr>
          <w:spacing w:val="-3"/>
        </w:rPr>
        <w:t> </w:t>
      </w:r>
      <w:r>
        <w:rPr/>
        <w:t>cuanto</w:t>
      </w:r>
      <w:r>
        <w:rPr>
          <w:spacing w:val="-2"/>
        </w:rPr>
        <w:t> </w:t>
      </w:r>
      <w:r>
        <w:rPr/>
        <w:t>a</w:t>
      </w:r>
      <w:r>
        <w:rPr>
          <w:spacing w:val="-3"/>
        </w:rPr>
        <w:t> </w:t>
      </w:r>
      <w:r>
        <w:rPr/>
        <w:t>los requisitos contables, fiscales y</w:t>
      </w:r>
      <w:r>
        <w:rPr>
          <w:spacing w:val="-16"/>
        </w:rPr>
        <w:t> </w:t>
      </w:r>
      <w:r>
        <w:rPr/>
        <w:t>administrativos.</w:t>
      </w:r>
    </w:p>
    <w:p>
      <w:pPr>
        <w:pStyle w:val="Heading2"/>
        <w:numPr>
          <w:ilvl w:val="0"/>
          <w:numId w:val="56"/>
        </w:numPr>
        <w:tabs>
          <w:tab w:pos="822" w:val="left" w:leader="none"/>
        </w:tabs>
        <w:spacing w:line="240" w:lineRule="auto" w:before="205" w:after="0"/>
        <w:ind w:left="822" w:right="0" w:hanging="360"/>
        <w:jc w:val="left"/>
      </w:pPr>
      <w:r>
        <w:rPr/>
        <w:t>Selección y Aprobación de Obras </w:t>
      </w:r>
      <w:r>
        <w:rPr>
          <w:spacing w:val="-3"/>
        </w:rPr>
        <w:t>y/o</w:t>
      </w:r>
      <w:r>
        <w:rPr>
          <w:spacing w:val="-4"/>
        </w:rPr>
        <w:t> </w:t>
      </w:r>
      <w:r>
        <w:rPr/>
        <w:t>Acciones</w:t>
      </w:r>
    </w:p>
    <w:p>
      <w:pPr>
        <w:pStyle w:val="BodyText"/>
        <w:rPr>
          <w:b/>
        </w:rPr>
      </w:pPr>
    </w:p>
    <w:p>
      <w:pPr>
        <w:pStyle w:val="BodyText"/>
        <w:spacing w:line="360" w:lineRule="auto" w:before="141"/>
        <w:ind w:left="102" w:right="119"/>
        <w:jc w:val="both"/>
      </w:pPr>
      <w:r>
        <w:rPr/>
        <w:t>Después de que cada gobierno municipal tiene el conocimiento de la calendarización</w:t>
      </w:r>
      <w:r>
        <w:rPr>
          <w:spacing w:val="-8"/>
        </w:rPr>
        <w:t> </w:t>
      </w:r>
      <w:r>
        <w:rPr/>
        <w:t>de</w:t>
      </w:r>
      <w:r>
        <w:rPr>
          <w:spacing w:val="-10"/>
        </w:rPr>
        <w:t> </w:t>
      </w:r>
      <w:r>
        <w:rPr/>
        <w:t>las</w:t>
      </w:r>
      <w:r>
        <w:rPr>
          <w:spacing w:val="-12"/>
        </w:rPr>
        <w:t> </w:t>
      </w:r>
      <w:r>
        <w:rPr/>
        <w:t>ministraciones</w:t>
      </w:r>
      <w:r>
        <w:rPr>
          <w:spacing w:val="-11"/>
        </w:rPr>
        <w:t> </w:t>
      </w:r>
      <w:r>
        <w:rPr/>
        <w:t>de</w:t>
      </w:r>
      <w:r>
        <w:rPr>
          <w:spacing w:val="-10"/>
        </w:rPr>
        <w:t> </w:t>
      </w:r>
      <w:r>
        <w:rPr/>
        <w:t>los</w:t>
      </w:r>
      <w:r>
        <w:rPr>
          <w:spacing w:val="-12"/>
        </w:rPr>
        <w:t> </w:t>
      </w:r>
      <w:r>
        <w:rPr/>
        <w:t>fondos,</w:t>
      </w:r>
      <w:r>
        <w:rPr>
          <w:spacing w:val="-9"/>
        </w:rPr>
        <w:t> </w:t>
      </w:r>
      <w:r>
        <w:rPr/>
        <w:t>y</w:t>
      </w:r>
      <w:r>
        <w:rPr>
          <w:spacing w:val="-11"/>
        </w:rPr>
        <w:t> </w:t>
      </w:r>
      <w:r>
        <w:rPr/>
        <w:t>que</w:t>
      </w:r>
      <w:r>
        <w:rPr>
          <w:spacing w:val="-10"/>
        </w:rPr>
        <w:t> </w:t>
      </w:r>
      <w:r>
        <w:rPr/>
        <w:t>ya</w:t>
      </w:r>
      <w:r>
        <w:rPr>
          <w:spacing w:val="-8"/>
        </w:rPr>
        <w:t> </w:t>
      </w:r>
      <w:r>
        <w:rPr/>
        <w:t>cuenta</w:t>
      </w:r>
      <w:r>
        <w:rPr>
          <w:spacing w:val="-9"/>
        </w:rPr>
        <w:t> </w:t>
      </w:r>
      <w:r>
        <w:rPr/>
        <w:t>para</w:t>
      </w:r>
      <w:r>
        <w:rPr>
          <w:spacing w:val="-10"/>
        </w:rPr>
        <w:t> </w:t>
      </w:r>
      <w:r>
        <w:rPr/>
        <w:t>el</w:t>
      </w:r>
      <w:r>
        <w:rPr>
          <w:spacing w:val="-13"/>
        </w:rPr>
        <w:t> </w:t>
      </w:r>
      <w:r>
        <w:rPr/>
        <w:t>mes</w:t>
      </w:r>
      <w:r>
        <w:rPr>
          <w:spacing w:val="-11"/>
        </w:rPr>
        <w:t> </w:t>
      </w:r>
      <w:r>
        <w:rPr/>
        <w:t>de Enero de cada ejercicio fiscal con el primer deposito en sus cuentas bancarias, lo que procede y es aquí la tarea importante del municipio “tomar</w:t>
      </w:r>
      <w:r>
        <w:rPr>
          <w:spacing w:val="-22"/>
        </w:rPr>
        <w:t> </w:t>
      </w:r>
      <w:r>
        <w:rPr/>
        <w:t>decisiones”.</w:t>
      </w:r>
    </w:p>
    <w:p>
      <w:pPr>
        <w:pStyle w:val="BodyText"/>
        <w:spacing w:before="7"/>
      </w:pPr>
    </w:p>
    <w:p>
      <w:pPr>
        <w:pStyle w:val="BodyText"/>
        <w:spacing w:line="360" w:lineRule="auto"/>
        <w:ind w:left="102" w:right="116"/>
        <w:jc w:val="both"/>
      </w:pPr>
      <w:r>
        <w:rPr/>
        <w:t>De</w:t>
      </w:r>
      <w:r>
        <w:rPr>
          <w:spacing w:val="-10"/>
        </w:rPr>
        <w:t> </w:t>
      </w:r>
      <w:r>
        <w:rPr/>
        <w:t>acuerdo</w:t>
      </w:r>
      <w:r>
        <w:rPr>
          <w:spacing w:val="-12"/>
        </w:rPr>
        <w:t> </w:t>
      </w:r>
      <w:r>
        <w:rPr/>
        <w:t>a</w:t>
      </w:r>
      <w:r>
        <w:rPr>
          <w:spacing w:val="-10"/>
        </w:rPr>
        <w:t> </w:t>
      </w:r>
      <w:r>
        <w:rPr/>
        <w:t>lo</w:t>
      </w:r>
      <w:r>
        <w:rPr>
          <w:spacing w:val="-12"/>
        </w:rPr>
        <w:t> </w:t>
      </w:r>
      <w:r>
        <w:rPr/>
        <w:t>establecido</w:t>
      </w:r>
      <w:r>
        <w:rPr>
          <w:spacing w:val="-12"/>
        </w:rPr>
        <w:t> </w:t>
      </w:r>
      <w:r>
        <w:rPr/>
        <w:t>en</w:t>
      </w:r>
      <w:r>
        <w:rPr>
          <w:spacing w:val="-12"/>
        </w:rPr>
        <w:t> </w:t>
      </w:r>
      <w:r>
        <w:rPr/>
        <w:t>el</w:t>
      </w:r>
      <w:r>
        <w:rPr>
          <w:spacing w:val="-11"/>
        </w:rPr>
        <w:t> </w:t>
      </w:r>
      <w:r>
        <w:rPr/>
        <w:t>art.</w:t>
      </w:r>
      <w:r>
        <w:rPr>
          <w:spacing w:val="-13"/>
        </w:rPr>
        <w:t> </w:t>
      </w:r>
      <w:r>
        <w:rPr/>
        <w:t>33</w:t>
      </w:r>
      <w:r>
        <w:rPr>
          <w:spacing w:val="-12"/>
        </w:rPr>
        <w:t> </w:t>
      </w:r>
      <w:r>
        <w:rPr/>
        <w:t>de</w:t>
      </w:r>
      <w:r>
        <w:rPr>
          <w:spacing w:val="-12"/>
        </w:rPr>
        <w:t> </w:t>
      </w:r>
      <w:r>
        <w:rPr/>
        <w:t>la</w:t>
      </w:r>
      <w:r>
        <w:rPr>
          <w:spacing w:val="-12"/>
        </w:rPr>
        <w:t> </w:t>
      </w:r>
      <w:r>
        <w:rPr/>
        <w:t>LCF;</w:t>
      </w:r>
      <w:r>
        <w:rPr>
          <w:spacing w:val="-10"/>
        </w:rPr>
        <w:t> </w:t>
      </w:r>
      <w:r>
        <w:rPr/>
        <w:t>232</w:t>
      </w:r>
      <w:r>
        <w:rPr>
          <w:spacing w:val="-10"/>
        </w:rPr>
        <w:t> </w:t>
      </w:r>
      <w:r>
        <w:rPr/>
        <w:t>y</w:t>
      </w:r>
      <w:r>
        <w:rPr>
          <w:spacing w:val="-13"/>
        </w:rPr>
        <w:t> </w:t>
      </w:r>
      <w:r>
        <w:rPr/>
        <w:t>233</w:t>
      </w:r>
      <w:r>
        <w:rPr>
          <w:spacing w:val="-12"/>
        </w:rPr>
        <w:t> </w:t>
      </w:r>
      <w:r>
        <w:rPr/>
        <w:t>del</w:t>
      </w:r>
      <w:r>
        <w:rPr>
          <w:spacing w:val="-11"/>
        </w:rPr>
        <w:t> </w:t>
      </w:r>
      <w:r>
        <w:rPr/>
        <w:t>Código</w:t>
      </w:r>
      <w:r>
        <w:rPr>
          <w:spacing w:val="-10"/>
        </w:rPr>
        <w:t> </w:t>
      </w:r>
      <w:r>
        <w:rPr/>
        <w:t>Financiero del Estado de México y Municipios, en la determinación de obras y/o acciones, así como ejecución, seguimiento y evaluación, los ayuntamientos fomentarán la intervención de las comunidades beneficiadas y atendiendo el Plan de Desarrollo Municipal; bajo los mecanismos de participación estipulados en la Ley Orgánica Municipal del Estado de México y en la Ley de</w:t>
      </w:r>
      <w:r>
        <w:rPr>
          <w:spacing w:val="-22"/>
        </w:rPr>
        <w:t> </w:t>
      </w:r>
      <w:r>
        <w:rPr/>
        <w:t>Planeación.</w:t>
      </w:r>
    </w:p>
    <w:p>
      <w:pPr>
        <w:pStyle w:val="BodyText"/>
        <w:spacing w:line="360" w:lineRule="auto" w:before="204"/>
        <w:ind w:left="102" w:right="118"/>
        <w:jc w:val="both"/>
      </w:pPr>
      <w:r>
        <w:rPr/>
        <w:t>Es por medio de los Consejos de Participación Ciudadana (COPACI) o de los Consejos</w:t>
      </w:r>
      <w:r>
        <w:rPr>
          <w:spacing w:val="-13"/>
        </w:rPr>
        <w:t> </w:t>
      </w:r>
      <w:r>
        <w:rPr/>
        <w:t>de</w:t>
      </w:r>
      <w:r>
        <w:rPr>
          <w:spacing w:val="-13"/>
        </w:rPr>
        <w:t> </w:t>
      </w:r>
      <w:r>
        <w:rPr/>
        <w:t>Desarrollo</w:t>
      </w:r>
      <w:r>
        <w:rPr>
          <w:spacing w:val="-11"/>
        </w:rPr>
        <w:t> </w:t>
      </w:r>
      <w:r>
        <w:rPr/>
        <w:t>Municipal</w:t>
      </w:r>
      <w:r>
        <w:rPr>
          <w:spacing w:val="-12"/>
        </w:rPr>
        <w:t> </w:t>
      </w:r>
      <w:r>
        <w:rPr/>
        <w:t>que</w:t>
      </w:r>
      <w:r>
        <w:rPr>
          <w:spacing w:val="-13"/>
        </w:rPr>
        <w:t> </w:t>
      </w:r>
      <w:r>
        <w:rPr/>
        <w:t>se</w:t>
      </w:r>
      <w:r>
        <w:rPr>
          <w:spacing w:val="41"/>
        </w:rPr>
        <w:t> </w:t>
      </w:r>
      <w:r>
        <w:rPr/>
        <w:t>propondrán</w:t>
      </w:r>
      <w:r>
        <w:rPr>
          <w:spacing w:val="-13"/>
        </w:rPr>
        <w:t> </w:t>
      </w:r>
      <w:r>
        <w:rPr/>
        <w:t>a</w:t>
      </w:r>
      <w:r>
        <w:rPr>
          <w:spacing w:val="-13"/>
        </w:rPr>
        <w:t> </w:t>
      </w:r>
      <w:r>
        <w:rPr/>
        <w:t>los</w:t>
      </w:r>
      <w:r>
        <w:rPr>
          <w:spacing w:val="-13"/>
        </w:rPr>
        <w:t> </w:t>
      </w:r>
      <w:r>
        <w:rPr/>
        <w:t>ayuntamientos</w:t>
      </w:r>
      <w:r>
        <w:rPr>
          <w:spacing w:val="-14"/>
        </w:rPr>
        <w:t> </w:t>
      </w:r>
      <w:r>
        <w:rPr/>
        <w:t>las</w:t>
      </w:r>
      <w:r>
        <w:rPr>
          <w:spacing w:val="-13"/>
        </w:rPr>
        <w:t> </w:t>
      </w:r>
      <w:r>
        <w:rPr/>
        <w:t>obras y/o acciones a realizar dentro de los fondos, específicamente estos mecanismos son principal instrumento para el Fondo de Infraestructura Social Municipal, con base a las peticiones de las</w:t>
      </w:r>
      <w:r>
        <w:rPr>
          <w:spacing w:val="-14"/>
        </w:rPr>
        <w:t> </w:t>
      </w:r>
      <w:r>
        <w:rPr/>
        <w:t>comunidades.</w:t>
      </w:r>
    </w:p>
    <w:p>
      <w:pPr>
        <w:pStyle w:val="BodyText"/>
        <w:spacing w:line="360" w:lineRule="auto" w:before="204"/>
        <w:ind w:left="102" w:right="120"/>
        <w:jc w:val="both"/>
      </w:pPr>
      <w:r>
        <w:rPr/>
        <w:t>La</w:t>
      </w:r>
      <w:r>
        <w:rPr>
          <w:spacing w:val="-7"/>
        </w:rPr>
        <w:t> </w:t>
      </w:r>
      <w:r>
        <w:rPr/>
        <w:t>propuesta</w:t>
      </w:r>
      <w:r>
        <w:rPr>
          <w:spacing w:val="-7"/>
        </w:rPr>
        <w:t> </w:t>
      </w:r>
      <w:r>
        <w:rPr/>
        <w:t>de</w:t>
      </w:r>
      <w:r>
        <w:rPr>
          <w:spacing w:val="-7"/>
        </w:rPr>
        <w:t> </w:t>
      </w:r>
      <w:r>
        <w:rPr/>
        <w:t>inversión</w:t>
      </w:r>
      <w:r>
        <w:rPr>
          <w:spacing w:val="-5"/>
        </w:rPr>
        <w:t> </w:t>
      </w:r>
      <w:r>
        <w:rPr/>
        <w:t>que</w:t>
      </w:r>
      <w:r>
        <w:rPr>
          <w:spacing w:val="-7"/>
        </w:rPr>
        <w:t> </w:t>
      </w:r>
      <w:r>
        <w:rPr/>
        <w:t>planteen</w:t>
      </w:r>
      <w:r>
        <w:rPr>
          <w:spacing w:val="-7"/>
        </w:rPr>
        <w:t> </w:t>
      </w:r>
      <w:r>
        <w:rPr/>
        <w:t>las</w:t>
      </w:r>
      <w:r>
        <w:rPr>
          <w:spacing w:val="-7"/>
        </w:rPr>
        <w:t> </w:t>
      </w:r>
      <w:r>
        <w:rPr/>
        <w:t>comunidades</w:t>
      </w:r>
      <w:r>
        <w:rPr>
          <w:spacing w:val="-8"/>
        </w:rPr>
        <w:t> </w:t>
      </w:r>
      <w:r>
        <w:rPr/>
        <w:t>beneficiadas,</w:t>
      </w:r>
      <w:r>
        <w:rPr>
          <w:spacing w:val="-7"/>
        </w:rPr>
        <w:t> </w:t>
      </w:r>
      <w:r>
        <w:rPr/>
        <w:t>mediante</w:t>
      </w:r>
      <w:r>
        <w:rPr>
          <w:spacing w:val="-7"/>
        </w:rPr>
        <w:t> </w:t>
      </w:r>
      <w:r>
        <w:rPr/>
        <w:t>el COPACI</w:t>
      </w:r>
      <w:r>
        <w:rPr>
          <w:spacing w:val="-6"/>
        </w:rPr>
        <w:t> </w:t>
      </w:r>
      <w:r>
        <w:rPr/>
        <w:t>o</w:t>
      </w:r>
      <w:r>
        <w:rPr>
          <w:spacing w:val="-5"/>
        </w:rPr>
        <w:t> </w:t>
      </w:r>
      <w:r>
        <w:rPr/>
        <w:t>el</w:t>
      </w:r>
      <w:r>
        <w:rPr>
          <w:spacing w:val="-6"/>
        </w:rPr>
        <w:t> </w:t>
      </w:r>
      <w:r>
        <w:rPr/>
        <w:t>CODEMUN</w:t>
      </w:r>
      <w:r>
        <w:rPr>
          <w:spacing w:val="-4"/>
        </w:rPr>
        <w:t> </w:t>
      </w:r>
      <w:r>
        <w:rPr/>
        <w:t>y</w:t>
      </w:r>
      <w:r>
        <w:rPr>
          <w:spacing w:val="-8"/>
        </w:rPr>
        <w:t> </w:t>
      </w:r>
      <w:r>
        <w:rPr/>
        <w:t>en</w:t>
      </w:r>
      <w:r>
        <w:rPr>
          <w:spacing w:val="-5"/>
        </w:rPr>
        <w:t> </w:t>
      </w:r>
      <w:r>
        <w:rPr/>
        <w:t>su</w:t>
      </w:r>
      <w:r>
        <w:rPr>
          <w:spacing w:val="-5"/>
        </w:rPr>
        <w:t> </w:t>
      </w:r>
      <w:r>
        <w:rPr/>
        <w:t>caso</w:t>
      </w:r>
      <w:r>
        <w:rPr>
          <w:spacing w:val="-5"/>
        </w:rPr>
        <w:t> </w:t>
      </w:r>
      <w:r>
        <w:rPr/>
        <w:t>por</w:t>
      </w:r>
      <w:r>
        <w:rPr>
          <w:spacing w:val="-6"/>
        </w:rPr>
        <w:t> </w:t>
      </w:r>
      <w:r>
        <w:rPr/>
        <w:t>el</w:t>
      </w:r>
      <w:r>
        <w:rPr>
          <w:spacing w:val="-9"/>
        </w:rPr>
        <w:t> </w:t>
      </w:r>
      <w:r>
        <w:rPr/>
        <w:t>cabildo,</w:t>
      </w:r>
      <w:r>
        <w:rPr>
          <w:spacing w:val="-5"/>
        </w:rPr>
        <w:t> </w:t>
      </w:r>
      <w:r>
        <w:rPr/>
        <w:t>deberán</w:t>
      </w:r>
      <w:r>
        <w:rPr>
          <w:spacing w:val="-5"/>
        </w:rPr>
        <w:t> </w:t>
      </w:r>
      <w:r>
        <w:rPr/>
        <w:t>contar</w:t>
      </w:r>
      <w:r>
        <w:rPr>
          <w:spacing w:val="-6"/>
        </w:rPr>
        <w:t> </w:t>
      </w:r>
      <w:r>
        <w:rPr/>
        <w:t>con</w:t>
      </w:r>
      <w:r>
        <w:rPr>
          <w:spacing w:val="-5"/>
        </w:rPr>
        <w:t> </w:t>
      </w:r>
      <w:r>
        <w:rPr/>
        <w:t>el</w:t>
      </w:r>
      <w:r>
        <w:rPr>
          <w:spacing w:val="-6"/>
        </w:rPr>
        <w:t> </w:t>
      </w:r>
      <w:r>
        <w:rPr/>
        <w:t>acta</w:t>
      </w:r>
      <w:r>
        <w:rPr>
          <w:spacing w:val="-5"/>
        </w:rPr>
        <w:t> </w:t>
      </w:r>
      <w:r>
        <w:rPr/>
        <w:t>de Asamblea, donde se asiente y valide que las obras y/o acciones fueron consideradas</w:t>
      </w:r>
      <w:r>
        <w:rPr>
          <w:spacing w:val="-10"/>
        </w:rPr>
        <w:t> </w:t>
      </w:r>
      <w:r>
        <w:rPr/>
        <w:t>prioritariamente</w:t>
      </w:r>
      <w:r>
        <w:rPr>
          <w:spacing w:val="-9"/>
        </w:rPr>
        <w:t> </w:t>
      </w:r>
      <w:r>
        <w:rPr/>
        <w:t>por</w:t>
      </w:r>
      <w:r>
        <w:rPr>
          <w:spacing w:val="-8"/>
        </w:rPr>
        <w:t> </w:t>
      </w:r>
      <w:r>
        <w:rPr/>
        <w:t>la</w:t>
      </w:r>
      <w:r>
        <w:rPr>
          <w:spacing w:val="-6"/>
        </w:rPr>
        <w:t> </w:t>
      </w:r>
      <w:r>
        <w:rPr/>
        <w:t>mayoría</w:t>
      </w:r>
      <w:r>
        <w:rPr>
          <w:spacing w:val="-5"/>
        </w:rPr>
        <w:t> </w:t>
      </w:r>
      <w:r>
        <w:rPr/>
        <w:t>de</w:t>
      </w:r>
      <w:r>
        <w:rPr>
          <w:spacing w:val="-7"/>
        </w:rPr>
        <w:t> </w:t>
      </w:r>
      <w:r>
        <w:rPr/>
        <w:t>la</w:t>
      </w:r>
      <w:r>
        <w:rPr>
          <w:spacing w:val="-10"/>
        </w:rPr>
        <w:t> </w:t>
      </w:r>
      <w:r>
        <w:rPr/>
        <w:t>población</w:t>
      </w:r>
      <w:r>
        <w:rPr>
          <w:spacing w:val="-9"/>
        </w:rPr>
        <w:t> </w:t>
      </w:r>
      <w:r>
        <w:rPr/>
        <w:t>de</w:t>
      </w:r>
      <w:r>
        <w:rPr>
          <w:spacing w:val="-7"/>
        </w:rPr>
        <w:t> </w:t>
      </w:r>
      <w:r>
        <w:rPr/>
        <w:t>la</w:t>
      </w:r>
      <w:r>
        <w:rPr>
          <w:spacing w:val="-7"/>
        </w:rPr>
        <w:t> </w:t>
      </w:r>
      <w:r>
        <w:rPr/>
        <w:t>localidad</w:t>
      </w:r>
      <w:r>
        <w:rPr>
          <w:spacing w:val="-7"/>
        </w:rPr>
        <w:t> </w:t>
      </w:r>
      <w:r>
        <w:rPr/>
        <w:t>y</w:t>
      </w:r>
      <w:r>
        <w:rPr>
          <w:spacing w:val="-10"/>
        </w:rPr>
        <w:t> </w:t>
      </w:r>
      <w:r>
        <w:rPr/>
        <w:t>por</w:t>
      </w:r>
      <w:r>
        <w:rPr>
          <w:spacing w:val="-8"/>
        </w:rPr>
        <w:t> </w:t>
      </w:r>
      <w:r>
        <w:rPr/>
        <w:t>el</w:t>
      </w:r>
    </w:p>
    <w:p>
      <w:pPr>
        <w:spacing w:after="0" w:line="360" w:lineRule="auto"/>
        <w:jc w:val="both"/>
        <w:sectPr>
          <w:footerReference w:type="default" r:id="rId52"/>
          <w:pgSz w:w="12240" w:h="15840"/>
          <w:pgMar w:footer="992" w:header="0" w:top="1360" w:bottom="1180" w:left="1600" w:right="1580"/>
        </w:sectPr>
      </w:pPr>
    </w:p>
    <w:p>
      <w:pPr>
        <w:pStyle w:val="BodyText"/>
        <w:spacing w:line="360" w:lineRule="auto" w:before="54"/>
        <w:ind w:left="102" w:right="117"/>
        <w:jc w:val="both"/>
      </w:pPr>
      <w:r>
        <w:rPr/>
        <w:t>gobierno</w:t>
      </w:r>
      <w:r>
        <w:rPr>
          <w:spacing w:val="-7"/>
        </w:rPr>
        <w:t> </w:t>
      </w:r>
      <w:r>
        <w:rPr/>
        <w:t>municipal.</w:t>
      </w:r>
      <w:r>
        <w:rPr>
          <w:spacing w:val="-6"/>
        </w:rPr>
        <w:t> </w:t>
      </w:r>
      <w:r>
        <w:rPr/>
        <w:t>Sin</w:t>
      </w:r>
      <w:r>
        <w:rPr>
          <w:spacing w:val="-7"/>
        </w:rPr>
        <w:t> </w:t>
      </w:r>
      <w:r>
        <w:rPr/>
        <w:t>embargo</w:t>
      </w:r>
      <w:r>
        <w:rPr>
          <w:spacing w:val="-7"/>
        </w:rPr>
        <w:t> </w:t>
      </w:r>
      <w:r>
        <w:rPr/>
        <w:t>no</w:t>
      </w:r>
      <w:r>
        <w:rPr>
          <w:spacing w:val="-7"/>
        </w:rPr>
        <w:t> </w:t>
      </w:r>
      <w:r>
        <w:rPr/>
        <w:t>se</w:t>
      </w:r>
      <w:r>
        <w:rPr>
          <w:spacing w:val="-7"/>
        </w:rPr>
        <w:t> </w:t>
      </w:r>
      <w:r>
        <w:rPr/>
        <w:t>especifica</w:t>
      </w:r>
      <w:r>
        <w:rPr>
          <w:spacing w:val="-10"/>
        </w:rPr>
        <w:t> </w:t>
      </w:r>
      <w:r>
        <w:rPr/>
        <w:t>el</w:t>
      </w:r>
      <w:r>
        <w:rPr>
          <w:spacing w:val="-8"/>
        </w:rPr>
        <w:t> </w:t>
      </w:r>
      <w:r>
        <w:rPr/>
        <w:t>procedimiento</w:t>
      </w:r>
      <w:r>
        <w:rPr>
          <w:spacing w:val="-9"/>
        </w:rPr>
        <w:t> </w:t>
      </w:r>
      <w:r>
        <w:rPr/>
        <w:t>exacto</w:t>
      </w:r>
      <w:r>
        <w:rPr>
          <w:spacing w:val="-7"/>
        </w:rPr>
        <w:t> </w:t>
      </w:r>
      <w:r>
        <w:rPr/>
        <w:t>de</w:t>
      </w:r>
      <w:r>
        <w:rPr>
          <w:spacing w:val="-7"/>
        </w:rPr>
        <w:t> </w:t>
      </w:r>
      <w:r>
        <w:rPr/>
        <w:t>cómo es que se llega a concluir del porqué son esas obras o acciones que se tienen que realizar con los recursos. Con la revision de la documentación de los informes de Resultados de las Auditorías de la ASF, se puede concluir que la obras y acciones se realizan con la participación social la cual se constituye a través de un comité comunitario</w:t>
      </w:r>
      <w:r>
        <w:rPr>
          <w:spacing w:val="-14"/>
        </w:rPr>
        <w:t> </w:t>
      </w:r>
      <w:r>
        <w:rPr/>
        <w:t>o</w:t>
      </w:r>
      <w:r>
        <w:rPr>
          <w:spacing w:val="-14"/>
        </w:rPr>
        <w:t> </w:t>
      </w:r>
      <w:r>
        <w:rPr/>
        <w:t>algún</w:t>
      </w:r>
      <w:r>
        <w:rPr>
          <w:spacing w:val="-14"/>
        </w:rPr>
        <w:t> </w:t>
      </w:r>
      <w:r>
        <w:rPr/>
        <w:t>otro</w:t>
      </w:r>
      <w:r>
        <w:rPr>
          <w:spacing w:val="-12"/>
        </w:rPr>
        <w:t> </w:t>
      </w:r>
      <w:r>
        <w:rPr/>
        <w:t>órgano</w:t>
      </w:r>
      <w:r>
        <w:rPr>
          <w:spacing w:val="-14"/>
        </w:rPr>
        <w:t> </w:t>
      </w:r>
      <w:r>
        <w:rPr/>
        <w:t>de</w:t>
      </w:r>
      <w:r>
        <w:rPr>
          <w:spacing w:val="-14"/>
        </w:rPr>
        <w:t> </w:t>
      </w:r>
      <w:r>
        <w:rPr/>
        <w:t>participación</w:t>
      </w:r>
      <w:r>
        <w:rPr>
          <w:spacing w:val="-11"/>
        </w:rPr>
        <w:t> </w:t>
      </w:r>
      <w:r>
        <w:rPr/>
        <w:t>ya</w:t>
      </w:r>
      <w:r>
        <w:rPr>
          <w:spacing w:val="-10"/>
        </w:rPr>
        <w:t> </w:t>
      </w:r>
      <w:r>
        <w:rPr/>
        <w:t>citado,</w:t>
      </w:r>
      <w:r>
        <w:rPr>
          <w:spacing w:val="-14"/>
        </w:rPr>
        <w:t> </w:t>
      </w:r>
      <w:r>
        <w:rPr/>
        <w:t>pero</w:t>
      </w:r>
      <w:r>
        <w:rPr>
          <w:spacing w:val="-15"/>
        </w:rPr>
        <w:t> </w:t>
      </w:r>
      <w:r>
        <w:rPr/>
        <w:t>en</w:t>
      </w:r>
      <w:r>
        <w:rPr>
          <w:spacing w:val="-14"/>
        </w:rPr>
        <w:t> </w:t>
      </w:r>
      <w:r>
        <w:rPr/>
        <w:t>ningún</w:t>
      </w:r>
      <w:r>
        <w:rPr>
          <w:spacing w:val="-14"/>
        </w:rPr>
        <w:t> </w:t>
      </w:r>
      <w:r>
        <w:rPr/>
        <w:t>momento se</w:t>
      </w:r>
      <w:r>
        <w:rPr>
          <w:spacing w:val="-4"/>
        </w:rPr>
        <w:t> </w:t>
      </w:r>
      <w:r>
        <w:rPr/>
        <w:t>verifica</w:t>
      </w:r>
      <w:r>
        <w:rPr>
          <w:spacing w:val="-4"/>
        </w:rPr>
        <w:t> </w:t>
      </w:r>
      <w:r>
        <w:rPr/>
        <w:t>que</w:t>
      </w:r>
      <w:r>
        <w:rPr>
          <w:spacing w:val="-4"/>
        </w:rPr>
        <w:t> </w:t>
      </w:r>
      <w:r>
        <w:rPr/>
        <w:t>efectivamente</w:t>
      </w:r>
      <w:r>
        <w:rPr>
          <w:spacing w:val="-3"/>
        </w:rPr>
        <w:t> </w:t>
      </w:r>
      <w:r>
        <w:rPr/>
        <w:t>participen</w:t>
      </w:r>
      <w:r>
        <w:rPr>
          <w:spacing w:val="-4"/>
        </w:rPr>
        <w:t> </w:t>
      </w:r>
      <w:r>
        <w:rPr/>
        <w:t>todos</w:t>
      </w:r>
      <w:r>
        <w:rPr>
          <w:spacing w:val="-7"/>
        </w:rPr>
        <w:t> </w:t>
      </w:r>
      <w:r>
        <w:rPr/>
        <w:t>los</w:t>
      </w:r>
      <w:r>
        <w:rPr>
          <w:spacing w:val="-4"/>
        </w:rPr>
        <w:t> </w:t>
      </w:r>
      <w:r>
        <w:rPr/>
        <w:t>sectores,</w:t>
      </w:r>
      <w:r>
        <w:rPr>
          <w:spacing w:val="-4"/>
        </w:rPr>
        <w:t> </w:t>
      </w:r>
      <w:r>
        <w:rPr/>
        <w:t>y</w:t>
      </w:r>
      <w:r>
        <w:rPr>
          <w:spacing w:val="-7"/>
        </w:rPr>
        <w:t> </w:t>
      </w:r>
      <w:r>
        <w:rPr/>
        <w:t>se</w:t>
      </w:r>
      <w:r>
        <w:rPr>
          <w:spacing w:val="-4"/>
        </w:rPr>
        <w:t> </w:t>
      </w:r>
      <w:r>
        <w:rPr/>
        <w:t>vea</w:t>
      </w:r>
      <w:r>
        <w:rPr>
          <w:spacing w:val="-4"/>
        </w:rPr>
        <w:t> </w:t>
      </w:r>
      <w:r>
        <w:rPr/>
        <w:t>con</w:t>
      </w:r>
      <w:r>
        <w:rPr>
          <w:spacing w:val="-4"/>
        </w:rPr>
        <w:t> </w:t>
      </w:r>
      <w:r>
        <w:rPr/>
        <w:t>claridad</w:t>
      </w:r>
      <w:r>
        <w:rPr>
          <w:spacing w:val="-6"/>
        </w:rPr>
        <w:t> </w:t>
      </w:r>
      <w:r>
        <w:rPr/>
        <w:t>el como seleccionan las obras y</w:t>
      </w:r>
      <w:r>
        <w:rPr>
          <w:spacing w:val="-10"/>
        </w:rPr>
        <w:t> </w:t>
      </w:r>
      <w:r>
        <w:rPr/>
        <w:t>acciones.</w:t>
      </w:r>
    </w:p>
    <w:p>
      <w:pPr>
        <w:pStyle w:val="Heading2"/>
        <w:numPr>
          <w:ilvl w:val="0"/>
          <w:numId w:val="56"/>
        </w:numPr>
        <w:tabs>
          <w:tab w:pos="822" w:val="left" w:leader="none"/>
        </w:tabs>
        <w:spacing w:line="240" w:lineRule="auto" w:before="205" w:after="0"/>
        <w:ind w:left="822" w:right="0" w:hanging="360"/>
        <w:jc w:val="left"/>
      </w:pPr>
      <w:r>
        <w:rPr/>
        <w:t>Ejercicio del</w:t>
      </w:r>
      <w:r>
        <w:rPr>
          <w:spacing w:val="-5"/>
        </w:rPr>
        <w:t> </w:t>
      </w:r>
      <w:r>
        <w:rPr/>
        <w:t>Gasto</w:t>
      </w:r>
    </w:p>
    <w:p>
      <w:pPr>
        <w:pStyle w:val="BodyText"/>
        <w:rPr>
          <w:b/>
        </w:rPr>
      </w:pPr>
    </w:p>
    <w:p>
      <w:pPr>
        <w:pStyle w:val="BodyText"/>
        <w:spacing w:line="360" w:lineRule="auto" w:before="141"/>
        <w:ind w:left="102" w:right="116"/>
        <w:jc w:val="both"/>
      </w:pPr>
      <w:r>
        <w:rPr/>
        <w:t>Una vez seleccionadas y aprobadas las obras y/o acciones, los ayuntamientos proceden a integración de un </w:t>
      </w:r>
      <w:r>
        <w:rPr>
          <w:u w:val="single"/>
        </w:rPr>
        <w:t>Expediente Técnico </w:t>
      </w:r>
      <w:r>
        <w:rPr/>
        <w:t>el cual contiene la información técnica y administrativa tales como las actas de asamblea donde se encuentran aprobadas las obras y/o acciones. Para el caso de obras el contenido del Expediente estriba en el presupuesto de obra, estudios, programas, dictámenes</w:t>
      </w:r>
      <w:r>
        <w:rPr>
          <w:spacing w:val="-36"/>
        </w:rPr>
        <w:t> </w:t>
      </w:r>
      <w:r>
        <w:rPr/>
        <w:t>de autorización de dependencias normativas, cotizaciones, matriz de precios unitarios fianzas entre otros de acuerdo a los preceptos</w:t>
      </w:r>
      <w:r>
        <w:rPr>
          <w:spacing w:val="-21"/>
        </w:rPr>
        <w:t> </w:t>
      </w:r>
      <w:r>
        <w:rPr/>
        <w:t>aplicables.</w:t>
      </w:r>
    </w:p>
    <w:p>
      <w:pPr>
        <w:pStyle w:val="BodyText"/>
        <w:spacing w:before="8"/>
      </w:pPr>
    </w:p>
    <w:p>
      <w:pPr>
        <w:pStyle w:val="BodyText"/>
        <w:spacing w:line="360" w:lineRule="auto"/>
        <w:ind w:left="102" w:right="116"/>
        <w:jc w:val="both"/>
      </w:pPr>
      <w:r>
        <w:rPr/>
        <w:t>En la ejecución del gasto se trata de dos conceptos, por </w:t>
      </w:r>
      <w:r>
        <w:rPr>
          <w:spacing w:val="3"/>
        </w:rPr>
        <w:t>una </w:t>
      </w:r>
      <w:r>
        <w:rPr/>
        <w:t>parte están las obras y por otra se encuentran las adquisiciones. Para el caso de obra se tienen dos modalidades de ejecución: por administración y por contrato; la primera es cuando la comunidad beneficiada directamente interviene en la realización de la obra y la segunda es por contrato cuando la comunidad no pueda efectuarla por la complejidad</w:t>
      </w:r>
      <w:r>
        <w:rPr>
          <w:spacing w:val="-4"/>
        </w:rPr>
        <w:t> </w:t>
      </w:r>
      <w:r>
        <w:rPr/>
        <w:t>técnica</w:t>
      </w:r>
      <w:r>
        <w:rPr>
          <w:spacing w:val="-6"/>
        </w:rPr>
        <w:t> </w:t>
      </w:r>
      <w:r>
        <w:rPr/>
        <w:t>o</w:t>
      </w:r>
      <w:r>
        <w:rPr>
          <w:spacing w:val="-4"/>
        </w:rPr>
        <w:t> </w:t>
      </w:r>
      <w:r>
        <w:rPr/>
        <w:t>la</w:t>
      </w:r>
      <w:r>
        <w:rPr>
          <w:spacing w:val="-4"/>
        </w:rPr>
        <w:t> </w:t>
      </w:r>
      <w:r>
        <w:rPr/>
        <w:t>especialización</w:t>
      </w:r>
      <w:r>
        <w:rPr>
          <w:spacing w:val="-3"/>
        </w:rPr>
        <w:t> </w:t>
      </w:r>
      <w:r>
        <w:rPr/>
        <w:t>de</w:t>
      </w:r>
      <w:r>
        <w:rPr>
          <w:spacing w:val="-4"/>
        </w:rPr>
        <w:t> </w:t>
      </w:r>
      <w:r>
        <w:rPr/>
        <w:t>los</w:t>
      </w:r>
      <w:r>
        <w:rPr>
          <w:spacing w:val="-4"/>
        </w:rPr>
        <w:t> </w:t>
      </w:r>
      <w:r>
        <w:rPr/>
        <w:t>trabajos,</w:t>
      </w:r>
      <w:r>
        <w:rPr>
          <w:spacing w:val="-6"/>
        </w:rPr>
        <w:t> </w:t>
      </w:r>
      <w:r>
        <w:rPr/>
        <w:t>es</w:t>
      </w:r>
      <w:r>
        <w:rPr>
          <w:spacing w:val="-4"/>
        </w:rPr>
        <w:t> </w:t>
      </w:r>
      <w:r>
        <w:rPr/>
        <w:t>en</w:t>
      </w:r>
      <w:r>
        <w:rPr>
          <w:spacing w:val="-4"/>
        </w:rPr>
        <w:t> </w:t>
      </w:r>
      <w:r>
        <w:rPr/>
        <w:t>ese</w:t>
      </w:r>
      <w:r>
        <w:rPr>
          <w:spacing w:val="-4"/>
        </w:rPr>
        <w:t> </w:t>
      </w:r>
      <w:r>
        <w:rPr/>
        <w:t>caso</w:t>
      </w:r>
      <w:r>
        <w:rPr>
          <w:spacing w:val="-4"/>
        </w:rPr>
        <w:t> </w:t>
      </w:r>
      <w:r>
        <w:rPr/>
        <w:t>cuando</w:t>
      </w:r>
      <w:r>
        <w:rPr>
          <w:spacing w:val="-4"/>
        </w:rPr>
        <w:t> </w:t>
      </w:r>
      <w:r>
        <w:rPr/>
        <w:t>las autoridades municipales realizan los procedimientos administrativos conforme a lo dispuesto por el Libro Décimo Segundo del Código Administrativo del Estado de México y su Reglamento</w:t>
      </w:r>
      <w:r>
        <w:rPr>
          <w:spacing w:val="-11"/>
        </w:rPr>
        <w:t> </w:t>
      </w:r>
      <w:r>
        <w:rPr/>
        <w:t>respectivo.</w:t>
      </w:r>
    </w:p>
    <w:p>
      <w:pPr>
        <w:pStyle w:val="BodyText"/>
        <w:spacing w:line="360" w:lineRule="auto" w:before="204"/>
        <w:ind w:left="102" w:right="117"/>
        <w:jc w:val="both"/>
      </w:pPr>
      <w:r>
        <w:rPr/>
        <w:t>Cuando se estima conveniente la adquisición de materiales o equipos (compras consolidadas), las adquisiciones se hacen acorde a lo establecido en la Ley de Contratación Pública del Estado de México y su Reglamento.</w:t>
      </w:r>
    </w:p>
    <w:p>
      <w:pPr>
        <w:spacing w:after="0" w:line="360" w:lineRule="auto"/>
        <w:jc w:val="both"/>
        <w:sectPr>
          <w:footerReference w:type="default" r:id="rId53"/>
          <w:pgSz w:w="12240" w:h="15840"/>
          <w:pgMar w:footer="992" w:header="0" w:top="1360" w:bottom="1180" w:left="1600" w:right="1580"/>
          <w:pgNumType w:start="161"/>
        </w:sectPr>
      </w:pPr>
    </w:p>
    <w:p>
      <w:pPr>
        <w:pStyle w:val="BodyText"/>
        <w:spacing w:line="360" w:lineRule="auto" w:before="54"/>
        <w:ind w:left="102" w:right="116"/>
        <w:jc w:val="both"/>
      </w:pPr>
      <w:r>
        <w:rPr/>
        <w:t>En</w:t>
      </w:r>
      <w:r>
        <w:rPr>
          <w:spacing w:val="-4"/>
        </w:rPr>
        <w:t> </w:t>
      </w:r>
      <w:r>
        <w:rPr/>
        <w:t>cuanto</w:t>
      </w:r>
      <w:r>
        <w:rPr>
          <w:spacing w:val="-6"/>
        </w:rPr>
        <w:t> </w:t>
      </w:r>
      <w:r>
        <w:rPr/>
        <w:t>a</w:t>
      </w:r>
      <w:r>
        <w:rPr>
          <w:spacing w:val="-4"/>
        </w:rPr>
        <w:t> </w:t>
      </w:r>
      <w:r>
        <w:rPr/>
        <w:t>la</w:t>
      </w:r>
      <w:r>
        <w:rPr>
          <w:spacing w:val="-4"/>
        </w:rPr>
        <w:t> </w:t>
      </w:r>
      <w:r>
        <w:rPr/>
        <w:t>comprobación</w:t>
      </w:r>
      <w:r>
        <w:rPr>
          <w:spacing w:val="-5"/>
        </w:rPr>
        <w:t> </w:t>
      </w:r>
      <w:r>
        <w:rPr/>
        <w:t>del</w:t>
      </w:r>
      <w:r>
        <w:rPr>
          <w:spacing w:val="-4"/>
        </w:rPr>
        <w:t> </w:t>
      </w:r>
      <w:r>
        <w:rPr/>
        <w:t>gasto,</w:t>
      </w:r>
      <w:r>
        <w:rPr>
          <w:spacing w:val="-6"/>
        </w:rPr>
        <w:t> </w:t>
      </w:r>
      <w:r>
        <w:rPr/>
        <w:t>los</w:t>
      </w:r>
      <w:r>
        <w:rPr>
          <w:spacing w:val="-4"/>
        </w:rPr>
        <w:t> </w:t>
      </w:r>
      <w:r>
        <w:rPr/>
        <w:t>ayuntamientos</w:t>
      </w:r>
      <w:r>
        <w:rPr>
          <w:spacing w:val="-7"/>
        </w:rPr>
        <w:t> </w:t>
      </w:r>
      <w:r>
        <w:rPr/>
        <w:t>llevan</w:t>
      </w:r>
      <w:r>
        <w:rPr>
          <w:spacing w:val="-4"/>
        </w:rPr>
        <w:t> </w:t>
      </w:r>
      <w:r>
        <w:rPr/>
        <w:t>registros</w:t>
      </w:r>
      <w:r>
        <w:rPr>
          <w:spacing w:val="-4"/>
        </w:rPr>
        <w:t> </w:t>
      </w:r>
      <w:r>
        <w:rPr/>
        <w:t>y</w:t>
      </w:r>
      <w:r>
        <w:rPr>
          <w:spacing w:val="-7"/>
        </w:rPr>
        <w:t> </w:t>
      </w:r>
      <w:r>
        <w:rPr/>
        <w:t>control de los recursos aplicados, validando con sello de operado la documentación comprobatoria,</w:t>
      </w:r>
      <w:r>
        <w:rPr>
          <w:spacing w:val="-18"/>
        </w:rPr>
        <w:t> </w:t>
      </w:r>
      <w:r>
        <w:rPr/>
        <w:t>la</w:t>
      </w:r>
      <w:r>
        <w:rPr>
          <w:spacing w:val="-18"/>
        </w:rPr>
        <w:t> </w:t>
      </w:r>
      <w:r>
        <w:rPr/>
        <w:t>cual</w:t>
      </w:r>
      <w:r>
        <w:rPr>
          <w:spacing w:val="-16"/>
        </w:rPr>
        <w:t> </w:t>
      </w:r>
      <w:r>
        <w:rPr/>
        <w:t>los</w:t>
      </w:r>
      <w:r>
        <w:rPr>
          <w:spacing w:val="-18"/>
        </w:rPr>
        <w:t> </w:t>
      </w:r>
      <w:r>
        <w:rPr/>
        <w:t>ayuntamientos</w:t>
      </w:r>
      <w:r>
        <w:rPr>
          <w:spacing w:val="-20"/>
        </w:rPr>
        <w:t> </w:t>
      </w:r>
      <w:r>
        <w:rPr/>
        <w:t>la</w:t>
      </w:r>
      <w:r>
        <w:rPr>
          <w:spacing w:val="-20"/>
        </w:rPr>
        <w:t> </w:t>
      </w:r>
      <w:r>
        <w:rPr/>
        <w:t>conservaran</w:t>
      </w:r>
      <w:r>
        <w:rPr>
          <w:spacing w:val="-18"/>
        </w:rPr>
        <w:t> </w:t>
      </w:r>
      <w:r>
        <w:rPr/>
        <w:t>en</w:t>
      </w:r>
      <w:r>
        <w:rPr>
          <w:spacing w:val="-18"/>
        </w:rPr>
        <w:t> </w:t>
      </w:r>
      <w:r>
        <w:rPr/>
        <w:t>originales</w:t>
      </w:r>
      <w:r>
        <w:rPr>
          <w:spacing w:val="-18"/>
        </w:rPr>
        <w:t> </w:t>
      </w:r>
      <w:r>
        <w:rPr/>
        <w:t>por</w:t>
      </w:r>
      <w:r>
        <w:rPr>
          <w:spacing w:val="-20"/>
        </w:rPr>
        <w:t> </w:t>
      </w:r>
      <w:r>
        <w:rPr/>
        <w:t>los</w:t>
      </w:r>
      <w:r>
        <w:rPr>
          <w:spacing w:val="-20"/>
        </w:rPr>
        <w:t> </w:t>
      </w:r>
      <w:r>
        <w:rPr/>
        <w:t>menos</w:t>
      </w:r>
    </w:p>
    <w:p>
      <w:pPr>
        <w:pStyle w:val="ListParagraph"/>
        <w:numPr>
          <w:ilvl w:val="0"/>
          <w:numId w:val="52"/>
        </w:numPr>
        <w:tabs>
          <w:tab w:pos="371" w:val="left" w:leader="none"/>
        </w:tabs>
        <w:spacing w:line="360" w:lineRule="auto" w:before="5" w:after="0"/>
        <w:ind w:left="102" w:right="114" w:firstLine="0"/>
        <w:jc w:val="both"/>
        <w:rPr>
          <w:sz w:val="24"/>
        </w:rPr>
      </w:pPr>
      <w:r>
        <w:rPr>
          <w:sz w:val="24"/>
        </w:rPr>
        <w:t>años, quedando integrados al informe contable que se entrega de manera mensual</w:t>
      </w:r>
      <w:r>
        <w:rPr>
          <w:spacing w:val="-12"/>
          <w:sz w:val="24"/>
        </w:rPr>
        <w:t> </w:t>
      </w:r>
      <w:r>
        <w:rPr>
          <w:sz w:val="24"/>
        </w:rPr>
        <w:t>al</w:t>
      </w:r>
      <w:r>
        <w:rPr>
          <w:spacing w:val="-10"/>
          <w:sz w:val="24"/>
        </w:rPr>
        <w:t> </w:t>
      </w:r>
      <w:r>
        <w:rPr>
          <w:sz w:val="24"/>
        </w:rPr>
        <w:t>Órgano</w:t>
      </w:r>
      <w:r>
        <w:rPr>
          <w:spacing w:val="-9"/>
          <w:sz w:val="24"/>
        </w:rPr>
        <w:t> </w:t>
      </w:r>
      <w:r>
        <w:rPr>
          <w:sz w:val="24"/>
        </w:rPr>
        <w:t>Superior</w:t>
      </w:r>
      <w:r>
        <w:rPr>
          <w:spacing w:val="-10"/>
          <w:sz w:val="24"/>
        </w:rPr>
        <w:t> </w:t>
      </w:r>
      <w:r>
        <w:rPr>
          <w:sz w:val="24"/>
        </w:rPr>
        <w:t>de</w:t>
      </w:r>
      <w:r>
        <w:rPr>
          <w:spacing w:val="-9"/>
          <w:sz w:val="24"/>
        </w:rPr>
        <w:t> </w:t>
      </w:r>
      <w:r>
        <w:rPr>
          <w:sz w:val="24"/>
        </w:rPr>
        <w:t>Fiscalización</w:t>
      </w:r>
      <w:r>
        <w:rPr>
          <w:spacing w:val="-9"/>
          <w:sz w:val="24"/>
        </w:rPr>
        <w:t> </w:t>
      </w:r>
      <w:r>
        <w:rPr>
          <w:sz w:val="24"/>
        </w:rPr>
        <w:t>del</w:t>
      </w:r>
      <w:r>
        <w:rPr>
          <w:spacing w:val="-10"/>
          <w:sz w:val="24"/>
        </w:rPr>
        <w:t> </w:t>
      </w:r>
      <w:r>
        <w:rPr>
          <w:sz w:val="24"/>
        </w:rPr>
        <w:t>Estado</w:t>
      </w:r>
      <w:r>
        <w:rPr>
          <w:spacing w:val="-11"/>
          <w:sz w:val="24"/>
        </w:rPr>
        <w:t> </w:t>
      </w:r>
      <w:r>
        <w:rPr>
          <w:sz w:val="24"/>
        </w:rPr>
        <w:t>de</w:t>
      </w:r>
      <w:r>
        <w:rPr>
          <w:spacing w:val="-11"/>
          <w:sz w:val="24"/>
        </w:rPr>
        <w:t> </w:t>
      </w:r>
      <w:r>
        <w:rPr>
          <w:sz w:val="24"/>
        </w:rPr>
        <w:t>México</w:t>
      </w:r>
      <w:r>
        <w:rPr>
          <w:spacing w:val="-8"/>
          <w:sz w:val="24"/>
        </w:rPr>
        <w:t> </w:t>
      </w:r>
      <w:r>
        <w:rPr>
          <w:sz w:val="24"/>
        </w:rPr>
        <w:t>(OSFEM)</w:t>
      </w:r>
      <w:r>
        <w:rPr>
          <w:spacing w:val="-9"/>
          <w:sz w:val="24"/>
        </w:rPr>
        <w:t> </w:t>
      </w:r>
      <w:r>
        <w:rPr>
          <w:sz w:val="24"/>
        </w:rPr>
        <w:t>con</w:t>
      </w:r>
      <w:r>
        <w:rPr>
          <w:spacing w:val="-9"/>
          <w:sz w:val="24"/>
        </w:rPr>
        <w:t> </w:t>
      </w:r>
      <w:r>
        <w:rPr>
          <w:sz w:val="24"/>
        </w:rPr>
        <w:t>la finalidad</w:t>
      </w:r>
      <w:r>
        <w:rPr>
          <w:spacing w:val="-15"/>
          <w:sz w:val="24"/>
        </w:rPr>
        <w:t> </w:t>
      </w:r>
      <w:r>
        <w:rPr>
          <w:sz w:val="24"/>
        </w:rPr>
        <w:t>de</w:t>
      </w:r>
      <w:r>
        <w:rPr>
          <w:spacing w:val="-16"/>
          <w:sz w:val="24"/>
        </w:rPr>
        <w:t> </w:t>
      </w:r>
      <w:r>
        <w:rPr>
          <w:sz w:val="24"/>
        </w:rPr>
        <w:t>apoyar</w:t>
      </w:r>
      <w:r>
        <w:rPr>
          <w:spacing w:val="-15"/>
          <w:sz w:val="24"/>
        </w:rPr>
        <w:t> </w:t>
      </w:r>
      <w:r>
        <w:rPr>
          <w:sz w:val="24"/>
        </w:rPr>
        <w:t>en</w:t>
      </w:r>
      <w:r>
        <w:rPr>
          <w:spacing w:val="-18"/>
          <w:sz w:val="24"/>
        </w:rPr>
        <w:t> </w:t>
      </w:r>
      <w:r>
        <w:rPr>
          <w:sz w:val="24"/>
        </w:rPr>
        <w:t>el</w:t>
      </w:r>
      <w:r>
        <w:rPr>
          <w:spacing w:val="-14"/>
          <w:sz w:val="24"/>
        </w:rPr>
        <w:t> </w:t>
      </w:r>
      <w:r>
        <w:rPr>
          <w:sz w:val="24"/>
        </w:rPr>
        <w:t>ejercicio</w:t>
      </w:r>
      <w:r>
        <w:rPr>
          <w:spacing w:val="-16"/>
          <w:sz w:val="24"/>
        </w:rPr>
        <w:t> </w:t>
      </w:r>
      <w:r>
        <w:rPr>
          <w:sz w:val="24"/>
        </w:rPr>
        <w:t>de</w:t>
      </w:r>
      <w:r>
        <w:rPr>
          <w:spacing w:val="-15"/>
          <w:sz w:val="24"/>
        </w:rPr>
        <w:t> </w:t>
      </w:r>
      <w:r>
        <w:rPr>
          <w:sz w:val="24"/>
        </w:rPr>
        <w:t>los</w:t>
      </w:r>
      <w:r>
        <w:rPr>
          <w:spacing w:val="-16"/>
          <w:sz w:val="24"/>
        </w:rPr>
        <w:t> </w:t>
      </w:r>
      <w:r>
        <w:rPr>
          <w:sz w:val="24"/>
        </w:rPr>
        <w:t>gastos</w:t>
      </w:r>
      <w:r>
        <w:rPr>
          <w:spacing w:val="-14"/>
          <w:sz w:val="24"/>
        </w:rPr>
        <w:t> </w:t>
      </w:r>
      <w:r>
        <w:rPr>
          <w:sz w:val="24"/>
        </w:rPr>
        <w:t>y</w:t>
      </w:r>
      <w:r>
        <w:rPr>
          <w:spacing w:val="-16"/>
          <w:sz w:val="24"/>
        </w:rPr>
        <w:t> </w:t>
      </w:r>
      <w:r>
        <w:rPr>
          <w:sz w:val="24"/>
        </w:rPr>
        <w:t>tener</w:t>
      </w:r>
      <w:r>
        <w:rPr>
          <w:spacing w:val="-15"/>
          <w:sz w:val="24"/>
        </w:rPr>
        <w:t> </w:t>
      </w:r>
      <w:r>
        <w:rPr>
          <w:sz w:val="24"/>
        </w:rPr>
        <w:t>una</w:t>
      </w:r>
      <w:r>
        <w:rPr>
          <w:spacing w:val="-15"/>
          <w:sz w:val="24"/>
        </w:rPr>
        <w:t> </w:t>
      </w:r>
      <w:r>
        <w:rPr>
          <w:sz w:val="24"/>
        </w:rPr>
        <w:t>comprobación</w:t>
      </w:r>
      <w:r>
        <w:rPr>
          <w:spacing w:val="-15"/>
          <w:sz w:val="24"/>
        </w:rPr>
        <w:t> </w:t>
      </w:r>
      <w:r>
        <w:rPr>
          <w:sz w:val="24"/>
        </w:rPr>
        <w:t>adecuada que cumpla con los requisitos legales, por eso el Órgano Superior de Fiscalización dio a conocer el 11 de Julio de 2013 los lineamientos de control financiero y administrativo para las entidades fiscalizables municipales, a través de estos. El objeto fundamental de los lineamientos es que los servidores públicos de las entidades fiscalizables que tienen a su cargo la recepción, manejo, administración, custodia y la aplicación de fondos y recursos públicos, cuenten con un documento que contenga disposiciones en materia de control financiero y</w:t>
      </w:r>
      <w:r>
        <w:rPr>
          <w:spacing w:val="-31"/>
          <w:sz w:val="24"/>
        </w:rPr>
        <w:t> </w:t>
      </w:r>
      <w:r>
        <w:rPr>
          <w:sz w:val="24"/>
        </w:rPr>
        <w:t>administrativo.</w:t>
      </w:r>
    </w:p>
    <w:p>
      <w:pPr>
        <w:pStyle w:val="BodyText"/>
        <w:spacing w:before="3"/>
        <w:rPr>
          <w:sz w:val="21"/>
        </w:rPr>
      </w:pPr>
    </w:p>
    <w:p>
      <w:pPr>
        <w:pStyle w:val="BodyText"/>
        <w:spacing w:line="360" w:lineRule="auto"/>
        <w:ind w:left="102" w:right="124"/>
        <w:jc w:val="both"/>
      </w:pPr>
      <w:r>
        <w:rPr/>
        <w:t>Es menester precisar que el manejo y administración de los recursos financieros destinados para la obra y acciones están en poder del Tesorero municipal, funcionario que liquida directamente con los sujetos del objeto de la transacción: proveedores, contratistas, asesores, entre otros. Por supuesto, este funcionario mantiene constante comunicación al respecto con el presidente municipal y con el director de obras, en consecuencia estos son los sujetos que cuentan con la información completa al respecto, de esa forma la toma de decisiones les favorece porque cuentan con los elementos para tal efecto.</w:t>
      </w:r>
    </w:p>
    <w:p>
      <w:pPr>
        <w:pStyle w:val="BodyText"/>
        <w:spacing w:line="360" w:lineRule="auto" w:before="204"/>
        <w:ind w:left="102" w:right="116"/>
        <w:jc w:val="both"/>
      </w:pPr>
      <w:r>
        <w:rPr/>
        <w:t>Un instrumento con el que se da por terminado la ejecución de una obra o acción es la acta de entrega-recepción. Participan en este acto la comunidad beneficiada, el</w:t>
      </w:r>
      <w:r>
        <w:rPr>
          <w:spacing w:val="-19"/>
        </w:rPr>
        <w:t> </w:t>
      </w:r>
      <w:r>
        <w:rPr/>
        <w:t>COCICOVI,</w:t>
      </w:r>
      <w:r>
        <w:rPr>
          <w:spacing w:val="-20"/>
        </w:rPr>
        <w:t> </w:t>
      </w:r>
      <w:r>
        <w:rPr/>
        <w:t>las</w:t>
      </w:r>
      <w:r>
        <w:rPr>
          <w:spacing w:val="-20"/>
        </w:rPr>
        <w:t> </w:t>
      </w:r>
      <w:r>
        <w:rPr/>
        <w:t>dependencias</w:t>
      </w:r>
      <w:r>
        <w:rPr>
          <w:spacing w:val="-18"/>
        </w:rPr>
        <w:t> </w:t>
      </w:r>
      <w:r>
        <w:rPr/>
        <w:t>y/o</w:t>
      </w:r>
      <w:r>
        <w:rPr>
          <w:spacing w:val="-19"/>
        </w:rPr>
        <w:t> </w:t>
      </w:r>
      <w:r>
        <w:rPr/>
        <w:t>entidades</w:t>
      </w:r>
      <w:r>
        <w:rPr>
          <w:spacing w:val="-20"/>
        </w:rPr>
        <w:t> </w:t>
      </w:r>
      <w:r>
        <w:rPr/>
        <w:t>municipales</w:t>
      </w:r>
      <w:r>
        <w:rPr>
          <w:spacing w:val="-18"/>
        </w:rPr>
        <w:t> </w:t>
      </w:r>
      <w:r>
        <w:rPr/>
        <w:t>que</w:t>
      </w:r>
      <w:r>
        <w:rPr>
          <w:spacing w:val="-20"/>
        </w:rPr>
        <w:t> </w:t>
      </w:r>
      <w:r>
        <w:rPr/>
        <w:t>construyeron</w:t>
      </w:r>
      <w:r>
        <w:rPr>
          <w:spacing w:val="-17"/>
        </w:rPr>
        <w:t> </w:t>
      </w:r>
      <w:r>
        <w:rPr/>
        <w:t>la</w:t>
      </w:r>
      <w:r>
        <w:rPr>
          <w:spacing w:val="-20"/>
        </w:rPr>
        <w:t> </w:t>
      </w:r>
      <w:r>
        <w:rPr/>
        <w:t>obra o</w:t>
      </w:r>
      <w:r>
        <w:rPr>
          <w:spacing w:val="-4"/>
        </w:rPr>
        <w:t> </w:t>
      </w:r>
      <w:r>
        <w:rPr/>
        <w:t>llevaron</w:t>
      </w:r>
      <w:r>
        <w:rPr>
          <w:spacing w:val="-3"/>
        </w:rPr>
        <w:t> </w:t>
      </w:r>
      <w:r>
        <w:rPr/>
        <w:t>a</w:t>
      </w:r>
      <w:r>
        <w:rPr>
          <w:spacing w:val="-4"/>
        </w:rPr>
        <w:t> </w:t>
      </w:r>
      <w:r>
        <w:rPr/>
        <w:t>cabo</w:t>
      </w:r>
      <w:r>
        <w:rPr>
          <w:spacing w:val="-4"/>
        </w:rPr>
        <w:t> </w:t>
      </w:r>
      <w:r>
        <w:rPr/>
        <w:t>las</w:t>
      </w:r>
      <w:r>
        <w:rPr>
          <w:spacing w:val="-6"/>
        </w:rPr>
        <w:t> </w:t>
      </w:r>
      <w:r>
        <w:rPr/>
        <w:t>acciones,</w:t>
      </w:r>
      <w:r>
        <w:rPr>
          <w:spacing w:val="-6"/>
        </w:rPr>
        <w:t> </w:t>
      </w:r>
      <w:r>
        <w:rPr/>
        <w:t>el</w:t>
      </w:r>
      <w:r>
        <w:rPr>
          <w:spacing w:val="-5"/>
        </w:rPr>
        <w:t> </w:t>
      </w:r>
      <w:r>
        <w:rPr/>
        <w:t>Contralor</w:t>
      </w:r>
      <w:r>
        <w:rPr>
          <w:spacing w:val="-5"/>
        </w:rPr>
        <w:t> </w:t>
      </w:r>
      <w:r>
        <w:rPr/>
        <w:t>Municipal</w:t>
      </w:r>
      <w:r>
        <w:rPr>
          <w:spacing w:val="-5"/>
        </w:rPr>
        <w:t> </w:t>
      </w:r>
      <w:r>
        <w:rPr/>
        <w:t>y</w:t>
      </w:r>
      <w:r>
        <w:rPr>
          <w:spacing w:val="-7"/>
        </w:rPr>
        <w:t> </w:t>
      </w:r>
      <w:r>
        <w:rPr/>
        <w:t>el</w:t>
      </w:r>
      <w:r>
        <w:rPr>
          <w:spacing w:val="-5"/>
        </w:rPr>
        <w:t> </w:t>
      </w:r>
      <w:r>
        <w:rPr/>
        <w:t>constructor,</w:t>
      </w:r>
      <w:r>
        <w:rPr>
          <w:spacing w:val="-5"/>
        </w:rPr>
        <w:t> </w:t>
      </w:r>
      <w:r>
        <w:rPr/>
        <w:t>si</w:t>
      </w:r>
      <w:r>
        <w:rPr>
          <w:spacing w:val="-5"/>
        </w:rPr>
        <w:t> </w:t>
      </w:r>
      <w:r>
        <w:rPr>
          <w:spacing w:val="3"/>
        </w:rPr>
        <w:t>la</w:t>
      </w:r>
      <w:r>
        <w:rPr>
          <w:spacing w:val="-4"/>
        </w:rPr>
        <w:t> </w:t>
      </w:r>
      <w:r>
        <w:rPr/>
        <w:t>obra</w:t>
      </w:r>
      <w:r>
        <w:rPr>
          <w:spacing w:val="-7"/>
        </w:rPr>
        <w:t> </w:t>
      </w:r>
      <w:r>
        <w:rPr/>
        <w:t>fue por contrato. En este mismo acto el COCICOVI rinde un informe ante los beneficiarios de la misma sobre sus trabajos de control y vigilancia vecinal que llevaron a cabo. El ayuntamiento es responsable de fijar lugar, hora y fecha de la entrega</w:t>
      </w:r>
      <w:r>
        <w:rPr>
          <w:spacing w:val="-6"/>
        </w:rPr>
        <w:t> </w:t>
      </w:r>
      <w:r>
        <w:rPr/>
        <w:t>y</w:t>
      </w:r>
      <w:r>
        <w:rPr>
          <w:spacing w:val="-8"/>
        </w:rPr>
        <w:t> </w:t>
      </w:r>
      <w:r>
        <w:rPr/>
        <w:t>girar</w:t>
      </w:r>
      <w:r>
        <w:rPr>
          <w:spacing w:val="-7"/>
        </w:rPr>
        <w:t> </w:t>
      </w:r>
      <w:r>
        <w:rPr/>
        <w:t>las</w:t>
      </w:r>
      <w:r>
        <w:rPr>
          <w:spacing w:val="-6"/>
        </w:rPr>
        <w:t> </w:t>
      </w:r>
      <w:r>
        <w:rPr/>
        <w:t>invitaciones</w:t>
      </w:r>
      <w:r>
        <w:rPr>
          <w:spacing w:val="-7"/>
        </w:rPr>
        <w:t> </w:t>
      </w:r>
      <w:r>
        <w:rPr/>
        <w:t>respectivas</w:t>
      </w:r>
      <w:r>
        <w:rPr>
          <w:spacing w:val="-7"/>
        </w:rPr>
        <w:t> </w:t>
      </w:r>
      <w:r>
        <w:rPr/>
        <w:t>con</w:t>
      </w:r>
      <w:r>
        <w:rPr>
          <w:spacing w:val="-6"/>
        </w:rPr>
        <w:t> </w:t>
      </w:r>
      <w:r>
        <w:rPr/>
        <w:t>la</w:t>
      </w:r>
      <w:r>
        <w:rPr>
          <w:spacing w:val="-6"/>
        </w:rPr>
        <w:t> </w:t>
      </w:r>
      <w:r>
        <w:rPr/>
        <w:t>presencia</w:t>
      </w:r>
      <w:r>
        <w:rPr>
          <w:spacing w:val="-9"/>
        </w:rPr>
        <w:t> </w:t>
      </w:r>
      <w:r>
        <w:rPr/>
        <w:t>de</w:t>
      </w:r>
      <w:r>
        <w:rPr>
          <w:spacing w:val="-8"/>
        </w:rPr>
        <w:t> </w:t>
      </w:r>
      <w:r>
        <w:rPr/>
        <w:t>estos,</w:t>
      </w:r>
      <w:r>
        <w:rPr>
          <w:spacing w:val="-6"/>
        </w:rPr>
        <w:t> </w:t>
      </w:r>
      <w:r>
        <w:rPr/>
        <w:t>el</w:t>
      </w:r>
      <w:r>
        <w:rPr>
          <w:spacing w:val="-7"/>
        </w:rPr>
        <w:t> </w:t>
      </w:r>
      <w:r>
        <w:rPr/>
        <w:t>acto</w:t>
      </w:r>
      <w:r>
        <w:rPr>
          <w:spacing w:val="-6"/>
        </w:rPr>
        <w:t> </w:t>
      </w:r>
      <w:r>
        <w:rPr/>
        <w:t>tendrá plena</w:t>
      </w:r>
      <w:r>
        <w:rPr>
          <w:spacing w:val="-8"/>
        </w:rPr>
        <w:t> </w:t>
      </w:r>
      <w:r>
        <w:rPr/>
        <w:t>validez.</w:t>
      </w:r>
    </w:p>
    <w:p>
      <w:pPr>
        <w:spacing w:after="0" w:line="360" w:lineRule="auto"/>
        <w:jc w:val="both"/>
        <w:sectPr>
          <w:pgSz w:w="12240" w:h="15840"/>
          <w:pgMar w:header="0" w:footer="992" w:top="1360" w:bottom="1180" w:left="1600" w:right="1580"/>
        </w:sectPr>
      </w:pPr>
    </w:p>
    <w:p>
      <w:pPr>
        <w:pStyle w:val="BodyText"/>
        <w:spacing w:line="360" w:lineRule="auto" w:before="54"/>
        <w:ind w:left="102" w:right="121"/>
        <w:jc w:val="both"/>
      </w:pPr>
      <w:r>
        <w:rPr/>
        <w:t>Estas acciones de entrega-recepción de obra alientan esquemas de legitimidad para</w:t>
      </w:r>
      <w:r>
        <w:rPr>
          <w:spacing w:val="-10"/>
        </w:rPr>
        <w:t> </w:t>
      </w:r>
      <w:r>
        <w:rPr/>
        <w:t>la</w:t>
      </w:r>
      <w:r>
        <w:rPr>
          <w:spacing w:val="-12"/>
        </w:rPr>
        <w:t> </w:t>
      </w:r>
      <w:r>
        <w:rPr/>
        <w:t>autoridad</w:t>
      </w:r>
      <w:r>
        <w:rPr>
          <w:spacing w:val="-12"/>
        </w:rPr>
        <w:t> </w:t>
      </w:r>
      <w:r>
        <w:rPr/>
        <w:t>municipal,</w:t>
      </w:r>
      <w:r>
        <w:rPr>
          <w:spacing w:val="-10"/>
        </w:rPr>
        <w:t> </w:t>
      </w:r>
      <w:r>
        <w:rPr/>
        <w:t>derivada</w:t>
      </w:r>
      <w:r>
        <w:rPr>
          <w:spacing w:val="-9"/>
        </w:rPr>
        <w:t> </w:t>
      </w:r>
      <w:r>
        <w:rPr/>
        <w:t>de</w:t>
      </w:r>
      <w:r>
        <w:rPr>
          <w:spacing w:val="-9"/>
        </w:rPr>
        <w:t> </w:t>
      </w:r>
      <w:r>
        <w:rPr/>
        <w:t>la</w:t>
      </w:r>
      <w:r>
        <w:rPr>
          <w:spacing w:val="-12"/>
        </w:rPr>
        <w:t> </w:t>
      </w:r>
      <w:r>
        <w:rPr/>
        <w:t>toma</w:t>
      </w:r>
      <w:r>
        <w:rPr>
          <w:spacing w:val="-12"/>
        </w:rPr>
        <w:t> </w:t>
      </w:r>
      <w:r>
        <w:rPr/>
        <w:t>de</w:t>
      </w:r>
      <w:r>
        <w:rPr>
          <w:spacing w:val="-12"/>
        </w:rPr>
        <w:t> </w:t>
      </w:r>
      <w:r>
        <w:rPr/>
        <w:t>decisiones</w:t>
      </w:r>
      <w:r>
        <w:rPr>
          <w:spacing w:val="-13"/>
        </w:rPr>
        <w:t> </w:t>
      </w:r>
      <w:r>
        <w:rPr/>
        <w:t>y</w:t>
      </w:r>
      <w:r>
        <w:rPr>
          <w:spacing w:val="-13"/>
        </w:rPr>
        <w:t> </w:t>
      </w:r>
      <w:r>
        <w:rPr/>
        <w:t>contribuye</w:t>
      </w:r>
      <w:r>
        <w:rPr>
          <w:spacing w:val="-9"/>
        </w:rPr>
        <w:t> </w:t>
      </w:r>
      <w:r>
        <w:rPr/>
        <w:t>a</w:t>
      </w:r>
      <w:r>
        <w:rPr>
          <w:spacing w:val="-9"/>
        </w:rPr>
        <w:t> </w:t>
      </w:r>
      <w:r>
        <w:rPr/>
        <w:t>seguir tomando</w:t>
      </w:r>
      <w:r>
        <w:rPr>
          <w:spacing w:val="-8"/>
        </w:rPr>
        <w:t> </w:t>
      </w:r>
      <w:r>
        <w:rPr/>
        <w:t>decisiones.</w:t>
      </w:r>
    </w:p>
    <w:p>
      <w:pPr>
        <w:pStyle w:val="Heading2"/>
        <w:numPr>
          <w:ilvl w:val="0"/>
          <w:numId w:val="56"/>
        </w:numPr>
        <w:tabs>
          <w:tab w:pos="822" w:val="left" w:leader="none"/>
        </w:tabs>
        <w:spacing w:line="240" w:lineRule="auto" w:before="204" w:after="0"/>
        <w:ind w:left="822" w:right="0" w:hanging="360"/>
        <w:jc w:val="left"/>
      </w:pPr>
      <w:r>
        <w:rPr/>
        <w:t>Control y</w:t>
      </w:r>
      <w:r>
        <w:rPr>
          <w:spacing w:val="-4"/>
        </w:rPr>
        <w:t> </w:t>
      </w:r>
      <w:r>
        <w:rPr/>
        <w:t>Seguimiento</w:t>
      </w:r>
    </w:p>
    <w:p>
      <w:pPr>
        <w:pStyle w:val="BodyText"/>
        <w:rPr>
          <w:b/>
        </w:rPr>
      </w:pPr>
    </w:p>
    <w:p>
      <w:pPr>
        <w:pStyle w:val="BodyText"/>
        <w:spacing w:line="360" w:lineRule="auto" w:before="141"/>
        <w:ind w:left="102" w:right="118"/>
        <w:jc w:val="both"/>
      </w:pPr>
      <w:r>
        <w:rPr/>
        <w:t>Contar con un sistema de control de gestión de los recursos federales representa una necesidad de las autoridades municipales para poseer la información</w:t>
      </w:r>
      <w:r>
        <w:rPr>
          <w:spacing w:val="-38"/>
        </w:rPr>
        <w:t> </w:t>
      </w:r>
      <w:r>
        <w:rPr/>
        <w:t>oportuna y confiable que permita el adecuado conocimiento, análisis y evaluación de los programas y la aplicación de los</w:t>
      </w:r>
      <w:r>
        <w:rPr>
          <w:spacing w:val="-9"/>
        </w:rPr>
        <w:t> </w:t>
      </w:r>
      <w:r>
        <w:rPr/>
        <w:t>recursos.</w:t>
      </w:r>
    </w:p>
    <w:p>
      <w:pPr>
        <w:pStyle w:val="BodyText"/>
        <w:spacing w:before="8"/>
      </w:pPr>
    </w:p>
    <w:p>
      <w:pPr>
        <w:pStyle w:val="BodyText"/>
        <w:spacing w:line="360" w:lineRule="auto"/>
        <w:ind w:left="102" w:right="116"/>
        <w:jc w:val="both"/>
      </w:pPr>
      <w:r>
        <w:rPr/>
        <w:t>El control es un proceso que se establece en las dependencias y organismos de la administración</w:t>
      </w:r>
      <w:r>
        <w:rPr>
          <w:spacing w:val="-9"/>
        </w:rPr>
        <w:t> </w:t>
      </w:r>
      <w:r>
        <w:rPr/>
        <w:t>municipal</w:t>
      </w:r>
      <w:r>
        <w:rPr>
          <w:spacing w:val="-8"/>
        </w:rPr>
        <w:t> </w:t>
      </w:r>
      <w:r>
        <w:rPr/>
        <w:t>para</w:t>
      </w:r>
      <w:r>
        <w:rPr>
          <w:spacing w:val="-10"/>
        </w:rPr>
        <w:t> </w:t>
      </w:r>
      <w:r>
        <w:rPr/>
        <w:t>vigilar</w:t>
      </w:r>
      <w:r>
        <w:rPr>
          <w:spacing w:val="-8"/>
        </w:rPr>
        <w:t> </w:t>
      </w:r>
      <w:r>
        <w:rPr/>
        <w:t>el</w:t>
      </w:r>
      <w:r>
        <w:rPr>
          <w:spacing w:val="-8"/>
        </w:rPr>
        <w:t> </w:t>
      </w:r>
      <w:r>
        <w:rPr/>
        <w:t>cumplimiento</w:t>
      </w:r>
      <w:r>
        <w:rPr>
          <w:spacing w:val="-9"/>
        </w:rPr>
        <w:t> </w:t>
      </w:r>
      <w:r>
        <w:rPr/>
        <w:t>de</w:t>
      </w:r>
      <w:r>
        <w:rPr>
          <w:spacing w:val="-7"/>
        </w:rPr>
        <w:t> </w:t>
      </w:r>
      <w:r>
        <w:rPr/>
        <w:t>la</w:t>
      </w:r>
      <w:r>
        <w:rPr>
          <w:spacing w:val="-10"/>
        </w:rPr>
        <w:t> </w:t>
      </w:r>
      <w:r>
        <w:rPr/>
        <w:t>administración</w:t>
      </w:r>
      <w:r>
        <w:rPr>
          <w:spacing w:val="-9"/>
        </w:rPr>
        <w:t> </w:t>
      </w:r>
      <w:r>
        <w:rPr/>
        <w:t>municipal para examinar la observancia de los planes y programas de trabajo, evaluar su realización, detectar desviaciones y proponer medidas correctivas, fortaleciendo con ello la toma de decisiones del ayuntamiento. Básicamente es un medio de información para la toma de decisiones y se apoya en controles operativos, como son:</w:t>
      </w:r>
      <w:r>
        <w:rPr>
          <w:spacing w:val="-13"/>
        </w:rPr>
        <w:t> </w:t>
      </w:r>
      <w:r>
        <w:rPr/>
        <w:t>el</w:t>
      </w:r>
      <w:r>
        <w:rPr>
          <w:spacing w:val="-12"/>
        </w:rPr>
        <w:t> </w:t>
      </w:r>
      <w:r>
        <w:rPr/>
        <w:t>jurídico,</w:t>
      </w:r>
      <w:r>
        <w:rPr>
          <w:spacing w:val="-11"/>
        </w:rPr>
        <w:t> </w:t>
      </w:r>
      <w:r>
        <w:rPr/>
        <w:t>el</w:t>
      </w:r>
      <w:r>
        <w:rPr>
          <w:spacing w:val="-14"/>
        </w:rPr>
        <w:t> </w:t>
      </w:r>
      <w:r>
        <w:rPr/>
        <w:t>contable,</w:t>
      </w:r>
      <w:r>
        <w:rPr>
          <w:spacing w:val="-13"/>
        </w:rPr>
        <w:t> </w:t>
      </w:r>
      <w:r>
        <w:rPr/>
        <w:t>el</w:t>
      </w:r>
      <w:r>
        <w:rPr>
          <w:spacing w:val="-16"/>
        </w:rPr>
        <w:t> </w:t>
      </w:r>
      <w:r>
        <w:rPr/>
        <w:t>administrativo</w:t>
      </w:r>
      <w:r>
        <w:rPr>
          <w:spacing w:val="-13"/>
        </w:rPr>
        <w:t> </w:t>
      </w:r>
      <w:r>
        <w:rPr/>
        <w:t>y</w:t>
      </w:r>
      <w:r>
        <w:rPr>
          <w:spacing w:val="-14"/>
        </w:rPr>
        <w:t> </w:t>
      </w:r>
      <w:r>
        <w:rPr/>
        <w:t>del</w:t>
      </w:r>
      <w:r>
        <w:rPr>
          <w:spacing w:val="-12"/>
        </w:rPr>
        <w:t> </w:t>
      </w:r>
      <w:r>
        <w:rPr/>
        <w:t>avance</w:t>
      </w:r>
      <w:r>
        <w:rPr>
          <w:spacing w:val="-15"/>
        </w:rPr>
        <w:t> </w:t>
      </w:r>
      <w:r>
        <w:rPr/>
        <w:t>físico</w:t>
      </w:r>
      <w:r>
        <w:rPr>
          <w:spacing w:val="-11"/>
        </w:rPr>
        <w:t> </w:t>
      </w:r>
      <w:r>
        <w:rPr/>
        <w:t>y</w:t>
      </w:r>
      <w:r>
        <w:rPr>
          <w:spacing w:val="-16"/>
        </w:rPr>
        <w:t> </w:t>
      </w:r>
      <w:r>
        <w:rPr/>
        <w:t>financiero.</w:t>
      </w:r>
      <w:r>
        <w:rPr>
          <w:spacing w:val="-11"/>
        </w:rPr>
        <w:t> </w:t>
      </w:r>
      <w:r>
        <w:rPr/>
        <w:t>En</w:t>
      </w:r>
      <w:r>
        <w:rPr>
          <w:spacing w:val="-13"/>
        </w:rPr>
        <w:t> </w:t>
      </w:r>
      <w:r>
        <w:rPr/>
        <w:t>esta etapa también hay toma de decisiones, las mismas en el tenor administrativo o en la arena</w:t>
      </w:r>
      <w:r>
        <w:rPr>
          <w:spacing w:val="-7"/>
        </w:rPr>
        <w:t> </w:t>
      </w:r>
      <w:r>
        <w:rPr/>
        <w:t>política.</w:t>
      </w:r>
    </w:p>
    <w:p>
      <w:pPr>
        <w:pStyle w:val="BodyText"/>
        <w:spacing w:line="360" w:lineRule="auto" w:before="204"/>
        <w:ind w:left="102" w:right="115"/>
        <w:jc w:val="both"/>
      </w:pPr>
      <w:r>
        <w:rPr/>
        <w:t>Con base en lo anterior, para dar cumplimiento a la obligación que tienen los ayuntamientos de informar sobre la aplicación de los recursos del Ramo General 33 en su vertiente municipal, con fundamento en la LCF y al art. 235 y 240 del Código Financiero del Estado de México y Municipios, </w:t>
      </w:r>
      <w:r>
        <w:rPr>
          <w:spacing w:val="3"/>
        </w:rPr>
        <w:t>el </w:t>
      </w:r>
      <w:r>
        <w:rPr/>
        <w:t>gobierno mexiquense desarrolló un sistema vía internet, denominado Sistema de Avance Mensual (SIAVAMEN),</w:t>
      </w:r>
      <w:r>
        <w:rPr>
          <w:spacing w:val="-12"/>
        </w:rPr>
        <w:t> </w:t>
      </w:r>
      <w:r>
        <w:rPr/>
        <w:t>el</w:t>
      </w:r>
      <w:r>
        <w:rPr>
          <w:spacing w:val="-11"/>
        </w:rPr>
        <w:t> </w:t>
      </w:r>
      <w:r>
        <w:rPr/>
        <w:t>cual</w:t>
      </w:r>
      <w:r>
        <w:rPr>
          <w:spacing w:val="-13"/>
        </w:rPr>
        <w:t> </w:t>
      </w:r>
      <w:r>
        <w:rPr/>
        <w:t>es</w:t>
      </w:r>
      <w:r>
        <w:rPr>
          <w:spacing w:val="-10"/>
        </w:rPr>
        <w:t> </w:t>
      </w:r>
      <w:r>
        <w:rPr/>
        <w:t>una</w:t>
      </w:r>
      <w:r>
        <w:rPr>
          <w:spacing w:val="-12"/>
        </w:rPr>
        <w:t> </w:t>
      </w:r>
      <w:r>
        <w:rPr/>
        <w:t>herramienta</w:t>
      </w:r>
      <w:r>
        <w:rPr>
          <w:spacing w:val="-12"/>
        </w:rPr>
        <w:t> </w:t>
      </w:r>
      <w:r>
        <w:rPr/>
        <w:t>que</w:t>
      </w:r>
      <w:r>
        <w:rPr>
          <w:spacing w:val="-12"/>
        </w:rPr>
        <w:t> </w:t>
      </w:r>
      <w:r>
        <w:rPr/>
        <w:t>apoya</w:t>
      </w:r>
      <w:r>
        <w:rPr>
          <w:spacing w:val="-12"/>
        </w:rPr>
        <w:t> </w:t>
      </w:r>
      <w:r>
        <w:rPr/>
        <w:t>a</w:t>
      </w:r>
      <w:r>
        <w:rPr>
          <w:spacing w:val="-9"/>
        </w:rPr>
        <w:t> </w:t>
      </w:r>
      <w:r>
        <w:rPr/>
        <w:t>los</w:t>
      </w:r>
      <w:r>
        <w:rPr>
          <w:spacing w:val="-12"/>
        </w:rPr>
        <w:t> </w:t>
      </w:r>
      <w:r>
        <w:rPr/>
        <w:t>ayuntamientos</w:t>
      </w:r>
      <w:r>
        <w:rPr>
          <w:spacing w:val="-13"/>
        </w:rPr>
        <w:t> </w:t>
      </w:r>
      <w:r>
        <w:rPr/>
        <w:t>para</w:t>
      </w:r>
      <w:r>
        <w:rPr>
          <w:spacing w:val="-12"/>
        </w:rPr>
        <w:t> </w:t>
      </w:r>
      <w:r>
        <w:rPr/>
        <w:t>llevar a cabo el control y seguimiento de las obras y acciones que se ejecuten con los fondos.</w:t>
      </w:r>
    </w:p>
    <w:p>
      <w:pPr>
        <w:pStyle w:val="BodyText"/>
        <w:spacing w:line="360" w:lineRule="auto" w:before="204"/>
        <w:ind w:left="102" w:right="116"/>
        <w:jc w:val="both"/>
      </w:pPr>
      <w:r>
        <w:rPr/>
        <w:t>Los</w:t>
      </w:r>
      <w:r>
        <w:rPr>
          <w:spacing w:val="-9"/>
        </w:rPr>
        <w:t> </w:t>
      </w:r>
      <w:r>
        <w:rPr/>
        <w:t>ayuntamientos</w:t>
      </w:r>
      <w:r>
        <w:rPr>
          <w:spacing w:val="-9"/>
        </w:rPr>
        <w:t> </w:t>
      </w:r>
      <w:r>
        <w:rPr/>
        <w:t>a</w:t>
      </w:r>
      <w:r>
        <w:rPr>
          <w:spacing w:val="-6"/>
        </w:rPr>
        <w:t> </w:t>
      </w:r>
      <w:r>
        <w:rPr/>
        <w:t>través</w:t>
      </w:r>
      <w:r>
        <w:rPr>
          <w:spacing w:val="-7"/>
        </w:rPr>
        <w:t> </w:t>
      </w:r>
      <w:r>
        <w:rPr/>
        <w:t>de</w:t>
      </w:r>
      <w:r>
        <w:rPr>
          <w:spacing w:val="-8"/>
        </w:rPr>
        <w:t> </w:t>
      </w:r>
      <w:r>
        <w:rPr/>
        <w:t>la</w:t>
      </w:r>
      <w:r>
        <w:rPr>
          <w:spacing w:val="-9"/>
        </w:rPr>
        <w:t> </w:t>
      </w:r>
      <w:r>
        <w:rPr/>
        <w:t>unidad</w:t>
      </w:r>
      <w:r>
        <w:rPr>
          <w:spacing w:val="-8"/>
        </w:rPr>
        <w:t> </w:t>
      </w:r>
      <w:r>
        <w:rPr/>
        <w:t>administrativa</w:t>
      </w:r>
      <w:r>
        <w:rPr>
          <w:spacing w:val="-6"/>
        </w:rPr>
        <w:t> </w:t>
      </w:r>
      <w:r>
        <w:rPr/>
        <w:t>municipal</w:t>
      </w:r>
      <w:r>
        <w:rPr>
          <w:spacing w:val="-7"/>
        </w:rPr>
        <w:t> </w:t>
      </w:r>
      <w:r>
        <w:rPr/>
        <w:t>responsable</w:t>
      </w:r>
      <w:r>
        <w:rPr>
          <w:spacing w:val="-9"/>
        </w:rPr>
        <w:t> </w:t>
      </w:r>
      <w:r>
        <w:rPr/>
        <w:t>de</w:t>
      </w:r>
      <w:r>
        <w:rPr>
          <w:spacing w:val="-8"/>
        </w:rPr>
        <w:t> </w:t>
      </w:r>
      <w:r>
        <w:rPr/>
        <w:t>la ejecución de las obras y acciones autorizadas, en coordinación con la Tesorería Municipal y con la vigilancia de la Contraloría Interna Municipal formulan y  </w:t>
      </w:r>
      <w:r>
        <w:rPr>
          <w:spacing w:val="20"/>
        </w:rPr>
        <w:t> </w:t>
      </w:r>
      <w:r>
        <w:rPr/>
        <w:t>envian</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mensualmente a la Dirección General de Planeación y Gasto Público dependencia de la Secretaría de Finanzas, así como al Órgano Superior de Fiscalización del Estado en los informes mensuales, el reporte de Avance Físico-Financiero del recurso aplicado.</w:t>
      </w:r>
    </w:p>
    <w:p>
      <w:pPr>
        <w:pStyle w:val="BodyText"/>
        <w:spacing w:line="360" w:lineRule="auto" w:before="204"/>
        <w:ind w:left="102" w:right="118"/>
        <w:jc w:val="both"/>
      </w:pPr>
      <w:r>
        <w:rPr/>
        <w:t>Otro instrumento de control y seguimiento son los informes trimestrales que se deben</w:t>
      </w:r>
      <w:r>
        <w:rPr>
          <w:spacing w:val="-17"/>
        </w:rPr>
        <w:t> </w:t>
      </w:r>
      <w:r>
        <w:rPr/>
        <w:t>presentar</w:t>
      </w:r>
      <w:r>
        <w:rPr>
          <w:spacing w:val="-19"/>
        </w:rPr>
        <w:t> </w:t>
      </w:r>
      <w:r>
        <w:rPr/>
        <w:t>de</w:t>
      </w:r>
      <w:r>
        <w:rPr>
          <w:spacing w:val="-16"/>
        </w:rPr>
        <w:t> </w:t>
      </w:r>
      <w:r>
        <w:rPr/>
        <w:t>conformidad</w:t>
      </w:r>
      <w:r>
        <w:rPr>
          <w:spacing w:val="-18"/>
        </w:rPr>
        <w:t> </w:t>
      </w:r>
      <w:r>
        <w:rPr/>
        <w:t>con</w:t>
      </w:r>
      <w:r>
        <w:rPr>
          <w:spacing w:val="-18"/>
        </w:rPr>
        <w:t> </w:t>
      </w:r>
      <w:r>
        <w:rPr/>
        <w:t>lo</w:t>
      </w:r>
      <w:r>
        <w:rPr>
          <w:spacing w:val="-18"/>
        </w:rPr>
        <w:t> </w:t>
      </w:r>
      <w:r>
        <w:rPr/>
        <w:t>dispuesto</w:t>
      </w:r>
      <w:r>
        <w:rPr>
          <w:spacing w:val="-18"/>
        </w:rPr>
        <w:t> </w:t>
      </w:r>
      <w:r>
        <w:rPr/>
        <w:t>al</w:t>
      </w:r>
      <w:r>
        <w:rPr>
          <w:spacing w:val="-17"/>
        </w:rPr>
        <w:t> </w:t>
      </w:r>
      <w:r>
        <w:rPr/>
        <w:t>art.</w:t>
      </w:r>
      <w:r>
        <w:rPr>
          <w:spacing w:val="-16"/>
        </w:rPr>
        <w:t> </w:t>
      </w:r>
      <w:r>
        <w:rPr/>
        <w:t>48</w:t>
      </w:r>
      <w:r>
        <w:rPr>
          <w:spacing w:val="-16"/>
        </w:rPr>
        <w:t> </w:t>
      </w:r>
      <w:r>
        <w:rPr/>
        <w:t>de</w:t>
      </w:r>
      <w:r>
        <w:rPr>
          <w:spacing w:val="-16"/>
        </w:rPr>
        <w:t> </w:t>
      </w:r>
      <w:r>
        <w:rPr/>
        <w:t>la</w:t>
      </w:r>
      <w:r>
        <w:rPr>
          <w:spacing w:val="-18"/>
        </w:rPr>
        <w:t> </w:t>
      </w:r>
      <w:r>
        <w:rPr/>
        <w:t>ley</w:t>
      </w:r>
      <w:r>
        <w:rPr>
          <w:spacing w:val="-18"/>
        </w:rPr>
        <w:t> </w:t>
      </w:r>
      <w:r>
        <w:rPr/>
        <w:t>de</w:t>
      </w:r>
      <w:r>
        <w:rPr>
          <w:spacing w:val="-16"/>
        </w:rPr>
        <w:t> </w:t>
      </w:r>
      <w:r>
        <w:rPr/>
        <w:t>Coordinación Fiscal, a través del Portal Aplicativo de la Secretaria de Hacienda y Crédito Público (PASH).</w:t>
      </w:r>
    </w:p>
    <w:p>
      <w:pPr>
        <w:pStyle w:val="BodyText"/>
        <w:spacing w:line="360" w:lineRule="auto" w:before="205"/>
        <w:ind w:left="102" w:right="122"/>
        <w:jc w:val="both"/>
      </w:pPr>
      <w:r>
        <w:rPr/>
        <w:t>Es de resaltar que el control que se ejerce en la aplicación de los recursos objeto de</w:t>
      </w:r>
      <w:r>
        <w:rPr>
          <w:spacing w:val="-6"/>
        </w:rPr>
        <w:t> </w:t>
      </w:r>
      <w:r>
        <w:rPr/>
        <w:t>investigación</w:t>
      </w:r>
      <w:r>
        <w:rPr>
          <w:spacing w:val="-6"/>
        </w:rPr>
        <w:t> </w:t>
      </w:r>
      <w:r>
        <w:rPr/>
        <w:t>es</w:t>
      </w:r>
      <w:r>
        <w:rPr>
          <w:spacing w:val="-7"/>
        </w:rPr>
        <w:t> </w:t>
      </w:r>
      <w:r>
        <w:rPr/>
        <w:t>múltiple,</w:t>
      </w:r>
      <w:r>
        <w:rPr>
          <w:spacing w:val="-6"/>
        </w:rPr>
        <w:t> </w:t>
      </w:r>
      <w:r>
        <w:rPr/>
        <w:t>empieza</w:t>
      </w:r>
      <w:r>
        <w:rPr>
          <w:spacing w:val="-6"/>
        </w:rPr>
        <w:t> </w:t>
      </w:r>
      <w:r>
        <w:rPr/>
        <w:t>con</w:t>
      </w:r>
      <w:r>
        <w:rPr>
          <w:spacing w:val="-6"/>
        </w:rPr>
        <w:t> </w:t>
      </w:r>
      <w:r>
        <w:rPr/>
        <w:t>el</w:t>
      </w:r>
      <w:r>
        <w:rPr>
          <w:spacing w:val="-7"/>
        </w:rPr>
        <w:t> </w:t>
      </w:r>
      <w:r>
        <w:rPr/>
        <w:t>interno</w:t>
      </w:r>
      <w:r>
        <w:rPr>
          <w:spacing w:val="-8"/>
        </w:rPr>
        <w:t> </w:t>
      </w:r>
      <w:r>
        <w:rPr/>
        <w:t>del</w:t>
      </w:r>
      <w:r>
        <w:rPr>
          <w:spacing w:val="-7"/>
        </w:rPr>
        <w:t> </w:t>
      </w:r>
      <w:r>
        <w:rPr/>
        <w:t>ayuntamiento</w:t>
      </w:r>
      <w:r>
        <w:rPr>
          <w:spacing w:val="-6"/>
        </w:rPr>
        <w:t> </w:t>
      </w:r>
      <w:r>
        <w:rPr/>
        <w:t>a</w:t>
      </w:r>
      <w:r>
        <w:rPr>
          <w:spacing w:val="-6"/>
        </w:rPr>
        <w:t> </w:t>
      </w:r>
      <w:r>
        <w:rPr/>
        <w:t>través</w:t>
      </w:r>
      <w:r>
        <w:rPr>
          <w:spacing w:val="-7"/>
        </w:rPr>
        <w:t> </w:t>
      </w:r>
      <w:r>
        <w:rPr/>
        <w:t>de</w:t>
      </w:r>
      <w:r>
        <w:rPr>
          <w:spacing w:val="-6"/>
        </w:rPr>
        <w:t> </w:t>
      </w:r>
      <w:r>
        <w:rPr/>
        <w:t>la Contraloría interna y de la sindicatura, posteriormente puede intervenir la Contraloría</w:t>
      </w:r>
      <w:r>
        <w:rPr>
          <w:spacing w:val="-13"/>
        </w:rPr>
        <w:t> </w:t>
      </w:r>
      <w:r>
        <w:rPr/>
        <w:t>del</w:t>
      </w:r>
      <w:r>
        <w:rPr>
          <w:spacing w:val="-14"/>
        </w:rPr>
        <w:t> </w:t>
      </w:r>
      <w:r>
        <w:rPr/>
        <w:t>Estado</w:t>
      </w:r>
      <w:r>
        <w:rPr>
          <w:spacing w:val="-16"/>
        </w:rPr>
        <w:t> </w:t>
      </w:r>
      <w:r>
        <w:rPr/>
        <w:t>y,</w:t>
      </w:r>
      <w:r>
        <w:rPr>
          <w:spacing w:val="-13"/>
        </w:rPr>
        <w:t> </w:t>
      </w:r>
      <w:r>
        <w:rPr/>
        <w:t>el</w:t>
      </w:r>
      <w:r>
        <w:rPr>
          <w:spacing w:val="-14"/>
        </w:rPr>
        <w:t> </w:t>
      </w:r>
      <w:r>
        <w:rPr/>
        <w:t>OSFEM,</w:t>
      </w:r>
      <w:r>
        <w:rPr>
          <w:spacing w:val="-14"/>
        </w:rPr>
        <w:t> </w:t>
      </w:r>
      <w:r>
        <w:rPr/>
        <w:t>pero</w:t>
      </w:r>
      <w:r>
        <w:rPr>
          <w:spacing w:val="-16"/>
        </w:rPr>
        <w:t> </w:t>
      </w:r>
      <w:r>
        <w:rPr/>
        <w:t>además</w:t>
      </w:r>
      <w:r>
        <w:rPr>
          <w:spacing w:val="-16"/>
        </w:rPr>
        <w:t> </w:t>
      </w:r>
      <w:r>
        <w:rPr/>
        <w:t>pueden</w:t>
      </w:r>
      <w:r>
        <w:rPr>
          <w:spacing w:val="-15"/>
        </w:rPr>
        <w:t> </w:t>
      </w:r>
      <w:r>
        <w:rPr/>
        <w:t>ser</w:t>
      </w:r>
      <w:r>
        <w:rPr>
          <w:spacing w:val="-15"/>
        </w:rPr>
        <w:t> </w:t>
      </w:r>
      <w:r>
        <w:rPr/>
        <w:t>auditados</w:t>
      </w:r>
      <w:r>
        <w:rPr>
          <w:spacing w:val="-14"/>
        </w:rPr>
        <w:t> </w:t>
      </w:r>
      <w:r>
        <w:rPr/>
        <w:t>por</w:t>
      </w:r>
      <w:r>
        <w:rPr>
          <w:spacing w:val="-15"/>
        </w:rPr>
        <w:t> </w:t>
      </w:r>
      <w:r>
        <w:rPr/>
        <w:t>la</w:t>
      </w:r>
      <w:r>
        <w:rPr>
          <w:spacing w:val="-13"/>
        </w:rPr>
        <w:t> </w:t>
      </w:r>
      <w:r>
        <w:rPr/>
        <w:t>ASF. Entonces,</w:t>
      </w:r>
      <w:r>
        <w:rPr>
          <w:spacing w:val="-11"/>
        </w:rPr>
        <w:t> </w:t>
      </w:r>
      <w:r>
        <w:rPr/>
        <w:t>el</w:t>
      </w:r>
      <w:r>
        <w:rPr>
          <w:spacing w:val="-11"/>
        </w:rPr>
        <w:t> </w:t>
      </w:r>
      <w:r>
        <w:rPr/>
        <w:t>control</w:t>
      </w:r>
      <w:r>
        <w:rPr>
          <w:spacing w:val="-12"/>
        </w:rPr>
        <w:t> </w:t>
      </w:r>
      <w:r>
        <w:rPr/>
        <w:t>responde</w:t>
      </w:r>
      <w:r>
        <w:rPr>
          <w:spacing w:val="-11"/>
        </w:rPr>
        <w:t> </w:t>
      </w:r>
      <w:r>
        <w:rPr/>
        <w:t>a</w:t>
      </w:r>
      <w:r>
        <w:rPr>
          <w:spacing w:val="-13"/>
        </w:rPr>
        <w:t> </w:t>
      </w:r>
      <w:r>
        <w:rPr/>
        <w:t>mecanismos</w:t>
      </w:r>
      <w:r>
        <w:rPr>
          <w:spacing w:val="-12"/>
        </w:rPr>
        <w:t> </w:t>
      </w:r>
      <w:r>
        <w:rPr/>
        <w:t>administrativos</w:t>
      </w:r>
      <w:r>
        <w:rPr>
          <w:spacing w:val="-12"/>
        </w:rPr>
        <w:t> </w:t>
      </w:r>
      <w:r>
        <w:rPr/>
        <w:t>y</w:t>
      </w:r>
      <w:r>
        <w:rPr>
          <w:spacing w:val="-14"/>
        </w:rPr>
        <w:t> </w:t>
      </w:r>
      <w:r>
        <w:rPr/>
        <w:t>también</w:t>
      </w:r>
      <w:r>
        <w:rPr>
          <w:spacing w:val="-10"/>
        </w:rPr>
        <w:t> </w:t>
      </w:r>
      <w:r>
        <w:rPr/>
        <w:t>políticos</w:t>
      </w:r>
      <w:r>
        <w:rPr>
          <w:spacing w:val="-12"/>
        </w:rPr>
        <w:t> </w:t>
      </w:r>
      <w:r>
        <w:rPr/>
        <w:t>por lo que la toma de decisiones se ve constreñida a estas arenas y mecanismos que los presidentes sortean a partir de la información completa con la que</w:t>
      </w:r>
      <w:r>
        <w:rPr>
          <w:spacing w:val="-24"/>
        </w:rPr>
        <w:t> </w:t>
      </w:r>
      <w:r>
        <w:rPr/>
        <w:t>cuenten.</w:t>
      </w:r>
    </w:p>
    <w:p>
      <w:pPr>
        <w:pStyle w:val="Heading2"/>
        <w:numPr>
          <w:ilvl w:val="0"/>
          <w:numId w:val="56"/>
        </w:numPr>
        <w:tabs>
          <w:tab w:pos="822" w:val="left" w:leader="none"/>
        </w:tabs>
        <w:spacing w:line="240" w:lineRule="auto" w:before="204" w:after="0"/>
        <w:ind w:left="822" w:right="0" w:hanging="360"/>
        <w:jc w:val="left"/>
      </w:pPr>
      <w:r>
        <w:rPr/>
        <w:t>Revisión y</w:t>
      </w:r>
      <w:r>
        <w:rPr>
          <w:spacing w:val="-6"/>
        </w:rPr>
        <w:t> </w:t>
      </w:r>
      <w:r>
        <w:rPr/>
        <w:t>Evaluación</w:t>
      </w:r>
    </w:p>
    <w:p>
      <w:pPr>
        <w:pStyle w:val="BodyText"/>
        <w:rPr>
          <w:b/>
        </w:rPr>
      </w:pPr>
    </w:p>
    <w:p>
      <w:pPr>
        <w:pStyle w:val="BodyText"/>
        <w:spacing w:line="360" w:lineRule="auto" w:before="141"/>
        <w:ind w:left="102" w:right="122"/>
        <w:jc w:val="both"/>
      </w:pPr>
      <w:r>
        <w:rPr/>
        <w:t>La federalización de recursos y facultades a los Estados y Municipios conlleva la necesidad de evaluar los resultados del ejercicio de los recursos. Por lo tanto, los ayuntamientos de primera instancia a través de las unidades administrativas o servidores públicos que realicen las tareas de información, planeación, programación y evolución, con la vigilancia de la Contraloría Interna Municipal realizaran evaluaciones que les permitan identificar fortalezas y debilidades con respeto al fortalecimiento de las haciendas municipales y la política social.</w:t>
      </w:r>
    </w:p>
    <w:p>
      <w:pPr>
        <w:pStyle w:val="BodyText"/>
        <w:spacing w:before="8"/>
      </w:pPr>
    </w:p>
    <w:p>
      <w:pPr>
        <w:pStyle w:val="Heading2"/>
        <w:numPr>
          <w:ilvl w:val="0"/>
          <w:numId w:val="56"/>
        </w:numPr>
        <w:tabs>
          <w:tab w:pos="822" w:val="left" w:leader="none"/>
        </w:tabs>
        <w:spacing w:line="240" w:lineRule="auto" w:before="0" w:after="0"/>
        <w:ind w:left="822" w:right="0" w:hanging="360"/>
        <w:jc w:val="left"/>
      </w:pPr>
      <w:r>
        <w:rPr/>
        <w:t>Fiscalización y Rendición de</w:t>
      </w:r>
      <w:r>
        <w:rPr>
          <w:spacing w:val="-8"/>
        </w:rPr>
        <w:t> </w:t>
      </w:r>
      <w:r>
        <w:rPr/>
        <w:t>Cuentas</w:t>
      </w:r>
    </w:p>
    <w:p>
      <w:pPr>
        <w:pStyle w:val="BodyText"/>
        <w:rPr>
          <w:b/>
        </w:rPr>
      </w:pPr>
    </w:p>
    <w:p>
      <w:pPr>
        <w:pStyle w:val="BodyText"/>
        <w:spacing w:line="360" w:lineRule="auto" w:before="141"/>
        <w:ind w:left="102" w:right="122"/>
        <w:jc w:val="both"/>
      </w:pPr>
      <w:r>
        <w:rPr/>
        <w:t>La fiscalización comprende la revisión de los ingresos, los egresos; del manejo, la custodia</w:t>
      </w:r>
      <w:r>
        <w:rPr>
          <w:spacing w:val="-12"/>
        </w:rPr>
        <w:t> </w:t>
      </w:r>
      <w:r>
        <w:rPr/>
        <w:t>y</w:t>
      </w:r>
      <w:r>
        <w:rPr>
          <w:spacing w:val="-14"/>
        </w:rPr>
        <w:t> </w:t>
      </w:r>
      <w:r>
        <w:rPr/>
        <w:t>aplicación</w:t>
      </w:r>
      <w:r>
        <w:rPr>
          <w:spacing w:val="-13"/>
        </w:rPr>
        <w:t> </w:t>
      </w:r>
      <w:r>
        <w:rPr/>
        <w:t>de</w:t>
      </w:r>
      <w:r>
        <w:rPr>
          <w:spacing w:val="-12"/>
        </w:rPr>
        <w:t> </w:t>
      </w:r>
      <w:r>
        <w:rPr/>
        <w:t>los</w:t>
      </w:r>
      <w:r>
        <w:rPr>
          <w:spacing w:val="-13"/>
        </w:rPr>
        <w:t> </w:t>
      </w:r>
      <w:r>
        <w:rPr/>
        <w:t>recursos</w:t>
      </w:r>
      <w:r>
        <w:rPr>
          <w:spacing w:val="-14"/>
        </w:rPr>
        <w:t> </w:t>
      </w:r>
      <w:r>
        <w:rPr/>
        <w:t>públicos</w:t>
      </w:r>
      <w:r>
        <w:rPr>
          <w:spacing w:val="-14"/>
        </w:rPr>
        <w:t> </w:t>
      </w:r>
      <w:r>
        <w:rPr/>
        <w:t>así</w:t>
      </w:r>
      <w:r>
        <w:rPr>
          <w:spacing w:val="-13"/>
        </w:rPr>
        <w:t> </w:t>
      </w:r>
      <w:r>
        <w:rPr/>
        <w:t>como</w:t>
      </w:r>
      <w:r>
        <w:rPr>
          <w:spacing w:val="-13"/>
        </w:rPr>
        <w:t> </w:t>
      </w:r>
      <w:r>
        <w:rPr/>
        <w:t>de</w:t>
      </w:r>
      <w:r>
        <w:rPr>
          <w:spacing w:val="-12"/>
        </w:rPr>
        <w:t> </w:t>
      </w:r>
      <w:r>
        <w:rPr/>
        <w:t>la</w:t>
      </w:r>
      <w:r>
        <w:rPr>
          <w:spacing w:val="-13"/>
        </w:rPr>
        <w:t> </w:t>
      </w:r>
      <w:r>
        <w:rPr/>
        <w:t>información</w:t>
      </w:r>
      <w:r>
        <w:rPr>
          <w:spacing w:val="-13"/>
        </w:rPr>
        <w:t> </w:t>
      </w:r>
      <w:r>
        <w:rPr/>
        <w:t>financiera, contable, patrimonial, presupuestaria y</w:t>
      </w:r>
      <w:r>
        <w:rPr>
          <w:spacing w:val="-19"/>
        </w:rPr>
        <w:t> </w:t>
      </w:r>
      <w:r>
        <w:rPr/>
        <w:t>programática.</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La fiscalización tiene por objeto evaluar los resultados de la gestión financiera, comprobar lo dispuesto en el presupuesto, la Ley de Ingresos y demás disposiciones legales aplicables así cómo la práctica de auditorías sobre el desempeño para verificar el cumplimiento de los objetivos y las metas de los programas conforme a los principios de posterioridad, anualidad, legalidad definitivita, imparcialidad y confiabilidad.</w:t>
      </w:r>
    </w:p>
    <w:p>
      <w:pPr>
        <w:pStyle w:val="BodyText"/>
        <w:spacing w:line="360" w:lineRule="auto" w:before="204"/>
        <w:ind w:left="102" w:right="121"/>
        <w:jc w:val="both"/>
      </w:pPr>
      <w:r>
        <w:rPr/>
        <w:t>Para esta etapa el gobierno del Estado de México a través del Órgano Superior, está</w:t>
      </w:r>
      <w:r>
        <w:rPr>
          <w:spacing w:val="-11"/>
        </w:rPr>
        <w:t> </w:t>
      </w:r>
      <w:r>
        <w:rPr/>
        <w:t>encargado</w:t>
      </w:r>
      <w:r>
        <w:rPr>
          <w:spacing w:val="-14"/>
        </w:rPr>
        <w:t> </w:t>
      </w:r>
      <w:r>
        <w:rPr/>
        <w:t>de</w:t>
      </w:r>
      <w:r>
        <w:rPr>
          <w:spacing w:val="-14"/>
        </w:rPr>
        <w:t> </w:t>
      </w:r>
      <w:r>
        <w:rPr/>
        <w:t>efectuar</w:t>
      </w:r>
      <w:r>
        <w:rPr>
          <w:spacing w:val="-13"/>
        </w:rPr>
        <w:t> </w:t>
      </w:r>
      <w:r>
        <w:rPr/>
        <w:t>las</w:t>
      </w:r>
      <w:r>
        <w:rPr>
          <w:spacing w:val="-12"/>
        </w:rPr>
        <w:t> </w:t>
      </w:r>
      <w:r>
        <w:rPr/>
        <w:t>actividades</w:t>
      </w:r>
      <w:r>
        <w:rPr>
          <w:spacing w:val="-13"/>
        </w:rPr>
        <w:t> </w:t>
      </w:r>
      <w:r>
        <w:rPr/>
        <w:t>ya</w:t>
      </w:r>
      <w:r>
        <w:rPr>
          <w:spacing w:val="-12"/>
        </w:rPr>
        <w:t> </w:t>
      </w:r>
      <w:r>
        <w:rPr/>
        <w:t>descritas,</w:t>
      </w:r>
      <w:r>
        <w:rPr>
          <w:spacing w:val="-12"/>
        </w:rPr>
        <w:t> </w:t>
      </w:r>
      <w:r>
        <w:rPr/>
        <w:t>conforme</w:t>
      </w:r>
      <w:r>
        <w:rPr>
          <w:spacing w:val="-14"/>
        </w:rPr>
        <w:t> </w:t>
      </w:r>
      <w:r>
        <w:rPr/>
        <w:t>a</w:t>
      </w:r>
      <w:r>
        <w:rPr>
          <w:spacing w:val="-12"/>
        </w:rPr>
        <w:t> </w:t>
      </w:r>
      <w:r>
        <w:rPr/>
        <w:t>la</w:t>
      </w:r>
      <w:r>
        <w:rPr>
          <w:spacing w:val="-12"/>
        </w:rPr>
        <w:t> </w:t>
      </w:r>
      <w:r>
        <w:rPr/>
        <w:t>presentación mensual</w:t>
      </w:r>
      <w:r>
        <w:rPr>
          <w:spacing w:val="-14"/>
        </w:rPr>
        <w:t> </w:t>
      </w:r>
      <w:r>
        <w:rPr/>
        <w:t>de</w:t>
      </w:r>
      <w:r>
        <w:rPr>
          <w:spacing w:val="-11"/>
        </w:rPr>
        <w:t> </w:t>
      </w:r>
      <w:r>
        <w:rPr/>
        <w:t>la</w:t>
      </w:r>
      <w:r>
        <w:rPr>
          <w:spacing w:val="-11"/>
        </w:rPr>
        <w:t> </w:t>
      </w:r>
      <w:r>
        <w:rPr/>
        <w:t>información</w:t>
      </w:r>
      <w:r>
        <w:rPr>
          <w:spacing w:val="-10"/>
        </w:rPr>
        <w:t> </w:t>
      </w:r>
      <w:r>
        <w:rPr/>
        <w:t>del</w:t>
      </w:r>
      <w:r>
        <w:rPr>
          <w:spacing w:val="-12"/>
        </w:rPr>
        <w:t> </w:t>
      </w:r>
      <w:r>
        <w:rPr/>
        <w:t>ejercicio</w:t>
      </w:r>
      <w:r>
        <w:rPr>
          <w:spacing w:val="-13"/>
        </w:rPr>
        <w:t> </w:t>
      </w:r>
      <w:r>
        <w:rPr/>
        <w:t>de</w:t>
      </w:r>
      <w:r>
        <w:rPr>
          <w:spacing w:val="-11"/>
        </w:rPr>
        <w:t> </w:t>
      </w:r>
      <w:r>
        <w:rPr/>
        <w:t>los</w:t>
      </w:r>
      <w:r>
        <w:rPr>
          <w:spacing w:val="-14"/>
        </w:rPr>
        <w:t> </w:t>
      </w:r>
      <w:r>
        <w:rPr/>
        <w:t>recursos</w:t>
      </w:r>
      <w:r>
        <w:rPr>
          <w:spacing w:val="-11"/>
        </w:rPr>
        <w:t> </w:t>
      </w:r>
      <w:r>
        <w:rPr/>
        <w:t>y</w:t>
      </w:r>
      <w:r>
        <w:rPr>
          <w:spacing w:val="-14"/>
        </w:rPr>
        <w:t> </w:t>
      </w:r>
      <w:r>
        <w:rPr/>
        <w:t>al</w:t>
      </w:r>
      <w:r>
        <w:rPr>
          <w:spacing w:val="-14"/>
        </w:rPr>
        <w:t> </w:t>
      </w:r>
      <w:r>
        <w:rPr/>
        <w:t>finalizar</w:t>
      </w:r>
      <w:r>
        <w:rPr>
          <w:spacing w:val="-12"/>
        </w:rPr>
        <w:t> </w:t>
      </w:r>
      <w:r>
        <w:rPr/>
        <w:t>el</w:t>
      </w:r>
      <w:r>
        <w:rPr>
          <w:spacing w:val="-12"/>
        </w:rPr>
        <w:t> </w:t>
      </w:r>
      <w:r>
        <w:rPr/>
        <w:t>ejercicio</w:t>
      </w:r>
      <w:r>
        <w:rPr>
          <w:spacing w:val="-13"/>
        </w:rPr>
        <w:t> </w:t>
      </w:r>
      <w:r>
        <w:rPr/>
        <w:t>fiscal presentando la cuenta pública</w:t>
      </w:r>
      <w:r>
        <w:rPr>
          <w:spacing w:val="-11"/>
        </w:rPr>
        <w:t> </w:t>
      </w:r>
      <w:r>
        <w:rPr/>
        <w:t>anual.</w:t>
      </w:r>
    </w:p>
    <w:p>
      <w:pPr>
        <w:pStyle w:val="BodyText"/>
        <w:spacing w:line="360" w:lineRule="auto" w:before="204"/>
        <w:ind w:left="102" w:right="125"/>
        <w:jc w:val="both"/>
      </w:pPr>
      <w:r>
        <w:rPr/>
        <w:t>En cuanto, a la rendición de cuentas las disposiciones federales que estipulan las obligaciones de las entidades federativas de rendir cuentas sobre el destino de los recursos de los fondos en su vertiente municipal se encuentran establecidas en la Ley Federal de Presupuesto y Responsabilidad Hacendaria (LFPRH) y en la LCF.</w:t>
      </w:r>
    </w:p>
    <w:p>
      <w:pPr>
        <w:pStyle w:val="BodyText"/>
        <w:spacing w:before="3"/>
        <w:rPr>
          <w:sz w:val="21"/>
        </w:rPr>
      </w:pPr>
    </w:p>
    <w:p>
      <w:pPr>
        <w:pStyle w:val="BodyText"/>
        <w:spacing w:line="360" w:lineRule="auto"/>
        <w:ind w:left="102" w:right="116"/>
        <w:jc w:val="both"/>
      </w:pPr>
      <w:r>
        <w:rPr/>
        <w:t>En dichos ordenamientos jurídicos se establece la obligación de las entidades federativas de enviar al Ejecutivo Federal información sobre el ejercicio, destino y resultados</w:t>
      </w:r>
      <w:r>
        <w:rPr>
          <w:spacing w:val="-9"/>
        </w:rPr>
        <w:t> </w:t>
      </w:r>
      <w:r>
        <w:rPr/>
        <w:t>alcanzados</w:t>
      </w:r>
      <w:r>
        <w:rPr>
          <w:spacing w:val="-12"/>
        </w:rPr>
        <w:t> </w:t>
      </w:r>
      <w:r>
        <w:rPr/>
        <w:t>en</w:t>
      </w:r>
      <w:r>
        <w:rPr>
          <w:spacing w:val="-8"/>
        </w:rPr>
        <w:t> </w:t>
      </w:r>
      <w:r>
        <w:rPr/>
        <w:t>el</w:t>
      </w:r>
      <w:r>
        <w:rPr>
          <w:spacing w:val="-10"/>
        </w:rPr>
        <w:t> </w:t>
      </w:r>
      <w:r>
        <w:rPr/>
        <w:t>uso</w:t>
      </w:r>
      <w:r>
        <w:rPr>
          <w:spacing w:val="-8"/>
        </w:rPr>
        <w:t> </w:t>
      </w:r>
      <w:r>
        <w:rPr/>
        <w:t>de</w:t>
      </w:r>
      <w:r>
        <w:rPr>
          <w:spacing w:val="-8"/>
        </w:rPr>
        <w:t> </w:t>
      </w:r>
      <w:r>
        <w:rPr/>
        <w:t>los</w:t>
      </w:r>
      <w:r>
        <w:rPr>
          <w:spacing w:val="-9"/>
        </w:rPr>
        <w:t> </w:t>
      </w:r>
      <w:r>
        <w:rPr/>
        <w:t>recursos</w:t>
      </w:r>
      <w:r>
        <w:rPr>
          <w:spacing w:val="-12"/>
        </w:rPr>
        <w:t> </w:t>
      </w:r>
      <w:r>
        <w:rPr/>
        <w:t>federales</w:t>
      </w:r>
      <w:r>
        <w:rPr>
          <w:spacing w:val="-9"/>
        </w:rPr>
        <w:t> </w:t>
      </w:r>
      <w:r>
        <w:rPr/>
        <w:t>de</w:t>
      </w:r>
      <w:r>
        <w:rPr>
          <w:spacing w:val="-8"/>
        </w:rPr>
        <w:t> </w:t>
      </w:r>
      <w:r>
        <w:rPr/>
        <w:t>los</w:t>
      </w:r>
      <w:r>
        <w:rPr>
          <w:spacing w:val="-11"/>
        </w:rPr>
        <w:t> </w:t>
      </w:r>
      <w:r>
        <w:rPr/>
        <w:t>municipios</w:t>
      </w:r>
      <w:r>
        <w:rPr>
          <w:spacing w:val="-9"/>
        </w:rPr>
        <w:t> </w:t>
      </w:r>
      <w:r>
        <w:rPr/>
        <w:t>que</w:t>
      </w:r>
      <w:r>
        <w:rPr>
          <w:spacing w:val="-8"/>
        </w:rPr>
        <w:t> </w:t>
      </w:r>
      <w:r>
        <w:rPr/>
        <w:t>los integran; mediante el sistema electrónico determinado por la SHCP. Por su parte, la SHCP tiene la obligación de incluir dichos reportes de las entidades federativas en los “Informes sobre la situación económica, las finanzas públicas y la deuda pública” que se presentan trimestralmente y ponerlos a disposición del público en su portal de Internet. Respectivamente dicha información los municipios deberán publicarla y difundirlas en sus propios portales de internet, del mismo modo deberá ser difundida en los órganos del Estado de</w:t>
      </w:r>
      <w:r>
        <w:rPr>
          <w:spacing w:val="-22"/>
        </w:rPr>
        <w:t> </w:t>
      </w:r>
      <w:r>
        <w:rPr/>
        <w:t>México.</w:t>
      </w:r>
    </w:p>
    <w:p>
      <w:pPr>
        <w:pStyle w:val="BodyText"/>
      </w:pPr>
    </w:p>
    <w:p>
      <w:pPr>
        <w:pStyle w:val="Heading1"/>
        <w:numPr>
          <w:ilvl w:val="1"/>
          <w:numId w:val="55"/>
        </w:numPr>
        <w:tabs>
          <w:tab w:pos="2886" w:val="left" w:leader="none"/>
          <w:tab w:pos="2887" w:val="left" w:leader="none"/>
        </w:tabs>
        <w:spacing w:line="240" w:lineRule="auto" w:before="207" w:after="0"/>
        <w:ind w:left="2886" w:right="0" w:hanging="720"/>
        <w:jc w:val="left"/>
      </w:pPr>
      <w:bookmarkStart w:name="_TOC_250008" w:id="44"/>
      <w:r>
        <w:rPr/>
        <w:t>Controles Internos</w:t>
      </w:r>
      <w:r>
        <w:rPr>
          <w:spacing w:val="-17"/>
        </w:rPr>
        <w:t> </w:t>
      </w:r>
      <w:bookmarkEnd w:id="44"/>
      <w:r>
        <w:rPr/>
        <w:t>Municipales</w:t>
      </w:r>
    </w:p>
    <w:p>
      <w:pPr>
        <w:spacing w:after="0" w:line="240" w:lineRule="auto"/>
        <w:jc w:val="left"/>
        <w:sectPr>
          <w:pgSz w:w="12240" w:h="15840"/>
          <w:pgMar w:header="0" w:footer="992" w:top="1360" w:bottom="1180" w:left="1600" w:right="1580"/>
        </w:sectPr>
      </w:pPr>
    </w:p>
    <w:p>
      <w:pPr>
        <w:pStyle w:val="BodyText"/>
        <w:spacing w:line="360" w:lineRule="auto" w:before="54"/>
        <w:ind w:left="102" w:right="117"/>
        <w:jc w:val="both"/>
      </w:pPr>
      <w:r>
        <w:rPr/>
        <w:t>La operación alude a las actividades que lleva a cabo el aparato gubernamental en este caso el municipio y que ante la eficiencia y deficiencia en su implementación, tienen un efecto respecto al uso de los recursos públicos y de su impacto social.</w:t>
      </w:r>
    </w:p>
    <w:p>
      <w:pPr>
        <w:pStyle w:val="BodyText"/>
        <w:spacing w:before="10"/>
      </w:pPr>
    </w:p>
    <w:p>
      <w:pPr>
        <w:pStyle w:val="BodyText"/>
        <w:spacing w:line="360" w:lineRule="auto"/>
        <w:ind w:left="102" w:right="119"/>
        <w:jc w:val="both"/>
      </w:pPr>
      <w:r>
        <w:rPr/>
        <w:t>Por lo tanto, la organización administrativa interna constituye un objeto esencial de la</w:t>
      </w:r>
      <w:r>
        <w:rPr>
          <w:spacing w:val="-7"/>
        </w:rPr>
        <w:t> </w:t>
      </w:r>
      <w:r>
        <w:rPr/>
        <w:t>autonomía</w:t>
      </w:r>
      <w:r>
        <w:rPr>
          <w:spacing w:val="-9"/>
        </w:rPr>
        <w:t> </w:t>
      </w:r>
      <w:r>
        <w:rPr/>
        <w:t>municipal;</w:t>
      </w:r>
      <w:r>
        <w:rPr>
          <w:spacing w:val="-8"/>
        </w:rPr>
        <w:t> </w:t>
      </w:r>
      <w:r>
        <w:rPr/>
        <w:t>autonomía</w:t>
      </w:r>
      <w:r>
        <w:rPr>
          <w:spacing w:val="-7"/>
        </w:rPr>
        <w:t> </w:t>
      </w:r>
      <w:r>
        <w:rPr/>
        <w:t>sustentada</w:t>
      </w:r>
      <w:r>
        <w:rPr>
          <w:spacing w:val="-7"/>
        </w:rPr>
        <w:t> </w:t>
      </w:r>
      <w:r>
        <w:rPr/>
        <w:t>por</w:t>
      </w:r>
      <w:r>
        <w:rPr>
          <w:spacing w:val="-11"/>
        </w:rPr>
        <w:t> </w:t>
      </w:r>
      <w:r>
        <w:rPr/>
        <w:t>un</w:t>
      </w:r>
      <w:r>
        <w:rPr>
          <w:spacing w:val="-9"/>
        </w:rPr>
        <w:t> </w:t>
      </w:r>
      <w:r>
        <w:rPr/>
        <w:t>lado</w:t>
      </w:r>
      <w:r>
        <w:rPr>
          <w:spacing w:val="-7"/>
        </w:rPr>
        <w:t> </w:t>
      </w:r>
      <w:r>
        <w:rPr/>
        <w:t>en</w:t>
      </w:r>
      <w:r>
        <w:rPr>
          <w:spacing w:val="-7"/>
        </w:rPr>
        <w:t> </w:t>
      </w:r>
      <w:r>
        <w:rPr/>
        <w:t>el</w:t>
      </w:r>
      <w:r>
        <w:rPr>
          <w:spacing w:val="-11"/>
        </w:rPr>
        <w:t> </w:t>
      </w:r>
      <w:r>
        <w:rPr/>
        <w:t>autogobierno</w:t>
      </w:r>
      <w:r>
        <w:rPr>
          <w:spacing w:val="-7"/>
        </w:rPr>
        <w:t> </w:t>
      </w:r>
      <w:r>
        <w:rPr/>
        <w:t>y</w:t>
      </w:r>
      <w:r>
        <w:rPr>
          <w:spacing w:val="-10"/>
        </w:rPr>
        <w:t> </w:t>
      </w:r>
      <w:r>
        <w:rPr/>
        <w:t>por el otro orientada por una finalidad que consiste en el bienestar</w:t>
      </w:r>
      <w:r>
        <w:rPr>
          <w:spacing w:val="-35"/>
        </w:rPr>
        <w:t> </w:t>
      </w:r>
      <w:r>
        <w:rPr/>
        <w:t>colectivo</w:t>
      </w:r>
    </w:p>
    <w:p>
      <w:pPr>
        <w:pStyle w:val="BodyText"/>
        <w:spacing w:before="7"/>
      </w:pPr>
    </w:p>
    <w:p>
      <w:pPr>
        <w:pStyle w:val="BodyText"/>
        <w:spacing w:line="360" w:lineRule="auto"/>
        <w:ind w:left="102" w:right="115"/>
        <w:jc w:val="both"/>
      </w:pPr>
      <w:r>
        <w:rPr/>
        <w:t>El adecuado manejo de la hacienda pública, depende en gran medida del control interno, mismos que comprende el plan de organización y todos los métodos y procedimientos</w:t>
      </w:r>
      <w:r>
        <w:rPr>
          <w:spacing w:val="-8"/>
        </w:rPr>
        <w:t> </w:t>
      </w:r>
      <w:r>
        <w:rPr/>
        <w:t>que</w:t>
      </w:r>
      <w:r>
        <w:rPr>
          <w:spacing w:val="-7"/>
        </w:rPr>
        <w:t> </w:t>
      </w:r>
      <w:r>
        <w:rPr/>
        <w:t>en</w:t>
      </w:r>
      <w:r>
        <w:rPr>
          <w:spacing w:val="-9"/>
        </w:rPr>
        <w:t> </w:t>
      </w:r>
      <w:r>
        <w:rPr/>
        <w:t>forma</w:t>
      </w:r>
      <w:r>
        <w:rPr>
          <w:spacing w:val="-7"/>
        </w:rPr>
        <w:t> </w:t>
      </w:r>
      <w:r>
        <w:rPr/>
        <w:t>coordinada</w:t>
      </w:r>
      <w:r>
        <w:rPr>
          <w:spacing w:val="-9"/>
        </w:rPr>
        <w:t> </w:t>
      </w:r>
      <w:r>
        <w:rPr/>
        <w:t>adopten</w:t>
      </w:r>
      <w:r>
        <w:rPr>
          <w:spacing w:val="-1"/>
        </w:rPr>
        <w:t> </w:t>
      </w:r>
      <w:r>
        <w:rPr/>
        <w:t>las</w:t>
      </w:r>
      <w:r>
        <w:rPr>
          <w:spacing w:val="-10"/>
        </w:rPr>
        <w:t> </w:t>
      </w:r>
      <w:r>
        <w:rPr/>
        <w:t>administraciones</w:t>
      </w:r>
      <w:r>
        <w:rPr>
          <w:spacing w:val="-8"/>
        </w:rPr>
        <w:t> </w:t>
      </w:r>
      <w:r>
        <w:rPr/>
        <w:t>municipales para salvaguardar sus activos, verificar la razonabilidad y confiabilidad de su información financiera, promover la eficiencia operacional y provocar la adherencia a las políticas prescritas por la</w:t>
      </w:r>
      <w:r>
        <w:rPr>
          <w:spacing w:val="-11"/>
        </w:rPr>
        <w:t> </w:t>
      </w:r>
      <w:r>
        <w:rPr/>
        <w:t>administración.</w:t>
      </w:r>
    </w:p>
    <w:p>
      <w:pPr>
        <w:pStyle w:val="BodyText"/>
        <w:spacing w:before="3"/>
        <w:rPr>
          <w:sz w:val="21"/>
        </w:rPr>
      </w:pPr>
    </w:p>
    <w:p>
      <w:pPr>
        <w:pStyle w:val="BodyText"/>
        <w:spacing w:line="360" w:lineRule="auto"/>
        <w:ind w:left="102" w:right="117"/>
        <w:jc w:val="both"/>
      </w:pPr>
      <w:r>
        <w:rPr/>
        <w:t>Con la finalidad, de evaluar la calidad de la gestión gubernamental así como la efectividad de los procedimientos, políticas y sistemas implementados para identificar y administrar los principales riesgos que pueden afectar el cumplimiento de los objetivos y resultados del FISMDF y FORTAMUNDF en los municipios que integran el Estado de México, es indispensable evaluar los sistemas de controles internos, diseñados e instrumentados por las administraciones municipales en</w:t>
      </w:r>
      <w:r>
        <w:rPr>
          <w:spacing w:val="-32"/>
        </w:rPr>
        <w:t> </w:t>
      </w:r>
      <w:r>
        <w:rPr/>
        <w:t>aras de llevar un adecuado manejo operacional de los fondos ya citados, muy independiente de los herramientas implementadas con las que coadyuva el gobierno estatal, con el fin de auxiliar en el cumplimiento del ejercicio y objetivos de los recursos transferidos a los</w:t>
      </w:r>
      <w:r>
        <w:rPr>
          <w:spacing w:val="-13"/>
        </w:rPr>
        <w:t> </w:t>
      </w:r>
      <w:r>
        <w:rPr/>
        <w:t>municipios.</w:t>
      </w:r>
    </w:p>
    <w:p>
      <w:pPr>
        <w:pStyle w:val="BodyText"/>
        <w:spacing w:before="1"/>
        <w:rPr>
          <w:sz w:val="21"/>
        </w:rPr>
      </w:pPr>
    </w:p>
    <w:p>
      <w:pPr>
        <w:pStyle w:val="BodyText"/>
        <w:spacing w:line="360" w:lineRule="auto" w:before="1"/>
        <w:ind w:left="102" w:right="123"/>
        <w:jc w:val="both"/>
      </w:pPr>
      <w:r>
        <w:rPr/>
        <w:t>Para un correcto proceso de toma de decisiones, es necesario que las autoridades municipales cuenten con sistemas de información adecuados a sus necesidades operativas</w:t>
      </w:r>
      <w:r>
        <w:rPr>
          <w:spacing w:val="-15"/>
        </w:rPr>
        <w:t> </w:t>
      </w:r>
      <w:r>
        <w:rPr/>
        <w:t>con</w:t>
      </w:r>
      <w:r>
        <w:rPr>
          <w:spacing w:val="-17"/>
        </w:rPr>
        <w:t> </w:t>
      </w:r>
      <w:r>
        <w:rPr/>
        <w:t>el</w:t>
      </w:r>
      <w:r>
        <w:rPr>
          <w:spacing w:val="-18"/>
        </w:rPr>
        <w:t> </w:t>
      </w:r>
      <w:r>
        <w:rPr/>
        <w:t>único</w:t>
      </w:r>
      <w:r>
        <w:rPr>
          <w:spacing w:val="-19"/>
        </w:rPr>
        <w:t> </w:t>
      </w:r>
      <w:r>
        <w:rPr/>
        <w:t>fin</w:t>
      </w:r>
      <w:r>
        <w:rPr>
          <w:spacing w:val="-17"/>
        </w:rPr>
        <w:t> </w:t>
      </w:r>
      <w:r>
        <w:rPr/>
        <w:t>de</w:t>
      </w:r>
      <w:r>
        <w:rPr>
          <w:spacing w:val="-16"/>
        </w:rPr>
        <w:t> </w:t>
      </w:r>
      <w:r>
        <w:rPr/>
        <w:t>evitar</w:t>
      </w:r>
      <w:r>
        <w:rPr>
          <w:spacing w:val="-16"/>
        </w:rPr>
        <w:t> </w:t>
      </w:r>
      <w:r>
        <w:rPr/>
        <w:t>errores,</w:t>
      </w:r>
      <w:r>
        <w:rPr>
          <w:spacing w:val="-17"/>
        </w:rPr>
        <w:t> </w:t>
      </w:r>
      <w:r>
        <w:rPr/>
        <w:t>irregularidades</w:t>
      </w:r>
      <w:r>
        <w:rPr>
          <w:spacing w:val="-17"/>
        </w:rPr>
        <w:t> </w:t>
      </w:r>
      <w:r>
        <w:rPr/>
        <w:t>u</w:t>
      </w:r>
      <w:r>
        <w:rPr>
          <w:spacing w:val="-16"/>
        </w:rPr>
        <w:t> </w:t>
      </w:r>
      <w:r>
        <w:rPr/>
        <w:t>omisiones</w:t>
      </w:r>
      <w:r>
        <w:rPr>
          <w:spacing w:val="-15"/>
        </w:rPr>
        <w:t> </w:t>
      </w:r>
      <w:r>
        <w:rPr/>
        <w:t>que</w:t>
      </w:r>
      <w:r>
        <w:rPr>
          <w:spacing w:val="-16"/>
        </w:rPr>
        <w:t> </w:t>
      </w:r>
      <w:r>
        <w:rPr/>
        <w:t>pongan en riesgo el cumplimiento de los objetivos de los fondos</w:t>
      </w:r>
      <w:r>
        <w:rPr>
          <w:spacing w:val="-23"/>
        </w:rPr>
        <w:t> </w:t>
      </w:r>
      <w:r>
        <w:rPr/>
        <w:t>federales.</w:t>
      </w:r>
    </w:p>
    <w:p>
      <w:pPr>
        <w:pStyle w:val="BodyText"/>
        <w:spacing w:before="7"/>
      </w:pPr>
    </w:p>
    <w:p>
      <w:pPr>
        <w:pStyle w:val="BodyText"/>
        <w:spacing w:line="360" w:lineRule="auto"/>
        <w:ind w:left="102" w:right="115"/>
        <w:jc w:val="both"/>
      </w:pPr>
      <w:r>
        <w:rPr/>
        <w:t>Es por ello, que el objetivo del control interno es contar con herramientas que permitan conocer el desarrollo de los recursos y su aplicación; así mismo sí </w:t>
      </w:r>
      <w:r>
        <w:rPr>
          <w:spacing w:val="64"/>
        </w:rPr>
        <w:t> </w:t>
      </w:r>
      <w:r>
        <w:rPr/>
        <w:t>estos</w:t>
      </w:r>
    </w:p>
    <w:p>
      <w:pPr>
        <w:spacing w:after="0" w:line="360" w:lineRule="auto"/>
        <w:jc w:val="both"/>
        <w:sectPr>
          <w:pgSz w:w="12240" w:h="15840"/>
          <w:pgMar w:header="0" w:footer="992" w:top="1360" w:bottom="1180" w:left="1600" w:right="1580"/>
        </w:sectPr>
      </w:pPr>
    </w:p>
    <w:p>
      <w:pPr>
        <w:pStyle w:val="BodyText"/>
        <w:spacing w:line="360" w:lineRule="auto" w:before="54"/>
        <w:ind w:left="102" w:right="119"/>
        <w:jc w:val="both"/>
      </w:pPr>
      <w:r>
        <w:rPr/>
        <w:t>fueron erogados en apego a la normatividad, regulando además el actuar del servidor</w:t>
      </w:r>
      <w:r>
        <w:rPr>
          <w:spacing w:val="-11"/>
        </w:rPr>
        <w:t> </w:t>
      </w:r>
      <w:r>
        <w:rPr/>
        <w:t>público;</w:t>
      </w:r>
      <w:r>
        <w:rPr>
          <w:spacing w:val="-10"/>
        </w:rPr>
        <w:t> </w:t>
      </w:r>
      <w:r>
        <w:rPr/>
        <w:t>es</w:t>
      </w:r>
      <w:r>
        <w:rPr>
          <w:spacing w:val="-10"/>
        </w:rPr>
        <w:t> </w:t>
      </w:r>
      <w:r>
        <w:rPr/>
        <w:t>por</w:t>
      </w:r>
      <w:r>
        <w:rPr>
          <w:spacing w:val="-11"/>
        </w:rPr>
        <w:t> </w:t>
      </w:r>
      <w:r>
        <w:rPr/>
        <w:t>medio</w:t>
      </w:r>
      <w:r>
        <w:rPr>
          <w:spacing w:val="-12"/>
        </w:rPr>
        <w:t> </w:t>
      </w:r>
      <w:r>
        <w:rPr/>
        <w:t>de</w:t>
      </w:r>
      <w:r>
        <w:rPr>
          <w:spacing w:val="-9"/>
        </w:rPr>
        <w:t> </w:t>
      </w:r>
      <w:r>
        <w:rPr/>
        <w:t>estos</w:t>
      </w:r>
      <w:r>
        <w:rPr>
          <w:spacing w:val="-10"/>
        </w:rPr>
        <w:t> </w:t>
      </w:r>
      <w:r>
        <w:rPr/>
        <w:t>controles</w:t>
      </w:r>
      <w:r>
        <w:rPr>
          <w:spacing w:val="-10"/>
        </w:rPr>
        <w:t> </w:t>
      </w:r>
      <w:r>
        <w:rPr/>
        <w:t>que</w:t>
      </w:r>
      <w:r>
        <w:rPr>
          <w:spacing w:val="-9"/>
        </w:rPr>
        <w:t> </w:t>
      </w:r>
      <w:r>
        <w:rPr/>
        <w:t>se</w:t>
      </w:r>
      <w:r>
        <w:rPr>
          <w:spacing w:val="-9"/>
        </w:rPr>
        <w:t> </w:t>
      </w:r>
      <w:r>
        <w:rPr/>
        <w:t>puede</w:t>
      </w:r>
      <w:r>
        <w:rPr>
          <w:spacing w:val="-9"/>
        </w:rPr>
        <w:t> </w:t>
      </w:r>
      <w:r>
        <w:rPr/>
        <w:t>contribuir</w:t>
      </w:r>
      <w:r>
        <w:rPr>
          <w:spacing w:val="-11"/>
        </w:rPr>
        <w:t> </w:t>
      </w:r>
      <w:r>
        <w:rPr/>
        <w:t>a</w:t>
      </w:r>
      <w:r>
        <w:rPr>
          <w:spacing w:val="-9"/>
        </w:rPr>
        <w:t> </w:t>
      </w:r>
      <w:r>
        <w:rPr/>
        <w:t>prevenir riesgos, otorgando así certidumbre a la toma de</w:t>
      </w:r>
      <w:r>
        <w:rPr>
          <w:spacing w:val="-26"/>
        </w:rPr>
        <w:t> </w:t>
      </w:r>
      <w:r>
        <w:rPr/>
        <w:t>decisiones.</w:t>
      </w:r>
    </w:p>
    <w:p>
      <w:pPr>
        <w:pStyle w:val="BodyText"/>
        <w:spacing w:before="10"/>
      </w:pPr>
    </w:p>
    <w:p>
      <w:pPr>
        <w:pStyle w:val="BodyText"/>
        <w:spacing w:line="360" w:lineRule="auto"/>
        <w:ind w:left="102" w:right="116"/>
        <w:jc w:val="both"/>
      </w:pPr>
      <w:r>
        <w:rPr/>
        <w:t>Por medio del </w:t>
      </w:r>
      <w:r>
        <w:rPr>
          <w:b/>
        </w:rPr>
        <w:t>“Cuestionario de Control Interno Municipal”, </w:t>
      </w:r>
      <w:r>
        <w:rPr/>
        <w:t>instrumento diseñado</w:t>
      </w:r>
      <w:r>
        <w:rPr>
          <w:spacing w:val="-14"/>
        </w:rPr>
        <w:t> </w:t>
      </w:r>
      <w:r>
        <w:rPr/>
        <w:t>por</w:t>
      </w:r>
      <w:r>
        <w:rPr>
          <w:spacing w:val="-13"/>
        </w:rPr>
        <w:t> </w:t>
      </w:r>
      <w:r>
        <w:rPr/>
        <w:t>la</w:t>
      </w:r>
      <w:r>
        <w:rPr>
          <w:spacing w:val="-14"/>
        </w:rPr>
        <w:t> </w:t>
      </w:r>
      <w:r>
        <w:rPr/>
        <w:t>Auditoría</w:t>
      </w:r>
      <w:r>
        <w:rPr>
          <w:spacing w:val="-12"/>
        </w:rPr>
        <w:t> </w:t>
      </w:r>
      <w:r>
        <w:rPr/>
        <w:t>Superior</w:t>
      </w:r>
      <w:r>
        <w:rPr>
          <w:spacing w:val="-13"/>
        </w:rPr>
        <w:t> </w:t>
      </w:r>
      <w:r>
        <w:rPr/>
        <w:t>de</w:t>
      </w:r>
      <w:r>
        <w:rPr>
          <w:spacing w:val="-12"/>
        </w:rPr>
        <w:t> </w:t>
      </w:r>
      <w:r>
        <w:rPr/>
        <w:t>la</w:t>
      </w:r>
      <w:r>
        <w:rPr>
          <w:spacing w:val="-12"/>
        </w:rPr>
        <w:t> </w:t>
      </w:r>
      <w:r>
        <w:rPr/>
        <w:t>Federación,</w:t>
      </w:r>
      <w:r>
        <w:rPr>
          <w:spacing w:val="-14"/>
        </w:rPr>
        <w:t> </w:t>
      </w:r>
      <w:r>
        <w:rPr/>
        <w:t>bajo</w:t>
      </w:r>
      <w:r>
        <w:rPr>
          <w:spacing w:val="-12"/>
        </w:rPr>
        <w:t> </w:t>
      </w:r>
      <w:r>
        <w:rPr/>
        <w:t>la</w:t>
      </w:r>
      <w:r>
        <w:rPr>
          <w:spacing w:val="-12"/>
        </w:rPr>
        <w:t> </w:t>
      </w:r>
      <w:r>
        <w:rPr/>
        <w:t>metodología</w:t>
      </w:r>
      <w:r>
        <w:rPr>
          <w:spacing w:val="-12"/>
        </w:rPr>
        <w:t> </w:t>
      </w:r>
      <w:r>
        <w:rPr/>
        <w:t>del</w:t>
      </w:r>
      <w:r>
        <w:rPr>
          <w:spacing w:val="-13"/>
        </w:rPr>
        <w:t> </w:t>
      </w:r>
      <w:r>
        <w:rPr/>
        <w:t>Control Interno basado en COSO </w:t>
      </w:r>
      <w:r>
        <w:rPr>
          <w:spacing w:val="-5"/>
        </w:rPr>
        <w:t>(Comité́ </w:t>
      </w:r>
      <w:r>
        <w:rPr/>
        <w:t>de Organizaciones Patrocinadoras), por sus siglas en inglés, creado en Estados Unidos en el año 1985, éste proporciona información</w:t>
      </w:r>
      <w:r>
        <w:rPr>
          <w:spacing w:val="-8"/>
        </w:rPr>
        <w:t> </w:t>
      </w:r>
      <w:r>
        <w:rPr/>
        <w:t>acerca</w:t>
      </w:r>
      <w:r>
        <w:rPr>
          <w:spacing w:val="-9"/>
        </w:rPr>
        <w:t> </w:t>
      </w:r>
      <w:r>
        <w:rPr/>
        <w:t>de</w:t>
      </w:r>
      <w:r>
        <w:rPr>
          <w:spacing w:val="-6"/>
        </w:rPr>
        <w:t> </w:t>
      </w:r>
      <w:r>
        <w:rPr/>
        <w:t>cómo</w:t>
      </w:r>
      <w:r>
        <w:rPr>
          <w:spacing w:val="-8"/>
        </w:rPr>
        <w:t> </w:t>
      </w:r>
      <w:r>
        <w:rPr/>
        <w:t>es</w:t>
      </w:r>
      <w:r>
        <w:rPr>
          <w:spacing w:val="-9"/>
        </w:rPr>
        <w:t> </w:t>
      </w:r>
      <w:r>
        <w:rPr/>
        <w:t>que</w:t>
      </w:r>
      <w:r>
        <w:rPr>
          <w:spacing w:val="-8"/>
        </w:rPr>
        <w:t> </w:t>
      </w:r>
      <w:r>
        <w:rPr/>
        <w:t>los</w:t>
      </w:r>
      <w:r>
        <w:rPr>
          <w:spacing w:val="-9"/>
        </w:rPr>
        <w:t> </w:t>
      </w:r>
      <w:r>
        <w:rPr/>
        <w:t>municipios</w:t>
      </w:r>
      <w:r>
        <w:rPr>
          <w:spacing w:val="-7"/>
        </w:rPr>
        <w:t> </w:t>
      </w:r>
      <w:r>
        <w:rPr/>
        <w:t>a</w:t>
      </w:r>
      <w:r>
        <w:rPr>
          <w:spacing w:val="-8"/>
        </w:rPr>
        <w:t> </w:t>
      </w:r>
      <w:r>
        <w:rPr/>
        <w:t>nivel</w:t>
      </w:r>
      <w:r>
        <w:rPr>
          <w:spacing w:val="-7"/>
        </w:rPr>
        <w:t> </w:t>
      </w:r>
      <w:r>
        <w:rPr/>
        <w:t>interno</w:t>
      </w:r>
      <w:r>
        <w:rPr>
          <w:spacing w:val="-8"/>
        </w:rPr>
        <w:t> </w:t>
      </w:r>
      <w:r>
        <w:rPr/>
        <w:t>operan</w:t>
      </w:r>
      <w:r>
        <w:rPr>
          <w:spacing w:val="-6"/>
        </w:rPr>
        <w:t> </w:t>
      </w:r>
      <w:r>
        <w:rPr/>
        <w:t>los</w:t>
      </w:r>
      <w:r>
        <w:rPr>
          <w:spacing w:val="-9"/>
        </w:rPr>
        <w:t> </w:t>
      </w:r>
      <w:r>
        <w:rPr/>
        <w:t>fondos federales para lograr mayor eficiencia y eficacia en</w:t>
      </w:r>
      <w:r>
        <w:rPr>
          <w:spacing w:val="-16"/>
        </w:rPr>
        <w:t> </w:t>
      </w:r>
      <w:r>
        <w:rPr/>
        <w:t>ellos.</w:t>
      </w:r>
    </w:p>
    <w:p>
      <w:pPr>
        <w:pStyle w:val="BodyText"/>
        <w:spacing w:before="7"/>
      </w:pPr>
    </w:p>
    <w:p>
      <w:pPr>
        <w:pStyle w:val="BodyText"/>
        <w:spacing w:line="360" w:lineRule="auto"/>
        <w:ind w:left="102" w:right="119"/>
        <w:jc w:val="both"/>
      </w:pPr>
      <w:r>
        <w:rPr/>
        <w:t>El cuestionario de Control Interno se estructura a base de 5 componentes que son: Ambiente de control, Identificación de Riesgos, Actividades de control, Información y Comunicación, y Supervisión.</w:t>
      </w:r>
    </w:p>
    <w:p>
      <w:pPr>
        <w:pStyle w:val="BodyText"/>
        <w:spacing w:before="7"/>
      </w:pPr>
    </w:p>
    <w:p>
      <w:pPr>
        <w:pStyle w:val="BodyText"/>
        <w:spacing w:line="360" w:lineRule="auto"/>
        <w:ind w:left="102" w:right="116"/>
        <w:jc w:val="both"/>
      </w:pPr>
      <w:r>
        <w:rPr/>
        <w:t>Cada componente tiene como objetivo evaluar cada mecanismo y procedimiento interno, que se instrumenta en el manejo de los fondos federales y no sólo para eso, sino que también aplica en los casos de recursos públicos en general. Pues bien, en el siguiente cuadro se identifican que evalúa cada componente.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2"/>
        <w:spacing w:before="156"/>
        <w:ind w:left="1018"/>
        <w:jc w:val="left"/>
      </w:pPr>
      <w:r>
        <w:rPr/>
        <w:t>Cuadro 10. Componentes del Cuestionario de Control Interno</w:t>
      </w:r>
    </w:p>
    <w:p>
      <w:pPr>
        <w:pStyle w:val="BodyText"/>
        <w:rPr>
          <w:b/>
          <w:sz w:val="20"/>
        </w:rPr>
      </w:pPr>
    </w:p>
    <w:p>
      <w:pPr>
        <w:pStyle w:val="BodyText"/>
        <w:spacing w:before="5"/>
        <w:rPr>
          <w:b/>
          <w:sz w:val="17"/>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1"/>
        <w:gridCol w:w="1774"/>
        <w:gridCol w:w="1835"/>
        <w:gridCol w:w="1589"/>
        <w:gridCol w:w="1500"/>
      </w:tblGrid>
      <w:tr>
        <w:trPr>
          <w:trHeight w:val="443" w:hRule="exact"/>
        </w:trPr>
        <w:tc>
          <w:tcPr>
            <w:tcW w:w="2121" w:type="dxa"/>
            <w:shd w:val="clear" w:color="auto" w:fill="000000"/>
          </w:tcPr>
          <w:p>
            <w:pPr>
              <w:pStyle w:val="TableParagraph"/>
              <w:spacing w:before="5"/>
              <w:ind w:left="743" w:right="515" w:hanging="238"/>
              <w:rPr>
                <w:b/>
                <w:sz w:val="18"/>
              </w:rPr>
            </w:pPr>
            <w:r>
              <w:rPr>
                <w:b/>
                <w:color w:val="FFFFFF"/>
                <w:sz w:val="18"/>
              </w:rPr>
              <w:t>Ambiente de control</w:t>
            </w:r>
          </w:p>
        </w:tc>
        <w:tc>
          <w:tcPr>
            <w:tcW w:w="1774" w:type="dxa"/>
            <w:shd w:val="clear" w:color="auto" w:fill="000000"/>
          </w:tcPr>
          <w:p>
            <w:pPr>
              <w:pStyle w:val="TableParagraph"/>
              <w:spacing w:before="5"/>
              <w:ind w:left="491" w:right="202" w:hanging="360"/>
              <w:rPr>
                <w:b/>
                <w:sz w:val="18"/>
              </w:rPr>
            </w:pPr>
            <w:r>
              <w:rPr>
                <w:b/>
                <w:color w:val="FFFFFF"/>
                <w:sz w:val="18"/>
              </w:rPr>
              <w:t>Identificación de Riesgos</w:t>
            </w:r>
          </w:p>
        </w:tc>
        <w:tc>
          <w:tcPr>
            <w:tcW w:w="1835" w:type="dxa"/>
            <w:shd w:val="clear" w:color="auto" w:fill="000000"/>
          </w:tcPr>
          <w:p>
            <w:pPr>
              <w:pStyle w:val="TableParagraph"/>
              <w:spacing w:before="5"/>
              <w:ind w:left="553" w:right="323" w:hanging="332"/>
              <w:rPr>
                <w:b/>
                <w:sz w:val="18"/>
              </w:rPr>
            </w:pPr>
            <w:r>
              <w:rPr>
                <w:b/>
                <w:color w:val="FFFFFF"/>
                <w:sz w:val="18"/>
              </w:rPr>
              <w:t>Actividades de control</w:t>
            </w:r>
          </w:p>
        </w:tc>
        <w:tc>
          <w:tcPr>
            <w:tcW w:w="1589" w:type="dxa"/>
            <w:shd w:val="clear" w:color="auto" w:fill="000000"/>
          </w:tcPr>
          <w:p>
            <w:pPr>
              <w:pStyle w:val="TableParagraph"/>
              <w:spacing w:before="5"/>
              <w:ind w:left="163" w:right="196" w:firstLine="14"/>
              <w:rPr>
                <w:b/>
                <w:sz w:val="18"/>
              </w:rPr>
            </w:pPr>
            <w:r>
              <w:rPr>
                <w:b/>
                <w:color w:val="FFFFFF"/>
                <w:sz w:val="18"/>
              </w:rPr>
              <w:t>Información y comunicación</w:t>
            </w:r>
          </w:p>
        </w:tc>
        <w:tc>
          <w:tcPr>
            <w:tcW w:w="1500" w:type="dxa"/>
            <w:shd w:val="clear" w:color="auto" w:fill="000000"/>
          </w:tcPr>
          <w:p>
            <w:pPr>
              <w:pStyle w:val="TableParagraph"/>
              <w:spacing w:before="5"/>
              <w:ind w:left="235"/>
              <w:rPr>
                <w:b/>
                <w:sz w:val="18"/>
              </w:rPr>
            </w:pPr>
            <w:r>
              <w:rPr>
                <w:b/>
                <w:color w:val="FFFFFF"/>
                <w:sz w:val="18"/>
              </w:rPr>
              <w:t>Supervisión</w:t>
            </w:r>
          </w:p>
        </w:tc>
      </w:tr>
      <w:tr>
        <w:trPr>
          <w:trHeight w:val="1886" w:hRule="exact"/>
        </w:trPr>
        <w:tc>
          <w:tcPr>
            <w:tcW w:w="2121" w:type="dxa"/>
            <w:tcBorders>
              <w:left w:val="single" w:sz="8" w:space="0" w:color="000000"/>
              <w:bottom w:val="single" w:sz="8" w:space="0" w:color="000000"/>
            </w:tcBorders>
          </w:tcPr>
          <w:p>
            <w:pPr>
              <w:pStyle w:val="TableParagraph"/>
              <w:spacing w:line="204" w:lineRule="exact" w:before="7"/>
              <w:ind w:left="458" w:right="532"/>
              <w:rPr>
                <w:sz w:val="18"/>
              </w:rPr>
            </w:pPr>
            <w:r>
              <w:rPr>
                <w:sz w:val="18"/>
              </w:rPr>
              <w:t>Integridad y valores éticos</w:t>
            </w:r>
          </w:p>
          <w:p>
            <w:pPr>
              <w:pStyle w:val="TableParagraph"/>
              <w:spacing w:before="9"/>
              <w:rPr>
                <w:b/>
                <w:sz w:val="24"/>
              </w:rPr>
            </w:pPr>
          </w:p>
          <w:p>
            <w:pPr>
              <w:pStyle w:val="TableParagraph"/>
              <w:spacing w:line="204" w:lineRule="exact"/>
              <w:ind w:left="458" w:right="472"/>
              <w:rPr>
                <w:sz w:val="18"/>
              </w:rPr>
            </w:pPr>
            <w:r>
              <w:rPr>
                <w:sz w:val="18"/>
              </w:rPr>
              <w:t>Estructura organizacional</w:t>
            </w:r>
          </w:p>
          <w:p>
            <w:pPr>
              <w:pStyle w:val="TableParagraph"/>
              <w:spacing w:before="3"/>
              <w:rPr>
                <w:b/>
                <w:sz w:val="24"/>
              </w:rPr>
            </w:pPr>
          </w:p>
          <w:p>
            <w:pPr>
              <w:pStyle w:val="TableParagraph"/>
              <w:spacing w:before="1"/>
              <w:ind w:left="458"/>
              <w:rPr>
                <w:sz w:val="18"/>
              </w:rPr>
            </w:pPr>
            <w:r>
              <w:rPr>
                <w:sz w:val="18"/>
              </w:rPr>
              <w:t>Autoridad y </w:t>
            </w:r>
            <w:r>
              <w:rPr>
                <w:w w:val="95"/>
                <w:sz w:val="18"/>
              </w:rPr>
              <w:t>Responsabilidades</w:t>
            </w:r>
          </w:p>
        </w:tc>
        <w:tc>
          <w:tcPr>
            <w:tcW w:w="1774" w:type="dxa"/>
            <w:tcBorders>
              <w:bottom w:val="single" w:sz="8" w:space="0" w:color="000000"/>
            </w:tcBorders>
          </w:tcPr>
          <w:p>
            <w:pPr>
              <w:pStyle w:val="TableParagraph"/>
              <w:spacing w:line="204" w:lineRule="exact" w:before="7"/>
              <w:ind w:left="445" w:right="208"/>
              <w:rPr>
                <w:sz w:val="18"/>
              </w:rPr>
            </w:pPr>
            <w:r>
              <w:rPr>
                <w:sz w:val="18"/>
              </w:rPr>
              <w:t>Cumplimiento de objetivos</w:t>
            </w:r>
          </w:p>
          <w:p>
            <w:pPr>
              <w:pStyle w:val="TableParagraph"/>
              <w:spacing w:before="9"/>
              <w:rPr>
                <w:b/>
                <w:sz w:val="24"/>
              </w:rPr>
            </w:pPr>
          </w:p>
          <w:p>
            <w:pPr>
              <w:pStyle w:val="TableParagraph"/>
              <w:spacing w:line="204" w:lineRule="exact"/>
              <w:ind w:left="445" w:right="208"/>
              <w:rPr>
                <w:sz w:val="18"/>
              </w:rPr>
            </w:pPr>
            <w:r>
              <w:rPr>
                <w:sz w:val="18"/>
              </w:rPr>
              <w:t>Transferencia de recursos</w:t>
            </w:r>
          </w:p>
          <w:p>
            <w:pPr>
              <w:pStyle w:val="TableParagraph"/>
              <w:spacing w:before="3"/>
              <w:rPr>
                <w:b/>
                <w:sz w:val="24"/>
              </w:rPr>
            </w:pPr>
          </w:p>
          <w:p>
            <w:pPr>
              <w:pStyle w:val="TableParagraph"/>
              <w:spacing w:before="1"/>
              <w:ind w:left="445" w:right="208"/>
              <w:rPr>
                <w:sz w:val="18"/>
              </w:rPr>
            </w:pPr>
            <w:r>
              <w:rPr>
                <w:sz w:val="18"/>
              </w:rPr>
              <w:t>Cumplimiento normativo</w:t>
            </w:r>
          </w:p>
        </w:tc>
        <w:tc>
          <w:tcPr>
            <w:tcW w:w="1835" w:type="dxa"/>
            <w:tcBorders>
              <w:bottom w:val="single" w:sz="8" w:space="0" w:color="000000"/>
            </w:tcBorders>
          </w:tcPr>
          <w:p>
            <w:pPr>
              <w:pStyle w:val="TableParagraph"/>
              <w:spacing w:line="204" w:lineRule="exact" w:before="7"/>
              <w:ind w:left="401" w:right="143"/>
              <w:rPr>
                <w:sz w:val="18"/>
              </w:rPr>
            </w:pPr>
            <w:r>
              <w:rPr>
                <w:sz w:val="18"/>
              </w:rPr>
              <w:t>Implementación de políticas</w:t>
            </w:r>
          </w:p>
          <w:p>
            <w:pPr>
              <w:pStyle w:val="TableParagraph"/>
              <w:spacing w:before="9"/>
              <w:rPr>
                <w:b/>
                <w:sz w:val="24"/>
              </w:rPr>
            </w:pPr>
          </w:p>
          <w:p>
            <w:pPr>
              <w:pStyle w:val="TableParagraph"/>
              <w:spacing w:line="204" w:lineRule="exact"/>
              <w:ind w:left="401" w:right="323"/>
              <w:rPr>
                <w:sz w:val="18"/>
              </w:rPr>
            </w:pPr>
            <w:r>
              <w:rPr>
                <w:sz w:val="18"/>
              </w:rPr>
              <w:t>Participación social</w:t>
            </w:r>
          </w:p>
          <w:p>
            <w:pPr>
              <w:pStyle w:val="TableParagraph"/>
              <w:spacing w:before="1"/>
              <w:rPr>
                <w:b/>
                <w:sz w:val="24"/>
              </w:rPr>
            </w:pPr>
          </w:p>
          <w:p>
            <w:pPr>
              <w:pStyle w:val="TableParagraph"/>
              <w:ind w:left="401" w:right="143"/>
              <w:rPr>
                <w:sz w:val="18"/>
              </w:rPr>
            </w:pPr>
            <w:r>
              <w:rPr>
                <w:sz w:val="18"/>
              </w:rPr>
              <w:t>Transparencia</w:t>
            </w:r>
          </w:p>
        </w:tc>
        <w:tc>
          <w:tcPr>
            <w:tcW w:w="1589" w:type="dxa"/>
            <w:tcBorders>
              <w:bottom w:val="single" w:sz="8" w:space="0" w:color="000000"/>
            </w:tcBorders>
          </w:tcPr>
          <w:p>
            <w:pPr>
              <w:pStyle w:val="TableParagraph"/>
              <w:tabs>
                <w:tab w:pos="1280" w:val="left" w:leader="none"/>
              </w:tabs>
              <w:spacing w:line="204" w:lineRule="exact" w:before="7"/>
              <w:ind w:left="415" w:right="105"/>
              <w:rPr>
                <w:sz w:val="18"/>
              </w:rPr>
            </w:pPr>
            <w:r>
              <w:rPr>
                <w:sz w:val="18"/>
              </w:rPr>
              <w:t>Calidad</w:t>
              <w:tab/>
              <w:t>de información</w:t>
            </w:r>
          </w:p>
          <w:p>
            <w:pPr>
              <w:pStyle w:val="TableParagraph"/>
              <w:spacing w:before="4"/>
              <w:rPr>
                <w:b/>
                <w:sz w:val="24"/>
              </w:rPr>
            </w:pPr>
          </w:p>
          <w:p>
            <w:pPr>
              <w:pStyle w:val="TableParagraph"/>
              <w:tabs>
                <w:tab w:pos="1390" w:val="left" w:leader="none"/>
              </w:tabs>
              <w:ind w:left="415" w:right="106"/>
              <w:rPr>
                <w:sz w:val="18"/>
              </w:rPr>
            </w:pPr>
            <w:r>
              <w:rPr>
                <w:sz w:val="18"/>
              </w:rPr>
              <w:t>Difusión</w:t>
              <w:tab/>
              <w:t>y circulación de información</w:t>
            </w:r>
          </w:p>
        </w:tc>
        <w:tc>
          <w:tcPr>
            <w:tcW w:w="1500" w:type="dxa"/>
            <w:tcBorders>
              <w:bottom w:val="single" w:sz="8" w:space="0" w:color="000000"/>
              <w:right w:val="single" w:sz="8" w:space="0" w:color="000000"/>
            </w:tcBorders>
          </w:tcPr>
          <w:p>
            <w:pPr>
              <w:pStyle w:val="TableParagraph"/>
              <w:tabs>
                <w:tab w:pos="1194" w:val="left" w:leader="none"/>
              </w:tabs>
              <w:spacing w:before="1"/>
              <w:ind w:left="107" w:right="95"/>
              <w:rPr>
                <w:sz w:val="18"/>
              </w:rPr>
            </w:pPr>
            <w:r>
              <w:rPr>
                <w:sz w:val="18"/>
              </w:rPr>
              <w:t>Diseño</w:t>
              <w:tab/>
              <w:t>de</w:t>
            </w:r>
            <w:r>
              <w:rPr>
                <w:w w:val="99"/>
                <w:sz w:val="18"/>
              </w:rPr>
              <w:t> </w:t>
            </w:r>
            <w:r>
              <w:rPr>
                <w:sz w:val="18"/>
              </w:rPr>
              <w:t>control</w:t>
            </w:r>
            <w:r>
              <w:rPr>
                <w:spacing w:val="-6"/>
                <w:sz w:val="18"/>
              </w:rPr>
              <w:t> </w:t>
            </w:r>
            <w:r>
              <w:rPr>
                <w:sz w:val="18"/>
              </w:rPr>
              <w:t>interno</w:t>
            </w:r>
          </w:p>
        </w:tc>
      </w:tr>
    </w:tbl>
    <w:p>
      <w:pPr>
        <w:spacing w:after="0"/>
        <w:rPr>
          <w:sz w:val="18"/>
        </w:rPr>
        <w:sectPr>
          <w:pgSz w:w="12240" w:h="15840"/>
          <w:pgMar w:header="0" w:footer="992" w:top="1360" w:bottom="1180" w:left="1600" w:right="1580"/>
        </w:sectPr>
      </w:pPr>
    </w:p>
    <w:p>
      <w:pPr>
        <w:spacing w:line="240" w:lineRule="auto"/>
        <w:ind w:left="101" w:right="0" w:firstLine="0"/>
        <w:rPr>
          <w:sz w:val="20"/>
        </w:rPr>
      </w:pPr>
      <w:r>
        <w:rPr>
          <w:rFonts w:ascii="Times New Roman"/>
          <w:spacing w:val="-49"/>
          <w:sz w:val="20"/>
        </w:rPr>
        <w:t> </w:t>
      </w:r>
      <w:r>
        <w:rPr>
          <w:spacing w:val="-49"/>
          <w:sz w:val="20"/>
        </w:rPr>
        <w:pict>
          <v:shape style="width:441pt;height:21.9pt;mso-position-horizontal-relative:char;mso-position-vertical-relative:line" type="#_x0000_t202" filled="false" stroked="true" strokeweight=".95996pt" strokecolor="#000000">
            <w10:anchorlock/>
            <v:textbox inset="0,0,0,0">
              <w:txbxContent>
                <w:p>
                  <w:pPr>
                    <w:tabs>
                      <w:tab w:pos="5358" w:val="left" w:leader="none"/>
                    </w:tabs>
                    <w:spacing w:before="1"/>
                    <w:ind w:left="4286" w:right="3238" w:firstLine="0"/>
                    <w:jc w:val="left"/>
                    <w:rPr>
                      <w:sz w:val="18"/>
                    </w:rPr>
                  </w:pPr>
                  <w:r>
                    <w:rPr>
                      <w:sz w:val="18"/>
                    </w:rPr>
                    <w:t>Tolerancia</w:t>
                    <w:tab/>
                    <w:t>de riesgos</w:t>
                  </w:r>
                </w:p>
              </w:txbxContent>
            </v:textbox>
          </v:shape>
        </w:pict>
      </w:r>
      <w:r>
        <w:rPr>
          <w:spacing w:val="-49"/>
          <w:sz w:val="20"/>
        </w:rPr>
      </w:r>
    </w:p>
    <w:p>
      <w:pPr>
        <w:spacing w:line="196" w:lineRule="exact" w:before="0"/>
        <w:ind w:left="102" w:right="0" w:firstLine="0"/>
        <w:jc w:val="both"/>
        <w:rPr>
          <w:sz w:val="20"/>
        </w:rPr>
      </w:pPr>
      <w:r>
        <w:rPr>
          <w:b/>
          <w:sz w:val="20"/>
        </w:rPr>
        <w:t>Fuente</w:t>
      </w:r>
      <w:r>
        <w:rPr>
          <w:sz w:val="20"/>
        </w:rPr>
        <w:t>: Elaboración propia con base en la Auditoría Superior de la Federación cuenta pública</w:t>
      </w:r>
    </w:p>
    <w:p>
      <w:pPr>
        <w:spacing w:before="0"/>
        <w:ind w:left="102" w:right="0" w:firstLine="0"/>
        <w:jc w:val="both"/>
        <w:rPr>
          <w:sz w:val="20"/>
        </w:rPr>
      </w:pPr>
      <w:r>
        <w:rPr>
          <w:sz w:val="20"/>
        </w:rPr>
        <w:t>(2014).</w:t>
      </w:r>
    </w:p>
    <w:p>
      <w:pPr>
        <w:pStyle w:val="BodyText"/>
        <w:rPr>
          <w:sz w:val="20"/>
        </w:rPr>
      </w:pPr>
    </w:p>
    <w:p>
      <w:pPr>
        <w:pStyle w:val="BodyText"/>
        <w:spacing w:before="6"/>
      </w:pPr>
    </w:p>
    <w:p>
      <w:pPr>
        <w:pStyle w:val="BodyText"/>
        <w:spacing w:line="360" w:lineRule="auto"/>
        <w:ind w:left="102" w:right="118"/>
        <w:jc w:val="both"/>
      </w:pPr>
      <w:r>
        <w:rPr/>
        <w:t>En el cuadro 10 y con la finalidad de analizar la calidad y la suficiencia de la capacidad</w:t>
      </w:r>
      <w:r>
        <w:rPr>
          <w:spacing w:val="-12"/>
        </w:rPr>
        <w:t> </w:t>
      </w:r>
      <w:r>
        <w:rPr/>
        <w:t>institucional</w:t>
      </w:r>
      <w:r>
        <w:rPr>
          <w:spacing w:val="-15"/>
        </w:rPr>
        <w:t> </w:t>
      </w:r>
      <w:r>
        <w:rPr/>
        <w:t>de</w:t>
      </w:r>
      <w:r>
        <w:rPr>
          <w:spacing w:val="-14"/>
        </w:rPr>
        <w:t> </w:t>
      </w:r>
      <w:r>
        <w:rPr/>
        <w:t>los</w:t>
      </w:r>
      <w:r>
        <w:rPr>
          <w:spacing w:val="-12"/>
        </w:rPr>
        <w:t> </w:t>
      </w:r>
      <w:r>
        <w:rPr/>
        <w:t>gobiernos</w:t>
      </w:r>
      <w:r>
        <w:rPr>
          <w:spacing w:val="-15"/>
        </w:rPr>
        <w:t> </w:t>
      </w:r>
      <w:r>
        <w:rPr/>
        <w:t>municipales</w:t>
      </w:r>
      <w:r>
        <w:rPr>
          <w:spacing w:val="-12"/>
        </w:rPr>
        <w:t> </w:t>
      </w:r>
      <w:r>
        <w:rPr/>
        <w:t>para</w:t>
      </w:r>
      <w:r>
        <w:rPr>
          <w:spacing w:val="-12"/>
        </w:rPr>
        <w:t> </w:t>
      </w:r>
      <w:r>
        <w:rPr/>
        <w:t>realizar</w:t>
      </w:r>
      <w:r>
        <w:rPr>
          <w:spacing w:val="-13"/>
        </w:rPr>
        <w:t> </w:t>
      </w:r>
      <w:r>
        <w:rPr/>
        <w:t>la</w:t>
      </w:r>
      <w:r>
        <w:rPr>
          <w:spacing w:val="-12"/>
        </w:rPr>
        <w:t> </w:t>
      </w:r>
      <w:r>
        <w:rPr/>
        <w:t>operatividad</w:t>
      </w:r>
      <w:r>
        <w:rPr>
          <w:spacing w:val="-14"/>
        </w:rPr>
        <w:t> </w:t>
      </w:r>
      <w:r>
        <w:rPr/>
        <w:t>de las transferencias federales, </w:t>
      </w:r>
      <w:r>
        <w:rPr>
          <w:u w:val="single"/>
        </w:rPr>
        <w:t>con el propósito de emitir una opinión sobre la existencia y suficiencia de los controles internos </w:t>
      </w:r>
      <w:r>
        <w:rPr/>
        <w:t>se revisaron los Informes de resultados de la Fiscalización Superior de las cuentas públicas de</w:t>
      </w:r>
      <w:r>
        <w:rPr>
          <w:spacing w:val="-26"/>
        </w:rPr>
        <w:t> </w:t>
      </w:r>
      <w:r>
        <w:rPr/>
        <w:t>2008-2014.</w:t>
      </w:r>
    </w:p>
    <w:p>
      <w:pPr>
        <w:pStyle w:val="BodyText"/>
        <w:spacing w:before="8"/>
      </w:pPr>
    </w:p>
    <w:p>
      <w:pPr>
        <w:pStyle w:val="BodyText"/>
        <w:spacing w:line="360" w:lineRule="auto"/>
        <w:ind w:left="102" w:right="115"/>
        <w:jc w:val="both"/>
      </w:pPr>
      <w:r>
        <w:rPr/>
        <w:t>La Auditoría Superior de la Federación realizó la revisión de las cuentas públicas de</w:t>
      </w:r>
      <w:r>
        <w:rPr>
          <w:spacing w:val="-8"/>
        </w:rPr>
        <w:t> </w:t>
      </w:r>
      <w:r>
        <w:rPr/>
        <w:t>35</w:t>
      </w:r>
      <w:r>
        <w:rPr>
          <w:spacing w:val="-8"/>
        </w:rPr>
        <w:t> </w:t>
      </w:r>
      <w:r>
        <w:rPr/>
        <w:t>Municipios</w:t>
      </w:r>
      <w:r>
        <w:rPr>
          <w:spacing w:val="-9"/>
        </w:rPr>
        <w:t> </w:t>
      </w:r>
      <w:r>
        <w:rPr/>
        <w:t>en</w:t>
      </w:r>
      <w:r>
        <w:rPr>
          <w:spacing w:val="-8"/>
        </w:rPr>
        <w:t> </w:t>
      </w:r>
      <w:r>
        <w:rPr/>
        <w:t>el</w:t>
      </w:r>
      <w:r>
        <w:rPr>
          <w:spacing w:val="-12"/>
        </w:rPr>
        <w:t> </w:t>
      </w:r>
      <w:r>
        <w:rPr/>
        <w:t>transcurso</w:t>
      </w:r>
      <w:r>
        <w:rPr>
          <w:spacing w:val="-9"/>
        </w:rPr>
        <w:t> </w:t>
      </w:r>
      <w:r>
        <w:rPr/>
        <w:t>del</w:t>
      </w:r>
      <w:r>
        <w:rPr>
          <w:spacing w:val="-10"/>
        </w:rPr>
        <w:t> </w:t>
      </w:r>
      <w:r>
        <w:rPr/>
        <w:t>periodo</w:t>
      </w:r>
      <w:r>
        <w:rPr>
          <w:spacing w:val="-8"/>
        </w:rPr>
        <w:t> </w:t>
      </w:r>
      <w:r>
        <w:rPr/>
        <w:t>ya</w:t>
      </w:r>
      <w:r>
        <w:rPr>
          <w:spacing w:val="-8"/>
        </w:rPr>
        <w:t> </w:t>
      </w:r>
      <w:r>
        <w:rPr/>
        <w:t>citado</w:t>
      </w:r>
      <w:r>
        <w:rPr>
          <w:spacing w:val="-8"/>
        </w:rPr>
        <w:t> </w:t>
      </w:r>
      <w:r>
        <w:rPr/>
        <w:t>respecto</w:t>
      </w:r>
      <w:r>
        <w:rPr>
          <w:spacing w:val="-8"/>
        </w:rPr>
        <w:t> </w:t>
      </w:r>
      <w:r>
        <w:rPr/>
        <w:t>a</w:t>
      </w:r>
      <w:r>
        <w:rPr>
          <w:spacing w:val="-8"/>
        </w:rPr>
        <w:t> </w:t>
      </w:r>
      <w:r>
        <w:rPr/>
        <w:t>los</w:t>
      </w:r>
      <w:r>
        <w:rPr>
          <w:spacing w:val="-9"/>
        </w:rPr>
        <w:t> </w:t>
      </w:r>
      <w:r>
        <w:rPr/>
        <w:t>fondos</w:t>
      </w:r>
      <w:r>
        <w:rPr>
          <w:spacing w:val="-9"/>
        </w:rPr>
        <w:t> </w:t>
      </w:r>
      <w:r>
        <w:rPr/>
        <w:t>objeto del estudio, que fueron: Acambay, Almoloya de Alquisiras, Almoloya de Juárez, Atizapán de Zaragoza, Atlacomulco, Chalco, Chimalhuacán, Cuautitlán Izcalli, Ecatepec de Morelos, Huehuetoca, Huixquilucan, Ixtapaluca, Ixtlahuaca, Jilotepec, Jiquipilco,</w:t>
      </w:r>
      <w:r>
        <w:rPr>
          <w:spacing w:val="-5"/>
        </w:rPr>
        <w:t> </w:t>
      </w:r>
      <w:r>
        <w:rPr/>
        <w:t>La</w:t>
      </w:r>
      <w:r>
        <w:rPr>
          <w:spacing w:val="-5"/>
        </w:rPr>
        <w:t> </w:t>
      </w:r>
      <w:r>
        <w:rPr/>
        <w:t>Paz,</w:t>
      </w:r>
      <w:r>
        <w:rPr>
          <w:spacing w:val="-5"/>
        </w:rPr>
        <w:t> </w:t>
      </w:r>
      <w:r>
        <w:rPr/>
        <w:t>Luvianos,</w:t>
      </w:r>
      <w:r>
        <w:rPr>
          <w:spacing w:val="-7"/>
        </w:rPr>
        <w:t> </w:t>
      </w:r>
      <w:r>
        <w:rPr/>
        <w:t>Metepec,</w:t>
      </w:r>
      <w:r>
        <w:rPr>
          <w:spacing w:val="-5"/>
        </w:rPr>
        <w:t> </w:t>
      </w:r>
      <w:r>
        <w:rPr/>
        <w:t>Naucalpan</w:t>
      </w:r>
      <w:r>
        <w:rPr>
          <w:spacing w:val="-7"/>
        </w:rPr>
        <w:t> </w:t>
      </w:r>
      <w:r>
        <w:rPr/>
        <w:t>de</w:t>
      </w:r>
      <w:r>
        <w:rPr>
          <w:spacing w:val="-5"/>
        </w:rPr>
        <w:t> </w:t>
      </w:r>
      <w:r>
        <w:rPr/>
        <w:t>Juárez,</w:t>
      </w:r>
      <w:r>
        <w:rPr>
          <w:spacing w:val="-5"/>
        </w:rPr>
        <w:t> </w:t>
      </w:r>
      <w:r>
        <w:rPr/>
        <w:t>Nezahualcotl,</w:t>
      </w:r>
      <w:r>
        <w:rPr>
          <w:spacing w:val="-5"/>
        </w:rPr>
        <w:t> </w:t>
      </w:r>
      <w:r>
        <w:rPr/>
        <w:t>Nicolas Romero, San Felipe del Progreso, San Jose del Rincon, Sultepec, Tejupilco, Temascalcingo, Temascaltepec, Temoaya, Tlalnepantla de Baz, Toluca, Tultitlan, Valle de Chalco, Villa de Allende, Villa Victoria y</w:t>
      </w:r>
      <w:r>
        <w:rPr>
          <w:spacing w:val="-24"/>
        </w:rPr>
        <w:t> </w:t>
      </w:r>
      <w:r>
        <w:rPr/>
        <w:t>Zacualpan.</w:t>
      </w:r>
    </w:p>
    <w:p>
      <w:pPr>
        <w:pStyle w:val="BodyText"/>
        <w:spacing w:before="7"/>
      </w:pPr>
    </w:p>
    <w:p>
      <w:pPr>
        <w:pStyle w:val="BodyText"/>
        <w:spacing w:line="360" w:lineRule="auto"/>
        <w:ind w:left="102" w:right="123"/>
        <w:jc w:val="both"/>
      </w:pPr>
      <w:r>
        <w:rPr/>
        <w:t>En</w:t>
      </w:r>
      <w:r>
        <w:rPr>
          <w:spacing w:val="-9"/>
        </w:rPr>
        <w:t> </w:t>
      </w:r>
      <w:r>
        <w:rPr/>
        <w:t>los</w:t>
      </w:r>
      <w:r>
        <w:rPr>
          <w:spacing w:val="-11"/>
        </w:rPr>
        <w:t> </w:t>
      </w:r>
      <w:r>
        <w:rPr/>
        <w:t>cuadros</w:t>
      </w:r>
      <w:r>
        <w:rPr>
          <w:spacing w:val="-11"/>
        </w:rPr>
        <w:t> </w:t>
      </w:r>
      <w:r>
        <w:rPr/>
        <w:t>anexos</w:t>
      </w:r>
      <w:r>
        <w:rPr>
          <w:spacing w:val="-10"/>
        </w:rPr>
        <w:t> </w:t>
      </w:r>
      <w:r>
        <w:rPr/>
        <w:t>a</w:t>
      </w:r>
      <w:r>
        <w:rPr>
          <w:spacing w:val="-11"/>
        </w:rPr>
        <w:t> </w:t>
      </w:r>
      <w:r>
        <w:rPr/>
        <w:t>este</w:t>
      </w:r>
      <w:r>
        <w:rPr>
          <w:spacing w:val="-11"/>
        </w:rPr>
        <w:t> </w:t>
      </w:r>
      <w:r>
        <w:rPr/>
        <w:t>trabajo</w:t>
      </w:r>
      <w:r>
        <w:rPr>
          <w:spacing w:val="-10"/>
        </w:rPr>
        <w:t> </w:t>
      </w:r>
      <w:r>
        <w:rPr/>
        <w:t>se</w:t>
      </w:r>
      <w:r>
        <w:rPr>
          <w:spacing w:val="-9"/>
        </w:rPr>
        <w:t> </w:t>
      </w:r>
      <w:r>
        <w:rPr/>
        <w:t>identifican</w:t>
      </w:r>
      <w:r>
        <w:rPr>
          <w:spacing w:val="-11"/>
        </w:rPr>
        <w:t> </w:t>
      </w:r>
      <w:r>
        <w:rPr/>
        <w:t>por</w:t>
      </w:r>
      <w:r>
        <w:rPr>
          <w:spacing w:val="-12"/>
        </w:rPr>
        <w:t> </w:t>
      </w:r>
      <w:r>
        <w:rPr/>
        <w:t>municipio</w:t>
      </w:r>
      <w:r>
        <w:rPr>
          <w:spacing w:val="-10"/>
        </w:rPr>
        <w:t> </w:t>
      </w:r>
      <w:r>
        <w:rPr/>
        <w:t>auditado,</w:t>
      </w:r>
      <w:r>
        <w:rPr>
          <w:spacing w:val="-11"/>
        </w:rPr>
        <w:t> </w:t>
      </w:r>
      <w:r>
        <w:rPr/>
        <w:t>con</w:t>
      </w:r>
      <w:r>
        <w:rPr>
          <w:spacing w:val="-11"/>
        </w:rPr>
        <w:t> </w:t>
      </w:r>
      <w:r>
        <w:rPr/>
        <w:t>más detalle los resultados obtenidos por la ASF en cuanto a debilidades y fortalezas</w:t>
      </w:r>
      <w:r>
        <w:rPr>
          <w:spacing w:val="-40"/>
        </w:rPr>
        <w:t> </w:t>
      </w:r>
      <w:r>
        <w:rPr/>
        <w:t>del control interno en base a los componentes que lo</w:t>
      </w:r>
      <w:r>
        <w:rPr>
          <w:spacing w:val="-24"/>
        </w:rPr>
        <w:t> </w:t>
      </w:r>
      <w:r>
        <w:rPr/>
        <w:t>integran.</w:t>
      </w:r>
    </w:p>
    <w:p>
      <w:pPr>
        <w:pStyle w:val="BodyText"/>
        <w:spacing w:before="7"/>
      </w:pPr>
    </w:p>
    <w:p>
      <w:pPr>
        <w:pStyle w:val="BodyText"/>
        <w:spacing w:line="360" w:lineRule="auto"/>
        <w:ind w:left="102" w:right="124"/>
        <w:jc w:val="both"/>
      </w:pPr>
      <w:r>
        <w:rPr/>
        <w:t>En el 2008 fueron auditados 4 municipios que fueron: Almoloya de Juárez, Chimalhuacán,</w:t>
      </w:r>
      <w:r>
        <w:rPr>
          <w:spacing w:val="-10"/>
        </w:rPr>
        <w:t> </w:t>
      </w:r>
      <w:r>
        <w:rPr/>
        <w:t>Nezahualcóyotl</w:t>
      </w:r>
      <w:r>
        <w:rPr>
          <w:spacing w:val="-10"/>
        </w:rPr>
        <w:t> </w:t>
      </w:r>
      <w:r>
        <w:rPr/>
        <w:t>y</w:t>
      </w:r>
      <w:r>
        <w:rPr>
          <w:spacing w:val="-12"/>
        </w:rPr>
        <w:t> </w:t>
      </w:r>
      <w:r>
        <w:rPr/>
        <w:t>San</w:t>
      </w:r>
      <w:r>
        <w:rPr>
          <w:spacing w:val="-9"/>
        </w:rPr>
        <w:t> </w:t>
      </w:r>
      <w:r>
        <w:rPr/>
        <w:t>Felipe</w:t>
      </w:r>
      <w:r>
        <w:rPr>
          <w:spacing w:val="-9"/>
        </w:rPr>
        <w:t> </w:t>
      </w:r>
      <w:r>
        <w:rPr/>
        <w:t>del</w:t>
      </w:r>
      <w:r>
        <w:rPr>
          <w:spacing w:val="-10"/>
        </w:rPr>
        <w:t> </w:t>
      </w:r>
      <w:r>
        <w:rPr/>
        <w:t>progreso.</w:t>
      </w:r>
      <w:r>
        <w:rPr>
          <w:spacing w:val="-10"/>
        </w:rPr>
        <w:t> </w:t>
      </w:r>
      <w:r>
        <w:rPr/>
        <w:t>Respecto</w:t>
      </w:r>
      <w:r>
        <w:rPr>
          <w:spacing w:val="-9"/>
        </w:rPr>
        <w:t> </w:t>
      </w:r>
      <w:r>
        <w:rPr/>
        <w:t>al</w:t>
      </w:r>
      <w:r>
        <w:rPr>
          <w:spacing w:val="-10"/>
        </w:rPr>
        <w:t> </w:t>
      </w:r>
      <w:r>
        <w:rPr/>
        <w:t>ambiente</w:t>
      </w:r>
      <w:r>
        <w:rPr>
          <w:spacing w:val="-9"/>
        </w:rPr>
        <w:t> </w:t>
      </w:r>
      <w:r>
        <w:rPr/>
        <w:t>de control, los elementos más sobresalientes en la revisión son  los</w:t>
      </w:r>
      <w:r>
        <w:rPr>
          <w:spacing w:val="-14"/>
        </w:rPr>
        <w:t> </w:t>
      </w:r>
      <w:r>
        <w:rPr/>
        <w:t>siguientes:</w:t>
      </w:r>
    </w:p>
    <w:p>
      <w:pPr>
        <w:pStyle w:val="BodyText"/>
        <w:spacing w:before="7"/>
      </w:pPr>
    </w:p>
    <w:p>
      <w:pPr>
        <w:pStyle w:val="ListParagraph"/>
        <w:numPr>
          <w:ilvl w:val="2"/>
          <w:numId w:val="54"/>
        </w:numPr>
        <w:tabs>
          <w:tab w:pos="822" w:val="left" w:leader="none"/>
        </w:tabs>
        <w:spacing w:line="240" w:lineRule="auto" w:before="0" w:after="0"/>
        <w:ind w:left="822" w:right="0" w:hanging="360"/>
        <w:jc w:val="left"/>
        <w:rPr>
          <w:sz w:val="24"/>
        </w:rPr>
      </w:pPr>
      <w:r>
        <w:rPr>
          <w:sz w:val="24"/>
        </w:rPr>
        <w:t>Existencia de códigos de ética y</w:t>
      </w:r>
      <w:r>
        <w:rPr>
          <w:spacing w:val="-13"/>
          <w:sz w:val="24"/>
        </w:rPr>
        <w:t> </w:t>
      </w:r>
      <w:r>
        <w:rPr>
          <w:sz w:val="24"/>
        </w:rPr>
        <w:t>conducta,</w:t>
      </w:r>
    </w:p>
    <w:p>
      <w:pPr>
        <w:pStyle w:val="ListParagraph"/>
        <w:numPr>
          <w:ilvl w:val="2"/>
          <w:numId w:val="54"/>
        </w:numPr>
        <w:tabs>
          <w:tab w:pos="822" w:val="left" w:leader="none"/>
        </w:tabs>
        <w:spacing w:line="240" w:lineRule="auto" w:before="139" w:after="0"/>
        <w:ind w:left="822" w:right="0" w:hanging="360"/>
        <w:jc w:val="left"/>
        <w:rPr>
          <w:sz w:val="24"/>
        </w:rPr>
      </w:pPr>
      <w:r>
        <w:rPr>
          <w:sz w:val="24"/>
        </w:rPr>
        <w:t>Existencia de manuales de organización y</w:t>
      </w:r>
      <w:r>
        <w:rPr>
          <w:spacing w:val="-21"/>
          <w:sz w:val="24"/>
        </w:rPr>
        <w:t> </w:t>
      </w:r>
      <w:r>
        <w:rPr>
          <w:sz w:val="24"/>
        </w:rPr>
        <w:t>procedimientos,</w:t>
      </w:r>
    </w:p>
    <w:p>
      <w:pPr>
        <w:pStyle w:val="ListParagraph"/>
        <w:numPr>
          <w:ilvl w:val="2"/>
          <w:numId w:val="54"/>
        </w:numPr>
        <w:tabs>
          <w:tab w:pos="822" w:val="left" w:leader="none"/>
        </w:tabs>
        <w:spacing w:line="240" w:lineRule="auto" w:before="137" w:after="0"/>
        <w:ind w:left="822" w:right="0" w:hanging="360"/>
        <w:jc w:val="left"/>
        <w:rPr>
          <w:sz w:val="24"/>
        </w:rPr>
      </w:pPr>
      <w:r>
        <w:rPr>
          <w:sz w:val="24"/>
        </w:rPr>
        <w:t>Programas de</w:t>
      </w:r>
      <w:r>
        <w:rPr>
          <w:spacing w:val="-7"/>
          <w:sz w:val="24"/>
        </w:rPr>
        <w:t> </w:t>
      </w:r>
      <w:r>
        <w:rPr>
          <w:sz w:val="24"/>
        </w:rPr>
        <w:t>capacitación</w:t>
      </w:r>
    </w:p>
    <w:p>
      <w:pPr>
        <w:spacing w:after="0" w:line="240" w:lineRule="auto"/>
        <w:jc w:val="left"/>
        <w:rPr>
          <w:sz w:val="24"/>
        </w:rPr>
        <w:sectPr>
          <w:pgSz w:w="12240" w:h="15840"/>
          <w:pgMar w:header="0" w:footer="992" w:top="1420" w:bottom="1180" w:left="1600" w:right="1580"/>
        </w:sectPr>
      </w:pPr>
    </w:p>
    <w:p>
      <w:pPr>
        <w:pStyle w:val="BodyText"/>
        <w:spacing w:line="360" w:lineRule="auto" w:before="54"/>
        <w:ind w:left="102" w:right="121"/>
        <w:jc w:val="both"/>
      </w:pPr>
      <w:r>
        <w:rPr/>
        <w:t>En</w:t>
      </w:r>
      <w:r>
        <w:rPr>
          <w:spacing w:val="-6"/>
        </w:rPr>
        <w:t> </w:t>
      </w:r>
      <w:r>
        <w:rPr/>
        <w:t>el</w:t>
      </w:r>
      <w:r>
        <w:rPr>
          <w:spacing w:val="-7"/>
        </w:rPr>
        <w:t> </w:t>
      </w:r>
      <w:r>
        <w:rPr/>
        <w:t>momento</w:t>
      </w:r>
      <w:r>
        <w:rPr>
          <w:spacing w:val="-8"/>
        </w:rPr>
        <w:t> </w:t>
      </w:r>
      <w:r>
        <w:rPr/>
        <w:t>de</w:t>
      </w:r>
      <w:r>
        <w:rPr>
          <w:spacing w:val="-6"/>
        </w:rPr>
        <w:t> </w:t>
      </w:r>
      <w:r>
        <w:rPr/>
        <w:t>implementar</w:t>
      </w:r>
      <w:r>
        <w:rPr>
          <w:spacing w:val="-7"/>
        </w:rPr>
        <w:t> </w:t>
      </w:r>
      <w:r>
        <w:rPr/>
        <w:t>un</w:t>
      </w:r>
      <w:r>
        <w:rPr>
          <w:spacing w:val="-6"/>
        </w:rPr>
        <w:t> </w:t>
      </w:r>
      <w:r>
        <w:rPr/>
        <w:t>sistema</w:t>
      </w:r>
      <w:r>
        <w:rPr>
          <w:spacing w:val="-6"/>
        </w:rPr>
        <w:t> </w:t>
      </w:r>
      <w:r>
        <w:rPr/>
        <w:t>de</w:t>
      </w:r>
      <w:r>
        <w:rPr>
          <w:spacing w:val="-8"/>
        </w:rPr>
        <w:t> </w:t>
      </w:r>
      <w:r>
        <w:rPr/>
        <w:t>control</w:t>
      </w:r>
      <w:r>
        <w:rPr>
          <w:spacing w:val="-7"/>
        </w:rPr>
        <w:t> </w:t>
      </w:r>
      <w:r>
        <w:rPr/>
        <w:t>interno,</w:t>
      </w:r>
      <w:r>
        <w:rPr>
          <w:spacing w:val="-6"/>
        </w:rPr>
        <w:t> </w:t>
      </w:r>
      <w:r>
        <w:rPr/>
        <w:t>se</w:t>
      </w:r>
      <w:r>
        <w:rPr>
          <w:spacing w:val="-6"/>
        </w:rPr>
        <w:t> </w:t>
      </w:r>
      <w:r>
        <w:rPr/>
        <w:t>deben</w:t>
      </w:r>
      <w:r>
        <w:rPr>
          <w:spacing w:val="-6"/>
        </w:rPr>
        <w:t> </w:t>
      </w:r>
      <w:r>
        <w:rPr/>
        <w:t>de</w:t>
      </w:r>
      <w:r>
        <w:rPr>
          <w:spacing w:val="-6"/>
        </w:rPr>
        <w:t> </w:t>
      </w:r>
      <w:r>
        <w:rPr/>
        <w:t>elaborar los manuales de organización y procedimientos, estos son la directriz que le dará</w:t>
      </w:r>
      <w:r>
        <w:rPr>
          <w:spacing w:val="-37"/>
        </w:rPr>
        <w:t> </w:t>
      </w:r>
      <w:r>
        <w:rPr/>
        <w:t>a la administración pública municipal la guía de su actuar, y bajo que esquemas se fomenta esa actuación. Son en estas herramientas donde se incluyen las actividades y se establecen las responsabilidades de los funcionarios y servidores públicos para el cumplimiento de los objetivos de la organización</w:t>
      </w:r>
      <w:r>
        <w:rPr>
          <w:spacing w:val="-28"/>
        </w:rPr>
        <w:t> </w:t>
      </w:r>
      <w:r>
        <w:rPr/>
        <w:t>municipal.</w:t>
      </w:r>
    </w:p>
    <w:p>
      <w:pPr>
        <w:pStyle w:val="BodyText"/>
        <w:spacing w:before="7"/>
      </w:pPr>
    </w:p>
    <w:p>
      <w:pPr>
        <w:pStyle w:val="BodyText"/>
        <w:spacing w:line="360" w:lineRule="auto"/>
        <w:ind w:left="102" w:right="118"/>
        <w:jc w:val="both"/>
      </w:pPr>
      <w:r>
        <w:rPr/>
        <w:t>En los manuales de organización se describe la estructura funcional de la organización</w:t>
      </w:r>
      <w:r>
        <w:rPr>
          <w:spacing w:val="-13"/>
        </w:rPr>
        <w:t> </w:t>
      </w:r>
      <w:r>
        <w:rPr/>
        <w:t>municipal,</w:t>
      </w:r>
      <w:r>
        <w:rPr>
          <w:spacing w:val="-14"/>
        </w:rPr>
        <w:t> </w:t>
      </w:r>
      <w:r>
        <w:rPr/>
        <w:t>se</w:t>
      </w:r>
      <w:r>
        <w:rPr>
          <w:spacing w:val="-13"/>
        </w:rPr>
        <w:t> </w:t>
      </w:r>
      <w:r>
        <w:rPr/>
        <w:t>especifican</w:t>
      </w:r>
      <w:r>
        <w:rPr>
          <w:spacing w:val="-13"/>
        </w:rPr>
        <w:t> </w:t>
      </w:r>
      <w:r>
        <w:rPr/>
        <w:t>las</w:t>
      </w:r>
      <w:r>
        <w:rPr>
          <w:spacing w:val="-16"/>
        </w:rPr>
        <w:t> </w:t>
      </w:r>
      <w:r>
        <w:rPr/>
        <w:t>tareas</w:t>
      </w:r>
      <w:r>
        <w:rPr>
          <w:spacing w:val="-14"/>
        </w:rPr>
        <w:t> </w:t>
      </w:r>
      <w:r>
        <w:rPr/>
        <w:t>y</w:t>
      </w:r>
      <w:r>
        <w:rPr>
          <w:spacing w:val="-16"/>
        </w:rPr>
        <w:t> </w:t>
      </w:r>
      <w:r>
        <w:rPr/>
        <w:t>la</w:t>
      </w:r>
      <w:r>
        <w:rPr>
          <w:spacing w:val="-13"/>
        </w:rPr>
        <w:t> </w:t>
      </w:r>
      <w:r>
        <w:rPr/>
        <w:t>competencia</w:t>
      </w:r>
      <w:r>
        <w:rPr>
          <w:spacing w:val="-13"/>
        </w:rPr>
        <w:t> </w:t>
      </w:r>
      <w:r>
        <w:rPr/>
        <w:t>de</w:t>
      </w:r>
      <w:r>
        <w:rPr>
          <w:spacing w:val="-13"/>
        </w:rPr>
        <w:t> </w:t>
      </w:r>
      <w:r>
        <w:rPr/>
        <w:t>dichas</w:t>
      </w:r>
      <w:r>
        <w:rPr>
          <w:spacing w:val="-16"/>
        </w:rPr>
        <w:t> </w:t>
      </w:r>
      <w:r>
        <w:rPr/>
        <w:t>tareas, dejando en claro a quien le corresponde el actuar de cada una de ellas. Por otro lado, en los manuales de procedimientos se detalla de forma ordenada, integral y sistemática todas las instrucciones, responsabilidades de las distintas operaciones o actividades que se realizan dentro de la organización</w:t>
      </w:r>
      <w:r>
        <w:rPr>
          <w:spacing w:val="-23"/>
        </w:rPr>
        <w:t> </w:t>
      </w:r>
      <w:r>
        <w:rPr/>
        <w:t>municipal</w:t>
      </w:r>
    </w:p>
    <w:p>
      <w:pPr>
        <w:pStyle w:val="BodyText"/>
        <w:spacing w:before="10"/>
      </w:pPr>
    </w:p>
    <w:p>
      <w:pPr>
        <w:pStyle w:val="BodyText"/>
        <w:spacing w:line="360" w:lineRule="auto"/>
        <w:ind w:left="102" w:right="116"/>
        <w:jc w:val="both"/>
      </w:pPr>
      <w:r>
        <w:rPr/>
        <w:t>En el proceso de diseñar e implementar el sistema de control interno, tiene que preparar los procedimientos integrales, los cuales son los que forman el pilar para poder</w:t>
      </w:r>
      <w:r>
        <w:rPr>
          <w:spacing w:val="-20"/>
        </w:rPr>
        <w:t> </w:t>
      </w:r>
      <w:r>
        <w:rPr/>
        <w:t>desarrollar</w:t>
      </w:r>
      <w:r>
        <w:rPr>
          <w:spacing w:val="-20"/>
        </w:rPr>
        <w:t> </w:t>
      </w:r>
      <w:r>
        <w:rPr/>
        <w:t>adecuadamente</w:t>
      </w:r>
      <w:r>
        <w:rPr>
          <w:spacing w:val="-20"/>
        </w:rPr>
        <w:t> </w:t>
      </w:r>
      <w:r>
        <w:rPr/>
        <w:t>sus</w:t>
      </w:r>
      <w:r>
        <w:rPr>
          <w:spacing w:val="-22"/>
        </w:rPr>
        <w:t> </w:t>
      </w:r>
      <w:r>
        <w:rPr/>
        <w:t>actividades,</w:t>
      </w:r>
      <w:r>
        <w:rPr>
          <w:spacing w:val="-21"/>
        </w:rPr>
        <w:t> </w:t>
      </w:r>
      <w:r>
        <w:rPr/>
        <w:t>estableciendo</w:t>
      </w:r>
      <w:r>
        <w:rPr>
          <w:spacing w:val="-21"/>
        </w:rPr>
        <w:t> </w:t>
      </w:r>
      <w:r>
        <w:rPr/>
        <w:t>responsabilidades a los encargados de las todas las áreas, generando información útil y necesaria, estableciendo</w:t>
      </w:r>
      <w:r>
        <w:rPr>
          <w:spacing w:val="-18"/>
        </w:rPr>
        <w:t> </w:t>
      </w:r>
      <w:r>
        <w:rPr/>
        <w:t>medidas</w:t>
      </w:r>
      <w:r>
        <w:rPr>
          <w:spacing w:val="-19"/>
        </w:rPr>
        <w:t> </w:t>
      </w:r>
      <w:r>
        <w:rPr/>
        <w:t>de</w:t>
      </w:r>
      <w:r>
        <w:rPr>
          <w:spacing w:val="-16"/>
        </w:rPr>
        <w:t> </w:t>
      </w:r>
      <w:r>
        <w:rPr/>
        <w:t>seguridad,</w:t>
      </w:r>
      <w:r>
        <w:rPr>
          <w:spacing w:val="-16"/>
        </w:rPr>
        <w:t> </w:t>
      </w:r>
      <w:r>
        <w:rPr/>
        <w:t>control</w:t>
      </w:r>
      <w:r>
        <w:rPr>
          <w:spacing w:val="-17"/>
        </w:rPr>
        <w:t> </w:t>
      </w:r>
      <w:r>
        <w:rPr/>
        <w:t>y</w:t>
      </w:r>
      <w:r>
        <w:rPr>
          <w:spacing w:val="-19"/>
        </w:rPr>
        <w:t> </w:t>
      </w:r>
      <w:r>
        <w:rPr/>
        <w:t>autocontrol</w:t>
      </w:r>
      <w:r>
        <w:rPr>
          <w:spacing w:val="-17"/>
        </w:rPr>
        <w:t> </w:t>
      </w:r>
      <w:r>
        <w:rPr/>
        <w:t>y</w:t>
      </w:r>
      <w:r>
        <w:rPr>
          <w:spacing w:val="-19"/>
        </w:rPr>
        <w:t> </w:t>
      </w:r>
      <w:r>
        <w:rPr/>
        <w:t>objetivos</w:t>
      </w:r>
      <w:r>
        <w:rPr>
          <w:spacing w:val="-16"/>
        </w:rPr>
        <w:t> </w:t>
      </w:r>
      <w:r>
        <w:rPr/>
        <w:t>que</w:t>
      </w:r>
      <w:r>
        <w:rPr>
          <w:spacing w:val="-16"/>
        </w:rPr>
        <w:t> </w:t>
      </w:r>
      <w:r>
        <w:rPr/>
        <w:t>participen en</w:t>
      </w:r>
      <w:r>
        <w:rPr>
          <w:spacing w:val="-4"/>
        </w:rPr>
        <w:t> </w:t>
      </w:r>
      <w:r>
        <w:rPr/>
        <w:t>el</w:t>
      </w:r>
      <w:r>
        <w:rPr>
          <w:spacing w:val="-5"/>
        </w:rPr>
        <w:t> </w:t>
      </w:r>
      <w:r>
        <w:rPr/>
        <w:t>cumplimiento</w:t>
      </w:r>
      <w:r>
        <w:rPr>
          <w:spacing w:val="-3"/>
        </w:rPr>
        <w:t> </w:t>
      </w:r>
      <w:r>
        <w:rPr/>
        <w:t>con</w:t>
      </w:r>
      <w:r>
        <w:rPr>
          <w:spacing w:val="-6"/>
        </w:rPr>
        <w:t> </w:t>
      </w:r>
      <w:r>
        <w:rPr/>
        <w:t>la</w:t>
      </w:r>
      <w:r>
        <w:rPr>
          <w:spacing w:val="-4"/>
        </w:rPr>
        <w:t> </w:t>
      </w:r>
      <w:r>
        <w:rPr/>
        <w:t>función</w:t>
      </w:r>
      <w:r>
        <w:rPr>
          <w:spacing w:val="-6"/>
        </w:rPr>
        <w:t> </w:t>
      </w:r>
      <w:r>
        <w:rPr/>
        <w:t>municipal.</w:t>
      </w:r>
      <w:r>
        <w:rPr>
          <w:spacing w:val="-7"/>
        </w:rPr>
        <w:t> </w:t>
      </w:r>
      <w:r>
        <w:rPr/>
        <w:t>Una</w:t>
      </w:r>
      <w:r>
        <w:rPr>
          <w:spacing w:val="-3"/>
        </w:rPr>
        <w:t> </w:t>
      </w:r>
      <w:r>
        <w:rPr/>
        <w:t>definición</w:t>
      </w:r>
      <w:r>
        <w:rPr>
          <w:spacing w:val="-4"/>
        </w:rPr>
        <w:t> </w:t>
      </w:r>
      <w:r>
        <w:rPr/>
        <w:t>clara</w:t>
      </w:r>
      <w:r>
        <w:rPr>
          <w:spacing w:val="-4"/>
        </w:rPr>
        <w:t> </w:t>
      </w:r>
      <w:r>
        <w:rPr/>
        <w:t>de</w:t>
      </w:r>
      <w:r>
        <w:rPr>
          <w:spacing w:val="-6"/>
        </w:rPr>
        <w:t> </w:t>
      </w:r>
      <w:r>
        <w:rPr/>
        <w:t>las</w:t>
      </w:r>
      <w:r>
        <w:rPr>
          <w:spacing w:val="-4"/>
        </w:rPr>
        <w:t> </w:t>
      </w:r>
      <w:r>
        <w:rPr/>
        <w:t>funciones</w:t>
      </w:r>
      <w:r>
        <w:rPr>
          <w:spacing w:val="-4"/>
        </w:rPr>
        <w:t> </w:t>
      </w:r>
      <w:r>
        <w:rPr/>
        <w:t>y las responsabilidades de cada departamento o área que integran las administraciones públicas municipales, evitará riesgos, errores, omisiones e irregularidades a la hora de operar las actividades propias de los municipios, específicamente la de los fondos federales. Por medio de estas herramientas se esclarecen todas las posibles lagunas o áreas de responsabilidad</w:t>
      </w:r>
      <w:r>
        <w:rPr>
          <w:spacing w:val="-27"/>
        </w:rPr>
        <w:t> </w:t>
      </w:r>
      <w:r>
        <w:rPr/>
        <w:t>indefinida.</w:t>
      </w:r>
    </w:p>
    <w:p>
      <w:pPr>
        <w:pStyle w:val="BodyText"/>
        <w:spacing w:before="10"/>
      </w:pPr>
    </w:p>
    <w:p>
      <w:pPr>
        <w:pStyle w:val="BodyText"/>
        <w:spacing w:line="360" w:lineRule="auto"/>
        <w:ind w:left="102" w:right="122"/>
        <w:jc w:val="both"/>
      </w:pPr>
      <w:r>
        <w:rPr/>
        <w:t>Estos</w:t>
      </w:r>
      <w:r>
        <w:rPr>
          <w:spacing w:val="-15"/>
        </w:rPr>
        <w:t> </w:t>
      </w:r>
      <w:r>
        <w:rPr/>
        <w:t>manuales,</w:t>
      </w:r>
      <w:r>
        <w:rPr>
          <w:spacing w:val="-14"/>
        </w:rPr>
        <w:t> </w:t>
      </w:r>
      <w:r>
        <w:rPr/>
        <w:t>se</w:t>
      </w:r>
      <w:r>
        <w:rPr>
          <w:spacing w:val="-14"/>
        </w:rPr>
        <w:t> </w:t>
      </w:r>
      <w:r>
        <w:rPr/>
        <w:t>desarrollan</w:t>
      </w:r>
      <w:r>
        <w:rPr>
          <w:spacing w:val="-14"/>
        </w:rPr>
        <w:t> </w:t>
      </w:r>
      <w:r>
        <w:rPr/>
        <w:t>para</w:t>
      </w:r>
      <w:r>
        <w:rPr>
          <w:spacing w:val="-15"/>
        </w:rPr>
        <w:t> </w:t>
      </w:r>
      <w:r>
        <w:rPr/>
        <w:t>cada</w:t>
      </w:r>
      <w:r>
        <w:rPr>
          <w:spacing w:val="-14"/>
        </w:rPr>
        <w:t> </w:t>
      </w:r>
      <w:r>
        <w:rPr/>
        <w:t>una</w:t>
      </w:r>
      <w:r>
        <w:rPr>
          <w:spacing w:val="-12"/>
        </w:rPr>
        <w:t> </w:t>
      </w:r>
      <w:r>
        <w:rPr/>
        <w:t>de</w:t>
      </w:r>
      <w:r>
        <w:rPr>
          <w:spacing w:val="-12"/>
        </w:rPr>
        <w:t> </w:t>
      </w:r>
      <w:r>
        <w:rPr/>
        <w:t>las</w:t>
      </w:r>
      <w:r>
        <w:rPr>
          <w:spacing w:val="-15"/>
        </w:rPr>
        <w:t> </w:t>
      </w:r>
      <w:r>
        <w:rPr/>
        <w:t>actividades</w:t>
      </w:r>
      <w:r>
        <w:rPr>
          <w:spacing w:val="-15"/>
        </w:rPr>
        <w:t> </w:t>
      </w:r>
      <w:r>
        <w:rPr/>
        <w:t>u</w:t>
      </w:r>
      <w:r>
        <w:rPr>
          <w:spacing w:val="-14"/>
        </w:rPr>
        <w:t> </w:t>
      </w:r>
      <w:r>
        <w:rPr/>
        <w:t>operaciones</w:t>
      </w:r>
      <w:r>
        <w:rPr>
          <w:spacing w:val="-13"/>
        </w:rPr>
        <w:t> </w:t>
      </w:r>
      <w:r>
        <w:rPr/>
        <w:t>que tengan que ver con los procesos administrativos y operativos, de acuerdo con los lineamientos y exigencias establecidas por la</w:t>
      </w:r>
      <w:r>
        <w:rPr>
          <w:spacing w:val="-21"/>
        </w:rPr>
        <w:t> </w:t>
      </w:r>
      <w:r>
        <w:rPr/>
        <w:t>ley.</w:t>
      </w:r>
    </w:p>
    <w:p>
      <w:pPr>
        <w:pStyle w:val="BodyText"/>
        <w:spacing w:line="360" w:lineRule="auto" w:before="202"/>
        <w:ind w:left="102" w:right="116"/>
        <w:jc w:val="both"/>
      </w:pPr>
      <w:r>
        <w:rPr/>
        <w:t>Del 2008 al 2010, la ASF se fijó, evaluar la existencia de estos, porque son parte medular de la actuación administrativa, y son la normatividad que auxilia en la delimitación de responsabilidades, para que en el caso de existir algún tipo de</w:t>
      </w:r>
    </w:p>
    <w:p>
      <w:pPr>
        <w:spacing w:after="0" w:line="360" w:lineRule="auto"/>
        <w:jc w:val="both"/>
        <w:sectPr>
          <w:pgSz w:w="12240" w:h="15840"/>
          <w:pgMar w:header="0" w:footer="992" w:top="1360" w:bottom="1180" w:left="1600" w:right="1580"/>
        </w:sectPr>
      </w:pPr>
    </w:p>
    <w:p>
      <w:pPr>
        <w:pStyle w:val="BodyText"/>
        <w:spacing w:line="360" w:lineRule="auto" w:before="54"/>
        <w:ind w:left="102" w:right="115"/>
        <w:jc w:val="both"/>
      </w:pPr>
      <w:r>
        <w:rPr/>
        <w:t>negligencia se finque responsabilidad a los servidores públicos encargados específicamente de determinada actividad. Por lo tanto, de los municipios del Estado</w:t>
      </w:r>
      <w:r>
        <w:rPr>
          <w:spacing w:val="-17"/>
        </w:rPr>
        <w:t> </w:t>
      </w:r>
      <w:r>
        <w:rPr/>
        <w:t>de</w:t>
      </w:r>
      <w:r>
        <w:rPr>
          <w:spacing w:val="-16"/>
        </w:rPr>
        <w:t> </w:t>
      </w:r>
      <w:r>
        <w:rPr/>
        <w:t>México</w:t>
      </w:r>
      <w:r>
        <w:rPr>
          <w:spacing w:val="-14"/>
        </w:rPr>
        <w:t> </w:t>
      </w:r>
      <w:r>
        <w:rPr/>
        <w:t>revisados</w:t>
      </w:r>
      <w:r>
        <w:rPr>
          <w:spacing w:val="-17"/>
        </w:rPr>
        <w:t> </w:t>
      </w:r>
      <w:r>
        <w:rPr/>
        <w:t>durante</w:t>
      </w:r>
      <w:r>
        <w:rPr>
          <w:spacing w:val="-14"/>
        </w:rPr>
        <w:t> </w:t>
      </w:r>
      <w:r>
        <w:rPr/>
        <w:t>este</w:t>
      </w:r>
      <w:r>
        <w:rPr>
          <w:spacing w:val="-16"/>
        </w:rPr>
        <w:t> </w:t>
      </w:r>
      <w:r>
        <w:rPr/>
        <w:t>lapso,</w:t>
      </w:r>
      <w:r>
        <w:rPr>
          <w:spacing w:val="-17"/>
        </w:rPr>
        <w:t> </w:t>
      </w:r>
      <w:r>
        <w:rPr/>
        <w:t>en</w:t>
      </w:r>
      <w:r>
        <w:rPr>
          <w:spacing w:val="-14"/>
        </w:rPr>
        <w:t> </w:t>
      </w:r>
      <w:r>
        <w:rPr/>
        <w:t>su</w:t>
      </w:r>
      <w:r>
        <w:rPr>
          <w:spacing w:val="-17"/>
        </w:rPr>
        <w:t> </w:t>
      </w:r>
      <w:r>
        <w:rPr/>
        <w:t>mayoría</w:t>
      </w:r>
      <w:r>
        <w:rPr>
          <w:spacing w:val="-14"/>
        </w:rPr>
        <w:t> </w:t>
      </w:r>
      <w:r>
        <w:rPr/>
        <w:t>carecía</w:t>
      </w:r>
      <w:r>
        <w:rPr>
          <w:spacing w:val="-14"/>
        </w:rPr>
        <w:t> </w:t>
      </w:r>
      <w:r>
        <w:rPr/>
        <w:t>de</w:t>
      </w:r>
      <w:r>
        <w:rPr>
          <w:spacing w:val="-17"/>
        </w:rPr>
        <w:t> </w:t>
      </w:r>
      <w:r>
        <w:rPr/>
        <w:t>manuales de</w:t>
      </w:r>
      <w:r>
        <w:rPr>
          <w:spacing w:val="-12"/>
        </w:rPr>
        <w:t> </w:t>
      </w:r>
      <w:r>
        <w:rPr/>
        <w:t>organización</w:t>
      </w:r>
      <w:r>
        <w:rPr>
          <w:spacing w:val="-9"/>
        </w:rPr>
        <w:t> </w:t>
      </w:r>
      <w:r>
        <w:rPr/>
        <w:t>y</w:t>
      </w:r>
      <w:r>
        <w:rPr>
          <w:spacing w:val="-13"/>
        </w:rPr>
        <w:t> </w:t>
      </w:r>
      <w:r>
        <w:rPr/>
        <w:t>procedimiento;</w:t>
      </w:r>
      <w:r>
        <w:rPr>
          <w:spacing w:val="-10"/>
        </w:rPr>
        <w:t> </w:t>
      </w:r>
      <w:r>
        <w:rPr/>
        <w:t>en</w:t>
      </w:r>
      <w:r>
        <w:rPr>
          <w:spacing w:val="-8"/>
        </w:rPr>
        <w:t> </w:t>
      </w:r>
      <w:r>
        <w:rPr/>
        <w:t>el</w:t>
      </w:r>
      <w:r>
        <w:rPr>
          <w:spacing w:val="-11"/>
        </w:rPr>
        <w:t> </w:t>
      </w:r>
      <w:r>
        <w:rPr/>
        <w:t>caso</w:t>
      </w:r>
      <w:r>
        <w:rPr>
          <w:spacing w:val="-9"/>
        </w:rPr>
        <w:t> </w:t>
      </w:r>
      <w:r>
        <w:rPr/>
        <w:t>de</w:t>
      </w:r>
      <w:r>
        <w:rPr>
          <w:spacing w:val="-9"/>
        </w:rPr>
        <w:t> </w:t>
      </w:r>
      <w:r>
        <w:rPr/>
        <w:t>que</w:t>
      </w:r>
      <w:r>
        <w:rPr>
          <w:spacing w:val="-12"/>
        </w:rPr>
        <w:t> </w:t>
      </w:r>
      <w:r>
        <w:rPr/>
        <w:t>existiese,</w:t>
      </w:r>
      <w:r>
        <w:rPr>
          <w:spacing w:val="-10"/>
        </w:rPr>
        <w:t> </w:t>
      </w:r>
      <w:r>
        <w:rPr/>
        <w:t>aún</w:t>
      </w:r>
      <w:r>
        <w:rPr>
          <w:spacing w:val="-12"/>
        </w:rPr>
        <w:t> </w:t>
      </w:r>
      <w:r>
        <w:rPr/>
        <w:t>no</w:t>
      </w:r>
      <w:r>
        <w:rPr>
          <w:spacing w:val="-12"/>
        </w:rPr>
        <w:t> </w:t>
      </w:r>
      <w:r>
        <w:rPr/>
        <w:t>se</w:t>
      </w:r>
      <w:r>
        <w:rPr>
          <w:spacing w:val="-12"/>
        </w:rPr>
        <w:t> </w:t>
      </w:r>
      <w:r>
        <w:rPr/>
        <w:t>encontraba de manera formal publicado en la gaceta</w:t>
      </w:r>
      <w:r>
        <w:rPr>
          <w:spacing w:val="-16"/>
        </w:rPr>
        <w:t> </w:t>
      </w:r>
      <w:r>
        <w:rPr/>
        <w:t>municipal.</w:t>
      </w:r>
    </w:p>
    <w:p>
      <w:pPr>
        <w:pStyle w:val="BodyText"/>
        <w:spacing w:line="360" w:lineRule="auto" w:before="204"/>
        <w:ind w:left="102" w:right="118"/>
        <w:jc w:val="both"/>
      </w:pPr>
      <w:r>
        <w:rPr/>
        <w:t>Por otro parte, los códigos de ética y de conducta, su relevancia en el sistema de control</w:t>
      </w:r>
      <w:r>
        <w:rPr>
          <w:spacing w:val="-19"/>
        </w:rPr>
        <w:t> </w:t>
      </w:r>
      <w:r>
        <w:rPr/>
        <w:t>interno</w:t>
      </w:r>
      <w:r>
        <w:rPr>
          <w:spacing w:val="-18"/>
        </w:rPr>
        <w:t> </w:t>
      </w:r>
      <w:r>
        <w:rPr/>
        <w:t>y</w:t>
      </w:r>
      <w:r>
        <w:rPr>
          <w:spacing w:val="-21"/>
        </w:rPr>
        <w:t> </w:t>
      </w:r>
      <w:r>
        <w:rPr/>
        <w:t>para</w:t>
      </w:r>
      <w:r>
        <w:rPr>
          <w:spacing w:val="-19"/>
        </w:rPr>
        <w:t> </w:t>
      </w:r>
      <w:r>
        <w:rPr/>
        <w:t>la</w:t>
      </w:r>
      <w:r>
        <w:rPr>
          <w:spacing w:val="-21"/>
        </w:rPr>
        <w:t> </w:t>
      </w:r>
      <w:r>
        <w:rPr/>
        <w:t>operatividad</w:t>
      </w:r>
      <w:r>
        <w:rPr>
          <w:spacing w:val="-18"/>
        </w:rPr>
        <w:t> </w:t>
      </w:r>
      <w:r>
        <w:rPr/>
        <w:t>de</w:t>
      </w:r>
      <w:r>
        <w:rPr>
          <w:spacing w:val="-18"/>
        </w:rPr>
        <w:t> </w:t>
      </w:r>
      <w:r>
        <w:rPr/>
        <w:t>los</w:t>
      </w:r>
      <w:r>
        <w:rPr>
          <w:spacing w:val="-21"/>
        </w:rPr>
        <w:t> </w:t>
      </w:r>
      <w:r>
        <w:rPr/>
        <w:t>fondos,</w:t>
      </w:r>
      <w:r>
        <w:rPr>
          <w:spacing w:val="-18"/>
        </w:rPr>
        <w:t> </w:t>
      </w:r>
      <w:r>
        <w:rPr/>
        <w:t>es</w:t>
      </w:r>
      <w:r>
        <w:rPr>
          <w:spacing w:val="-21"/>
        </w:rPr>
        <w:t> </w:t>
      </w:r>
      <w:r>
        <w:rPr/>
        <w:t>que</w:t>
      </w:r>
      <w:r>
        <w:rPr>
          <w:spacing w:val="-18"/>
        </w:rPr>
        <w:t> </w:t>
      </w:r>
      <w:r>
        <w:rPr/>
        <w:t>con</w:t>
      </w:r>
      <w:r>
        <w:rPr>
          <w:spacing w:val="-18"/>
        </w:rPr>
        <w:t> </w:t>
      </w:r>
      <w:r>
        <w:rPr/>
        <w:t>un</w:t>
      </w:r>
      <w:r>
        <w:rPr>
          <w:spacing w:val="-18"/>
        </w:rPr>
        <w:t> </w:t>
      </w:r>
      <w:r>
        <w:rPr/>
        <w:t>sistema</w:t>
      </w:r>
      <w:r>
        <w:rPr>
          <w:spacing w:val="-20"/>
        </w:rPr>
        <w:t> </w:t>
      </w:r>
      <w:r>
        <w:rPr/>
        <w:t>de</w:t>
      </w:r>
      <w:r>
        <w:rPr>
          <w:spacing w:val="-18"/>
        </w:rPr>
        <w:t> </w:t>
      </w:r>
      <w:r>
        <w:rPr/>
        <w:t>valores éticos, con los cuales trabajen los servidores públicos, se estaría evitando la deshonestidad y por supuesto la corrupción. Aplicación de valores generalmente aceptados</w:t>
      </w:r>
      <w:r>
        <w:rPr>
          <w:spacing w:val="-9"/>
        </w:rPr>
        <w:t> </w:t>
      </w:r>
      <w:r>
        <w:rPr/>
        <w:t>y</w:t>
      </w:r>
      <w:r>
        <w:rPr>
          <w:spacing w:val="-12"/>
        </w:rPr>
        <w:t> </w:t>
      </w:r>
      <w:r>
        <w:rPr/>
        <w:t>normas</w:t>
      </w:r>
      <w:r>
        <w:rPr>
          <w:spacing w:val="-9"/>
        </w:rPr>
        <w:t> </w:t>
      </w:r>
      <w:r>
        <w:rPr/>
        <w:t>en</w:t>
      </w:r>
      <w:r>
        <w:rPr>
          <w:spacing w:val="-8"/>
        </w:rPr>
        <w:t> </w:t>
      </w:r>
      <w:r>
        <w:rPr/>
        <w:t>la</w:t>
      </w:r>
      <w:r>
        <w:rPr>
          <w:spacing w:val="-9"/>
        </w:rPr>
        <w:t> </w:t>
      </w:r>
      <w:r>
        <w:rPr/>
        <w:t>operación</w:t>
      </w:r>
      <w:r>
        <w:rPr>
          <w:spacing w:val="-8"/>
        </w:rPr>
        <w:t> </w:t>
      </w:r>
      <w:r>
        <w:rPr/>
        <w:t>diaria</w:t>
      </w:r>
      <w:r>
        <w:rPr>
          <w:spacing w:val="-8"/>
        </w:rPr>
        <w:t> </w:t>
      </w:r>
      <w:r>
        <w:rPr/>
        <w:t>de</w:t>
      </w:r>
      <w:r>
        <w:rPr>
          <w:spacing w:val="-8"/>
        </w:rPr>
        <w:t> </w:t>
      </w:r>
      <w:r>
        <w:rPr/>
        <w:t>las</w:t>
      </w:r>
      <w:r>
        <w:rPr>
          <w:spacing w:val="-9"/>
        </w:rPr>
        <w:t> </w:t>
      </w:r>
      <w:r>
        <w:rPr/>
        <w:t>organizaciones</w:t>
      </w:r>
      <w:r>
        <w:rPr>
          <w:spacing w:val="-9"/>
        </w:rPr>
        <w:t> </w:t>
      </w:r>
      <w:r>
        <w:rPr/>
        <w:t>del</w:t>
      </w:r>
      <w:r>
        <w:rPr>
          <w:spacing w:val="-10"/>
        </w:rPr>
        <w:t> </w:t>
      </w:r>
      <w:r>
        <w:rPr/>
        <w:t>sector</w:t>
      </w:r>
      <w:r>
        <w:rPr>
          <w:spacing w:val="-10"/>
        </w:rPr>
        <w:t> </w:t>
      </w:r>
      <w:r>
        <w:rPr/>
        <w:t>público; conlleva la vinculación del comportamiento de los funcionarios a determinado código de</w:t>
      </w:r>
      <w:r>
        <w:rPr>
          <w:spacing w:val="-3"/>
        </w:rPr>
        <w:t> </w:t>
      </w:r>
      <w:r>
        <w:rPr/>
        <w:t>valores.</w:t>
      </w:r>
    </w:p>
    <w:p>
      <w:pPr>
        <w:pStyle w:val="BodyText"/>
        <w:spacing w:before="3"/>
        <w:rPr>
          <w:sz w:val="21"/>
        </w:rPr>
      </w:pPr>
    </w:p>
    <w:p>
      <w:pPr>
        <w:pStyle w:val="BodyText"/>
        <w:spacing w:line="360" w:lineRule="auto"/>
        <w:ind w:left="102" w:right="120"/>
        <w:jc w:val="both"/>
      </w:pPr>
      <w:r>
        <w:rPr/>
        <w:t>Un adecuado sistema de integridad de valores asegura que las decisiones administrativas sean tomadas a partir de una evaluación de criterios racionales y verificables,</w:t>
      </w:r>
      <w:r>
        <w:rPr>
          <w:spacing w:val="-11"/>
        </w:rPr>
        <w:t> </w:t>
      </w:r>
      <w:r>
        <w:rPr/>
        <w:t>evitando</w:t>
      </w:r>
      <w:r>
        <w:rPr>
          <w:spacing w:val="-11"/>
        </w:rPr>
        <w:t> </w:t>
      </w:r>
      <w:r>
        <w:rPr/>
        <w:t>así</w:t>
      </w:r>
      <w:r>
        <w:rPr>
          <w:spacing w:val="-13"/>
        </w:rPr>
        <w:t> </w:t>
      </w:r>
      <w:r>
        <w:rPr/>
        <w:t>sesgos</w:t>
      </w:r>
      <w:r>
        <w:rPr>
          <w:spacing w:val="-9"/>
        </w:rPr>
        <w:t> </w:t>
      </w:r>
      <w:r>
        <w:rPr/>
        <w:t>que</w:t>
      </w:r>
      <w:r>
        <w:rPr>
          <w:spacing w:val="-11"/>
        </w:rPr>
        <w:t> </w:t>
      </w:r>
      <w:r>
        <w:rPr/>
        <w:t>pueden</w:t>
      </w:r>
      <w:r>
        <w:rPr>
          <w:spacing w:val="-13"/>
        </w:rPr>
        <w:t> </w:t>
      </w:r>
      <w:r>
        <w:rPr/>
        <w:t>afectar</w:t>
      </w:r>
      <w:r>
        <w:rPr>
          <w:spacing w:val="-12"/>
        </w:rPr>
        <w:t> </w:t>
      </w:r>
      <w:r>
        <w:rPr/>
        <w:t>el</w:t>
      </w:r>
      <w:r>
        <w:rPr>
          <w:spacing w:val="-12"/>
        </w:rPr>
        <w:t> </w:t>
      </w:r>
      <w:r>
        <w:rPr/>
        <w:t>resultado</w:t>
      </w:r>
      <w:r>
        <w:rPr>
          <w:spacing w:val="-13"/>
        </w:rPr>
        <w:t> </w:t>
      </w:r>
      <w:r>
        <w:rPr/>
        <w:t>final,</w:t>
      </w:r>
      <w:r>
        <w:rPr>
          <w:spacing w:val="-12"/>
        </w:rPr>
        <w:t> </w:t>
      </w:r>
      <w:r>
        <w:rPr/>
        <w:t>o</w:t>
      </w:r>
      <w:r>
        <w:rPr>
          <w:spacing w:val="-11"/>
        </w:rPr>
        <w:t> </w:t>
      </w:r>
      <w:r>
        <w:rPr/>
        <w:t>bien,</w:t>
      </w:r>
      <w:r>
        <w:rPr>
          <w:spacing w:val="-11"/>
        </w:rPr>
        <w:t> </w:t>
      </w:r>
      <w:r>
        <w:rPr/>
        <w:t>abren espacios para el beneficio personal del funcionario o de terceras partes. En este sentido los municipios evaluados del periodo citado sólo 4 de los 35 contaron con un código de ética o</w:t>
      </w:r>
      <w:r>
        <w:rPr>
          <w:spacing w:val="-10"/>
        </w:rPr>
        <w:t> </w:t>
      </w:r>
      <w:r>
        <w:rPr/>
        <w:t>conducta.</w:t>
      </w:r>
    </w:p>
    <w:p>
      <w:pPr>
        <w:pStyle w:val="BodyText"/>
        <w:spacing w:before="1"/>
        <w:rPr>
          <w:sz w:val="21"/>
        </w:rPr>
      </w:pPr>
    </w:p>
    <w:p>
      <w:pPr>
        <w:pStyle w:val="BodyText"/>
        <w:spacing w:line="360" w:lineRule="auto"/>
        <w:ind w:left="102" w:right="119"/>
        <w:jc w:val="both"/>
      </w:pPr>
      <w:r>
        <w:rPr/>
        <w:t>En el informe ejecutivo de la cuenta pública de 2013 de la ASF, concluye con los siguientes aspectos:</w:t>
      </w:r>
    </w:p>
    <w:p>
      <w:pPr>
        <w:pStyle w:val="BodyText"/>
        <w:spacing w:before="1"/>
        <w:rPr>
          <w:sz w:val="21"/>
        </w:rPr>
      </w:pPr>
    </w:p>
    <w:p>
      <w:pPr>
        <w:pStyle w:val="ListParagraph"/>
        <w:numPr>
          <w:ilvl w:val="2"/>
          <w:numId w:val="54"/>
        </w:numPr>
        <w:tabs>
          <w:tab w:pos="822" w:val="left" w:leader="none"/>
        </w:tabs>
        <w:spacing w:line="360" w:lineRule="auto" w:before="0" w:after="0"/>
        <w:ind w:left="822" w:right="123" w:hanging="360"/>
        <w:jc w:val="both"/>
        <w:rPr>
          <w:sz w:val="24"/>
        </w:rPr>
      </w:pPr>
      <w:r>
        <w:rPr>
          <w:sz w:val="24"/>
        </w:rPr>
        <w:t>Es necesario que todas las instituciones públicas cuenten con códigos de ética</w:t>
      </w:r>
      <w:r>
        <w:rPr>
          <w:spacing w:val="-12"/>
          <w:sz w:val="24"/>
        </w:rPr>
        <w:t> </w:t>
      </w:r>
      <w:r>
        <w:rPr>
          <w:sz w:val="24"/>
        </w:rPr>
        <w:t>y</w:t>
      </w:r>
      <w:r>
        <w:rPr>
          <w:spacing w:val="-15"/>
          <w:sz w:val="24"/>
        </w:rPr>
        <w:t> </w:t>
      </w:r>
      <w:r>
        <w:rPr>
          <w:sz w:val="24"/>
        </w:rPr>
        <w:t>conducta</w:t>
      </w:r>
      <w:r>
        <w:rPr>
          <w:spacing w:val="-14"/>
          <w:sz w:val="24"/>
        </w:rPr>
        <w:t> </w:t>
      </w:r>
      <w:r>
        <w:rPr>
          <w:sz w:val="24"/>
        </w:rPr>
        <w:t>debidamente</w:t>
      </w:r>
      <w:r>
        <w:rPr>
          <w:spacing w:val="-16"/>
          <w:sz w:val="24"/>
        </w:rPr>
        <w:t> </w:t>
      </w:r>
      <w:r>
        <w:rPr>
          <w:sz w:val="24"/>
        </w:rPr>
        <w:t>formalizados</w:t>
      </w:r>
      <w:r>
        <w:rPr>
          <w:spacing w:val="-13"/>
          <w:sz w:val="24"/>
        </w:rPr>
        <w:t> </w:t>
      </w:r>
      <w:r>
        <w:rPr>
          <w:sz w:val="24"/>
        </w:rPr>
        <w:t>y</w:t>
      </w:r>
      <w:r>
        <w:rPr>
          <w:spacing w:val="-15"/>
          <w:sz w:val="24"/>
        </w:rPr>
        <w:t> </w:t>
      </w:r>
      <w:r>
        <w:rPr>
          <w:sz w:val="24"/>
        </w:rPr>
        <w:t>que</w:t>
      </w:r>
      <w:r>
        <w:rPr>
          <w:spacing w:val="-12"/>
          <w:sz w:val="24"/>
        </w:rPr>
        <w:t> </w:t>
      </w:r>
      <w:r>
        <w:rPr>
          <w:sz w:val="24"/>
        </w:rPr>
        <w:t>se</w:t>
      </w:r>
      <w:r>
        <w:rPr>
          <w:spacing w:val="-12"/>
          <w:sz w:val="24"/>
        </w:rPr>
        <w:t> </w:t>
      </w:r>
      <w:r>
        <w:rPr>
          <w:sz w:val="24"/>
        </w:rPr>
        <w:t>revisen</w:t>
      </w:r>
      <w:r>
        <w:rPr>
          <w:spacing w:val="-11"/>
          <w:sz w:val="24"/>
        </w:rPr>
        <w:t> </w:t>
      </w:r>
      <w:r>
        <w:rPr>
          <w:sz w:val="24"/>
        </w:rPr>
        <w:t>periódicamente, a fin de realizar las actualizaciones correspondientes; además de difundirlos al interior de la institución y a los terceros</w:t>
      </w:r>
      <w:r>
        <w:rPr>
          <w:spacing w:val="-17"/>
          <w:sz w:val="24"/>
        </w:rPr>
        <w:t> </w:t>
      </w:r>
      <w:r>
        <w:rPr>
          <w:sz w:val="24"/>
        </w:rPr>
        <w:t>interesados.</w:t>
      </w:r>
    </w:p>
    <w:p>
      <w:pPr>
        <w:pStyle w:val="ListParagraph"/>
        <w:numPr>
          <w:ilvl w:val="2"/>
          <w:numId w:val="54"/>
        </w:numPr>
        <w:tabs>
          <w:tab w:pos="822" w:val="left" w:leader="none"/>
        </w:tabs>
        <w:spacing w:line="360" w:lineRule="auto" w:before="2" w:after="0"/>
        <w:ind w:left="822" w:right="118" w:hanging="360"/>
        <w:jc w:val="both"/>
        <w:rPr>
          <w:sz w:val="24"/>
        </w:rPr>
      </w:pPr>
      <w:r>
        <w:rPr>
          <w:sz w:val="24"/>
        </w:rPr>
        <w:t>Es conveniente que, en los códigos de ética y conducta de las instituciones se</w:t>
      </w:r>
      <w:r>
        <w:rPr>
          <w:spacing w:val="-8"/>
          <w:sz w:val="24"/>
        </w:rPr>
        <w:t> </w:t>
      </w:r>
      <w:r>
        <w:rPr>
          <w:sz w:val="24"/>
        </w:rPr>
        <w:t>incluyan</w:t>
      </w:r>
      <w:r>
        <w:rPr>
          <w:spacing w:val="-8"/>
          <w:sz w:val="24"/>
        </w:rPr>
        <w:t> </w:t>
      </w:r>
      <w:r>
        <w:rPr>
          <w:sz w:val="24"/>
        </w:rPr>
        <w:t>los</w:t>
      </w:r>
      <w:r>
        <w:rPr>
          <w:spacing w:val="-9"/>
          <w:sz w:val="24"/>
        </w:rPr>
        <w:t> </w:t>
      </w:r>
      <w:r>
        <w:rPr>
          <w:sz w:val="24"/>
        </w:rPr>
        <w:t>procedimientos</w:t>
      </w:r>
      <w:r>
        <w:rPr>
          <w:spacing w:val="-12"/>
          <w:sz w:val="24"/>
        </w:rPr>
        <w:t> </w:t>
      </w:r>
      <w:r>
        <w:rPr>
          <w:sz w:val="24"/>
        </w:rPr>
        <w:t>formales</w:t>
      </w:r>
      <w:r>
        <w:rPr>
          <w:spacing w:val="-11"/>
          <w:sz w:val="24"/>
        </w:rPr>
        <w:t> </w:t>
      </w:r>
      <w:r>
        <w:rPr>
          <w:sz w:val="24"/>
        </w:rPr>
        <w:t>para</w:t>
      </w:r>
      <w:r>
        <w:rPr>
          <w:spacing w:val="-8"/>
          <w:sz w:val="24"/>
        </w:rPr>
        <w:t> </w:t>
      </w:r>
      <w:r>
        <w:rPr>
          <w:sz w:val="24"/>
        </w:rPr>
        <w:t>denunciar</w:t>
      </w:r>
      <w:r>
        <w:rPr>
          <w:spacing w:val="-9"/>
          <w:sz w:val="24"/>
        </w:rPr>
        <w:t> </w:t>
      </w:r>
      <w:r>
        <w:rPr>
          <w:sz w:val="24"/>
        </w:rPr>
        <w:t>el</w:t>
      </w:r>
      <w:r>
        <w:rPr>
          <w:spacing w:val="-10"/>
          <w:sz w:val="24"/>
        </w:rPr>
        <w:t> </w:t>
      </w:r>
      <w:r>
        <w:rPr>
          <w:sz w:val="24"/>
        </w:rPr>
        <w:t>incumplimiento</w:t>
      </w:r>
      <w:r>
        <w:rPr>
          <w:spacing w:val="-8"/>
          <w:sz w:val="24"/>
        </w:rPr>
        <w:t> </w:t>
      </w:r>
      <w:r>
        <w:rPr>
          <w:sz w:val="24"/>
        </w:rPr>
        <w:t>de estos.</w:t>
      </w:r>
    </w:p>
    <w:p>
      <w:pPr>
        <w:pStyle w:val="BodyText"/>
        <w:spacing w:before="3"/>
        <w:rPr>
          <w:sz w:val="21"/>
        </w:rPr>
      </w:pPr>
    </w:p>
    <w:p>
      <w:pPr>
        <w:pStyle w:val="BodyText"/>
        <w:ind w:left="102"/>
        <w:jc w:val="both"/>
      </w:pPr>
      <w:r>
        <w:rPr/>
        <w:t>La</w:t>
      </w:r>
      <w:r>
        <w:rPr>
          <w:spacing w:val="-16"/>
        </w:rPr>
        <w:t> </w:t>
      </w:r>
      <w:r>
        <w:rPr/>
        <w:t>implementación</w:t>
      </w:r>
      <w:r>
        <w:rPr>
          <w:spacing w:val="-18"/>
        </w:rPr>
        <w:t> </w:t>
      </w:r>
      <w:r>
        <w:rPr/>
        <w:t>de</w:t>
      </w:r>
      <w:r>
        <w:rPr>
          <w:spacing w:val="-18"/>
        </w:rPr>
        <w:t> </w:t>
      </w:r>
      <w:r>
        <w:rPr/>
        <w:t>manuales</w:t>
      </w:r>
      <w:r>
        <w:rPr>
          <w:spacing w:val="-18"/>
        </w:rPr>
        <w:t> </w:t>
      </w:r>
      <w:r>
        <w:rPr/>
        <w:t>de</w:t>
      </w:r>
      <w:r>
        <w:rPr>
          <w:spacing w:val="-18"/>
        </w:rPr>
        <w:t> </w:t>
      </w:r>
      <w:r>
        <w:rPr/>
        <w:t>organización</w:t>
      </w:r>
      <w:r>
        <w:rPr>
          <w:spacing w:val="-15"/>
        </w:rPr>
        <w:t> </w:t>
      </w:r>
      <w:r>
        <w:rPr/>
        <w:t>y</w:t>
      </w:r>
      <w:r>
        <w:rPr>
          <w:spacing w:val="-19"/>
        </w:rPr>
        <w:t> </w:t>
      </w:r>
      <w:r>
        <w:rPr/>
        <w:t>procedimientos,</w:t>
      </w:r>
      <w:r>
        <w:rPr>
          <w:spacing w:val="-16"/>
        </w:rPr>
        <w:t> </w:t>
      </w:r>
      <w:r>
        <w:rPr/>
        <w:t>así</w:t>
      </w:r>
      <w:r>
        <w:rPr>
          <w:spacing w:val="-18"/>
        </w:rPr>
        <w:t> </w:t>
      </w:r>
      <w:r>
        <w:rPr/>
        <w:t>mismo</w:t>
      </w:r>
      <w:r>
        <w:rPr>
          <w:spacing w:val="-16"/>
        </w:rPr>
        <w:t> </w:t>
      </w:r>
      <w:r>
        <w:rPr/>
        <w:t>cómo</w:t>
      </w:r>
    </w:p>
    <w:p>
      <w:pPr>
        <w:spacing w:after="0"/>
        <w:jc w:val="both"/>
        <w:sectPr>
          <w:footerReference w:type="default" r:id="rId54"/>
          <w:pgSz w:w="12240" w:h="15840"/>
          <w:pgMar w:footer="992" w:header="0" w:top="1360" w:bottom="1180" w:left="1600" w:right="1580"/>
        </w:sectPr>
      </w:pPr>
    </w:p>
    <w:p>
      <w:pPr>
        <w:pStyle w:val="BodyText"/>
        <w:spacing w:line="360" w:lineRule="auto" w:before="54"/>
        <w:ind w:left="102" w:right="115"/>
        <w:jc w:val="both"/>
      </w:pPr>
      <w:r>
        <w:rPr/>
        <w:t>los códigos de conducta, son herramientas que benefician en demasía el quehacer de la actividad municipal, sin embargo en los municipios del Estado de México, de acuerdo a los entidades auditadas, es claramente que se carece de estas herramientas indispensables, y de contar con ellos no se encuentran debidamente legitimados</w:t>
      </w:r>
      <w:r>
        <w:rPr>
          <w:spacing w:val="-9"/>
        </w:rPr>
        <w:t> </w:t>
      </w:r>
      <w:r>
        <w:rPr/>
        <w:t>y</w:t>
      </w:r>
      <w:r>
        <w:rPr>
          <w:spacing w:val="-12"/>
        </w:rPr>
        <w:t> </w:t>
      </w:r>
      <w:r>
        <w:rPr/>
        <w:t>legalizados,</w:t>
      </w:r>
      <w:r>
        <w:rPr>
          <w:spacing w:val="-9"/>
        </w:rPr>
        <w:t> </w:t>
      </w:r>
      <w:r>
        <w:rPr/>
        <w:t>tal</w:t>
      </w:r>
      <w:r>
        <w:rPr>
          <w:spacing w:val="-12"/>
        </w:rPr>
        <w:t> </w:t>
      </w:r>
      <w:r>
        <w:rPr/>
        <w:t>pareciera</w:t>
      </w:r>
      <w:r>
        <w:rPr>
          <w:spacing w:val="-9"/>
        </w:rPr>
        <w:t> </w:t>
      </w:r>
      <w:r>
        <w:rPr/>
        <w:t>que</w:t>
      </w:r>
      <w:r>
        <w:rPr>
          <w:spacing w:val="-11"/>
        </w:rPr>
        <w:t> </w:t>
      </w:r>
      <w:r>
        <w:rPr/>
        <w:t>en</w:t>
      </w:r>
      <w:r>
        <w:rPr>
          <w:spacing w:val="-8"/>
        </w:rPr>
        <w:t> </w:t>
      </w:r>
      <w:r>
        <w:rPr/>
        <w:t>municipios</w:t>
      </w:r>
      <w:r>
        <w:rPr>
          <w:spacing w:val="-9"/>
        </w:rPr>
        <w:t> </w:t>
      </w:r>
      <w:r>
        <w:rPr/>
        <w:t>como</w:t>
      </w:r>
      <w:r>
        <w:rPr>
          <w:spacing w:val="-11"/>
        </w:rPr>
        <w:t> </w:t>
      </w:r>
      <w:r>
        <w:rPr/>
        <w:t>Toluca,</w:t>
      </w:r>
      <w:r>
        <w:rPr>
          <w:spacing w:val="-9"/>
        </w:rPr>
        <w:t> </w:t>
      </w:r>
      <w:r>
        <w:rPr/>
        <w:t>Naucalpan, Ecatepec,</w:t>
      </w:r>
      <w:r>
        <w:rPr>
          <w:spacing w:val="-12"/>
        </w:rPr>
        <w:t> </w:t>
      </w:r>
      <w:r>
        <w:rPr/>
        <w:t>que</w:t>
      </w:r>
      <w:r>
        <w:rPr>
          <w:spacing w:val="-12"/>
        </w:rPr>
        <w:t> </w:t>
      </w:r>
      <w:r>
        <w:rPr/>
        <w:t>cuentan</w:t>
      </w:r>
      <w:r>
        <w:rPr>
          <w:spacing w:val="-14"/>
        </w:rPr>
        <w:t> </w:t>
      </w:r>
      <w:r>
        <w:rPr/>
        <w:t>con</w:t>
      </w:r>
      <w:r>
        <w:rPr>
          <w:spacing w:val="-14"/>
        </w:rPr>
        <w:t> </w:t>
      </w:r>
      <w:r>
        <w:rPr/>
        <w:t>mayores</w:t>
      </w:r>
      <w:r>
        <w:rPr>
          <w:spacing w:val="-12"/>
        </w:rPr>
        <w:t> </w:t>
      </w:r>
      <w:r>
        <w:rPr/>
        <w:t>instrumentos</w:t>
      </w:r>
      <w:r>
        <w:rPr>
          <w:spacing w:val="-13"/>
        </w:rPr>
        <w:t> </w:t>
      </w:r>
      <w:r>
        <w:rPr/>
        <w:t>técnicos,</w:t>
      </w:r>
      <w:r>
        <w:rPr>
          <w:spacing w:val="-8"/>
        </w:rPr>
        <w:t> </w:t>
      </w:r>
      <w:r>
        <w:rPr/>
        <w:t>tecnológicos</w:t>
      </w:r>
      <w:r>
        <w:rPr>
          <w:spacing w:val="-11"/>
        </w:rPr>
        <w:t> </w:t>
      </w:r>
      <w:r>
        <w:rPr/>
        <w:t>y</w:t>
      </w:r>
      <w:r>
        <w:rPr>
          <w:spacing w:val="-15"/>
        </w:rPr>
        <w:t> </w:t>
      </w:r>
      <w:r>
        <w:rPr/>
        <w:t>personal calificado, debieran tener estos elementos principalmente como la base de su actuar,</w:t>
      </w:r>
      <w:r>
        <w:rPr>
          <w:spacing w:val="-15"/>
        </w:rPr>
        <w:t> </w:t>
      </w:r>
      <w:r>
        <w:rPr/>
        <w:t>sin</w:t>
      </w:r>
      <w:r>
        <w:rPr>
          <w:spacing w:val="-17"/>
        </w:rPr>
        <w:t> </w:t>
      </w:r>
      <w:r>
        <w:rPr/>
        <w:t>embargo,</w:t>
      </w:r>
      <w:r>
        <w:rPr>
          <w:spacing w:val="-14"/>
        </w:rPr>
        <w:t> </w:t>
      </w:r>
      <w:r>
        <w:rPr/>
        <w:t>con</w:t>
      </w:r>
      <w:r>
        <w:rPr>
          <w:spacing w:val="-14"/>
        </w:rPr>
        <w:t> </w:t>
      </w:r>
      <w:r>
        <w:rPr/>
        <w:t>la</w:t>
      </w:r>
      <w:r>
        <w:rPr>
          <w:spacing w:val="-14"/>
        </w:rPr>
        <w:t> </w:t>
      </w:r>
      <w:r>
        <w:rPr/>
        <w:t>información</w:t>
      </w:r>
      <w:r>
        <w:rPr>
          <w:spacing w:val="-14"/>
        </w:rPr>
        <w:t> </w:t>
      </w:r>
      <w:r>
        <w:rPr/>
        <w:t>analizada</w:t>
      </w:r>
      <w:r>
        <w:rPr>
          <w:spacing w:val="-14"/>
        </w:rPr>
        <w:t> </w:t>
      </w:r>
      <w:r>
        <w:rPr/>
        <w:t>de</w:t>
      </w:r>
      <w:r>
        <w:rPr>
          <w:spacing w:val="-14"/>
        </w:rPr>
        <w:t> </w:t>
      </w:r>
      <w:r>
        <w:rPr/>
        <w:t>las</w:t>
      </w:r>
      <w:r>
        <w:rPr>
          <w:spacing w:val="-14"/>
        </w:rPr>
        <w:t> </w:t>
      </w:r>
      <w:r>
        <w:rPr/>
        <w:t>cuentas</w:t>
      </w:r>
      <w:r>
        <w:rPr>
          <w:spacing w:val="-11"/>
        </w:rPr>
        <w:t> </w:t>
      </w:r>
      <w:r>
        <w:rPr/>
        <w:t>públicas</w:t>
      </w:r>
      <w:r>
        <w:rPr>
          <w:spacing w:val="-14"/>
        </w:rPr>
        <w:t> </w:t>
      </w:r>
      <w:r>
        <w:rPr/>
        <w:t>auditadas por</w:t>
      </w:r>
      <w:r>
        <w:rPr>
          <w:spacing w:val="-10"/>
        </w:rPr>
        <w:t> </w:t>
      </w:r>
      <w:r>
        <w:rPr/>
        <w:t>la</w:t>
      </w:r>
      <w:r>
        <w:rPr>
          <w:spacing w:val="-9"/>
        </w:rPr>
        <w:t> </w:t>
      </w:r>
      <w:r>
        <w:rPr/>
        <w:t>ASF</w:t>
      </w:r>
      <w:r>
        <w:rPr>
          <w:spacing w:val="-9"/>
        </w:rPr>
        <w:t> </w:t>
      </w:r>
      <w:r>
        <w:rPr/>
        <w:t>se</w:t>
      </w:r>
      <w:r>
        <w:rPr>
          <w:spacing w:val="-8"/>
        </w:rPr>
        <w:t> </w:t>
      </w:r>
      <w:r>
        <w:rPr/>
        <w:t>ve</w:t>
      </w:r>
      <w:r>
        <w:rPr>
          <w:spacing w:val="-8"/>
        </w:rPr>
        <w:t> </w:t>
      </w:r>
      <w:r>
        <w:rPr/>
        <w:t>claramente</w:t>
      </w:r>
      <w:r>
        <w:rPr>
          <w:spacing w:val="-8"/>
        </w:rPr>
        <w:t> </w:t>
      </w:r>
      <w:r>
        <w:rPr/>
        <w:t>reflejado</w:t>
      </w:r>
      <w:r>
        <w:rPr>
          <w:spacing w:val="-8"/>
        </w:rPr>
        <w:t> </w:t>
      </w:r>
      <w:r>
        <w:rPr/>
        <w:t>que</w:t>
      </w:r>
      <w:r>
        <w:rPr>
          <w:spacing w:val="-8"/>
        </w:rPr>
        <w:t> </w:t>
      </w:r>
      <w:r>
        <w:rPr/>
        <w:t>no</w:t>
      </w:r>
      <w:r>
        <w:rPr>
          <w:spacing w:val="-11"/>
        </w:rPr>
        <w:t> </w:t>
      </w:r>
      <w:r>
        <w:rPr/>
        <w:t>es</w:t>
      </w:r>
      <w:r>
        <w:rPr>
          <w:spacing w:val="-9"/>
        </w:rPr>
        <w:t> </w:t>
      </w:r>
      <w:r>
        <w:rPr/>
        <w:t>así.</w:t>
      </w:r>
      <w:r>
        <w:rPr>
          <w:spacing w:val="-9"/>
        </w:rPr>
        <w:t> </w:t>
      </w:r>
      <w:r>
        <w:rPr/>
        <w:t>Para</w:t>
      </w:r>
      <w:r>
        <w:rPr>
          <w:spacing w:val="-9"/>
        </w:rPr>
        <w:t> </w:t>
      </w:r>
      <w:r>
        <w:rPr/>
        <w:t>la</w:t>
      </w:r>
      <w:r>
        <w:rPr>
          <w:spacing w:val="-9"/>
        </w:rPr>
        <w:t> </w:t>
      </w:r>
      <w:r>
        <w:rPr/>
        <w:t>toma</w:t>
      </w:r>
      <w:r>
        <w:rPr>
          <w:spacing w:val="-8"/>
        </w:rPr>
        <w:t> </w:t>
      </w:r>
      <w:r>
        <w:rPr/>
        <w:t>de</w:t>
      </w:r>
      <w:r>
        <w:rPr>
          <w:spacing w:val="-8"/>
        </w:rPr>
        <w:t> </w:t>
      </w:r>
      <w:r>
        <w:rPr/>
        <w:t>decisiones,</w:t>
      </w:r>
      <w:r>
        <w:rPr>
          <w:spacing w:val="-9"/>
        </w:rPr>
        <w:t> </w:t>
      </w:r>
      <w:r>
        <w:rPr/>
        <w:t>es necesario contar la información y datos que permitan un adecuado proceso de decisión, pero de acuerdo a los datos arrojados aún no se cuenta con estas herramientas que guíen la administración pública municipal, y evitar así futuras irregularidades en la operatividad de los</w:t>
      </w:r>
      <w:r>
        <w:rPr>
          <w:spacing w:val="-13"/>
        </w:rPr>
        <w:t> </w:t>
      </w:r>
      <w:r>
        <w:rPr/>
        <w:t>fondos.</w:t>
      </w:r>
    </w:p>
    <w:p>
      <w:pPr>
        <w:pStyle w:val="BodyText"/>
        <w:spacing w:before="3"/>
        <w:rPr>
          <w:sz w:val="21"/>
        </w:rPr>
      </w:pPr>
    </w:p>
    <w:p>
      <w:pPr>
        <w:pStyle w:val="BodyText"/>
        <w:spacing w:line="360" w:lineRule="auto"/>
        <w:ind w:left="102" w:right="116"/>
        <w:jc w:val="both"/>
      </w:pPr>
      <w:r>
        <w:rPr/>
        <w:t>Por último, del periodo comprendido motivo de la investigación, se tiene que la Auditoría</w:t>
      </w:r>
      <w:r>
        <w:rPr>
          <w:spacing w:val="-16"/>
        </w:rPr>
        <w:t> </w:t>
      </w:r>
      <w:r>
        <w:rPr/>
        <w:t>Superior</w:t>
      </w:r>
      <w:r>
        <w:rPr>
          <w:spacing w:val="-17"/>
        </w:rPr>
        <w:t> </w:t>
      </w:r>
      <w:r>
        <w:rPr/>
        <w:t>de</w:t>
      </w:r>
      <w:r>
        <w:rPr>
          <w:spacing w:val="-16"/>
        </w:rPr>
        <w:t> </w:t>
      </w:r>
      <w:r>
        <w:rPr/>
        <w:t>la</w:t>
      </w:r>
      <w:r>
        <w:rPr>
          <w:spacing w:val="-16"/>
        </w:rPr>
        <w:t> </w:t>
      </w:r>
      <w:r>
        <w:rPr/>
        <w:t>Federación</w:t>
      </w:r>
      <w:r>
        <w:rPr>
          <w:spacing w:val="-16"/>
        </w:rPr>
        <w:t> </w:t>
      </w:r>
      <w:r>
        <w:rPr/>
        <w:t>efectuó</w:t>
      </w:r>
      <w:r>
        <w:rPr>
          <w:spacing w:val="-16"/>
        </w:rPr>
        <w:t> </w:t>
      </w:r>
      <w:r>
        <w:rPr/>
        <w:t>un</w:t>
      </w:r>
      <w:r>
        <w:rPr>
          <w:spacing w:val="-16"/>
        </w:rPr>
        <w:t> </w:t>
      </w:r>
      <w:r>
        <w:rPr/>
        <w:t>total</w:t>
      </w:r>
      <w:r>
        <w:rPr>
          <w:spacing w:val="-17"/>
        </w:rPr>
        <w:t> </w:t>
      </w:r>
      <w:r>
        <w:rPr/>
        <w:t>de</w:t>
      </w:r>
      <w:r>
        <w:rPr>
          <w:spacing w:val="-18"/>
        </w:rPr>
        <w:t> </w:t>
      </w:r>
      <w:r>
        <w:rPr/>
        <w:t>79</w:t>
      </w:r>
      <w:r>
        <w:rPr>
          <w:spacing w:val="-14"/>
        </w:rPr>
        <w:t> </w:t>
      </w:r>
      <w:r>
        <w:rPr/>
        <w:t>auditorías</w:t>
      </w:r>
      <w:r>
        <w:rPr>
          <w:spacing w:val="-18"/>
        </w:rPr>
        <w:t> </w:t>
      </w:r>
      <w:r>
        <w:rPr/>
        <w:t>a</w:t>
      </w:r>
      <w:r>
        <w:rPr>
          <w:spacing w:val="-16"/>
        </w:rPr>
        <w:t> </w:t>
      </w:r>
      <w:r>
        <w:rPr/>
        <w:t>35</w:t>
      </w:r>
      <w:r>
        <w:rPr>
          <w:spacing w:val="-18"/>
        </w:rPr>
        <w:t> </w:t>
      </w:r>
      <w:r>
        <w:rPr/>
        <w:t>municipios del Estado de México de los cuales en la mayoría presentó debilidades de control interno, vinculadas principalmente con los procesos de planeación, ejecución, seguimiento y evaluación, lo que, en algunos casos, provocaron que se ejercieran recursos</w:t>
      </w:r>
      <w:r>
        <w:rPr>
          <w:spacing w:val="-11"/>
        </w:rPr>
        <w:t> </w:t>
      </w:r>
      <w:r>
        <w:rPr/>
        <w:t>en</w:t>
      </w:r>
      <w:r>
        <w:rPr>
          <w:spacing w:val="-11"/>
        </w:rPr>
        <w:t> </w:t>
      </w:r>
      <w:r>
        <w:rPr/>
        <w:t>obras</w:t>
      </w:r>
      <w:r>
        <w:rPr>
          <w:spacing w:val="-11"/>
        </w:rPr>
        <w:t> </w:t>
      </w:r>
      <w:r>
        <w:rPr/>
        <w:t>y</w:t>
      </w:r>
      <w:r>
        <w:rPr>
          <w:spacing w:val="-14"/>
        </w:rPr>
        <w:t> </w:t>
      </w:r>
      <w:r>
        <w:rPr/>
        <w:t>acciones</w:t>
      </w:r>
      <w:r>
        <w:rPr>
          <w:spacing w:val="-12"/>
        </w:rPr>
        <w:t> </w:t>
      </w:r>
      <w:r>
        <w:rPr/>
        <w:t>que</w:t>
      </w:r>
      <w:r>
        <w:rPr>
          <w:spacing w:val="-11"/>
        </w:rPr>
        <w:t> </w:t>
      </w:r>
      <w:r>
        <w:rPr/>
        <w:t>no</w:t>
      </w:r>
      <w:r>
        <w:rPr>
          <w:spacing w:val="-11"/>
        </w:rPr>
        <w:t> </w:t>
      </w:r>
      <w:r>
        <w:rPr/>
        <w:t>atendieron</w:t>
      </w:r>
      <w:r>
        <w:rPr>
          <w:spacing w:val="-11"/>
        </w:rPr>
        <w:t> </w:t>
      </w:r>
      <w:r>
        <w:rPr/>
        <w:t>los</w:t>
      </w:r>
      <w:r>
        <w:rPr>
          <w:spacing w:val="-13"/>
        </w:rPr>
        <w:t> </w:t>
      </w:r>
      <w:r>
        <w:rPr/>
        <w:t>objetivos</w:t>
      </w:r>
      <w:r>
        <w:rPr>
          <w:spacing w:val="-12"/>
        </w:rPr>
        <w:t> </w:t>
      </w:r>
      <w:r>
        <w:rPr/>
        <w:t>de</w:t>
      </w:r>
      <w:r>
        <w:rPr>
          <w:spacing w:val="-13"/>
        </w:rPr>
        <w:t> </w:t>
      </w:r>
      <w:r>
        <w:rPr/>
        <w:t>los</w:t>
      </w:r>
      <w:r>
        <w:rPr>
          <w:spacing w:val="-11"/>
        </w:rPr>
        <w:t> </w:t>
      </w:r>
      <w:r>
        <w:rPr/>
        <w:t>fondos.</w:t>
      </w:r>
      <w:r>
        <w:rPr>
          <w:spacing w:val="-11"/>
        </w:rPr>
        <w:t> </w:t>
      </w:r>
      <w:r>
        <w:rPr/>
        <w:t>Un</w:t>
      </w:r>
      <w:r>
        <w:rPr>
          <w:spacing w:val="-13"/>
        </w:rPr>
        <w:t> </w:t>
      </w:r>
      <w:r>
        <w:rPr/>
        <w:t>dato importante</w:t>
      </w:r>
      <w:r>
        <w:rPr>
          <w:spacing w:val="-5"/>
        </w:rPr>
        <w:t> </w:t>
      </w:r>
      <w:r>
        <w:rPr/>
        <w:t>que</w:t>
      </w:r>
      <w:r>
        <w:rPr>
          <w:spacing w:val="-7"/>
        </w:rPr>
        <w:t> </w:t>
      </w:r>
      <w:r>
        <w:rPr/>
        <w:t>hay</w:t>
      </w:r>
      <w:r>
        <w:rPr>
          <w:spacing w:val="-8"/>
        </w:rPr>
        <w:t> </w:t>
      </w:r>
      <w:r>
        <w:rPr/>
        <w:t>que</w:t>
      </w:r>
      <w:r>
        <w:rPr>
          <w:spacing w:val="-5"/>
        </w:rPr>
        <w:t> </w:t>
      </w:r>
      <w:r>
        <w:rPr/>
        <w:t>destacar</w:t>
      </w:r>
      <w:r>
        <w:rPr>
          <w:spacing w:val="-2"/>
        </w:rPr>
        <w:t> </w:t>
      </w:r>
      <w:r>
        <w:rPr/>
        <w:t>que</w:t>
      </w:r>
      <w:r>
        <w:rPr>
          <w:spacing w:val="-7"/>
        </w:rPr>
        <w:t> </w:t>
      </w:r>
      <w:r>
        <w:rPr/>
        <w:t>en</w:t>
      </w:r>
      <w:r>
        <w:rPr>
          <w:spacing w:val="-7"/>
        </w:rPr>
        <w:t> </w:t>
      </w:r>
      <w:r>
        <w:rPr/>
        <w:t>el</w:t>
      </w:r>
      <w:r>
        <w:rPr>
          <w:spacing w:val="-6"/>
        </w:rPr>
        <w:t> </w:t>
      </w:r>
      <w:r>
        <w:rPr/>
        <w:t>año</w:t>
      </w:r>
      <w:r>
        <w:rPr>
          <w:spacing w:val="-7"/>
        </w:rPr>
        <w:t> </w:t>
      </w:r>
      <w:r>
        <w:rPr/>
        <w:t>2013</w:t>
      </w:r>
      <w:r>
        <w:rPr>
          <w:spacing w:val="-7"/>
        </w:rPr>
        <w:t> </w:t>
      </w:r>
      <w:r>
        <w:rPr/>
        <w:t>se</w:t>
      </w:r>
      <w:r>
        <w:rPr>
          <w:spacing w:val="-7"/>
        </w:rPr>
        <w:t> </w:t>
      </w:r>
      <w:r>
        <w:rPr/>
        <w:t>auditaron</w:t>
      </w:r>
      <w:r>
        <w:rPr>
          <w:spacing w:val="-7"/>
        </w:rPr>
        <w:t> </w:t>
      </w:r>
      <w:r>
        <w:rPr/>
        <w:t>21</w:t>
      </w:r>
      <w:r>
        <w:rPr>
          <w:spacing w:val="-7"/>
        </w:rPr>
        <w:t> </w:t>
      </w:r>
      <w:r>
        <w:rPr/>
        <w:t>municipios</w:t>
      </w:r>
      <w:r>
        <w:rPr>
          <w:spacing w:val="-8"/>
        </w:rPr>
        <w:t> </w:t>
      </w:r>
      <w:r>
        <w:rPr/>
        <w:t>de los cuales sólo Villa Victoria obtuvo un alto nivel de control interno, y que los restantes fueron calificados como carentes de control o que estos no estaban debidamente implementados. Para el año 2014 donde fueron revisadas 13 entidades municipales, la situación no fue muy diferente los resultados del año anterior, los 13 municipios no dispusieron de un adecuado sistema de control interno.</w:t>
      </w:r>
    </w:p>
    <w:p>
      <w:pPr>
        <w:pStyle w:val="BodyText"/>
        <w:spacing w:before="1"/>
        <w:rPr>
          <w:sz w:val="21"/>
        </w:rPr>
      </w:pPr>
    </w:p>
    <w:p>
      <w:pPr>
        <w:pStyle w:val="BodyText"/>
        <w:spacing w:line="360" w:lineRule="auto"/>
        <w:ind w:left="102" w:right="122"/>
        <w:jc w:val="both"/>
      </w:pPr>
      <w:r>
        <w:rPr/>
        <w:t>Es oportuno enfatizar que los problemas detectados en auditoría rondan en los mecanismos</w:t>
      </w:r>
      <w:r>
        <w:rPr>
          <w:spacing w:val="-15"/>
        </w:rPr>
        <w:t> </w:t>
      </w:r>
      <w:r>
        <w:rPr/>
        <w:t>de</w:t>
      </w:r>
      <w:r>
        <w:rPr>
          <w:spacing w:val="-14"/>
        </w:rPr>
        <w:t> </w:t>
      </w:r>
      <w:r>
        <w:rPr/>
        <w:t>gestión,</w:t>
      </w:r>
      <w:r>
        <w:rPr>
          <w:spacing w:val="-14"/>
        </w:rPr>
        <w:t> </w:t>
      </w:r>
      <w:r>
        <w:rPr/>
        <w:t>por</w:t>
      </w:r>
      <w:r>
        <w:rPr>
          <w:spacing w:val="-16"/>
        </w:rPr>
        <w:t> </w:t>
      </w:r>
      <w:r>
        <w:rPr/>
        <w:t>lo</w:t>
      </w:r>
      <w:r>
        <w:rPr>
          <w:spacing w:val="-14"/>
        </w:rPr>
        <w:t> </w:t>
      </w:r>
      <w:r>
        <w:rPr/>
        <w:t>tanto,</w:t>
      </w:r>
      <w:r>
        <w:rPr>
          <w:spacing w:val="-17"/>
        </w:rPr>
        <w:t> </w:t>
      </w:r>
      <w:r>
        <w:rPr/>
        <w:t>se</w:t>
      </w:r>
      <w:r>
        <w:rPr>
          <w:spacing w:val="-14"/>
        </w:rPr>
        <w:t> </w:t>
      </w:r>
      <w:r>
        <w:rPr/>
        <w:t>puede</w:t>
      </w:r>
      <w:r>
        <w:rPr>
          <w:spacing w:val="-14"/>
        </w:rPr>
        <w:t> </w:t>
      </w:r>
      <w:r>
        <w:rPr/>
        <w:t>afirmar</w:t>
      </w:r>
      <w:r>
        <w:rPr>
          <w:spacing w:val="-16"/>
        </w:rPr>
        <w:t> </w:t>
      </w:r>
      <w:r>
        <w:rPr/>
        <w:t>que</w:t>
      </w:r>
      <w:r>
        <w:rPr>
          <w:spacing w:val="-14"/>
        </w:rPr>
        <w:t> </w:t>
      </w:r>
      <w:r>
        <w:rPr/>
        <w:t>el</w:t>
      </w:r>
      <w:r>
        <w:rPr>
          <w:spacing w:val="-15"/>
        </w:rPr>
        <w:t> </w:t>
      </w:r>
      <w:r>
        <w:rPr/>
        <w:t>tomador</w:t>
      </w:r>
      <w:r>
        <w:rPr>
          <w:spacing w:val="-16"/>
        </w:rPr>
        <w:t> </w:t>
      </w:r>
      <w:r>
        <w:rPr/>
        <w:t>de</w:t>
      </w:r>
      <w:r>
        <w:rPr>
          <w:spacing w:val="-17"/>
        </w:rPr>
        <w:t> </w:t>
      </w:r>
      <w:r>
        <w:rPr/>
        <w:t>decisiones requiere de un apoyo especializado para subsanar en los procedimientos estos detalles.</w:t>
      </w:r>
    </w:p>
    <w:p>
      <w:pPr>
        <w:spacing w:after="0" w:line="360" w:lineRule="auto"/>
        <w:jc w:val="both"/>
        <w:sectPr>
          <w:footerReference w:type="default" r:id="rId55"/>
          <w:pgSz w:w="12240" w:h="15840"/>
          <w:pgMar w:footer="932" w:header="0" w:top="1360" w:bottom="1120" w:left="1600" w:right="1580"/>
          <w:pgNumType w:start="171"/>
        </w:sectPr>
      </w:pPr>
    </w:p>
    <w:p>
      <w:pPr>
        <w:pStyle w:val="Heading1"/>
        <w:numPr>
          <w:ilvl w:val="1"/>
          <w:numId w:val="55"/>
        </w:numPr>
        <w:tabs>
          <w:tab w:pos="2536" w:val="left" w:leader="none"/>
          <w:tab w:pos="2537" w:val="left" w:leader="none"/>
        </w:tabs>
        <w:spacing w:line="240" w:lineRule="auto" w:before="52" w:after="0"/>
        <w:ind w:left="2536" w:right="0" w:hanging="721"/>
        <w:jc w:val="left"/>
      </w:pPr>
      <w:bookmarkStart w:name="_TOC_250007" w:id="45"/>
      <w:r>
        <w:rPr/>
        <w:t>Responsabilidades y</w:t>
      </w:r>
      <w:r>
        <w:rPr>
          <w:spacing w:val="-17"/>
        </w:rPr>
        <w:t> </w:t>
      </w:r>
      <w:bookmarkEnd w:id="45"/>
      <w:r>
        <w:rPr/>
        <w:t>Observaciones</w:t>
      </w:r>
    </w:p>
    <w:p>
      <w:pPr>
        <w:pStyle w:val="BodyText"/>
        <w:rPr>
          <w:b/>
          <w:sz w:val="28"/>
        </w:rPr>
      </w:pPr>
    </w:p>
    <w:p>
      <w:pPr>
        <w:pStyle w:val="BodyText"/>
        <w:rPr>
          <w:b/>
          <w:sz w:val="28"/>
        </w:rPr>
      </w:pPr>
    </w:p>
    <w:p>
      <w:pPr>
        <w:pStyle w:val="BodyText"/>
        <w:spacing w:before="6"/>
        <w:rPr>
          <w:b/>
          <w:sz w:val="30"/>
        </w:rPr>
      </w:pPr>
    </w:p>
    <w:p>
      <w:pPr>
        <w:pStyle w:val="BodyText"/>
        <w:spacing w:line="360" w:lineRule="auto"/>
        <w:ind w:left="102" w:right="119"/>
        <w:jc w:val="both"/>
      </w:pPr>
      <w:r>
        <w:rPr/>
        <w:t>El presente tema proporciona un contexto real sobre la gestión gubernamental y el ejercicio de los municipios que integran el Estado de México, cabe apuntar que las ideas vertidas en este apartado tiene como sustento principal los informes de resultados y la versión ejecutiva en su apartado de gasto federalizado de la fiscalización, realizada por la Auditoría Superior de la Federación a las cuentas públicas del periodo 2008 al 2014.</w:t>
      </w:r>
    </w:p>
    <w:p>
      <w:pPr>
        <w:pStyle w:val="BodyText"/>
        <w:spacing w:line="360" w:lineRule="auto" w:before="205"/>
        <w:ind w:left="102" w:right="115"/>
        <w:jc w:val="both"/>
      </w:pPr>
      <w:r>
        <w:rPr/>
        <w:t>La</w:t>
      </w:r>
      <w:r>
        <w:rPr>
          <w:spacing w:val="-9"/>
        </w:rPr>
        <w:t> </w:t>
      </w:r>
      <w:r>
        <w:rPr/>
        <w:t>obligación</w:t>
      </w:r>
      <w:r>
        <w:rPr>
          <w:spacing w:val="-7"/>
        </w:rPr>
        <w:t> </w:t>
      </w:r>
      <w:r>
        <w:rPr/>
        <w:t>que</w:t>
      </w:r>
      <w:r>
        <w:rPr>
          <w:spacing w:val="-7"/>
        </w:rPr>
        <w:t> </w:t>
      </w:r>
      <w:r>
        <w:rPr/>
        <w:t>tienen</w:t>
      </w:r>
      <w:r>
        <w:rPr>
          <w:spacing w:val="-7"/>
        </w:rPr>
        <w:t> </w:t>
      </w:r>
      <w:r>
        <w:rPr/>
        <w:t>los</w:t>
      </w:r>
      <w:r>
        <w:rPr>
          <w:spacing w:val="-10"/>
        </w:rPr>
        <w:t> </w:t>
      </w:r>
      <w:r>
        <w:rPr/>
        <w:t>servidores</w:t>
      </w:r>
      <w:r>
        <w:rPr>
          <w:spacing w:val="-8"/>
        </w:rPr>
        <w:t> </w:t>
      </w:r>
      <w:r>
        <w:rPr/>
        <w:t>públicos</w:t>
      </w:r>
      <w:r>
        <w:rPr>
          <w:spacing w:val="-8"/>
        </w:rPr>
        <w:t> </w:t>
      </w:r>
      <w:r>
        <w:rPr/>
        <w:t>de</w:t>
      </w:r>
      <w:r>
        <w:rPr>
          <w:spacing w:val="-9"/>
        </w:rPr>
        <w:t> </w:t>
      </w:r>
      <w:r>
        <w:rPr/>
        <w:t>mostrar,</w:t>
      </w:r>
      <w:r>
        <w:rPr>
          <w:spacing w:val="-8"/>
        </w:rPr>
        <w:t> </w:t>
      </w:r>
      <w:r>
        <w:rPr/>
        <w:t>clara</w:t>
      </w:r>
      <w:r>
        <w:rPr>
          <w:spacing w:val="-9"/>
        </w:rPr>
        <w:t> </w:t>
      </w:r>
      <w:r>
        <w:rPr/>
        <w:t>y</w:t>
      </w:r>
      <w:r>
        <w:rPr>
          <w:spacing w:val="-10"/>
        </w:rPr>
        <w:t> </w:t>
      </w:r>
      <w:r>
        <w:rPr/>
        <w:t>oportunamente, el</w:t>
      </w:r>
      <w:r>
        <w:rPr>
          <w:spacing w:val="-10"/>
        </w:rPr>
        <w:t> </w:t>
      </w:r>
      <w:r>
        <w:rPr/>
        <w:t>uso</w:t>
      </w:r>
      <w:r>
        <w:rPr>
          <w:spacing w:val="-8"/>
        </w:rPr>
        <w:t> </w:t>
      </w:r>
      <w:r>
        <w:rPr/>
        <w:t>que</w:t>
      </w:r>
      <w:r>
        <w:rPr>
          <w:spacing w:val="-11"/>
        </w:rPr>
        <w:t> </w:t>
      </w:r>
      <w:r>
        <w:rPr/>
        <w:t>han</w:t>
      </w:r>
      <w:r>
        <w:rPr>
          <w:spacing w:val="-11"/>
        </w:rPr>
        <w:t> </w:t>
      </w:r>
      <w:r>
        <w:rPr/>
        <w:t>hecho</w:t>
      </w:r>
      <w:r>
        <w:rPr>
          <w:spacing w:val="-11"/>
        </w:rPr>
        <w:t> </w:t>
      </w:r>
      <w:r>
        <w:rPr/>
        <w:t>de</w:t>
      </w:r>
      <w:r>
        <w:rPr>
          <w:spacing w:val="-8"/>
        </w:rPr>
        <w:t> </w:t>
      </w:r>
      <w:r>
        <w:rPr/>
        <w:t>los</w:t>
      </w:r>
      <w:r>
        <w:rPr>
          <w:spacing w:val="-9"/>
        </w:rPr>
        <w:t> </w:t>
      </w:r>
      <w:r>
        <w:rPr/>
        <w:t>recursos</w:t>
      </w:r>
      <w:r>
        <w:rPr>
          <w:spacing w:val="-11"/>
        </w:rPr>
        <w:t> </w:t>
      </w:r>
      <w:r>
        <w:rPr/>
        <w:t>que</w:t>
      </w:r>
      <w:r>
        <w:rPr>
          <w:spacing w:val="-8"/>
        </w:rPr>
        <w:t> </w:t>
      </w:r>
      <w:r>
        <w:rPr/>
        <w:t>les</w:t>
      </w:r>
      <w:r>
        <w:rPr>
          <w:spacing w:val="-11"/>
        </w:rPr>
        <w:t> </w:t>
      </w:r>
      <w:r>
        <w:rPr/>
        <w:t>fueron</w:t>
      </w:r>
      <w:r>
        <w:rPr>
          <w:spacing w:val="-8"/>
        </w:rPr>
        <w:t> </w:t>
      </w:r>
      <w:r>
        <w:rPr/>
        <w:t>conferidos</w:t>
      </w:r>
      <w:r>
        <w:rPr>
          <w:spacing w:val="47"/>
        </w:rPr>
        <w:t> </w:t>
      </w:r>
      <w:r>
        <w:rPr/>
        <w:t>para</w:t>
      </w:r>
      <w:r>
        <w:rPr>
          <w:spacing w:val="-8"/>
        </w:rPr>
        <w:t> </w:t>
      </w:r>
      <w:r>
        <w:rPr/>
        <w:t>el</w:t>
      </w:r>
      <w:r>
        <w:rPr>
          <w:spacing w:val="-10"/>
        </w:rPr>
        <w:t> </w:t>
      </w:r>
      <w:r>
        <w:rPr/>
        <w:t>desempeño de</w:t>
      </w:r>
      <w:r>
        <w:rPr>
          <w:spacing w:val="-6"/>
        </w:rPr>
        <w:t> </w:t>
      </w:r>
      <w:r>
        <w:rPr/>
        <w:t>sus</w:t>
      </w:r>
      <w:r>
        <w:rPr>
          <w:spacing w:val="-9"/>
        </w:rPr>
        <w:t> </w:t>
      </w:r>
      <w:r>
        <w:rPr/>
        <w:t>funciones,</w:t>
      </w:r>
      <w:r>
        <w:rPr>
          <w:spacing w:val="-6"/>
        </w:rPr>
        <w:t> </w:t>
      </w:r>
      <w:r>
        <w:rPr/>
        <w:t>se</w:t>
      </w:r>
      <w:r>
        <w:rPr>
          <w:spacing w:val="-6"/>
        </w:rPr>
        <w:t> </w:t>
      </w:r>
      <w:r>
        <w:rPr/>
        <w:t>revisa</w:t>
      </w:r>
      <w:r>
        <w:rPr>
          <w:spacing w:val="-6"/>
        </w:rPr>
        <w:t> </w:t>
      </w:r>
      <w:r>
        <w:rPr/>
        <w:t>a</w:t>
      </w:r>
      <w:r>
        <w:rPr>
          <w:spacing w:val="-6"/>
        </w:rPr>
        <w:t> </w:t>
      </w:r>
      <w:r>
        <w:rPr/>
        <w:t>través</w:t>
      </w:r>
      <w:r>
        <w:rPr>
          <w:spacing w:val="-7"/>
        </w:rPr>
        <w:t> </w:t>
      </w:r>
      <w:r>
        <w:rPr/>
        <w:t>de</w:t>
      </w:r>
      <w:r>
        <w:rPr>
          <w:spacing w:val="-6"/>
        </w:rPr>
        <w:t> </w:t>
      </w:r>
      <w:r>
        <w:rPr/>
        <w:t>la</w:t>
      </w:r>
      <w:r>
        <w:rPr>
          <w:spacing w:val="-6"/>
        </w:rPr>
        <w:t> </w:t>
      </w:r>
      <w:r>
        <w:rPr/>
        <w:t>fiscalización</w:t>
      </w:r>
      <w:r>
        <w:rPr>
          <w:spacing w:val="-6"/>
        </w:rPr>
        <w:t> </w:t>
      </w:r>
      <w:r>
        <w:rPr/>
        <w:t>que</w:t>
      </w:r>
      <w:r>
        <w:rPr>
          <w:spacing w:val="-6"/>
        </w:rPr>
        <w:t> </w:t>
      </w:r>
      <w:r>
        <w:rPr/>
        <w:t>es</w:t>
      </w:r>
      <w:r>
        <w:rPr>
          <w:spacing w:val="-7"/>
        </w:rPr>
        <w:t> </w:t>
      </w:r>
      <w:r>
        <w:rPr/>
        <w:t>la</w:t>
      </w:r>
      <w:r>
        <w:rPr>
          <w:spacing w:val="-6"/>
        </w:rPr>
        <w:t> </w:t>
      </w:r>
      <w:r>
        <w:rPr/>
        <w:t>que</w:t>
      </w:r>
      <w:r>
        <w:rPr>
          <w:spacing w:val="-6"/>
        </w:rPr>
        <w:t> </w:t>
      </w:r>
      <w:r>
        <w:rPr/>
        <w:t>contribuye</w:t>
      </w:r>
      <w:r>
        <w:rPr>
          <w:spacing w:val="-6"/>
        </w:rPr>
        <w:t> </w:t>
      </w:r>
      <w:r>
        <w:rPr/>
        <w:t>a</w:t>
      </w:r>
      <w:r>
        <w:rPr>
          <w:spacing w:val="-6"/>
        </w:rPr>
        <w:t> </w:t>
      </w:r>
      <w:r>
        <w:rPr/>
        <w:t>la rendición de cuentas del aparato gubernamental. La fiscalización proporciona elementos de gran valor para conformar gobiernos que entreguen resultados de calidad que generen condiciones orientadas a la eficiencia, eficacia, economía y transparencia, por ello, es que esta fiscalización se efectúa a través de las Auditorías las cuales proporcionan datos con la finalidad de reconocer e identificar las unidades administrativas, procesos, actividades o gastos que se encuentren en riesgos y por ende pudiese observar opacidad, discrecionalidad o una mayor incidencia de errores, omisiones e</w:t>
      </w:r>
      <w:r>
        <w:rPr>
          <w:spacing w:val="-18"/>
        </w:rPr>
        <w:t> </w:t>
      </w:r>
      <w:r>
        <w:rPr/>
        <w:t>irregularidades.</w:t>
      </w:r>
    </w:p>
    <w:p>
      <w:pPr>
        <w:pStyle w:val="BodyText"/>
      </w:pPr>
    </w:p>
    <w:p>
      <w:pPr>
        <w:pStyle w:val="Heading1"/>
        <w:spacing w:before="203"/>
        <w:ind w:left="2495"/>
      </w:pPr>
      <w:bookmarkStart w:name="_TOC_250006" w:id="46"/>
      <w:bookmarkEnd w:id="46"/>
      <w:r>
        <w:rPr/>
        <w:t>4.6.1 Tipos de responsabilidades</w:t>
      </w:r>
    </w:p>
    <w:p>
      <w:pPr>
        <w:pStyle w:val="BodyText"/>
        <w:rPr>
          <w:b/>
          <w:sz w:val="28"/>
        </w:rPr>
      </w:pPr>
    </w:p>
    <w:p>
      <w:pPr>
        <w:pStyle w:val="BodyText"/>
        <w:rPr>
          <w:b/>
          <w:sz w:val="28"/>
        </w:rPr>
      </w:pPr>
    </w:p>
    <w:p>
      <w:pPr>
        <w:pStyle w:val="BodyText"/>
        <w:spacing w:before="8"/>
        <w:rPr>
          <w:b/>
          <w:sz w:val="30"/>
        </w:rPr>
      </w:pPr>
    </w:p>
    <w:p>
      <w:pPr>
        <w:pStyle w:val="BodyText"/>
        <w:spacing w:line="360" w:lineRule="auto" w:before="1"/>
        <w:ind w:left="102" w:right="116"/>
        <w:jc w:val="both"/>
      </w:pPr>
      <w:r>
        <w:rPr/>
        <w:t>De acuerdo a la Ley de Responsabilidades de los Servidores Públicos del Estado</w:t>
      </w:r>
      <w:r>
        <w:rPr>
          <w:spacing w:val="-46"/>
        </w:rPr>
        <w:t> </w:t>
      </w:r>
      <w:r>
        <w:rPr/>
        <w:t>y municipios,</w:t>
      </w:r>
      <w:r>
        <w:rPr>
          <w:spacing w:val="-13"/>
        </w:rPr>
        <w:t> </w:t>
      </w:r>
      <w:r>
        <w:rPr/>
        <w:t>existen</w:t>
      </w:r>
      <w:r>
        <w:rPr>
          <w:spacing w:val="-15"/>
        </w:rPr>
        <w:t> </w:t>
      </w:r>
      <w:r>
        <w:rPr/>
        <w:t>dos</w:t>
      </w:r>
      <w:r>
        <w:rPr>
          <w:spacing w:val="-14"/>
        </w:rPr>
        <w:t> </w:t>
      </w:r>
      <w:r>
        <w:rPr/>
        <w:t>tipos</w:t>
      </w:r>
      <w:r>
        <w:rPr>
          <w:spacing w:val="-16"/>
        </w:rPr>
        <w:t> </w:t>
      </w:r>
      <w:r>
        <w:rPr/>
        <w:t>de</w:t>
      </w:r>
      <w:r>
        <w:rPr>
          <w:spacing w:val="-13"/>
        </w:rPr>
        <w:t> </w:t>
      </w:r>
      <w:r>
        <w:rPr/>
        <w:t>responsabilidades</w:t>
      </w:r>
      <w:r>
        <w:rPr>
          <w:spacing w:val="-14"/>
        </w:rPr>
        <w:t> </w:t>
      </w:r>
      <w:r>
        <w:rPr/>
        <w:t>de</w:t>
      </w:r>
      <w:r>
        <w:rPr>
          <w:spacing w:val="-8"/>
        </w:rPr>
        <w:t> </w:t>
      </w:r>
      <w:r>
        <w:rPr/>
        <w:t>naturaleza</w:t>
      </w:r>
      <w:r>
        <w:rPr>
          <w:spacing w:val="-13"/>
        </w:rPr>
        <w:t> </w:t>
      </w:r>
      <w:r>
        <w:rPr/>
        <w:t>administrativa</w:t>
      </w:r>
      <w:r>
        <w:rPr>
          <w:spacing w:val="-13"/>
        </w:rPr>
        <w:t> </w:t>
      </w:r>
      <w:r>
        <w:rPr/>
        <w:t>que son las disciplinarias y</w:t>
      </w:r>
      <w:r>
        <w:rPr>
          <w:spacing w:val="-12"/>
        </w:rPr>
        <w:t> </w:t>
      </w:r>
      <w:r>
        <w:rPr/>
        <w:t>resarcitorias.</w:t>
      </w:r>
    </w:p>
    <w:p>
      <w:pPr>
        <w:pStyle w:val="BodyText"/>
        <w:spacing w:line="360" w:lineRule="auto" w:before="204"/>
        <w:ind w:left="102" w:right="115"/>
        <w:jc w:val="both"/>
      </w:pPr>
      <w:r>
        <w:rPr/>
        <w:t>Las responsabilidades administrativas disciplinarias tienen por objeto disciplinar y sancionar las conductas de los servidores públicos que infrinjan algunas de las disposiciones que la ley citada enuncia.</w:t>
      </w:r>
    </w:p>
    <w:p>
      <w:pPr>
        <w:spacing w:after="0" w:line="360" w:lineRule="auto"/>
        <w:jc w:val="both"/>
        <w:sectPr>
          <w:pgSz w:w="12240" w:h="15840"/>
          <w:pgMar w:header="0" w:footer="932" w:top="1360" w:bottom="1180" w:left="1600" w:right="1580"/>
        </w:sectPr>
      </w:pPr>
    </w:p>
    <w:p>
      <w:pPr>
        <w:pStyle w:val="BodyText"/>
        <w:spacing w:line="360" w:lineRule="auto" w:before="54"/>
        <w:ind w:left="102" w:right="115"/>
        <w:jc w:val="both"/>
      </w:pPr>
      <w:r>
        <w:rPr/>
        <w:t>Por otro lado, están las responsabilidades de tipo resarcitoria que también se encuentran expresadas en la Ley de Fiscalización Superior del Estado de México, ésta tiene por objeto reparar, indemnizar y resarcir los daños y perjuicios que se causen</w:t>
      </w:r>
      <w:r>
        <w:rPr>
          <w:spacing w:val="-6"/>
        </w:rPr>
        <w:t> </w:t>
      </w:r>
      <w:r>
        <w:rPr/>
        <w:t>a</w:t>
      </w:r>
      <w:r>
        <w:rPr>
          <w:spacing w:val="-4"/>
        </w:rPr>
        <w:t> </w:t>
      </w:r>
      <w:r>
        <w:rPr/>
        <w:t>la</w:t>
      </w:r>
      <w:r>
        <w:rPr>
          <w:spacing w:val="-6"/>
        </w:rPr>
        <w:t> </w:t>
      </w:r>
      <w:r>
        <w:rPr/>
        <w:t>hacienda</w:t>
      </w:r>
      <w:r>
        <w:rPr>
          <w:spacing w:val="-5"/>
        </w:rPr>
        <w:t> </w:t>
      </w:r>
      <w:r>
        <w:rPr/>
        <w:t>pública</w:t>
      </w:r>
      <w:r>
        <w:rPr>
          <w:spacing w:val="-5"/>
        </w:rPr>
        <w:t> </w:t>
      </w:r>
      <w:r>
        <w:rPr/>
        <w:t>o</w:t>
      </w:r>
      <w:r>
        <w:rPr>
          <w:spacing w:val="-6"/>
        </w:rPr>
        <w:t> </w:t>
      </w:r>
      <w:r>
        <w:rPr/>
        <w:t>al</w:t>
      </w:r>
      <w:r>
        <w:rPr>
          <w:spacing w:val="-5"/>
        </w:rPr>
        <w:t> </w:t>
      </w:r>
      <w:r>
        <w:rPr/>
        <w:t>patrimonio</w:t>
      </w:r>
      <w:r>
        <w:rPr>
          <w:spacing w:val="-6"/>
        </w:rPr>
        <w:t> </w:t>
      </w:r>
      <w:r>
        <w:rPr/>
        <w:t>del</w:t>
      </w:r>
      <w:r>
        <w:rPr>
          <w:spacing w:val="-5"/>
        </w:rPr>
        <w:t> </w:t>
      </w:r>
      <w:r>
        <w:rPr/>
        <w:t>estado</w:t>
      </w:r>
      <w:r>
        <w:rPr>
          <w:spacing w:val="-4"/>
        </w:rPr>
        <w:t> </w:t>
      </w:r>
      <w:r>
        <w:rPr/>
        <w:t>y</w:t>
      </w:r>
      <w:r>
        <w:rPr>
          <w:spacing w:val="-7"/>
        </w:rPr>
        <w:t> </w:t>
      </w:r>
      <w:r>
        <w:rPr/>
        <w:t>sus</w:t>
      </w:r>
      <w:r>
        <w:rPr>
          <w:spacing w:val="-7"/>
        </w:rPr>
        <w:t> </w:t>
      </w:r>
      <w:r>
        <w:rPr/>
        <w:t>municipios.</w:t>
      </w:r>
      <w:r>
        <w:rPr>
          <w:spacing w:val="-6"/>
        </w:rPr>
        <w:t> </w:t>
      </w:r>
      <w:r>
        <w:rPr/>
        <w:t>Ésta</w:t>
      </w:r>
      <w:r>
        <w:rPr>
          <w:spacing w:val="-5"/>
        </w:rPr>
        <w:t> </w:t>
      </w:r>
      <w:r>
        <w:rPr/>
        <w:t>será fijada en cantidad liquida y actualizada. Para su aplicación, será a través de los procedimientos administrativos de ejecución, señalado en el Código Administrativo del Estado de</w:t>
      </w:r>
      <w:r>
        <w:rPr>
          <w:spacing w:val="-9"/>
        </w:rPr>
        <w:t> </w:t>
      </w:r>
      <w:r>
        <w:rPr/>
        <w:t>México.</w:t>
      </w:r>
    </w:p>
    <w:p>
      <w:pPr>
        <w:pStyle w:val="BodyText"/>
        <w:spacing w:line="360" w:lineRule="auto" w:before="204"/>
        <w:ind w:left="102" w:right="115"/>
        <w:jc w:val="both"/>
      </w:pPr>
      <w:r>
        <w:rPr/>
        <w:t>El procedimiento de responsabilidad resarcitoria se origina cuando la entidad fiscalizada no solventa o solventa parcialmente un pliego de observaciones, mediante la justificación o reintegro de los montos determinados por la ASF o las entidades fiscalizadoras locales.</w:t>
      </w:r>
    </w:p>
    <w:p>
      <w:pPr>
        <w:pStyle w:val="BodyText"/>
      </w:pPr>
    </w:p>
    <w:p>
      <w:pPr>
        <w:pStyle w:val="Heading1"/>
        <w:numPr>
          <w:ilvl w:val="1"/>
          <w:numId w:val="55"/>
        </w:numPr>
        <w:tabs>
          <w:tab w:pos="2140" w:val="left" w:leader="none"/>
        </w:tabs>
        <w:spacing w:line="240" w:lineRule="auto" w:before="205" w:after="0"/>
        <w:ind w:left="2139" w:right="0" w:hanging="468"/>
        <w:jc w:val="left"/>
      </w:pPr>
      <w:bookmarkStart w:name="_TOC_250005" w:id="47"/>
      <w:r>
        <w:rPr/>
        <w:t>Observaciones y Acciones</w:t>
      </w:r>
      <w:r>
        <w:rPr>
          <w:spacing w:val="-18"/>
        </w:rPr>
        <w:t> </w:t>
      </w:r>
      <w:bookmarkEnd w:id="47"/>
      <w:r>
        <w:rPr/>
        <w:t>promovidas</w:t>
      </w:r>
    </w:p>
    <w:p>
      <w:pPr>
        <w:pStyle w:val="BodyText"/>
        <w:rPr>
          <w:b/>
          <w:sz w:val="28"/>
        </w:rPr>
      </w:pPr>
    </w:p>
    <w:p>
      <w:pPr>
        <w:pStyle w:val="BodyText"/>
        <w:rPr>
          <w:b/>
          <w:sz w:val="28"/>
        </w:rPr>
      </w:pPr>
    </w:p>
    <w:p>
      <w:pPr>
        <w:pStyle w:val="BodyText"/>
        <w:rPr>
          <w:b/>
          <w:sz w:val="28"/>
        </w:rPr>
      </w:pPr>
    </w:p>
    <w:p>
      <w:pPr>
        <w:pStyle w:val="BodyText"/>
        <w:spacing w:before="11"/>
        <w:rPr>
          <w:b/>
          <w:sz w:val="22"/>
        </w:rPr>
      </w:pPr>
    </w:p>
    <w:p>
      <w:pPr>
        <w:pStyle w:val="BodyText"/>
        <w:spacing w:line="360" w:lineRule="auto"/>
        <w:ind w:left="102" w:right="115"/>
        <w:jc w:val="both"/>
      </w:pPr>
      <w:r>
        <w:rPr/>
        <w:t>Un principio fundamental que orienta la actuación de ASF es el de la pro actividad, que significa apoyar a los entes fiscalizados en el adecuado cumplimiento de los objetivos de sus políticas y programas. En ese contexto, la ASF promueve una eficiente gestión gubernamental y el desarrollo de las mejores prácticas.</w:t>
      </w:r>
    </w:p>
    <w:p>
      <w:pPr>
        <w:pStyle w:val="BodyText"/>
        <w:spacing w:line="360" w:lineRule="auto" w:before="204"/>
        <w:ind w:left="102" w:right="119"/>
        <w:jc w:val="both"/>
      </w:pPr>
      <w:r>
        <w:rPr/>
        <w:t>Las observaciones no son otra cosa más que el resultado del proceso de fiscalización, la Auditoría Superior de la Federación en el periodo estudiado determinó un total de 818 observaciones que dieron lugar a 407 acciones para el Estado de México de los Municipios que fueron auditados.</w:t>
      </w:r>
    </w:p>
    <w:p>
      <w:pPr>
        <w:pStyle w:val="BodyText"/>
        <w:spacing w:line="360" w:lineRule="auto" w:before="202"/>
        <w:ind w:left="102" w:right="115"/>
        <w:jc w:val="both"/>
      </w:pPr>
      <w:r>
        <w:rPr/>
        <w:t>Lo anterior derivado, de la revisión de los informes de resultados por cada fondo federal se determinaron observaciones sobre las irregularidades y deficiencias detectadas. Cabe comentar, que 422 de las observaciones fueron aclaradas y solventadas, en el transcurso de la revisión por la misma entidad federativa, las cuales se identifican en los informes de las auditorías del periodo citado. A continuación  se  resume  las  acciones  que  promovió  la  ASF  derivado  de    las</w:t>
      </w:r>
    </w:p>
    <w:p>
      <w:pPr>
        <w:spacing w:after="0" w:line="360" w:lineRule="auto"/>
        <w:jc w:val="both"/>
        <w:sectPr>
          <w:pgSz w:w="12240" w:h="15840"/>
          <w:pgMar w:header="0" w:footer="932" w:top="1360" w:bottom="1180" w:left="1600" w:right="1580"/>
        </w:sectPr>
      </w:pPr>
    </w:p>
    <w:p>
      <w:pPr>
        <w:pStyle w:val="BodyText"/>
        <w:spacing w:before="54"/>
        <w:ind w:left="102" w:right="3182"/>
      </w:pPr>
      <w:r>
        <w:rPr/>
        <w:t>observaciones.</w:t>
      </w:r>
    </w:p>
    <w:p>
      <w:pPr>
        <w:pStyle w:val="BodyText"/>
        <w:spacing w:before="5"/>
        <w:rPr>
          <w:sz w:val="29"/>
        </w:rPr>
      </w:pPr>
    </w:p>
    <w:p>
      <w:pPr>
        <w:pStyle w:val="Heading2"/>
        <w:ind w:left="517"/>
        <w:jc w:val="left"/>
      </w:pPr>
      <w:r>
        <w:rPr/>
        <w:t>Cuadro 11. Resumen de Acciones promovidas en el Estado de México</w:t>
      </w:r>
    </w:p>
    <w:p>
      <w:pPr>
        <w:pStyle w:val="BodyText"/>
        <w:rPr>
          <w:b/>
          <w:sz w:val="20"/>
        </w:rPr>
      </w:pPr>
    </w:p>
    <w:p>
      <w:pPr>
        <w:pStyle w:val="BodyText"/>
        <w:spacing w:before="1"/>
        <w:rPr>
          <w:b/>
          <w:sz w:val="13"/>
        </w:rPr>
      </w:pPr>
    </w:p>
    <w:tbl>
      <w:tblPr>
        <w:tblW w:w="0" w:type="auto"/>
        <w:jc w:val="left"/>
        <w:tblInd w:w="11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276"/>
        <w:gridCol w:w="1354"/>
      </w:tblGrid>
      <w:tr>
        <w:trPr>
          <w:trHeight w:val="962" w:hRule="exact"/>
        </w:trPr>
        <w:tc>
          <w:tcPr>
            <w:tcW w:w="5276" w:type="dxa"/>
            <w:tcBorders>
              <w:bottom w:val="single" w:sz="17" w:space="0" w:color="000000"/>
            </w:tcBorders>
          </w:tcPr>
          <w:p>
            <w:pPr>
              <w:pStyle w:val="TableParagraph"/>
              <w:spacing w:line="225" w:lineRule="exact"/>
              <w:ind w:left="1889" w:right="1893"/>
              <w:jc w:val="center"/>
              <w:rPr>
                <w:b/>
                <w:sz w:val="20"/>
              </w:rPr>
            </w:pPr>
            <w:r>
              <w:rPr>
                <w:b/>
                <w:sz w:val="20"/>
              </w:rPr>
              <w:t>Tipo de Acción</w:t>
            </w:r>
          </w:p>
        </w:tc>
        <w:tc>
          <w:tcPr>
            <w:tcW w:w="1354" w:type="dxa"/>
            <w:tcBorders>
              <w:bottom w:val="single" w:sz="17" w:space="0" w:color="000000"/>
            </w:tcBorders>
          </w:tcPr>
          <w:p>
            <w:pPr>
              <w:pStyle w:val="TableParagraph"/>
              <w:spacing w:line="360" w:lineRule="auto"/>
              <w:ind w:left="237" w:right="125" w:hanging="92"/>
              <w:rPr>
                <w:b/>
                <w:sz w:val="20"/>
              </w:rPr>
            </w:pPr>
            <w:r>
              <w:rPr>
                <w:b/>
                <w:sz w:val="20"/>
              </w:rPr>
              <w:t>Número de acciones</w:t>
            </w:r>
          </w:p>
        </w:tc>
      </w:tr>
      <w:tr>
        <w:trPr>
          <w:trHeight w:val="617" w:hRule="exact"/>
        </w:trPr>
        <w:tc>
          <w:tcPr>
            <w:tcW w:w="5276" w:type="dxa"/>
            <w:tcBorders>
              <w:top w:val="single" w:sz="17" w:space="0" w:color="000000"/>
            </w:tcBorders>
            <w:shd w:val="clear" w:color="auto" w:fill="C0C0C0"/>
          </w:tcPr>
          <w:p>
            <w:pPr>
              <w:pStyle w:val="TableParagraph"/>
              <w:spacing w:line="225" w:lineRule="exact"/>
              <w:ind w:left="98" w:right="100"/>
              <w:rPr>
                <w:b/>
                <w:sz w:val="20"/>
              </w:rPr>
            </w:pPr>
            <w:r>
              <w:rPr>
                <w:b/>
                <w:sz w:val="20"/>
              </w:rPr>
              <w:t>Recomendación (R)</w:t>
            </w:r>
          </w:p>
        </w:tc>
        <w:tc>
          <w:tcPr>
            <w:tcW w:w="1354" w:type="dxa"/>
            <w:tcBorders>
              <w:top w:val="single" w:sz="17" w:space="0" w:color="000000"/>
            </w:tcBorders>
            <w:shd w:val="clear" w:color="auto" w:fill="C0C0C0"/>
          </w:tcPr>
          <w:p>
            <w:pPr>
              <w:pStyle w:val="TableParagraph"/>
              <w:spacing w:line="227" w:lineRule="exact"/>
              <w:ind w:right="98"/>
              <w:jc w:val="right"/>
              <w:rPr>
                <w:sz w:val="20"/>
              </w:rPr>
            </w:pPr>
            <w:r>
              <w:rPr>
                <w:sz w:val="20"/>
              </w:rPr>
              <w:t>170</w:t>
            </w:r>
          </w:p>
        </w:tc>
      </w:tr>
      <w:tr>
        <w:trPr>
          <w:trHeight w:val="605" w:hRule="exact"/>
        </w:trPr>
        <w:tc>
          <w:tcPr>
            <w:tcW w:w="5276" w:type="dxa"/>
          </w:tcPr>
          <w:p>
            <w:pPr>
              <w:pStyle w:val="TableParagraph"/>
              <w:spacing w:line="225" w:lineRule="exact"/>
              <w:ind w:left="98" w:right="100"/>
              <w:rPr>
                <w:b/>
                <w:sz w:val="20"/>
              </w:rPr>
            </w:pPr>
            <w:r>
              <w:rPr>
                <w:b/>
                <w:sz w:val="20"/>
              </w:rPr>
              <w:t>Recomendación al Desempeño (RD)</w:t>
            </w:r>
          </w:p>
        </w:tc>
        <w:tc>
          <w:tcPr>
            <w:tcW w:w="1354" w:type="dxa"/>
          </w:tcPr>
          <w:p>
            <w:pPr>
              <w:pStyle w:val="TableParagraph"/>
              <w:spacing w:line="227" w:lineRule="exact"/>
              <w:ind w:right="96"/>
              <w:jc w:val="right"/>
              <w:rPr>
                <w:sz w:val="20"/>
              </w:rPr>
            </w:pPr>
            <w:r>
              <w:rPr>
                <w:w w:val="99"/>
                <w:sz w:val="20"/>
              </w:rPr>
              <w:t>0</w:t>
            </w:r>
          </w:p>
        </w:tc>
      </w:tr>
      <w:tr>
        <w:trPr>
          <w:trHeight w:val="721" w:hRule="exact"/>
        </w:trPr>
        <w:tc>
          <w:tcPr>
            <w:tcW w:w="5276" w:type="dxa"/>
            <w:shd w:val="clear" w:color="auto" w:fill="C0C0C0"/>
          </w:tcPr>
          <w:p>
            <w:pPr>
              <w:pStyle w:val="TableParagraph"/>
              <w:tabs>
                <w:tab w:pos="1388" w:val="left" w:leader="none"/>
                <w:tab w:pos="1870" w:val="left" w:leader="none"/>
                <w:tab w:pos="2952" w:val="left" w:leader="none"/>
                <w:tab w:pos="3434" w:val="left" w:leader="none"/>
                <w:tab w:pos="3848" w:val="left" w:leader="none"/>
                <w:tab w:pos="4920" w:val="left" w:leader="none"/>
              </w:tabs>
              <w:ind w:left="98" w:right="101"/>
              <w:rPr>
                <w:b/>
                <w:sz w:val="20"/>
              </w:rPr>
            </w:pPr>
            <w:r>
              <w:rPr>
                <w:b/>
                <w:sz w:val="20"/>
              </w:rPr>
              <w:t>Promoción</w:t>
              <w:tab/>
              <w:t>de</w:t>
              <w:tab/>
              <w:t>Ejercicio</w:t>
              <w:tab/>
              <w:t>de</w:t>
              <w:tab/>
              <w:t>la</w:t>
              <w:tab/>
              <w:t>Facultad</w:t>
              <w:tab/>
              <w:t>de Comprobación Fiscal</w:t>
            </w:r>
            <w:r>
              <w:rPr>
                <w:b/>
                <w:spacing w:val="-8"/>
                <w:sz w:val="20"/>
              </w:rPr>
              <w:t> </w:t>
            </w:r>
            <w:r>
              <w:rPr>
                <w:b/>
                <w:sz w:val="20"/>
              </w:rPr>
              <w:t>(PEFCF)</w:t>
            </w:r>
          </w:p>
        </w:tc>
        <w:tc>
          <w:tcPr>
            <w:tcW w:w="1354" w:type="dxa"/>
            <w:shd w:val="clear" w:color="auto" w:fill="C0C0C0"/>
          </w:tcPr>
          <w:p>
            <w:pPr>
              <w:pStyle w:val="TableParagraph"/>
              <w:spacing w:line="228" w:lineRule="exact"/>
              <w:ind w:right="96"/>
              <w:jc w:val="right"/>
              <w:rPr>
                <w:sz w:val="20"/>
              </w:rPr>
            </w:pPr>
            <w:r>
              <w:rPr>
                <w:w w:val="99"/>
                <w:sz w:val="20"/>
              </w:rPr>
              <w:t>2</w:t>
            </w:r>
          </w:p>
        </w:tc>
      </w:tr>
      <w:tr>
        <w:trPr>
          <w:trHeight w:val="605" w:hRule="exact"/>
        </w:trPr>
        <w:tc>
          <w:tcPr>
            <w:tcW w:w="5276" w:type="dxa"/>
          </w:tcPr>
          <w:p>
            <w:pPr>
              <w:pStyle w:val="TableParagraph"/>
              <w:spacing w:line="225" w:lineRule="exact"/>
              <w:ind w:left="98" w:right="100"/>
              <w:rPr>
                <w:b/>
                <w:sz w:val="20"/>
              </w:rPr>
            </w:pPr>
            <w:r>
              <w:rPr>
                <w:b/>
                <w:sz w:val="20"/>
              </w:rPr>
              <w:t>Solicitud de Aclaración (SA)</w:t>
            </w:r>
          </w:p>
        </w:tc>
        <w:tc>
          <w:tcPr>
            <w:tcW w:w="1354" w:type="dxa"/>
          </w:tcPr>
          <w:p>
            <w:pPr>
              <w:pStyle w:val="TableParagraph"/>
              <w:spacing w:line="227" w:lineRule="exact"/>
              <w:ind w:right="98"/>
              <w:jc w:val="right"/>
              <w:rPr>
                <w:sz w:val="20"/>
              </w:rPr>
            </w:pPr>
            <w:r>
              <w:rPr>
                <w:sz w:val="20"/>
              </w:rPr>
              <w:t>30</w:t>
            </w:r>
          </w:p>
        </w:tc>
      </w:tr>
      <w:tr>
        <w:trPr>
          <w:trHeight w:val="720" w:hRule="exact"/>
        </w:trPr>
        <w:tc>
          <w:tcPr>
            <w:tcW w:w="5276" w:type="dxa"/>
            <w:shd w:val="clear" w:color="auto" w:fill="C0C0C0"/>
          </w:tcPr>
          <w:p>
            <w:pPr>
              <w:pStyle w:val="TableParagraph"/>
              <w:tabs>
                <w:tab w:pos="1403" w:val="left" w:leader="none"/>
                <w:tab w:pos="1901" w:val="left" w:leader="none"/>
                <w:tab w:pos="3767" w:val="left" w:leader="none"/>
              </w:tabs>
              <w:ind w:left="98" w:right="100"/>
              <w:rPr>
                <w:b/>
                <w:sz w:val="20"/>
              </w:rPr>
            </w:pPr>
            <w:r>
              <w:rPr>
                <w:b/>
                <w:sz w:val="20"/>
              </w:rPr>
              <w:t>Promoción</w:t>
              <w:tab/>
              <w:t>de</w:t>
              <w:tab/>
              <w:t>Responsabilidad</w:t>
              <w:tab/>
            </w:r>
            <w:r>
              <w:rPr>
                <w:b/>
                <w:w w:val="95"/>
                <w:sz w:val="20"/>
              </w:rPr>
              <w:t>Administrativa </w:t>
            </w:r>
            <w:r>
              <w:rPr>
                <w:b/>
                <w:sz w:val="20"/>
              </w:rPr>
              <w:t>Sancionatoria</w:t>
            </w:r>
            <w:r>
              <w:rPr>
                <w:b/>
                <w:spacing w:val="-8"/>
                <w:sz w:val="20"/>
              </w:rPr>
              <w:t> </w:t>
            </w:r>
            <w:r>
              <w:rPr>
                <w:b/>
                <w:sz w:val="20"/>
              </w:rPr>
              <w:t>(PRAS)</w:t>
            </w:r>
          </w:p>
        </w:tc>
        <w:tc>
          <w:tcPr>
            <w:tcW w:w="1354" w:type="dxa"/>
            <w:shd w:val="clear" w:color="auto" w:fill="C0C0C0"/>
          </w:tcPr>
          <w:p>
            <w:pPr>
              <w:pStyle w:val="TableParagraph"/>
              <w:spacing w:line="227" w:lineRule="exact"/>
              <w:ind w:right="98"/>
              <w:jc w:val="right"/>
              <w:rPr>
                <w:sz w:val="20"/>
              </w:rPr>
            </w:pPr>
            <w:r>
              <w:rPr>
                <w:sz w:val="20"/>
              </w:rPr>
              <w:t>85</w:t>
            </w:r>
          </w:p>
        </w:tc>
      </w:tr>
      <w:tr>
        <w:trPr>
          <w:trHeight w:val="606" w:hRule="exact"/>
        </w:trPr>
        <w:tc>
          <w:tcPr>
            <w:tcW w:w="5276" w:type="dxa"/>
          </w:tcPr>
          <w:p>
            <w:pPr>
              <w:pStyle w:val="TableParagraph"/>
              <w:spacing w:line="225" w:lineRule="exact"/>
              <w:ind w:left="98" w:right="100"/>
              <w:rPr>
                <w:b/>
                <w:sz w:val="20"/>
              </w:rPr>
            </w:pPr>
            <w:r>
              <w:rPr>
                <w:b/>
                <w:sz w:val="20"/>
              </w:rPr>
              <w:t>Pliego de Observaciones (PO)</w:t>
            </w:r>
          </w:p>
        </w:tc>
        <w:tc>
          <w:tcPr>
            <w:tcW w:w="1354" w:type="dxa"/>
          </w:tcPr>
          <w:p>
            <w:pPr>
              <w:pStyle w:val="TableParagraph"/>
              <w:spacing w:line="227" w:lineRule="exact"/>
              <w:ind w:right="98"/>
              <w:jc w:val="right"/>
              <w:rPr>
                <w:sz w:val="20"/>
              </w:rPr>
            </w:pPr>
            <w:r>
              <w:rPr>
                <w:sz w:val="20"/>
              </w:rPr>
              <w:t>120</w:t>
            </w:r>
          </w:p>
        </w:tc>
      </w:tr>
      <w:tr>
        <w:trPr>
          <w:trHeight w:val="605" w:hRule="exact"/>
        </w:trPr>
        <w:tc>
          <w:tcPr>
            <w:tcW w:w="5276" w:type="dxa"/>
            <w:shd w:val="clear" w:color="auto" w:fill="C0C0C0"/>
          </w:tcPr>
          <w:p>
            <w:pPr>
              <w:pStyle w:val="TableParagraph"/>
              <w:spacing w:line="226" w:lineRule="exact"/>
              <w:ind w:left="98" w:right="100"/>
              <w:rPr>
                <w:b/>
                <w:sz w:val="20"/>
              </w:rPr>
            </w:pPr>
            <w:r>
              <w:rPr>
                <w:b/>
                <w:sz w:val="20"/>
              </w:rPr>
              <w:t>Fincamiento de Responsabilidad Resarcitoria (FRR)</w:t>
            </w:r>
          </w:p>
        </w:tc>
        <w:tc>
          <w:tcPr>
            <w:tcW w:w="1354" w:type="dxa"/>
            <w:shd w:val="clear" w:color="auto" w:fill="C0C0C0"/>
          </w:tcPr>
          <w:p>
            <w:pPr>
              <w:pStyle w:val="TableParagraph"/>
              <w:spacing w:line="228" w:lineRule="exact"/>
              <w:ind w:right="96"/>
              <w:jc w:val="right"/>
              <w:rPr>
                <w:sz w:val="20"/>
              </w:rPr>
            </w:pPr>
            <w:r>
              <w:rPr>
                <w:w w:val="99"/>
                <w:sz w:val="20"/>
              </w:rPr>
              <w:t>0</w:t>
            </w:r>
          </w:p>
        </w:tc>
      </w:tr>
    </w:tbl>
    <w:p>
      <w:pPr>
        <w:spacing w:line="240" w:lineRule="auto" w:before="0"/>
        <w:ind w:left="1167" w:right="1035" w:firstLine="0"/>
        <w:jc w:val="left"/>
        <w:rPr>
          <w:sz w:val="20"/>
        </w:rPr>
      </w:pPr>
      <w:r>
        <w:rPr>
          <w:b/>
          <w:sz w:val="20"/>
        </w:rPr>
        <w:t>Fuente: </w:t>
      </w:r>
      <w:r>
        <w:rPr>
          <w:sz w:val="20"/>
        </w:rPr>
        <w:t>Elaboración propia con base en el Informe de resultados de la Auditoría Superior de la Federación de las cuentas públicas de 2008 al 2014.</w:t>
      </w:r>
    </w:p>
    <w:p>
      <w:pPr>
        <w:pStyle w:val="BodyText"/>
        <w:rPr>
          <w:sz w:val="20"/>
        </w:rPr>
      </w:pPr>
    </w:p>
    <w:p>
      <w:pPr>
        <w:pStyle w:val="BodyText"/>
        <w:rPr>
          <w:sz w:val="21"/>
        </w:rPr>
      </w:pPr>
    </w:p>
    <w:p>
      <w:pPr>
        <w:pStyle w:val="BodyText"/>
        <w:spacing w:line="360" w:lineRule="auto"/>
        <w:ind w:left="102" w:right="114"/>
        <w:jc w:val="both"/>
      </w:pPr>
      <w:r>
        <w:rPr/>
        <w:t>El municipio con mayor número de observaciones fue Ixtlahuaca, sin embargo, el municipio que registró el mayor monto de recuperaciones fue Ecatepec con 94,111.70 miles de pesos por parte del Fondo de Aportaciones para la Infraestructura Social Municipal y 72,801.8 miles de pesos del Fondo Aportaciones para el Fortalecimiento Municipal tan sólo en el ejercicio fiscal 2009.</w:t>
      </w:r>
    </w:p>
    <w:p>
      <w:pPr>
        <w:pStyle w:val="BodyText"/>
        <w:spacing w:before="3"/>
        <w:rPr>
          <w:sz w:val="21"/>
        </w:rPr>
      </w:pPr>
    </w:p>
    <w:p>
      <w:pPr>
        <w:pStyle w:val="BodyText"/>
        <w:spacing w:line="360" w:lineRule="auto"/>
        <w:ind w:left="102" w:right="116"/>
        <w:jc w:val="both"/>
      </w:pPr>
      <w:r>
        <w:rPr/>
        <w:t>Como parte del análisis se identificó que el impacto de las observaciones en términos monetarios generó recuperaciones determinadas como resultado de las Auditorías operativas como probables así como aquellos montos que quedaron pendientes de aclarar.</w:t>
      </w:r>
    </w:p>
    <w:p>
      <w:pPr>
        <w:pStyle w:val="Heading2"/>
        <w:spacing w:line="360" w:lineRule="auto" w:before="204"/>
        <w:ind w:left="4112" w:right="467" w:hanging="3649"/>
        <w:jc w:val="left"/>
      </w:pPr>
      <w:r>
        <w:rPr/>
        <w:t>Cuadro 12. Resumen de Recuperaciones determinadas en el Estado de México</w:t>
      </w:r>
    </w:p>
    <w:p>
      <w:pPr>
        <w:spacing w:after="0" w:line="360" w:lineRule="auto"/>
        <w:jc w:val="left"/>
        <w:sectPr>
          <w:pgSz w:w="12240" w:h="15840"/>
          <w:pgMar w:header="0" w:footer="932" w:top="1360" w:bottom="1180" w:left="1600" w:right="1580"/>
        </w:sectPr>
      </w:pPr>
    </w:p>
    <w:tbl>
      <w:tblPr>
        <w:tblW w:w="0" w:type="auto"/>
        <w:jc w:val="left"/>
        <w:tblInd w:w="1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062"/>
        <w:gridCol w:w="4776"/>
      </w:tblGrid>
      <w:tr>
        <w:trPr>
          <w:trHeight w:val="636" w:hRule="exact"/>
        </w:trPr>
        <w:tc>
          <w:tcPr>
            <w:tcW w:w="4062" w:type="dxa"/>
            <w:tcBorders>
              <w:left w:val="nil"/>
              <w:right w:val="nil"/>
            </w:tcBorders>
          </w:tcPr>
          <w:p>
            <w:pPr>
              <w:pStyle w:val="TableParagraph"/>
              <w:spacing w:line="272" w:lineRule="exact"/>
              <w:ind w:left="108"/>
              <w:rPr>
                <w:b/>
                <w:sz w:val="24"/>
              </w:rPr>
            </w:pPr>
            <w:r>
              <w:rPr>
                <w:b/>
                <w:sz w:val="24"/>
              </w:rPr>
              <w:t>Recuperaciones determinadas</w:t>
            </w:r>
          </w:p>
        </w:tc>
        <w:tc>
          <w:tcPr>
            <w:tcW w:w="4776" w:type="dxa"/>
            <w:tcBorders>
              <w:left w:val="nil"/>
              <w:right w:val="nil"/>
            </w:tcBorders>
          </w:tcPr>
          <w:p>
            <w:pPr>
              <w:pStyle w:val="TableParagraph"/>
              <w:spacing w:line="272" w:lineRule="exact"/>
              <w:ind w:left="472"/>
              <w:rPr>
                <w:b/>
                <w:sz w:val="24"/>
              </w:rPr>
            </w:pPr>
            <w:r>
              <w:rPr>
                <w:b/>
                <w:sz w:val="24"/>
              </w:rPr>
              <w:t>1,005,908.8 miles de pesos</w:t>
            </w:r>
          </w:p>
        </w:tc>
      </w:tr>
      <w:tr>
        <w:trPr>
          <w:trHeight w:val="624" w:hRule="exact"/>
        </w:trPr>
        <w:tc>
          <w:tcPr>
            <w:tcW w:w="4062" w:type="dxa"/>
            <w:tcBorders>
              <w:left w:val="nil"/>
              <w:bottom w:val="nil"/>
              <w:right w:val="nil"/>
            </w:tcBorders>
            <w:shd w:val="clear" w:color="auto" w:fill="C0C0C0"/>
          </w:tcPr>
          <w:p>
            <w:pPr>
              <w:pStyle w:val="TableParagraph"/>
              <w:spacing w:line="270" w:lineRule="exact"/>
              <w:ind w:left="108"/>
              <w:rPr>
                <w:b/>
                <w:sz w:val="24"/>
              </w:rPr>
            </w:pPr>
            <w:r>
              <w:rPr>
                <w:b/>
                <w:sz w:val="24"/>
              </w:rPr>
              <w:t>Operadas</w:t>
            </w:r>
          </w:p>
        </w:tc>
        <w:tc>
          <w:tcPr>
            <w:tcW w:w="4776" w:type="dxa"/>
            <w:tcBorders>
              <w:left w:val="nil"/>
              <w:bottom w:val="nil"/>
              <w:right w:val="nil"/>
            </w:tcBorders>
            <w:shd w:val="clear" w:color="auto" w:fill="C0C0C0"/>
          </w:tcPr>
          <w:p>
            <w:pPr>
              <w:pStyle w:val="TableParagraph"/>
              <w:tabs>
                <w:tab w:pos="1804" w:val="left" w:leader="none"/>
              </w:tabs>
              <w:spacing w:line="270" w:lineRule="exact"/>
              <w:ind w:left="472"/>
              <w:rPr>
                <w:sz w:val="24"/>
              </w:rPr>
            </w:pPr>
            <w:r>
              <w:rPr>
                <w:sz w:val="24"/>
              </w:rPr>
              <w:t>65,049.9</w:t>
              <w:tab/>
              <w:t>miles de</w:t>
            </w:r>
            <w:r>
              <w:rPr>
                <w:spacing w:val="-3"/>
                <w:sz w:val="24"/>
              </w:rPr>
              <w:t> </w:t>
            </w:r>
            <w:r>
              <w:rPr>
                <w:sz w:val="24"/>
              </w:rPr>
              <w:t>pesos</w:t>
            </w:r>
          </w:p>
        </w:tc>
      </w:tr>
      <w:tr>
        <w:trPr>
          <w:trHeight w:val="614" w:hRule="exact"/>
        </w:trPr>
        <w:tc>
          <w:tcPr>
            <w:tcW w:w="4062" w:type="dxa"/>
            <w:tcBorders>
              <w:top w:val="nil"/>
              <w:left w:val="nil"/>
              <w:bottom w:val="nil"/>
              <w:right w:val="nil"/>
            </w:tcBorders>
          </w:tcPr>
          <w:p>
            <w:pPr>
              <w:pStyle w:val="TableParagraph"/>
              <w:spacing w:line="270" w:lineRule="exact"/>
              <w:ind w:left="108"/>
              <w:rPr>
                <w:b/>
                <w:sz w:val="24"/>
              </w:rPr>
            </w:pPr>
            <w:r>
              <w:rPr>
                <w:b/>
                <w:sz w:val="24"/>
              </w:rPr>
              <w:t>Probables</w:t>
            </w:r>
          </w:p>
        </w:tc>
        <w:tc>
          <w:tcPr>
            <w:tcW w:w="4776" w:type="dxa"/>
            <w:tcBorders>
              <w:top w:val="nil"/>
              <w:left w:val="nil"/>
              <w:bottom w:val="nil"/>
              <w:right w:val="nil"/>
            </w:tcBorders>
          </w:tcPr>
          <w:p>
            <w:pPr>
              <w:pStyle w:val="TableParagraph"/>
              <w:tabs>
                <w:tab w:pos="1804" w:val="left" w:leader="none"/>
              </w:tabs>
              <w:spacing w:line="270" w:lineRule="exact"/>
              <w:ind w:left="472"/>
              <w:rPr>
                <w:sz w:val="24"/>
              </w:rPr>
            </w:pPr>
            <w:r>
              <w:rPr>
                <w:sz w:val="24"/>
              </w:rPr>
              <w:t>765,658.0</w:t>
              <w:tab/>
              <w:t>miles de</w:t>
            </w:r>
            <w:r>
              <w:rPr>
                <w:spacing w:val="-3"/>
                <w:sz w:val="24"/>
              </w:rPr>
              <w:t> </w:t>
            </w:r>
            <w:r>
              <w:rPr>
                <w:sz w:val="24"/>
              </w:rPr>
              <w:t>pesos</w:t>
            </w:r>
          </w:p>
        </w:tc>
      </w:tr>
      <w:tr>
        <w:trPr>
          <w:trHeight w:val="612" w:hRule="exact"/>
        </w:trPr>
        <w:tc>
          <w:tcPr>
            <w:tcW w:w="4062" w:type="dxa"/>
            <w:tcBorders>
              <w:top w:val="nil"/>
              <w:left w:val="nil"/>
              <w:bottom w:val="nil"/>
              <w:right w:val="nil"/>
            </w:tcBorders>
            <w:shd w:val="clear" w:color="auto" w:fill="C0C0C0"/>
          </w:tcPr>
          <w:p>
            <w:pPr>
              <w:pStyle w:val="TableParagraph"/>
              <w:spacing w:line="270" w:lineRule="exact"/>
              <w:ind w:left="108"/>
              <w:rPr>
                <w:b/>
                <w:sz w:val="24"/>
              </w:rPr>
            </w:pPr>
            <w:r>
              <w:rPr>
                <w:b/>
                <w:sz w:val="24"/>
              </w:rPr>
              <w:t>Por aclarar</w:t>
            </w:r>
          </w:p>
        </w:tc>
        <w:tc>
          <w:tcPr>
            <w:tcW w:w="4776" w:type="dxa"/>
            <w:tcBorders>
              <w:top w:val="nil"/>
              <w:left w:val="nil"/>
              <w:bottom w:val="nil"/>
              <w:right w:val="nil"/>
            </w:tcBorders>
            <w:shd w:val="clear" w:color="auto" w:fill="C0C0C0"/>
          </w:tcPr>
          <w:p>
            <w:pPr>
              <w:pStyle w:val="TableParagraph"/>
              <w:tabs>
                <w:tab w:pos="1804" w:val="left" w:leader="none"/>
              </w:tabs>
              <w:spacing w:line="270" w:lineRule="exact"/>
              <w:ind w:left="472"/>
              <w:rPr>
                <w:sz w:val="24"/>
              </w:rPr>
            </w:pPr>
            <w:r>
              <w:rPr>
                <w:sz w:val="24"/>
              </w:rPr>
              <w:t>175,199.9</w:t>
              <w:tab/>
              <w:t>miles de</w:t>
            </w:r>
            <w:r>
              <w:rPr>
                <w:spacing w:val="-3"/>
                <w:sz w:val="24"/>
              </w:rPr>
              <w:t> </w:t>
            </w:r>
            <w:r>
              <w:rPr>
                <w:sz w:val="24"/>
              </w:rPr>
              <w:t>pesos</w:t>
            </w:r>
          </w:p>
        </w:tc>
      </w:tr>
    </w:tbl>
    <w:p>
      <w:pPr>
        <w:pStyle w:val="BodyText"/>
        <w:rPr>
          <w:b/>
          <w:sz w:val="20"/>
        </w:rPr>
      </w:pPr>
    </w:p>
    <w:p>
      <w:pPr>
        <w:pStyle w:val="BodyText"/>
        <w:spacing w:before="9"/>
        <w:rPr>
          <w:b/>
          <w:sz w:val="29"/>
        </w:rPr>
      </w:pPr>
      <w:r>
        <w:rPr/>
        <w:pict>
          <v:group style="position:absolute;margin-left:83.884003pt;margin-top:19.120981pt;width:443.8pt;height:1pt;mso-position-horizontal-relative:page;mso-position-vertical-relative:paragraph;z-index:2128;mso-wrap-distance-left:0;mso-wrap-distance-right:0" coordorigin="1678,382" coordsize="8876,20">
            <v:line style="position:absolute" from="1688,392" to="6130,392" stroked="true" strokeweight=".95999pt" strokecolor="#000000"/>
            <v:line style="position:absolute" from="6116,392" to="6135,392" stroked="true" strokeweight=".95999pt" strokecolor="#000000"/>
            <v:line style="position:absolute" from="6135,392" to="10543,392" stroked="true" strokeweight=".95999pt" strokecolor="#000000"/>
            <w10:wrap type="topAndBottom"/>
          </v:group>
        </w:pict>
      </w:r>
    </w:p>
    <w:p>
      <w:pPr>
        <w:spacing w:line="195" w:lineRule="exact" w:before="0"/>
        <w:ind w:left="142" w:right="0" w:firstLine="0"/>
        <w:jc w:val="both"/>
        <w:rPr>
          <w:sz w:val="20"/>
        </w:rPr>
      </w:pPr>
      <w:r>
        <w:rPr>
          <w:b/>
          <w:sz w:val="20"/>
        </w:rPr>
        <w:t>Fuente</w:t>
      </w:r>
      <w:r>
        <w:rPr>
          <w:sz w:val="20"/>
        </w:rPr>
        <w:t>: Elaboración propia con base en los Informe de resultados de las revisiones y  fiscalización</w:t>
      </w:r>
    </w:p>
    <w:p>
      <w:pPr>
        <w:spacing w:before="0"/>
        <w:ind w:left="142" w:right="0" w:firstLine="0"/>
        <w:jc w:val="both"/>
        <w:rPr>
          <w:sz w:val="20"/>
        </w:rPr>
      </w:pPr>
      <w:r>
        <w:rPr>
          <w:sz w:val="20"/>
        </w:rPr>
        <w:t>superior de las cuentas públicas de 2008 al 2014.</w:t>
      </w:r>
    </w:p>
    <w:p>
      <w:pPr>
        <w:pStyle w:val="BodyText"/>
        <w:rPr>
          <w:sz w:val="20"/>
        </w:rPr>
      </w:pPr>
    </w:p>
    <w:p>
      <w:pPr>
        <w:pStyle w:val="BodyText"/>
        <w:rPr>
          <w:sz w:val="20"/>
        </w:rPr>
      </w:pPr>
    </w:p>
    <w:p>
      <w:pPr>
        <w:pStyle w:val="BodyText"/>
        <w:rPr>
          <w:sz w:val="20"/>
        </w:rPr>
      </w:pPr>
    </w:p>
    <w:p>
      <w:pPr>
        <w:pStyle w:val="BodyText"/>
        <w:spacing w:before="3"/>
        <w:rPr>
          <w:sz w:val="28"/>
        </w:rPr>
      </w:pPr>
    </w:p>
    <w:p>
      <w:pPr>
        <w:pStyle w:val="Heading1"/>
        <w:numPr>
          <w:ilvl w:val="2"/>
          <w:numId w:val="57"/>
        </w:numPr>
        <w:tabs>
          <w:tab w:pos="1902" w:val="left" w:leader="none"/>
        </w:tabs>
        <w:spacing w:line="240" w:lineRule="auto" w:before="0" w:after="0"/>
        <w:ind w:left="1901" w:right="0" w:hanging="703"/>
        <w:jc w:val="left"/>
      </w:pPr>
      <w:bookmarkStart w:name="_TOC_250004" w:id="48"/>
      <w:r>
        <w:rPr/>
        <w:t>Observaciones (Problemáticas de la</w:t>
      </w:r>
      <w:r>
        <w:rPr>
          <w:spacing w:val="-18"/>
        </w:rPr>
        <w:t> </w:t>
      </w:r>
      <w:bookmarkEnd w:id="48"/>
      <w:r>
        <w:rPr/>
        <w:t>Gestión)</w:t>
      </w:r>
    </w:p>
    <w:p>
      <w:pPr>
        <w:pStyle w:val="BodyText"/>
        <w:rPr>
          <w:b/>
          <w:sz w:val="28"/>
        </w:rPr>
      </w:pPr>
    </w:p>
    <w:p>
      <w:pPr>
        <w:pStyle w:val="BodyText"/>
        <w:rPr>
          <w:b/>
          <w:sz w:val="28"/>
        </w:rPr>
      </w:pPr>
    </w:p>
    <w:p>
      <w:pPr>
        <w:pStyle w:val="BodyText"/>
        <w:rPr>
          <w:b/>
          <w:sz w:val="28"/>
        </w:rPr>
      </w:pPr>
    </w:p>
    <w:p>
      <w:pPr>
        <w:pStyle w:val="BodyText"/>
        <w:spacing w:before="1"/>
        <w:rPr>
          <w:b/>
          <w:sz w:val="23"/>
        </w:rPr>
      </w:pPr>
    </w:p>
    <w:p>
      <w:pPr>
        <w:pStyle w:val="BodyText"/>
        <w:spacing w:line="360" w:lineRule="auto" w:before="1"/>
        <w:ind w:left="142" w:right="116"/>
        <w:jc w:val="both"/>
      </w:pPr>
      <w:r>
        <w:rPr/>
        <w:t>Si</w:t>
      </w:r>
      <w:r>
        <w:rPr>
          <w:spacing w:val="-17"/>
        </w:rPr>
        <w:t> </w:t>
      </w:r>
      <w:r>
        <w:rPr/>
        <w:t>bien</w:t>
      </w:r>
      <w:r>
        <w:rPr>
          <w:spacing w:val="-17"/>
        </w:rPr>
        <w:t> </w:t>
      </w:r>
      <w:r>
        <w:rPr/>
        <w:t>es</w:t>
      </w:r>
      <w:r>
        <w:rPr>
          <w:spacing w:val="-19"/>
        </w:rPr>
        <w:t> </w:t>
      </w:r>
      <w:r>
        <w:rPr/>
        <w:t>cierto,</w:t>
      </w:r>
      <w:r>
        <w:rPr>
          <w:spacing w:val="-18"/>
        </w:rPr>
        <w:t> </w:t>
      </w:r>
      <w:r>
        <w:rPr/>
        <w:t>existen</w:t>
      </w:r>
      <w:r>
        <w:rPr>
          <w:spacing w:val="-16"/>
        </w:rPr>
        <w:t> </w:t>
      </w:r>
      <w:r>
        <w:rPr/>
        <w:t>numerosas</w:t>
      </w:r>
      <w:r>
        <w:rPr>
          <w:spacing w:val="-19"/>
        </w:rPr>
        <w:t> </w:t>
      </w:r>
      <w:r>
        <w:rPr/>
        <w:t>problemáticas</w:t>
      </w:r>
      <w:r>
        <w:rPr>
          <w:spacing w:val="-16"/>
        </w:rPr>
        <w:t> </w:t>
      </w:r>
      <w:r>
        <w:rPr/>
        <w:t>a</w:t>
      </w:r>
      <w:r>
        <w:rPr>
          <w:spacing w:val="-18"/>
        </w:rPr>
        <w:t> </w:t>
      </w:r>
      <w:r>
        <w:rPr/>
        <w:t>la</w:t>
      </w:r>
      <w:r>
        <w:rPr>
          <w:spacing w:val="-18"/>
        </w:rPr>
        <w:t> </w:t>
      </w:r>
      <w:r>
        <w:rPr/>
        <w:t>hora</w:t>
      </w:r>
      <w:r>
        <w:rPr>
          <w:spacing w:val="-19"/>
        </w:rPr>
        <w:t> </w:t>
      </w:r>
      <w:r>
        <w:rPr/>
        <w:t>de</w:t>
      </w:r>
      <w:r>
        <w:rPr>
          <w:spacing w:val="-18"/>
        </w:rPr>
        <w:t> </w:t>
      </w:r>
      <w:r>
        <w:rPr/>
        <w:t>gestionar</w:t>
      </w:r>
      <w:r>
        <w:rPr>
          <w:spacing w:val="-17"/>
        </w:rPr>
        <w:t> </w:t>
      </w:r>
      <w:r>
        <w:rPr/>
        <w:t>los</w:t>
      </w:r>
      <w:r>
        <w:rPr>
          <w:spacing w:val="-21"/>
        </w:rPr>
        <w:t> </w:t>
      </w:r>
      <w:r>
        <w:rPr/>
        <w:t>fondos, y que pareciera que con ayuda de las auditorías se detectarían cada una de ellas para irlas reparando con cada ejercicio fiscal, sin embargo, aunque se detectan las irregularidades más recurrentes, tal pareciera que año con año se siguen teniendo las mismas. También es cierto, que se han tenido avances para que las entidades fiscalizadas no incurran en irregularidades, u omisiones que deterioren el ejercicio de los fondos. Cabe señalar que uno de esos avances fue la reforma del 09 de Diciembre de 2013, donde se dio un gran paso para tener claro la forma en que se operan los fondos federales destinados a los municipios, donde se integraron herramientas, como son: el Informe Anual de la Situación de Pobreza y rezago social, un catálogo de acciones y los lineamientos generales para operar el Fondo de Infraestructura Social Municipal y de las Demarcaciones Territoriales para el Distrito</w:t>
      </w:r>
      <w:r>
        <w:rPr>
          <w:spacing w:val="-6"/>
        </w:rPr>
        <w:t> </w:t>
      </w:r>
      <w:r>
        <w:rPr/>
        <w:t>Federal,</w:t>
      </w:r>
      <w:r>
        <w:rPr>
          <w:spacing w:val="-9"/>
        </w:rPr>
        <w:t> </w:t>
      </w:r>
      <w:r>
        <w:rPr/>
        <w:t>esto</w:t>
      </w:r>
      <w:r>
        <w:rPr>
          <w:spacing w:val="-6"/>
        </w:rPr>
        <w:t> </w:t>
      </w:r>
      <w:r>
        <w:rPr/>
        <w:t>con</w:t>
      </w:r>
      <w:r>
        <w:rPr>
          <w:spacing w:val="-6"/>
        </w:rPr>
        <w:t> </w:t>
      </w:r>
      <w:r>
        <w:rPr/>
        <w:t>la</w:t>
      </w:r>
      <w:r>
        <w:rPr>
          <w:spacing w:val="-11"/>
        </w:rPr>
        <w:t> </w:t>
      </w:r>
      <w:r>
        <w:rPr/>
        <w:t>finalidad</w:t>
      </w:r>
      <w:r>
        <w:rPr>
          <w:spacing w:val="-8"/>
        </w:rPr>
        <w:t> </w:t>
      </w:r>
      <w:r>
        <w:rPr/>
        <w:t>de</w:t>
      </w:r>
      <w:r>
        <w:rPr>
          <w:spacing w:val="-8"/>
        </w:rPr>
        <w:t> </w:t>
      </w:r>
      <w:r>
        <w:rPr/>
        <w:t>que</w:t>
      </w:r>
      <w:r>
        <w:rPr>
          <w:spacing w:val="-6"/>
        </w:rPr>
        <w:t> </w:t>
      </w:r>
      <w:r>
        <w:rPr/>
        <w:t>los</w:t>
      </w:r>
      <w:r>
        <w:rPr>
          <w:spacing w:val="-7"/>
        </w:rPr>
        <w:t> </w:t>
      </w:r>
      <w:r>
        <w:rPr/>
        <w:t>municipios</w:t>
      </w:r>
      <w:r>
        <w:rPr>
          <w:spacing w:val="-9"/>
        </w:rPr>
        <w:t> </w:t>
      </w:r>
      <w:r>
        <w:rPr/>
        <w:t>tengan</w:t>
      </w:r>
      <w:r>
        <w:rPr>
          <w:spacing w:val="-6"/>
        </w:rPr>
        <w:t> </w:t>
      </w:r>
      <w:r>
        <w:rPr/>
        <w:t>clara</w:t>
      </w:r>
      <w:r>
        <w:rPr>
          <w:spacing w:val="-6"/>
        </w:rPr>
        <w:t> </w:t>
      </w:r>
      <w:r>
        <w:rPr/>
        <w:t>la</w:t>
      </w:r>
      <w:r>
        <w:rPr>
          <w:spacing w:val="-9"/>
        </w:rPr>
        <w:t> </w:t>
      </w:r>
      <w:r>
        <w:rPr/>
        <w:t>forma</w:t>
      </w:r>
      <w:r>
        <w:rPr>
          <w:spacing w:val="-8"/>
        </w:rPr>
        <w:t> </w:t>
      </w:r>
      <w:r>
        <w:rPr/>
        <w:t>de gestionar este fondo. Sin embargo, siguen existiendo irregularidades, para lo cual queda demostrado en el Informe general de la cuenta pública del ejercicio fiscal 2014.</w:t>
      </w:r>
    </w:p>
    <w:p>
      <w:pPr>
        <w:spacing w:after="0" w:line="360" w:lineRule="auto"/>
        <w:jc w:val="both"/>
        <w:sectPr>
          <w:pgSz w:w="12240" w:h="15840"/>
          <w:pgMar w:header="0" w:footer="932" w:top="1420" w:bottom="1180" w:left="1560" w:right="1580"/>
        </w:sectPr>
      </w:pPr>
    </w:p>
    <w:p>
      <w:pPr>
        <w:pStyle w:val="BodyText"/>
        <w:spacing w:line="360" w:lineRule="auto" w:before="54"/>
        <w:ind w:left="102" w:right="116"/>
        <w:jc w:val="both"/>
      </w:pPr>
      <w:r>
        <w:rPr/>
        <w:t>De</w:t>
      </w:r>
      <w:r>
        <w:rPr>
          <w:spacing w:val="-11"/>
        </w:rPr>
        <w:t> </w:t>
      </w:r>
      <w:r>
        <w:rPr/>
        <w:t>conformidad</w:t>
      </w:r>
      <w:r>
        <w:rPr>
          <w:spacing w:val="-13"/>
        </w:rPr>
        <w:t> </w:t>
      </w:r>
      <w:r>
        <w:rPr/>
        <w:t>a</w:t>
      </w:r>
      <w:r>
        <w:rPr>
          <w:spacing w:val="-11"/>
        </w:rPr>
        <w:t> </w:t>
      </w:r>
      <w:r>
        <w:rPr/>
        <w:t>estos</w:t>
      </w:r>
      <w:r>
        <w:rPr>
          <w:spacing w:val="-12"/>
        </w:rPr>
        <w:t> </w:t>
      </w:r>
      <w:r>
        <w:rPr/>
        <w:t>resultados</w:t>
      </w:r>
      <w:r>
        <w:rPr>
          <w:spacing w:val="-14"/>
        </w:rPr>
        <w:t> </w:t>
      </w:r>
      <w:r>
        <w:rPr/>
        <w:t>expuestos</w:t>
      </w:r>
      <w:r>
        <w:rPr>
          <w:spacing w:val="-14"/>
        </w:rPr>
        <w:t> </w:t>
      </w:r>
      <w:r>
        <w:rPr/>
        <w:t>y</w:t>
      </w:r>
      <w:r>
        <w:rPr>
          <w:spacing w:val="-14"/>
        </w:rPr>
        <w:t> </w:t>
      </w:r>
      <w:r>
        <w:rPr/>
        <w:t>en</w:t>
      </w:r>
      <w:r>
        <w:rPr>
          <w:spacing w:val="-11"/>
        </w:rPr>
        <w:t> </w:t>
      </w:r>
      <w:r>
        <w:rPr/>
        <w:t>términos</w:t>
      </w:r>
      <w:r>
        <w:rPr>
          <w:spacing w:val="-14"/>
        </w:rPr>
        <w:t> </w:t>
      </w:r>
      <w:r>
        <w:rPr/>
        <w:t>de</w:t>
      </w:r>
      <w:r>
        <w:rPr>
          <w:spacing w:val="-11"/>
        </w:rPr>
        <w:t> </w:t>
      </w:r>
      <w:r>
        <w:rPr/>
        <w:t>la</w:t>
      </w:r>
      <w:r>
        <w:rPr>
          <w:spacing w:val="-11"/>
        </w:rPr>
        <w:t> </w:t>
      </w:r>
      <w:r>
        <w:rPr/>
        <w:t>hipótesis</w:t>
      </w:r>
      <w:r>
        <w:rPr>
          <w:spacing w:val="-12"/>
        </w:rPr>
        <w:t> </w:t>
      </w:r>
      <w:r>
        <w:rPr/>
        <w:t>que</w:t>
      </w:r>
      <w:r>
        <w:rPr>
          <w:spacing w:val="-11"/>
        </w:rPr>
        <w:t> </w:t>
      </w:r>
      <w:r>
        <w:rPr/>
        <w:t>guio esta investigación que estriba en la toma de decisiones de los gobiernos municipales del estado de México del periodo 2008-2014 respecto de los recursos del FISMDF y FORTAMUNDF se ve limitada por el marco institucional y las responsabilidades que se le atribuyen, se ha comprobado dado que es el marco normativo el primer elemento que impulsa y constriñe al tomador de decisiones, el cual al no estar ampliamente especificado conduce al tomador de decisiones a aplicar</w:t>
      </w:r>
      <w:r>
        <w:rPr>
          <w:spacing w:val="-5"/>
        </w:rPr>
        <w:t> </w:t>
      </w:r>
      <w:r>
        <w:rPr/>
        <w:t>su</w:t>
      </w:r>
      <w:r>
        <w:rPr>
          <w:spacing w:val="-4"/>
        </w:rPr>
        <w:t> </w:t>
      </w:r>
      <w:r>
        <w:rPr/>
        <w:t>discrecionalidad</w:t>
      </w:r>
      <w:r>
        <w:rPr>
          <w:spacing w:val="-4"/>
        </w:rPr>
        <w:t> </w:t>
      </w:r>
      <w:r>
        <w:rPr/>
        <w:t>y</w:t>
      </w:r>
      <w:r>
        <w:rPr>
          <w:spacing w:val="-7"/>
        </w:rPr>
        <w:t> </w:t>
      </w:r>
      <w:r>
        <w:rPr/>
        <w:t>por</w:t>
      </w:r>
      <w:r>
        <w:rPr>
          <w:spacing w:val="-5"/>
        </w:rPr>
        <w:t> </w:t>
      </w:r>
      <w:r>
        <w:rPr/>
        <w:t>lo</w:t>
      </w:r>
      <w:r>
        <w:rPr>
          <w:spacing w:val="-4"/>
        </w:rPr>
        <w:t> </w:t>
      </w:r>
      <w:r>
        <w:rPr/>
        <w:t>tanto</w:t>
      </w:r>
      <w:r>
        <w:rPr>
          <w:spacing w:val="-3"/>
        </w:rPr>
        <w:t> </w:t>
      </w:r>
      <w:r>
        <w:rPr/>
        <w:t>caer</w:t>
      </w:r>
      <w:r>
        <w:rPr>
          <w:spacing w:val="-5"/>
        </w:rPr>
        <w:t> </w:t>
      </w:r>
      <w:r>
        <w:rPr/>
        <w:t>en</w:t>
      </w:r>
      <w:r>
        <w:rPr>
          <w:spacing w:val="-4"/>
        </w:rPr>
        <w:t> </w:t>
      </w:r>
      <w:r>
        <w:rPr/>
        <w:t>responsabilidades</w:t>
      </w:r>
      <w:r>
        <w:rPr>
          <w:spacing w:val="-4"/>
        </w:rPr>
        <w:t> </w:t>
      </w:r>
      <w:r>
        <w:rPr/>
        <w:t>dado</w:t>
      </w:r>
      <w:r>
        <w:rPr>
          <w:spacing w:val="-4"/>
        </w:rPr>
        <w:t> </w:t>
      </w:r>
      <w:r>
        <w:rPr/>
        <w:t>que</w:t>
      </w:r>
      <w:r>
        <w:rPr>
          <w:spacing w:val="-4"/>
        </w:rPr>
        <w:t> </w:t>
      </w:r>
      <w:r>
        <w:rPr/>
        <w:t>quien audita aplica otros principios de discrecionalidad e interpretación del marco normativo.</w:t>
      </w:r>
    </w:p>
    <w:p>
      <w:pPr>
        <w:pStyle w:val="BodyText"/>
      </w:pPr>
    </w:p>
    <w:p>
      <w:pPr>
        <w:pStyle w:val="Heading1"/>
        <w:numPr>
          <w:ilvl w:val="2"/>
          <w:numId w:val="57"/>
        </w:numPr>
        <w:tabs>
          <w:tab w:pos="2258" w:val="left" w:leader="none"/>
        </w:tabs>
        <w:spacing w:line="240" w:lineRule="auto" w:before="205" w:after="0"/>
        <w:ind w:left="2257" w:right="0" w:hanging="703"/>
        <w:jc w:val="left"/>
      </w:pPr>
      <w:bookmarkStart w:name="_TOC_250003" w:id="49"/>
      <w:r>
        <w:rPr/>
        <w:t>Principales irregularidades</w:t>
      </w:r>
      <w:r>
        <w:rPr>
          <w:spacing w:val="-25"/>
        </w:rPr>
        <w:t> </w:t>
      </w:r>
      <w:bookmarkEnd w:id="49"/>
      <w:r>
        <w:rPr/>
        <w:t>observadas</w:t>
      </w:r>
    </w:p>
    <w:p>
      <w:pPr>
        <w:pStyle w:val="BodyText"/>
        <w:rPr>
          <w:b/>
          <w:sz w:val="28"/>
        </w:rPr>
      </w:pPr>
    </w:p>
    <w:p>
      <w:pPr>
        <w:pStyle w:val="BodyText"/>
        <w:spacing w:before="6"/>
        <w:rPr>
          <w:b/>
          <w:sz w:val="25"/>
        </w:rPr>
      </w:pPr>
    </w:p>
    <w:p>
      <w:pPr>
        <w:pStyle w:val="BodyText"/>
        <w:spacing w:line="360" w:lineRule="auto"/>
        <w:ind w:left="102" w:right="115"/>
        <w:jc w:val="both"/>
      </w:pPr>
      <w:r>
        <w:rPr/>
        <w:t>En el lapso del 2008 al 2014 la ASF efectuó un total de 79 auditorías al Estado de México, de las cuales 65 fueron dirigidas para el FISMDF y 14 del FORTAMUNDF. Cabe resaltar que 14 municipios fueron auditados más de una ocasión, municipios como Ecatepec de Morelos fue revisado 8 ocasiones, Naucalpan y Nezahualcóyotl fue auditado en 7; después le sigue Chimalhuacán con 5; Atizapán de Zaragoza, San Felipe del Progreso y San José del Rincón con 4 revisiones; Ixtlahuaca, Tlalnepantla y Toluca con 3; y finalmente Almoloya de Juárez, Cuautitlán Izcalli, Villa Victoria y Zacualpan con 2.</w:t>
      </w:r>
    </w:p>
    <w:p>
      <w:pPr>
        <w:pStyle w:val="BodyText"/>
        <w:spacing w:line="360" w:lineRule="auto" w:before="202"/>
        <w:ind w:left="102" w:right="116"/>
        <w:jc w:val="both"/>
      </w:pPr>
      <w:r>
        <w:rPr/>
        <w:t>Los resultados de las auditorías practicadas por la ASF a los municipios seleccionados</w:t>
      </w:r>
      <w:r>
        <w:rPr>
          <w:spacing w:val="-13"/>
        </w:rPr>
        <w:t> </w:t>
      </w:r>
      <w:r>
        <w:rPr/>
        <w:t>del</w:t>
      </w:r>
      <w:r>
        <w:rPr>
          <w:spacing w:val="-13"/>
        </w:rPr>
        <w:t> </w:t>
      </w:r>
      <w:r>
        <w:rPr/>
        <w:t>Estado</w:t>
      </w:r>
      <w:r>
        <w:rPr>
          <w:spacing w:val="-9"/>
        </w:rPr>
        <w:t> </w:t>
      </w:r>
      <w:r>
        <w:rPr/>
        <w:t>de</w:t>
      </w:r>
      <w:r>
        <w:rPr>
          <w:spacing w:val="-9"/>
        </w:rPr>
        <w:t> </w:t>
      </w:r>
      <w:r>
        <w:rPr/>
        <w:t>México</w:t>
      </w:r>
      <w:r>
        <w:rPr>
          <w:spacing w:val="-7"/>
        </w:rPr>
        <w:t> </w:t>
      </w:r>
      <w:r>
        <w:rPr/>
        <w:t>muestran</w:t>
      </w:r>
      <w:r>
        <w:rPr>
          <w:spacing w:val="-8"/>
        </w:rPr>
        <w:t> </w:t>
      </w:r>
      <w:r>
        <w:rPr/>
        <w:t>una</w:t>
      </w:r>
      <w:r>
        <w:rPr>
          <w:spacing w:val="-9"/>
        </w:rPr>
        <w:t> </w:t>
      </w:r>
      <w:r>
        <w:rPr/>
        <w:t>elevada</w:t>
      </w:r>
      <w:r>
        <w:rPr>
          <w:spacing w:val="-9"/>
        </w:rPr>
        <w:t> </w:t>
      </w:r>
      <w:r>
        <w:rPr/>
        <w:t>incidencia</w:t>
      </w:r>
      <w:r>
        <w:rPr>
          <w:spacing w:val="-10"/>
        </w:rPr>
        <w:t> </w:t>
      </w:r>
      <w:r>
        <w:rPr/>
        <w:t>y</w:t>
      </w:r>
      <w:r>
        <w:rPr>
          <w:spacing w:val="-13"/>
        </w:rPr>
        <w:t> </w:t>
      </w:r>
      <w:r>
        <w:rPr/>
        <w:t>recurrencia de observaciones en esas revisiones. En ese sentido, se identificaron y analizaron las principales observaciones formulados en las Auditorías del periodo citado. Esta reincidencia demuestra lo sostenido en la hipótesis de</w:t>
      </w:r>
      <w:r>
        <w:rPr>
          <w:spacing w:val="-23"/>
        </w:rPr>
        <w:t> </w:t>
      </w:r>
      <w:r>
        <w:rPr/>
        <w:t>investigación.</w:t>
      </w:r>
    </w:p>
    <w:p>
      <w:pPr>
        <w:pStyle w:val="BodyText"/>
        <w:spacing w:line="360" w:lineRule="auto" w:before="204"/>
        <w:ind w:left="102" w:right="117"/>
        <w:jc w:val="both"/>
      </w:pPr>
      <w:r>
        <w:rPr/>
        <w:t>Los</w:t>
      </w:r>
      <w:r>
        <w:rPr>
          <w:spacing w:val="-9"/>
        </w:rPr>
        <w:t> </w:t>
      </w:r>
      <w:r>
        <w:rPr/>
        <w:t>principales</w:t>
      </w:r>
      <w:r>
        <w:rPr>
          <w:spacing w:val="-9"/>
        </w:rPr>
        <w:t> </w:t>
      </w:r>
      <w:r>
        <w:rPr/>
        <w:t>conceptos</w:t>
      </w:r>
      <w:r>
        <w:rPr>
          <w:spacing w:val="-7"/>
        </w:rPr>
        <w:t> </w:t>
      </w:r>
      <w:r>
        <w:rPr/>
        <w:t>de</w:t>
      </w:r>
      <w:r>
        <w:rPr>
          <w:spacing w:val="-6"/>
        </w:rPr>
        <w:t> </w:t>
      </w:r>
      <w:r>
        <w:rPr/>
        <w:t>irregularidades</w:t>
      </w:r>
      <w:r>
        <w:rPr>
          <w:spacing w:val="-9"/>
        </w:rPr>
        <w:t> </w:t>
      </w:r>
      <w:r>
        <w:rPr/>
        <w:t>de</w:t>
      </w:r>
      <w:r>
        <w:rPr>
          <w:spacing w:val="-6"/>
        </w:rPr>
        <w:t> </w:t>
      </w:r>
      <w:r>
        <w:rPr/>
        <w:t>los</w:t>
      </w:r>
      <w:r>
        <w:rPr>
          <w:spacing w:val="-11"/>
        </w:rPr>
        <w:t> </w:t>
      </w:r>
      <w:r>
        <w:rPr/>
        <w:t>municipios</w:t>
      </w:r>
      <w:r>
        <w:rPr>
          <w:spacing w:val="-7"/>
        </w:rPr>
        <w:t> </w:t>
      </w:r>
      <w:r>
        <w:rPr/>
        <w:t>auditados</w:t>
      </w:r>
      <w:r>
        <w:rPr>
          <w:spacing w:val="-9"/>
        </w:rPr>
        <w:t> </w:t>
      </w:r>
      <w:r>
        <w:rPr/>
        <w:t>de</w:t>
      </w:r>
      <w:r>
        <w:rPr>
          <w:spacing w:val="-8"/>
        </w:rPr>
        <w:t> </w:t>
      </w:r>
      <w:r>
        <w:rPr/>
        <w:t>2008</w:t>
      </w:r>
      <w:r>
        <w:rPr>
          <w:spacing w:val="-11"/>
        </w:rPr>
        <w:t> </w:t>
      </w:r>
      <w:r>
        <w:rPr/>
        <w:t>a 2014 estan: en obras y acciones ejecutadas que no beneficiaron a los sectores en condiciones de rezago social y pobreza extrema por un importe de 183,420.8</w:t>
      </w:r>
      <w:r>
        <w:rPr>
          <w:spacing w:val="-34"/>
        </w:rPr>
        <w:t> </w:t>
      </w:r>
      <w:r>
        <w:rPr/>
        <w:t>miles de</w:t>
      </w:r>
      <w:r>
        <w:rPr>
          <w:spacing w:val="-11"/>
        </w:rPr>
        <w:t> </w:t>
      </w:r>
      <w:r>
        <w:rPr/>
        <w:t>pesos,</w:t>
      </w:r>
      <w:r>
        <w:rPr>
          <w:spacing w:val="44"/>
        </w:rPr>
        <w:t> </w:t>
      </w:r>
      <w:r>
        <w:rPr/>
        <w:t>en</w:t>
      </w:r>
      <w:r>
        <w:rPr>
          <w:spacing w:val="-13"/>
        </w:rPr>
        <w:t> </w:t>
      </w:r>
      <w:r>
        <w:rPr/>
        <w:t>recursos</w:t>
      </w:r>
      <w:r>
        <w:rPr>
          <w:spacing w:val="-14"/>
        </w:rPr>
        <w:t> </w:t>
      </w:r>
      <w:r>
        <w:rPr/>
        <w:t>federales</w:t>
      </w:r>
      <w:r>
        <w:rPr>
          <w:spacing w:val="-12"/>
        </w:rPr>
        <w:t> </w:t>
      </w:r>
      <w:r>
        <w:rPr/>
        <w:t>aplicados</w:t>
      </w:r>
      <w:r>
        <w:rPr>
          <w:spacing w:val="-14"/>
        </w:rPr>
        <w:t> </w:t>
      </w:r>
      <w:r>
        <w:rPr/>
        <w:t>en</w:t>
      </w:r>
      <w:r>
        <w:rPr>
          <w:spacing w:val="-13"/>
        </w:rPr>
        <w:t> </w:t>
      </w:r>
      <w:r>
        <w:rPr/>
        <w:t>rubros</w:t>
      </w:r>
      <w:r>
        <w:rPr>
          <w:spacing w:val="-11"/>
        </w:rPr>
        <w:t> </w:t>
      </w:r>
      <w:r>
        <w:rPr/>
        <w:t>o</w:t>
      </w:r>
      <w:r>
        <w:rPr>
          <w:spacing w:val="-13"/>
        </w:rPr>
        <w:t> </w:t>
      </w:r>
      <w:r>
        <w:rPr/>
        <w:t>programas</w:t>
      </w:r>
      <w:r>
        <w:rPr>
          <w:spacing w:val="-14"/>
        </w:rPr>
        <w:t> </w:t>
      </w:r>
      <w:r>
        <w:rPr/>
        <w:t>no</w:t>
      </w:r>
      <w:r>
        <w:rPr>
          <w:spacing w:val="-13"/>
        </w:rPr>
        <w:t> </w:t>
      </w:r>
      <w:r>
        <w:rPr/>
        <w:t>contemplados</w:t>
      </w:r>
    </w:p>
    <w:p>
      <w:pPr>
        <w:spacing w:after="0" w:line="360" w:lineRule="auto"/>
        <w:jc w:val="both"/>
        <w:sectPr>
          <w:pgSz w:w="12240" w:h="15840"/>
          <w:pgMar w:header="0" w:footer="932" w:top="1360" w:bottom="1180" w:left="1600" w:right="1580"/>
        </w:sectPr>
      </w:pPr>
    </w:p>
    <w:p>
      <w:pPr>
        <w:pStyle w:val="BodyText"/>
        <w:spacing w:line="360" w:lineRule="auto" w:before="54"/>
        <w:ind w:left="102" w:right="116"/>
        <w:jc w:val="both"/>
      </w:pPr>
      <w:r>
        <w:rPr/>
        <w:t>en la Ley de Coordinación Fiscal ascendiendo a un monto total de 180,478.8 miles de pesos, otra irregularidad se encuentra en transferencias de la cuenta a otras cuentas del municipio por 261,354.9 miles de pesos, otro son aquéllos conceptos de obras pagadas y no ejecutados por 2,802.8 miles de pesos, pago en exceso en adquisiciones</w:t>
      </w:r>
      <w:r>
        <w:rPr>
          <w:spacing w:val="37"/>
        </w:rPr>
        <w:t> </w:t>
      </w:r>
      <w:r>
        <w:rPr/>
        <w:t>390.1</w:t>
      </w:r>
      <w:r>
        <w:rPr>
          <w:spacing w:val="-15"/>
        </w:rPr>
        <w:t> </w:t>
      </w:r>
      <w:r>
        <w:rPr/>
        <w:t>miles</w:t>
      </w:r>
      <w:r>
        <w:rPr>
          <w:spacing w:val="-14"/>
        </w:rPr>
        <w:t> </w:t>
      </w:r>
      <w:r>
        <w:rPr/>
        <w:t>de</w:t>
      </w:r>
      <w:r>
        <w:rPr>
          <w:spacing w:val="-14"/>
        </w:rPr>
        <w:t> </w:t>
      </w:r>
      <w:r>
        <w:rPr/>
        <w:t>pesos,</w:t>
      </w:r>
      <w:r>
        <w:rPr>
          <w:spacing w:val="-16"/>
        </w:rPr>
        <w:t> </w:t>
      </w:r>
      <w:r>
        <w:rPr/>
        <w:t>pagos</w:t>
      </w:r>
      <w:r>
        <w:rPr>
          <w:spacing w:val="-14"/>
        </w:rPr>
        <w:t> </w:t>
      </w:r>
      <w:r>
        <w:rPr/>
        <w:t>improcedentes</w:t>
      </w:r>
      <w:r>
        <w:rPr>
          <w:spacing w:val="-16"/>
        </w:rPr>
        <w:t> </w:t>
      </w:r>
      <w:r>
        <w:rPr/>
        <w:t>o</w:t>
      </w:r>
      <w:r>
        <w:rPr>
          <w:spacing w:val="-14"/>
        </w:rPr>
        <w:t> </w:t>
      </w:r>
      <w:r>
        <w:rPr/>
        <w:t>exceso</w:t>
      </w:r>
      <w:r>
        <w:rPr>
          <w:spacing w:val="-14"/>
        </w:rPr>
        <w:t> </w:t>
      </w:r>
      <w:r>
        <w:rPr/>
        <w:t>de</w:t>
      </w:r>
      <w:r>
        <w:rPr>
          <w:spacing w:val="-16"/>
        </w:rPr>
        <w:t> </w:t>
      </w:r>
      <w:r>
        <w:rPr/>
        <w:t>obras</w:t>
      </w:r>
      <w:r>
        <w:rPr>
          <w:spacing w:val="-16"/>
        </w:rPr>
        <w:t> </w:t>
      </w:r>
      <w:r>
        <w:rPr/>
        <w:t>863.9 miles de pesos, falta de documentación comprobatoria 1,150.0 miles de pesos y finalmente en proyectos no relacionados con los gastos indirectos de</w:t>
      </w:r>
      <w:r>
        <w:rPr>
          <w:spacing w:val="-28"/>
        </w:rPr>
        <w:t> </w:t>
      </w:r>
      <w:r>
        <w:rPr/>
        <w:t>11,080.4.</w:t>
      </w:r>
    </w:p>
    <w:p>
      <w:pPr>
        <w:pStyle w:val="BodyText"/>
        <w:spacing w:line="360" w:lineRule="auto" w:before="204"/>
        <w:ind w:left="102" w:right="114"/>
        <w:jc w:val="both"/>
      </w:pPr>
      <w:r>
        <w:rPr/>
        <w:t>Es notable que existe una elevada recurrencia de observaciones, la principal del análisis</w:t>
      </w:r>
      <w:r>
        <w:rPr>
          <w:spacing w:val="-7"/>
        </w:rPr>
        <w:t> </w:t>
      </w:r>
      <w:r>
        <w:rPr/>
        <w:t>efectuado</w:t>
      </w:r>
      <w:r>
        <w:rPr>
          <w:spacing w:val="-6"/>
        </w:rPr>
        <w:t> </w:t>
      </w:r>
      <w:r>
        <w:rPr/>
        <w:t>es</w:t>
      </w:r>
      <w:r>
        <w:rPr>
          <w:spacing w:val="-7"/>
        </w:rPr>
        <w:t> </w:t>
      </w:r>
      <w:r>
        <w:rPr/>
        <w:t>que</w:t>
      </w:r>
      <w:r>
        <w:rPr>
          <w:spacing w:val="-6"/>
        </w:rPr>
        <w:t> </w:t>
      </w:r>
      <w:r>
        <w:rPr/>
        <w:t>se</w:t>
      </w:r>
      <w:r>
        <w:rPr>
          <w:spacing w:val="-6"/>
        </w:rPr>
        <w:t> </w:t>
      </w:r>
      <w:r>
        <w:rPr/>
        <w:t>incurre</w:t>
      </w:r>
      <w:r>
        <w:rPr>
          <w:spacing w:val="-6"/>
        </w:rPr>
        <w:t> </w:t>
      </w:r>
      <w:r>
        <w:rPr/>
        <w:t>bastante</w:t>
      </w:r>
      <w:r>
        <w:rPr>
          <w:spacing w:val="-8"/>
        </w:rPr>
        <w:t> </w:t>
      </w:r>
      <w:r>
        <w:rPr/>
        <w:t>en</w:t>
      </w:r>
      <w:r>
        <w:rPr>
          <w:spacing w:val="-6"/>
        </w:rPr>
        <w:t> </w:t>
      </w:r>
      <w:r>
        <w:rPr/>
        <w:t>hacer</w:t>
      </w:r>
      <w:r>
        <w:rPr>
          <w:spacing w:val="-7"/>
        </w:rPr>
        <w:t> </w:t>
      </w:r>
      <w:r>
        <w:rPr/>
        <w:t>transferencia</w:t>
      </w:r>
      <w:r>
        <w:rPr>
          <w:spacing w:val="-9"/>
        </w:rPr>
        <w:t> </w:t>
      </w:r>
      <w:r>
        <w:rPr/>
        <w:t>de</w:t>
      </w:r>
      <w:r>
        <w:rPr>
          <w:spacing w:val="-6"/>
        </w:rPr>
        <w:t> </w:t>
      </w:r>
      <w:r>
        <w:rPr/>
        <w:t>las</w:t>
      </w:r>
      <w:r>
        <w:rPr>
          <w:spacing w:val="-6"/>
        </w:rPr>
        <w:t> </w:t>
      </w:r>
      <w:r>
        <w:rPr/>
        <w:t>cuentas asignadas a las aportaciones federales a otras cuentas</w:t>
      </w:r>
      <w:r>
        <w:rPr>
          <w:spacing w:val="-18"/>
        </w:rPr>
        <w:t> </w:t>
      </w:r>
      <w:r>
        <w:rPr/>
        <w:t>municipales.</w:t>
      </w:r>
    </w:p>
    <w:p>
      <w:pPr>
        <w:pStyle w:val="BodyText"/>
        <w:spacing w:line="360" w:lineRule="auto" w:before="204"/>
        <w:ind w:left="102" w:right="116"/>
        <w:jc w:val="both"/>
      </w:pPr>
      <w:r>
        <w:rPr/>
        <w:t>De</w:t>
      </w:r>
      <w:r>
        <w:rPr>
          <w:spacing w:val="-14"/>
        </w:rPr>
        <w:t> </w:t>
      </w:r>
      <w:r>
        <w:rPr/>
        <w:t>lo</w:t>
      </w:r>
      <w:r>
        <w:rPr>
          <w:spacing w:val="-17"/>
        </w:rPr>
        <w:t> </w:t>
      </w:r>
      <w:r>
        <w:rPr/>
        <w:t>anterior</w:t>
      </w:r>
      <w:r>
        <w:rPr>
          <w:spacing w:val="-15"/>
        </w:rPr>
        <w:t> </w:t>
      </w:r>
      <w:r>
        <w:rPr/>
        <w:t>resulta</w:t>
      </w:r>
      <w:r>
        <w:rPr>
          <w:spacing w:val="-14"/>
        </w:rPr>
        <w:t> </w:t>
      </w:r>
      <w:r>
        <w:rPr/>
        <w:t>que</w:t>
      </w:r>
      <w:r>
        <w:rPr>
          <w:spacing w:val="-14"/>
        </w:rPr>
        <w:t> </w:t>
      </w:r>
      <w:r>
        <w:rPr/>
        <w:t>las</w:t>
      </w:r>
      <w:r>
        <w:rPr>
          <w:spacing w:val="-15"/>
        </w:rPr>
        <w:t> </w:t>
      </w:r>
      <w:r>
        <w:rPr/>
        <w:t>limitantes</w:t>
      </w:r>
      <w:r>
        <w:rPr>
          <w:spacing w:val="-15"/>
        </w:rPr>
        <w:t> </w:t>
      </w:r>
      <w:r>
        <w:rPr/>
        <w:t>que</w:t>
      </w:r>
      <w:r>
        <w:rPr>
          <w:spacing w:val="-16"/>
        </w:rPr>
        <w:t> </w:t>
      </w:r>
      <w:r>
        <w:rPr/>
        <w:t>encuentran</w:t>
      </w:r>
      <w:r>
        <w:rPr>
          <w:spacing w:val="-16"/>
        </w:rPr>
        <w:t> </w:t>
      </w:r>
      <w:r>
        <w:rPr/>
        <w:t>los</w:t>
      </w:r>
      <w:r>
        <w:rPr>
          <w:spacing w:val="-17"/>
        </w:rPr>
        <w:t> </w:t>
      </w:r>
      <w:r>
        <w:rPr/>
        <w:t>tomadores</w:t>
      </w:r>
      <w:r>
        <w:rPr>
          <w:spacing w:val="-15"/>
        </w:rPr>
        <w:t> </w:t>
      </w:r>
      <w:r>
        <w:rPr/>
        <w:t>de</w:t>
      </w:r>
      <w:r>
        <w:rPr>
          <w:spacing w:val="-17"/>
        </w:rPr>
        <w:t> </w:t>
      </w:r>
      <w:r>
        <w:rPr/>
        <w:t>decisiones es una fuerte debilidad en las capacidades institucionales de los municipios y con capacidades institucionales se alude a las capacidades técnicas y adminsitrativas. Es</w:t>
      </w:r>
      <w:r>
        <w:rPr>
          <w:spacing w:val="-10"/>
        </w:rPr>
        <w:t> </w:t>
      </w:r>
      <w:r>
        <w:rPr/>
        <w:t>prescindible</w:t>
      </w:r>
      <w:r>
        <w:rPr>
          <w:spacing w:val="-9"/>
        </w:rPr>
        <w:t> </w:t>
      </w:r>
      <w:r>
        <w:rPr/>
        <w:t>que</w:t>
      </w:r>
      <w:r>
        <w:rPr>
          <w:spacing w:val="-12"/>
        </w:rPr>
        <w:t> </w:t>
      </w:r>
      <w:r>
        <w:rPr/>
        <w:t>para</w:t>
      </w:r>
      <w:r>
        <w:rPr>
          <w:spacing w:val="-10"/>
        </w:rPr>
        <w:t> </w:t>
      </w:r>
      <w:r>
        <w:rPr/>
        <w:t>que</w:t>
      </w:r>
      <w:r>
        <w:rPr>
          <w:spacing w:val="-9"/>
        </w:rPr>
        <w:t> </w:t>
      </w:r>
      <w:r>
        <w:rPr/>
        <w:t>el</w:t>
      </w:r>
      <w:r>
        <w:rPr>
          <w:spacing w:val="-11"/>
        </w:rPr>
        <w:t> </w:t>
      </w:r>
      <w:r>
        <w:rPr/>
        <w:t>tomador</w:t>
      </w:r>
      <w:r>
        <w:rPr>
          <w:spacing w:val="-11"/>
        </w:rPr>
        <w:t> </w:t>
      </w:r>
      <w:r>
        <w:rPr/>
        <w:t>de</w:t>
      </w:r>
      <w:r>
        <w:rPr>
          <w:spacing w:val="-12"/>
        </w:rPr>
        <w:t> </w:t>
      </w:r>
      <w:r>
        <w:rPr/>
        <w:t>decisiones</w:t>
      </w:r>
      <w:r>
        <w:rPr>
          <w:spacing w:val="-13"/>
        </w:rPr>
        <w:t> </w:t>
      </w:r>
      <w:r>
        <w:rPr/>
        <w:t>no</w:t>
      </w:r>
      <w:r>
        <w:rPr>
          <w:spacing w:val="-4"/>
        </w:rPr>
        <w:t> </w:t>
      </w:r>
      <w:r>
        <w:rPr/>
        <w:t>incurra</w:t>
      </w:r>
      <w:r>
        <w:rPr>
          <w:spacing w:val="-9"/>
        </w:rPr>
        <w:t> </w:t>
      </w:r>
      <w:r>
        <w:rPr/>
        <w:t>en</w:t>
      </w:r>
      <w:r>
        <w:rPr>
          <w:spacing w:val="-12"/>
        </w:rPr>
        <w:t> </w:t>
      </w:r>
      <w:r>
        <w:rPr/>
        <w:t>observaciones es necesario poner hincapié en los controles internos que implemente para llevar a cabo</w:t>
      </w:r>
      <w:r>
        <w:rPr>
          <w:spacing w:val="-8"/>
        </w:rPr>
        <w:t> </w:t>
      </w:r>
      <w:r>
        <w:rPr/>
        <w:t>el</w:t>
      </w:r>
      <w:r>
        <w:rPr>
          <w:spacing w:val="-10"/>
        </w:rPr>
        <w:t> </w:t>
      </w:r>
      <w:r>
        <w:rPr/>
        <w:t>ejercicio</w:t>
      </w:r>
      <w:r>
        <w:rPr>
          <w:spacing w:val="-9"/>
        </w:rPr>
        <w:t> </w:t>
      </w:r>
      <w:r>
        <w:rPr/>
        <w:t>del</w:t>
      </w:r>
      <w:r>
        <w:rPr>
          <w:spacing w:val="-7"/>
        </w:rPr>
        <w:t> </w:t>
      </w:r>
      <w:r>
        <w:rPr/>
        <w:t>gasto.</w:t>
      </w:r>
      <w:r>
        <w:rPr>
          <w:spacing w:val="-9"/>
        </w:rPr>
        <w:t> </w:t>
      </w:r>
      <w:r>
        <w:rPr/>
        <w:t>La</w:t>
      </w:r>
      <w:r>
        <w:rPr>
          <w:spacing w:val="-8"/>
        </w:rPr>
        <w:t> </w:t>
      </w:r>
      <w:r>
        <w:rPr/>
        <w:t>deficiencia</w:t>
      </w:r>
      <w:r>
        <w:rPr>
          <w:spacing w:val="-9"/>
        </w:rPr>
        <w:t> </w:t>
      </w:r>
      <w:r>
        <w:rPr/>
        <w:t>en</w:t>
      </w:r>
      <w:r>
        <w:rPr>
          <w:spacing w:val="-8"/>
        </w:rPr>
        <w:t> </w:t>
      </w:r>
      <w:r>
        <w:rPr/>
        <w:t>estos</w:t>
      </w:r>
      <w:r>
        <w:rPr>
          <w:spacing w:val="-7"/>
        </w:rPr>
        <w:t> </w:t>
      </w:r>
      <w:r>
        <w:rPr/>
        <w:t>controles</w:t>
      </w:r>
      <w:r>
        <w:rPr>
          <w:spacing w:val="-9"/>
        </w:rPr>
        <w:t> </w:t>
      </w:r>
      <w:r>
        <w:rPr/>
        <w:t>internos</w:t>
      </w:r>
      <w:r>
        <w:rPr>
          <w:spacing w:val="-12"/>
        </w:rPr>
        <w:t> </w:t>
      </w:r>
      <w:r>
        <w:rPr/>
        <w:t>conlleva</w:t>
      </w:r>
      <w:r>
        <w:rPr>
          <w:spacing w:val="1"/>
        </w:rPr>
        <w:t> </w:t>
      </w:r>
      <w:r>
        <w:rPr/>
        <w:t>a</w:t>
      </w:r>
      <w:r>
        <w:rPr>
          <w:spacing w:val="-8"/>
        </w:rPr>
        <w:t> </w:t>
      </w:r>
      <w:r>
        <w:rPr/>
        <w:t>una debilidad estructural en la administración municipal, ya que de primera mano quien debe conocer las deficiencias en la erogación del gasto y a su vez subsanar los errores</w:t>
      </w:r>
      <w:r>
        <w:rPr>
          <w:spacing w:val="-10"/>
        </w:rPr>
        <w:t> </w:t>
      </w:r>
      <w:r>
        <w:rPr/>
        <w:t>mucho</w:t>
      </w:r>
      <w:r>
        <w:rPr>
          <w:spacing w:val="-12"/>
        </w:rPr>
        <w:t> </w:t>
      </w:r>
      <w:r>
        <w:rPr/>
        <w:t>antes</w:t>
      </w:r>
      <w:r>
        <w:rPr>
          <w:spacing w:val="-10"/>
        </w:rPr>
        <w:t> </w:t>
      </w:r>
      <w:r>
        <w:rPr/>
        <w:t>de</w:t>
      </w:r>
      <w:r>
        <w:rPr>
          <w:spacing w:val="-9"/>
        </w:rPr>
        <w:t> </w:t>
      </w:r>
      <w:r>
        <w:rPr/>
        <w:t>que</w:t>
      </w:r>
      <w:r>
        <w:rPr>
          <w:spacing w:val="-9"/>
        </w:rPr>
        <w:t> </w:t>
      </w:r>
      <w:r>
        <w:rPr/>
        <w:t>se</w:t>
      </w:r>
      <w:r>
        <w:rPr>
          <w:spacing w:val="-12"/>
        </w:rPr>
        <w:t> </w:t>
      </w:r>
      <w:r>
        <w:rPr/>
        <w:t>entregue</w:t>
      </w:r>
      <w:r>
        <w:rPr>
          <w:spacing w:val="-9"/>
        </w:rPr>
        <w:t> </w:t>
      </w:r>
      <w:r>
        <w:rPr/>
        <w:t>la</w:t>
      </w:r>
      <w:r>
        <w:rPr>
          <w:spacing w:val="-10"/>
        </w:rPr>
        <w:t> </w:t>
      </w:r>
      <w:r>
        <w:rPr/>
        <w:t>información</w:t>
      </w:r>
      <w:r>
        <w:rPr>
          <w:spacing w:val="-12"/>
        </w:rPr>
        <w:t> </w:t>
      </w:r>
      <w:r>
        <w:rPr/>
        <w:t>a</w:t>
      </w:r>
      <w:r>
        <w:rPr>
          <w:spacing w:val="-9"/>
        </w:rPr>
        <w:t> </w:t>
      </w:r>
      <w:r>
        <w:rPr/>
        <w:t>los</w:t>
      </w:r>
      <w:r>
        <w:rPr>
          <w:spacing w:val="-12"/>
        </w:rPr>
        <w:t> </w:t>
      </w:r>
      <w:r>
        <w:rPr/>
        <w:t>organos</w:t>
      </w:r>
      <w:r>
        <w:rPr>
          <w:spacing w:val="-10"/>
        </w:rPr>
        <w:t> </w:t>
      </w:r>
      <w:r>
        <w:rPr/>
        <w:t>fiscalizadores y revisores, tendrian que ser las contralorias internas municipales. Sin embargo en la realidad, ésta no funge sus tareas de revisión, evaluación y prevención; dejando al tomador de decisiones</w:t>
      </w:r>
      <w:r>
        <w:rPr>
          <w:spacing w:val="-14"/>
        </w:rPr>
        <w:t> </w:t>
      </w:r>
      <w:r>
        <w:rPr/>
        <w:t>indefenso.</w:t>
      </w:r>
    </w:p>
    <w:p>
      <w:pPr>
        <w:pStyle w:val="BodyText"/>
        <w:spacing w:line="360" w:lineRule="auto" w:before="204"/>
        <w:ind w:left="102" w:right="118"/>
        <w:jc w:val="both"/>
      </w:pPr>
      <w:r>
        <w:rPr/>
        <w:t>Cuando la información es oportuna y adecuada, se pueden tener los elementos suficientes para conocer el medio sobre el que se va actuar y las características</w:t>
      </w:r>
      <w:r>
        <w:rPr>
          <w:spacing w:val="-29"/>
        </w:rPr>
        <w:t> </w:t>
      </w:r>
      <w:r>
        <w:rPr/>
        <w:t>de los recursos financieros, humanos y económicos de los municipios para su mejor adminsitración.</w:t>
      </w:r>
    </w:p>
    <w:p>
      <w:pPr>
        <w:spacing w:after="0" w:line="360" w:lineRule="auto"/>
        <w:jc w:val="both"/>
        <w:sectPr>
          <w:pgSz w:w="12240" w:h="15840"/>
          <w:pgMar w:header="0" w:footer="932" w:top="1360" w:bottom="1180" w:left="1600" w:right="1580"/>
        </w:sectPr>
      </w:pPr>
    </w:p>
    <w:p>
      <w:pPr>
        <w:pStyle w:val="BodyText"/>
        <w:spacing w:before="4"/>
        <w:rPr>
          <w:rFonts w:ascii="Times New Roman"/>
          <w:sz w:val="17"/>
        </w:rPr>
      </w:pPr>
    </w:p>
    <w:p>
      <w:pPr>
        <w:spacing w:after="0"/>
        <w:rPr>
          <w:rFonts w:ascii="Times New Roman"/>
          <w:sz w:val="17"/>
        </w:rPr>
        <w:sectPr>
          <w:pgSz w:w="12240" w:h="15840"/>
          <w:pgMar w:header="0" w:footer="932" w:top="1500" w:bottom="1120" w:left="1720" w:right="1720"/>
        </w:sectPr>
      </w:pPr>
    </w:p>
    <w:p>
      <w:pPr>
        <w:pStyle w:val="Heading1"/>
        <w:spacing w:before="52"/>
        <w:ind w:left="1858"/>
      </w:pPr>
      <w:bookmarkStart w:name="_TOC_250002" w:id="50"/>
      <w:bookmarkEnd w:id="50"/>
      <w:r>
        <w:rPr/>
        <w:t>Conclusiones y consideraciones finales</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7"/>
        </w:rPr>
      </w:pPr>
    </w:p>
    <w:p>
      <w:pPr>
        <w:pStyle w:val="BodyText"/>
        <w:spacing w:line="360" w:lineRule="auto"/>
        <w:ind w:left="102" w:right="117"/>
        <w:jc w:val="both"/>
      </w:pPr>
      <w:r>
        <w:rPr/>
        <w:t>Cuando un decisor enfrenta un problema, debe tener en cuenta las acciones que puede</w:t>
      </w:r>
      <w:r>
        <w:rPr>
          <w:spacing w:val="-14"/>
        </w:rPr>
        <w:t> </w:t>
      </w:r>
      <w:r>
        <w:rPr/>
        <w:t>adoptar,</w:t>
      </w:r>
      <w:r>
        <w:rPr>
          <w:spacing w:val="-15"/>
        </w:rPr>
        <w:t> </w:t>
      </w:r>
      <w:r>
        <w:rPr/>
        <w:t>los</w:t>
      </w:r>
      <w:r>
        <w:rPr>
          <w:spacing w:val="-17"/>
        </w:rPr>
        <w:t> </w:t>
      </w:r>
      <w:r>
        <w:rPr/>
        <w:t>eventos</w:t>
      </w:r>
      <w:r>
        <w:rPr>
          <w:spacing w:val="-15"/>
        </w:rPr>
        <w:t> </w:t>
      </w:r>
      <w:r>
        <w:rPr/>
        <w:t>que</w:t>
      </w:r>
      <w:r>
        <w:rPr>
          <w:spacing w:val="-14"/>
        </w:rPr>
        <w:t> </w:t>
      </w:r>
      <w:r>
        <w:rPr/>
        <w:t>se</w:t>
      </w:r>
      <w:r>
        <w:rPr>
          <w:spacing w:val="-14"/>
        </w:rPr>
        <w:t> </w:t>
      </w:r>
      <w:r>
        <w:rPr/>
        <w:t>pueden</w:t>
      </w:r>
      <w:r>
        <w:rPr>
          <w:spacing w:val="-14"/>
        </w:rPr>
        <w:t> </w:t>
      </w:r>
      <w:r>
        <w:rPr/>
        <w:t>presentar,</w:t>
      </w:r>
      <w:r>
        <w:rPr>
          <w:spacing w:val="-15"/>
        </w:rPr>
        <w:t> </w:t>
      </w:r>
      <w:r>
        <w:rPr/>
        <w:t>relacionados</w:t>
      </w:r>
      <w:r>
        <w:rPr>
          <w:spacing w:val="-17"/>
        </w:rPr>
        <w:t> </w:t>
      </w:r>
      <w:r>
        <w:rPr/>
        <w:t>con</w:t>
      </w:r>
      <w:r>
        <w:rPr>
          <w:spacing w:val="-14"/>
        </w:rPr>
        <w:t> </w:t>
      </w:r>
      <w:r>
        <w:rPr/>
        <w:t>el</w:t>
      </w:r>
      <w:r>
        <w:rPr>
          <w:spacing w:val="-15"/>
        </w:rPr>
        <w:t> </w:t>
      </w:r>
      <w:r>
        <w:rPr/>
        <w:t>problema, y las consecuencias provenientes de la escogencia de cada acción y de la ocurrencia de cada</w:t>
      </w:r>
      <w:r>
        <w:rPr>
          <w:spacing w:val="-12"/>
        </w:rPr>
        <w:t> </w:t>
      </w:r>
      <w:r>
        <w:rPr/>
        <w:t>evento.</w:t>
      </w:r>
    </w:p>
    <w:p>
      <w:pPr>
        <w:pStyle w:val="BodyText"/>
        <w:spacing w:line="360" w:lineRule="auto" w:before="204"/>
        <w:ind w:left="102" w:right="114"/>
        <w:jc w:val="both"/>
      </w:pPr>
      <w:r>
        <w:rPr/>
        <w:t>Se han hecho demasiados estudios en México sobre el municipio y de los</w:t>
      </w:r>
      <w:r>
        <w:rPr>
          <w:spacing w:val="-28"/>
        </w:rPr>
        <w:t> </w:t>
      </w:r>
      <w:r>
        <w:rPr/>
        <w:t>recursos financieros con los que cuenta para cumplir sus objetivos; como la institución más cercana a la población, sin embargo no se ha hecho hincapié de ¿Cómo cada decisor que encabeza una administración municipal, en este caso el Presidente municipal, toma de decisiones?, ¿Con qué herramientas cuenta o debería tener para tomar una adecuada decisión?, los problemas que enfrenta día a día en la actividad administrativa y en particular sobre los recursos financieros con los que cuenta para dar respuesta a la extensa demanda de las necesidades de los habitantes de su demarcación territorial, requiere de una decisión que ofrezca la solución adecuada para satisfacer las</w:t>
      </w:r>
      <w:r>
        <w:rPr>
          <w:spacing w:val="-21"/>
        </w:rPr>
        <w:t> </w:t>
      </w:r>
      <w:r>
        <w:rPr/>
        <w:t>demandas.</w:t>
      </w:r>
    </w:p>
    <w:p>
      <w:pPr>
        <w:pStyle w:val="BodyText"/>
        <w:spacing w:line="360" w:lineRule="auto" w:before="204"/>
        <w:ind w:left="102" w:right="116"/>
        <w:jc w:val="both"/>
      </w:pPr>
      <w:r>
        <w:rPr/>
        <w:t>También,</w:t>
      </w:r>
      <w:r>
        <w:rPr>
          <w:spacing w:val="-9"/>
        </w:rPr>
        <w:t> </w:t>
      </w:r>
      <w:r>
        <w:rPr/>
        <w:t>el</w:t>
      </w:r>
      <w:r>
        <w:rPr>
          <w:spacing w:val="-7"/>
        </w:rPr>
        <w:t> </w:t>
      </w:r>
      <w:r>
        <w:rPr/>
        <w:t>estudio</w:t>
      </w:r>
      <w:r>
        <w:rPr>
          <w:spacing w:val="-6"/>
        </w:rPr>
        <w:t> </w:t>
      </w:r>
      <w:r>
        <w:rPr/>
        <w:t>en</w:t>
      </w:r>
      <w:r>
        <w:rPr>
          <w:spacing w:val="-8"/>
        </w:rPr>
        <w:t> </w:t>
      </w:r>
      <w:r>
        <w:rPr/>
        <w:t>torno</w:t>
      </w:r>
      <w:r>
        <w:rPr>
          <w:spacing w:val="-8"/>
        </w:rPr>
        <w:t> </w:t>
      </w:r>
      <w:r>
        <w:rPr/>
        <w:t>al</w:t>
      </w:r>
      <w:r>
        <w:rPr>
          <w:spacing w:val="-10"/>
        </w:rPr>
        <w:t> </w:t>
      </w:r>
      <w:r>
        <w:rPr/>
        <w:t>federalismo</w:t>
      </w:r>
      <w:r>
        <w:rPr>
          <w:spacing w:val="-8"/>
        </w:rPr>
        <w:t> </w:t>
      </w:r>
      <w:r>
        <w:rPr/>
        <w:t>y</w:t>
      </w:r>
      <w:r>
        <w:rPr>
          <w:spacing w:val="-9"/>
        </w:rPr>
        <w:t> </w:t>
      </w:r>
      <w:r>
        <w:rPr/>
        <w:t>a</w:t>
      </w:r>
      <w:r>
        <w:rPr>
          <w:spacing w:val="-6"/>
        </w:rPr>
        <w:t> </w:t>
      </w:r>
      <w:r>
        <w:rPr/>
        <w:t>la</w:t>
      </w:r>
      <w:r>
        <w:rPr>
          <w:spacing w:val="-9"/>
        </w:rPr>
        <w:t> </w:t>
      </w:r>
      <w:r>
        <w:rPr/>
        <w:t>descentralización</w:t>
      </w:r>
      <w:r>
        <w:rPr>
          <w:spacing w:val="-8"/>
        </w:rPr>
        <w:t> </w:t>
      </w:r>
      <w:r>
        <w:rPr/>
        <w:t>fue</w:t>
      </w:r>
      <w:r>
        <w:rPr>
          <w:spacing w:val="-6"/>
        </w:rPr>
        <w:t> </w:t>
      </w:r>
      <w:r>
        <w:rPr/>
        <w:t>vital,</w:t>
      </w:r>
      <w:r>
        <w:rPr>
          <w:spacing w:val="-7"/>
        </w:rPr>
        <w:t> </w:t>
      </w:r>
      <w:r>
        <w:rPr/>
        <w:t>ya</w:t>
      </w:r>
      <w:r>
        <w:rPr>
          <w:spacing w:val="-6"/>
        </w:rPr>
        <w:t> </w:t>
      </w:r>
      <w:r>
        <w:rPr/>
        <w:t>que dan</w:t>
      </w:r>
      <w:r>
        <w:rPr>
          <w:spacing w:val="-11"/>
        </w:rPr>
        <w:t> </w:t>
      </w:r>
      <w:r>
        <w:rPr/>
        <w:t>el</w:t>
      </w:r>
      <w:r>
        <w:rPr>
          <w:spacing w:val="-12"/>
        </w:rPr>
        <w:t> </w:t>
      </w:r>
      <w:r>
        <w:rPr/>
        <w:t>marco</w:t>
      </w:r>
      <w:r>
        <w:rPr>
          <w:spacing w:val="-11"/>
        </w:rPr>
        <w:t> </w:t>
      </w:r>
      <w:r>
        <w:rPr/>
        <w:t>para</w:t>
      </w:r>
      <w:r>
        <w:rPr>
          <w:spacing w:val="-8"/>
        </w:rPr>
        <w:t> </w:t>
      </w:r>
      <w:r>
        <w:rPr/>
        <w:t>el</w:t>
      </w:r>
      <w:r>
        <w:rPr>
          <w:spacing w:val="-12"/>
        </w:rPr>
        <w:t> </w:t>
      </w:r>
      <w:r>
        <w:rPr/>
        <w:t>desarrollo</w:t>
      </w:r>
      <w:r>
        <w:rPr>
          <w:spacing w:val="-8"/>
        </w:rPr>
        <w:t> </w:t>
      </w:r>
      <w:r>
        <w:rPr/>
        <w:t>y</w:t>
      </w:r>
      <w:r>
        <w:rPr>
          <w:spacing w:val="-12"/>
        </w:rPr>
        <w:t> </w:t>
      </w:r>
      <w:r>
        <w:rPr/>
        <w:t>el</w:t>
      </w:r>
      <w:r>
        <w:rPr>
          <w:spacing w:val="-12"/>
        </w:rPr>
        <w:t> </w:t>
      </w:r>
      <w:r>
        <w:rPr/>
        <w:t>fortalecimiento</w:t>
      </w:r>
      <w:r>
        <w:rPr>
          <w:spacing w:val="-10"/>
        </w:rPr>
        <w:t> </w:t>
      </w:r>
      <w:r>
        <w:rPr/>
        <w:t>del</w:t>
      </w:r>
      <w:r>
        <w:rPr>
          <w:spacing w:val="-12"/>
        </w:rPr>
        <w:t> </w:t>
      </w:r>
      <w:r>
        <w:rPr/>
        <w:t>municipio,</w:t>
      </w:r>
      <w:r>
        <w:rPr>
          <w:spacing w:val="-11"/>
        </w:rPr>
        <w:t> </w:t>
      </w:r>
      <w:r>
        <w:rPr/>
        <w:t>sin</w:t>
      </w:r>
      <w:r>
        <w:rPr>
          <w:spacing w:val="-11"/>
        </w:rPr>
        <w:t> </w:t>
      </w:r>
      <w:r>
        <w:rPr/>
        <w:t>embargo</w:t>
      </w:r>
      <w:r>
        <w:rPr>
          <w:spacing w:val="-8"/>
        </w:rPr>
        <w:t> </w:t>
      </w:r>
      <w:r>
        <w:rPr/>
        <w:t>estos estudios no han sido suficientes para la dinámica de la autonomía de esta institución; uno de los avances que se han logrado fue a través del ramo 33, especialmente</w:t>
      </w:r>
      <w:r>
        <w:rPr>
          <w:spacing w:val="-10"/>
        </w:rPr>
        <w:t> </w:t>
      </w:r>
      <w:r>
        <w:rPr/>
        <w:t>a</w:t>
      </w:r>
      <w:r>
        <w:rPr>
          <w:spacing w:val="-8"/>
        </w:rPr>
        <w:t> </w:t>
      </w:r>
      <w:r>
        <w:rPr/>
        <w:t>los</w:t>
      </w:r>
      <w:r>
        <w:rPr>
          <w:spacing w:val="-11"/>
        </w:rPr>
        <w:t> </w:t>
      </w:r>
      <w:r>
        <w:rPr/>
        <w:t>fondos</w:t>
      </w:r>
      <w:r>
        <w:rPr>
          <w:spacing w:val="-12"/>
        </w:rPr>
        <w:t> </w:t>
      </w:r>
      <w:r>
        <w:rPr/>
        <w:t>federales</w:t>
      </w:r>
      <w:r>
        <w:rPr>
          <w:spacing w:val="-9"/>
        </w:rPr>
        <w:t> </w:t>
      </w:r>
      <w:r>
        <w:rPr/>
        <w:t>de</w:t>
      </w:r>
      <w:r>
        <w:rPr>
          <w:spacing w:val="-8"/>
        </w:rPr>
        <w:t> </w:t>
      </w:r>
      <w:r>
        <w:rPr/>
        <w:t>este</w:t>
      </w:r>
      <w:r>
        <w:rPr>
          <w:spacing w:val="-11"/>
        </w:rPr>
        <w:t> </w:t>
      </w:r>
      <w:r>
        <w:rPr/>
        <w:t>ramo</w:t>
      </w:r>
      <w:r>
        <w:rPr>
          <w:spacing w:val="-8"/>
        </w:rPr>
        <w:t> </w:t>
      </w:r>
      <w:r>
        <w:rPr/>
        <w:t>que</w:t>
      </w:r>
      <w:r>
        <w:rPr>
          <w:spacing w:val="-8"/>
        </w:rPr>
        <w:t> </w:t>
      </w:r>
      <w:r>
        <w:rPr/>
        <w:t>se</w:t>
      </w:r>
      <w:r>
        <w:rPr>
          <w:spacing w:val="-8"/>
        </w:rPr>
        <w:t> </w:t>
      </w:r>
      <w:r>
        <w:rPr/>
        <w:t>destinan</w:t>
      </w:r>
      <w:r>
        <w:rPr>
          <w:spacing w:val="-11"/>
        </w:rPr>
        <w:t> </w:t>
      </w:r>
      <w:r>
        <w:rPr/>
        <w:t>a</w:t>
      </w:r>
      <w:r>
        <w:rPr>
          <w:spacing w:val="-8"/>
        </w:rPr>
        <w:t> </w:t>
      </w:r>
      <w:r>
        <w:rPr/>
        <w:t>las</w:t>
      </w:r>
      <w:r>
        <w:rPr>
          <w:spacing w:val="-9"/>
        </w:rPr>
        <w:t> </w:t>
      </w:r>
      <w:r>
        <w:rPr/>
        <w:t>haciendas municipales, sin embargo aunque ha habido avances para vigorizar al municipio, aún quedan cabos sueltos que no han sido ampliados como es el proceso para tomar</w:t>
      </w:r>
      <w:r>
        <w:rPr>
          <w:spacing w:val="-16"/>
        </w:rPr>
        <w:t> </w:t>
      </w:r>
      <w:r>
        <w:rPr/>
        <w:t>decisiones</w:t>
      </w:r>
      <w:r>
        <w:rPr>
          <w:spacing w:val="-17"/>
        </w:rPr>
        <w:t> </w:t>
      </w:r>
      <w:r>
        <w:rPr/>
        <w:t>eficaces</w:t>
      </w:r>
      <w:r>
        <w:rPr>
          <w:spacing w:val="-15"/>
        </w:rPr>
        <w:t> </w:t>
      </w:r>
      <w:r>
        <w:rPr/>
        <w:t>y</w:t>
      </w:r>
      <w:r>
        <w:rPr>
          <w:spacing w:val="-17"/>
        </w:rPr>
        <w:t> </w:t>
      </w:r>
      <w:r>
        <w:rPr/>
        <w:t>eficientes</w:t>
      </w:r>
      <w:r>
        <w:rPr>
          <w:spacing w:val="-15"/>
        </w:rPr>
        <w:t> </w:t>
      </w:r>
      <w:r>
        <w:rPr/>
        <w:t>que</w:t>
      </w:r>
      <w:r>
        <w:rPr>
          <w:spacing w:val="-14"/>
        </w:rPr>
        <w:t> </w:t>
      </w:r>
      <w:r>
        <w:rPr/>
        <w:t>resuelvan</w:t>
      </w:r>
      <w:r>
        <w:rPr>
          <w:spacing w:val="-14"/>
        </w:rPr>
        <w:t> </w:t>
      </w:r>
      <w:r>
        <w:rPr/>
        <w:t>los</w:t>
      </w:r>
      <w:r>
        <w:rPr>
          <w:spacing w:val="-17"/>
        </w:rPr>
        <w:t> </w:t>
      </w:r>
      <w:r>
        <w:rPr/>
        <w:t>problemas</w:t>
      </w:r>
      <w:r>
        <w:rPr>
          <w:spacing w:val="-17"/>
        </w:rPr>
        <w:t> </w:t>
      </w:r>
      <w:r>
        <w:rPr/>
        <w:t>con</w:t>
      </w:r>
      <w:r>
        <w:rPr>
          <w:spacing w:val="-14"/>
        </w:rPr>
        <w:t> </w:t>
      </w:r>
      <w:r>
        <w:rPr/>
        <w:t>los</w:t>
      </w:r>
      <w:r>
        <w:rPr>
          <w:spacing w:val="-17"/>
        </w:rPr>
        <w:t> </w:t>
      </w:r>
      <w:r>
        <w:rPr/>
        <w:t>recursos disponibles.</w:t>
      </w:r>
    </w:p>
    <w:p>
      <w:pPr>
        <w:spacing w:after="0" w:line="360" w:lineRule="auto"/>
        <w:jc w:val="both"/>
        <w:sectPr>
          <w:pgSz w:w="12240" w:h="15840"/>
          <w:pgMar w:header="0" w:footer="932" w:top="1360" w:bottom="1120" w:left="1600" w:right="1580"/>
        </w:sectPr>
      </w:pPr>
    </w:p>
    <w:p>
      <w:pPr>
        <w:pStyle w:val="BodyText"/>
        <w:spacing w:line="360" w:lineRule="auto" w:before="54"/>
        <w:ind w:left="102" w:right="117"/>
        <w:jc w:val="both"/>
      </w:pPr>
      <w:r>
        <w:rPr/>
        <w:t>Es por ello que la meta de la investigación fue, determinar por qué el marco institucional y las responsabilidades limitan la toma de decisiones de los gobiernos municipales</w:t>
      </w:r>
      <w:r>
        <w:rPr>
          <w:spacing w:val="-8"/>
        </w:rPr>
        <w:t> </w:t>
      </w:r>
      <w:r>
        <w:rPr/>
        <w:t>sobre</w:t>
      </w:r>
      <w:r>
        <w:rPr>
          <w:spacing w:val="-9"/>
        </w:rPr>
        <w:t> </w:t>
      </w:r>
      <w:r>
        <w:rPr/>
        <w:t>el</w:t>
      </w:r>
      <w:r>
        <w:rPr>
          <w:spacing w:val="-8"/>
        </w:rPr>
        <w:t> </w:t>
      </w:r>
      <w:r>
        <w:rPr/>
        <w:t>destino</w:t>
      </w:r>
      <w:r>
        <w:rPr>
          <w:spacing w:val="-8"/>
        </w:rPr>
        <w:t> </w:t>
      </w:r>
      <w:r>
        <w:rPr/>
        <w:t>del</w:t>
      </w:r>
      <w:r>
        <w:rPr>
          <w:spacing w:val="-8"/>
        </w:rPr>
        <w:t> </w:t>
      </w:r>
      <w:r>
        <w:rPr/>
        <w:t>recurso</w:t>
      </w:r>
      <w:r>
        <w:rPr>
          <w:spacing w:val="-9"/>
        </w:rPr>
        <w:t> </w:t>
      </w:r>
      <w:r>
        <w:rPr/>
        <w:t>de</w:t>
      </w:r>
      <w:r>
        <w:rPr>
          <w:spacing w:val="-7"/>
        </w:rPr>
        <w:t> </w:t>
      </w:r>
      <w:r>
        <w:rPr/>
        <w:t>los</w:t>
      </w:r>
      <w:r>
        <w:rPr>
          <w:spacing w:val="-9"/>
        </w:rPr>
        <w:t> </w:t>
      </w:r>
      <w:r>
        <w:rPr/>
        <w:t>fondos</w:t>
      </w:r>
      <w:r>
        <w:rPr>
          <w:spacing w:val="-12"/>
        </w:rPr>
        <w:t> </w:t>
      </w:r>
      <w:r>
        <w:rPr/>
        <w:t>federales,</w:t>
      </w:r>
      <w:r>
        <w:rPr>
          <w:spacing w:val="-7"/>
        </w:rPr>
        <w:t> </w:t>
      </w:r>
      <w:r>
        <w:rPr/>
        <w:t>asignados</w:t>
      </w:r>
      <w:r>
        <w:rPr>
          <w:spacing w:val="-8"/>
        </w:rPr>
        <w:t> </w:t>
      </w:r>
      <w:r>
        <w:rPr/>
        <w:t>a</w:t>
      </w:r>
      <w:r>
        <w:rPr>
          <w:spacing w:val="-8"/>
        </w:rPr>
        <w:t> </w:t>
      </w:r>
      <w:r>
        <w:rPr/>
        <w:t>estos (FISMDF  y</w:t>
      </w:r>
      <w:r>
        <w:rPr>
          <w:spacing w:val="-6"/>
        </w:rPr>
        <w:t> </w:t>
      </w:r>
      <w:r>
        <w:rPr/>
        <w:t>FORTAMUNDF).</w:t>
      </w:r>
    </w:p>
    <w:p>
      <w:pPr>
        <w:pStyle w:val="BodyText"/>
        <w:spacing w:line="360" w:lineRule="auto" w:before="204"/>
        <w:ind w:left="102" w:right="114"/>
        <w:jc w:val="both"/>
      </w:pPr>
      <w:r>
        <w:rPr/>
        <w:t>Esta meta se logró al estudiar al federalismo fiscal como manera de formalizar la toma de decisiones a través de las relaciones intergubernamentales, así cómo al municipio, institución de desarrollo social de la población. También fue de suma importancia identificar el proceso de operación de los fondos federales (FORTAMUNDF y FISM) para reconocer si éste es eficiente como mecanismo institucional para la toma de decisiones.</w:t>
      </w:r>
    </w:p>
    <w:p>
      <w:pPr>
        <w:pStyle w:val="BodyText"/>
        <w:spacing w:line="360" w:lineRule="auto" w:before="204"/>
        <w:ind w:left="102" w:right="115"/>
        <w:jc w:val="both"/>
      </w:pPr>
      <w:r>
        <w:rPr/>
        <w:t>La hipótesis planteada desde el inicio de la investigación fue comprobada en el sentido de que efectivamente el marco normativo al ser una sentencia general y abstracta</w:t>
      </w:r>
      <w:r>
        <w:rPr>
          <w:spacing w:val="-16"/>
        </w:rPr>
        <w:t> </w:t>
      </w:r>
      <w:r>
        <w:rPr/>
        <w:t>no</w:t>
      </w:r>
      <w:r>
        <w:rPr>
          <w:spacing w:val="-18"/>
        </w:rPr>
        <w:t> </w:t>
      </w:r>
      <w:r>
        <w:rPr/>
        <w:t>especifica</w:t>
      </w:r>
      <w:r>
        <w:rPr>
          <w:spacing w:val="-18"/>
        </w:rPr>
        <w:t> </w:t>
      </w:r>
      <w:r>
        <w:rPr/>
        <w:t>lo</w:t>
      </w:r>
      <w:r>
        <w:rPr>
          <w:spacing w:val="-16"/>
        </w:rPr>
        <w:t> </w:t>
      </w:r>
      <w:r>
        <w:rPr/>
        <w:t>particular</w:t>
      </w:r>
      <w:r>
        <w:rPr>
          <w:spacing w:val="-17"/>
        </w:rPr>
        <w:t> </w:t>
      </w:r>
      <w:r>
        <w:rPr/>
        <w:t>del</w:t>
      </w:r>
      <w:r>
        <w:rPr>
          <w:spacing w:val="-17"/>
        </w:rPr>
        <w:t> </w:t>
      </w:r>
      <w:r>
        <w:rPr/>
        <w:t>caso</w:t>
      </w:r>
      <w:r>
        <w:rPr>
          <w:spacing w:val="-16"/>
        </w:rPr>
        <w:t> </w:t>
      </w:r>
      <w:r>
        <w:rPr/>
        <w:t>y,</w:t>
      </w:r>
      <w:r>
        <w:rPr>
          <w:spacing w:val="-16"/>
        </w:rPr>
        <w:t> </w:t>
      </w:r>
      <w:r>
        <w:rPr/>
        <w:t>por</w:t>
      </w:r>
      <w:r>
        <w:rPr>
          <w:spacing w:val="-17"/>
        </w:rPr>
        <w:t> </w:t>
      </w:r>
      <w:r>
        <w:rPr/>
        <w:t>lo</w:t>
      </w:r>
      <w:r>
        <w:rPr>
          <w:spacing w:val="-18"/>
        </w:rPr>
        <w:t> </w:t>
      </w:r>
      <w:r>
        <w:rPr/>
        <w:t>tanto,</w:t>
      </w:r>
      <w:r>
        <w:rPr>
          <w:spacing w:val="-16"/>
        </w:rPr>
        <w:t> </w:t>
      </w:r>
      <w:r>
        <w:rPr/>
        <w:t>el</w:t>
      </w:r>
      <w:r>
        <w:rPr>
          <w:spacing w:val="-19"/>
        </w:rPr>
        <w:t> </w:t>
      </w:r>
      <w:r>
        <w:rPr/>
        <w:t>tomador</w:t>
      </w:r>
      <w:r>
        <w:rPr>
          <w:spacing w:val="-17"/>
        </w:rPr>
        <w:t> </w:t>
      </w:r>
      <w:r>
        <w:rPr/>
        <w:t>de</w:t>
      </w:r>
      <w:r>
        <w:rPr>
          <w:spacing w:val="-18"/>
        </w:rPr>
        <w:t> </w:t>
      </w:r>
      <w:r>
        <w:rPr/>
        <w:t>decisiones aplica criterios discrecionales, lo que lo conduce a ser sujeto de responsabilidad dado que quien evalúa utiliza otros criterios. En este sentido es donde se hace evidente la limitación del marco</w:t>
      </w:r>
      <w:r>
        <w:rPr>
          <w:spacing w:val="-12"/>
        </w:rPr>
        <w:t> </w:t>
      </w:r>
      <w:r>
        <w:rPr/>
        <w:t>institucional.</w:t>
      </w:r>
    </w:p>
    <w:p>
      <w:pPr>
        <w:pStyle w:val="BodyText"/>
        <w:spacing w:line="360" w:lineRule="auto" w:before="204"/>
        <w:ind w:left="102" w:right="115"/>
        <w:jc w:val="both"/>
      </w:pPr>
      <w:r>
        <w:rPr/>
        <w:t>En cuanto a lo profesional este trabajo aportó, en fortalecer las raíces teóricas en combinación con la experiencia que en su momento la autora de esta tesis obtuvo laborando en el ramo de la Administración Pública municipal. En la mayoría de las ocasiones los servidores públicos, realizan actividades de las tareas de la Administración Pública, sin tener conocimiento de la materia o en su caso la experiencia; fue importante combinar y saber que la Administración Pública es un proceso</w:t>
      </w:r>
      <w:r>
        <w:rPr>
          <w:spacing w:val="-12"/>
        </w:rPr>
        <w:t> </w:t>
      </w:r>
      <w:r>
        <w:rPr/>
        <w:t>que</w:t>
      </w:r>
      <w:r>
        <w:rPr>
          <w:spacing w:val="-12"/>
        </w:rPr>
        <w:t> </w:t>
      </w:r>
      <w:r>
        <w:rPr/>
        <w:t>requiere</w:t>
      </w:r>
      <w:r>
        <w:rPr>
          <w:spacing w:val="-12"/>
        </w:rPr>
        <w:t> </w:t>
      </w:r>
      <w:r>
        <w:rPr/>
        <w:t>bastante</w:t>
      </w:r>
      <w:r>
        <w:rPr>
          <w:spacing w:val="-11"/>
        </w:rPr>
        <w:t> </w:t>
      </w:r>
      <w:r>
        <w:rPr/>
        <w:t>sustento</w:t>
      </w:r>
      <w:r>
        <w:rPr>
          <w:spacing w:val="-11"/>
        </w:rPr>
        <w:t> </w:t>
      </w:r>
      <w:r>
        <w:rPr/>
        <w:t>teórico,</w:t>
      </w:r>
      <w:r>
        <w:rPr>
          <w:spacing w:val="-12"/>
        </w:rPr>
        <w:t> </w:t>
      </w:r>
      <w:r>
        <w:rPr/>
        <w:t>por</w:t>
      </w:r>
      <w:r>
        <w:rPr>
          <w:spacing w:val="-13"/>
        </w:rPr>
        <w:t> </w:t>
      </w:r>
      <w:r>
        <w:rPr/>
        <w:t>lo</w:t>
      </w:r>
      <w:r>
        <w:rPr>
          <w:spacing w:val="-12"/>
        </w:rPr>
        <w:t> </w:t>
      </w:r>
      <w:r>
        <w:rPr/>
        <w:t>tanto</w:t>
      </w:r>
      <w:r>
        <w:rPr>
          <w:spacing w:val="-14"/>
        </w:rPr>
        <w:t> </w:t>
      </w:r>
      <w:r>
        <w:rPr/>
        <w:t>este</w:t>
      </w:r>
      <w:r>
        <w:rPr>
          <w:spacing w:val="-13"/>
        </w:rPr>
        <w:t> </w:t>
      </w:r>
      <w:r>
        <w:rPr/>
        <w:t>trabajo</w:t>
      </w:r>
      <w:r>
        <w:rPr>
          <w:spacing w:val="-12"/>
        </w:rPr>
        <w:t> </w:t>
      </w:r>
      <w:r>
        <w:rPr/>
        <w:t>cimentó</w:t>
      </w:r>
      <w:r>
        <w:rPr>
          <w:spacing w:val="-10"/>
        </w:rPr>
        <w:t> </w:t>
      </w:r>
      <w:r>
        <w:rPr/>
        <w:t>las bases y dio una visión prospectiva sobre el quehacer administrativo del ámbito municipal, y reconocer las mejoras que se pueden hacer para eficientar el proceso de gobernar y tratar los asuntos públicos de la comunidad así como la importancia de las causas que hacen que un decisor tome la acción o la alternativa x para la resolución de un</w:t>
      </w:r>
      <w:r>
        <w:rPr>
          <w:spacing w:val="-11"/>
        </w:rPr>
        <w:t> </w:t>
      </w:r>
      <w:r>
        <w:rPr/>
        <w:t>problema.</w:t>
      </w:r>
    </w:p>
    <w:p>
      <w:pPr>
        <w:spacing w:after="0" w:line="360" w:lineRule="auto"/>
        <w:jc w:val="both"/>
        <w:sectPr>
          <w:footerReference w:type="default" r:id="rId56"/>
          <w:pgSz w:w="12240" w:h="15840"/>
          <w:pgMar w:footer="992" w:header="0" w:top="1360" w:bottom="1180" w:left="1600" w:right="1580"/>
        </w:sectPr>
      </w:pPr>
    </w:p>
    <w:p>
      <w:pPr>
        <w:pStyle w:val="BodyText"/>
        <w:spacing w:line="360" w:lineRule="auto" w:before="54"/>
        <w:ind w:left="102" w:right="115"/>
        <w:jc w:val="both"/>
      </w:pPr>
      <w:r>
        <w:rPr/>
        <w:t>La importancia de que la población se involucre, en saber sobre el manejo de los recursos municipales, así como su normatividad para destinar el recurso, le da mayor transparencia a la ejecución de los fondos federales y conlleva a que el decisor</w:t>
      </w:r>
      <w:r>
        <w:rPr>
          <w:spacing w:val="-12"/>
        </w:rPr>
        <w:t> </w:t>
      </w:r>
      <w:r>
        <w:rPr/>
        <w:t>sea</w:t>
      </w:r>
      <w:r>
        <w:rPr>
          <w:spacing w:val="-10"/>
        </w:rPr>
        <w:t> </w:t>
      </w:r>
      <w:r>
        <w:rPr/>
        <w:t>certero</w:t>
      </w:r>
      <w:r>
        <w:rPr>
          <w:spacing w:val="-11"/>
        </w:rPr>
        <w:t> </w:t>
      </w:r>
      <w:r>
        <w:rPr/>
        <w:t>en</w:t>
      </w:r>
      <w:r>
        <w:rPr>
          <w:spacing w:val="-13"/>
        </w:rPr>
        <w:t> </w:t>
      </w:r>
      <w:r>
        <w:rPr/>
        <w:t>su</w:t>
      </w:r>
      <w:r>
        <w:rPr>
          <w:spacing w:val="-11"/>
        </w:rPr>
        <w:t> </w:t>
      </w:r>
      <w:r>
        <w:rPr/>
        <w:t>toma</w:t>
      </w:r>
      <w:r>
        <w:rPr>
          <w:spacing w:val="-11"/>
        </w:rPr>
        <w:t> </w:t>
      </w:r>
      <w:r>
        <w:rPr/>
        <w:t>de</w:t>
      </w:r>
      <w:r>
        <w:rPr>
          <w:spacing w:val="-11"/>
        </w:rPr>
        <w:t> </w:t>
      </w:r>
      <w:r>
        <w:rPr/>
        <w:t>decisión</w:t>
      </w:r>
      <w:r>
        <w:rPr>
          <w:spacing w:val="-11"/>
        </w:rPr>
        <w:t> </w:t>
      </w:r>
      <w:r>
        <w:rPr/>
        <w:t>sobre</w:t>
      </w:r>
      <w:r>
        <w:rPr>
          <w:spacing w:val="-11"/>
        </w:rPr>
        <w:t> </w:t>
      </w:r>
      <w:r>
        <w:rPr/>
        <w:t>destinar</w:t>
      </w:r>
      <w:r>
        <w:rPr>
          <w:spacing w:val="-12"/>
        </w:rPr>
        <w:t> </w:t>
      </w:r>
      <w:r>
        <w:rPr/>
        <w:t>los</w:t>
      </w:r>
      <w:r>
        <w:rPr>
          <w:spacing w:val="-11"/>
        </w:rPr>
        <w:t> </w:t>
      </w:r>
      <w:r>
        <w:rPr/>
        <w:t>dineros.</w:t>
      </w:r>
      <w:r>
        <w:rPr>
          <w:spacing w:val="-5"/>
        </w:rPr>
        <w:t> </w:t>
      </w:r>
      <w:r>
        <w:rPr/>
        <w:t>Sin</w:t>
      </w:r>
      <w:r>
        <w:rPr>
          <w:spacing w:val="-11"/>
        </w:rPr>
        <w:t> </w:t>
      </w:r>
      <w:r>
        <w:rPr/>
        <w:t>embargo, este estudio ha demostrado que es limitada esa participación y muy ampliada la facultad discrecional del tomador de decisiones, en ese sentido la transparencia</w:t>
      </w:r>
      <w:r>
        <w:rPr>
          <w:spacing w:val="-38"/>
        </w:rPr>
        <w:t> </w:t>
      </w:r>
      <w:r>
        <w:rPr/>
        <w:t>no es completa y por lo tanto, el manejo de los recursos se</w:t>
      </w:r>
      <w:r>
        <w:rPr>
          <w:spacing w:val="-21"/>
        </w:rPr>
        <w:t> </w:t>
      </w:r>
      <w:r>
        <w:rPr/>
        <w:t>opaca.</w:t>
      </w:r>
    </w:p>
    <w:p>
      <w:pPr>
        <w:pStyle w:val="BodyText"/>
      </w:pPr>
    </w:p>
    <w:p>
      <w:pPr>
        <w:pStyle w:val="BodyText"/>
        <w:spacing w:line="360" w:lineRule="auto" w:before="142"/>
        <w:ind w:left="102" w:right="113"/>
        <w:jc w:val="both"/>
      </w:pPr>
      <w:r>
        <w:rPr/>
        <w:t>Es evidente que existen zonas muy vulnerables de cada municipio donde los servicios públicos son muy escasos, como el agua potable, alumbrado público, y sea ahí donde se aplique mayor financiamiento, es por eso que el decisor debiera contar con la información suficiente para la adecuada toma de decisión.</w:t>
      </w:r>
    </w:p>
    <w:p>
      <w:pPr>
        <w:pStyle w:val="BodyText"/>
      </w:pPr>
    </w:p>
    <w:p>
      <w:pPr>
        <w:pStyle w:val="BodyText"/>
        <w:spacing w:line="360" w:lineRule="auto" w:before="142"/>
        <w:ind w:left="102" w:right="118"/>
        <w:jc w:val="both"/>
      </w:pPr>
      <w:r>
        <w:rPr/>
        <w:t>La investigación beneficia, además, a los tomadores de decisiones (Presidente municipal, Tesorero y Director de Obras Públicas), que son los mandos en donde que deciden el destino de los fondos. Dotándolos, de las herramientas teóricas</w:t>
      </w:r>
      <w:r>
        <w:rPr>
          <w:spacing w:val="-44"/>
        </w:rPr>
        <w:t> </w:t>
      </w:r>
      <w:r>
        <w:rPr>
          <w:spacing w:val="-2"/>
        </w:rPr>
        <w:t>que </w:t>
      </w:r>
      <w:r>
        <w:rPr/>
        <w:t>auxilien en ese proceso de</w:t>
      </w:r>
      <w:r>
        <w:rPr>
          <w:spacing w:val="-13"/>
        </w:rPr>
        <w:t> </w:t>
      </w:r>
      <w:r>
        <w:rPr/>
        <w:t>decisión.</w:t>
      </w:r>
    </w:p>
    <w:p>
      <w:pPr>
        <w:pStyle w:val="BodyText"/>
      </w:pPr>
    </w:p>
    <w:p>
      <w:pPr>
        <w:pStyle w:val="BodyText"/>
        <w:spacing w:line="360" w:lineRule="auto" w:before="142"/>
        <w:ind w:left="102" w:right="115"/>
        <w:jc w:val="both"/>
      </w:pPr>
      <w:r>
        <w:rPr/>
        <w:t>También favorece a los que integran los comités de participación de los municipios que tienen que verificar la ejecución del recurso federal, cimentando las bases y reconociendo los criterios bajo los cuales se toman las decisiones para destinar el recurso.</w:t>
      </w:r>
    </w:p>
    <w:p>
      <w:pPr>
        <w:pStyle w:val="BodyText"/>
      </w:pPr>
    </w:p>
    <w:p>
      <w:pPr>
        <w:pStyle w:val="BodyText"/>
        <w:spacing w:line="360" w:lineRule="auto" w:before="142"/>
        <w:ind w:left="102" w:right="116"/>
        <w:jc w:val="both"/>
      </w:pPr>
      <w:r>
        <w:rPr/>
        <w:t>Con lo citado anteriormente, un beneficio más que trajo el presente trabajo fue en servir como herramienta teórica y técnica para disminuir el número de observaciones por parte del Órgano Fiscalizador del Estado de México, que</w:t>
      </w:r>
      <w:r>
        <w:rPr>
          <w:spacing w:val="-36"/>
        </w:rPr>
        <w:t> </w:t>
      </w:r>
      <w:r>
        <w:rPr/>
        <w:t>realiza cuando revisa si la ejecución del gasto cumple con la normatividad y con los objetivos</w:t>
      </w:r>
      <w:r>
        <w:rPr>
          <w:spacing w:val="-16"/>
        </w:rPr>
        <w:t> </w:t>
      </w:r>
      <w:r>
        <w:rPr/>
        <w:t>para</w:t>
      </w:r>
      <w:r>
        <w:rPr>
          <w:spacing w:val="-16"/>
        </w:rPr>
        <w:t> </w:t>
      </w:r>
      <w:r>
        <w:rPr/>
        <w:t>los</w:t>
      </w:r>
      <w:r>
        <w:rPr>
          <w:spacing w:val="-16"/>
        </w:rPr>
        <w:t> </w:t>
      </w:r>
      <w:r>
        <w:rPr/>
        <w:t>cuales</w:t>
      </w:r>
      <w:r>
        <w:rPr>
          <w:spacing w:val="-19"/>
        </w:rPr>
        <w:t> </w:t>
      </w:r>
      <w:r>
        <w:rPr/>
        <w:t>fueron</w:t>
      </w:r>
      <w:r>
        <w:rPr>
          <w:spacing w:val="-16"/>
        </w:rPr>
        <w:t> </w:t>
      </w:r>
      <w:r>
        <w:rPr/>
        <w:t>creados</w:t>
      </w:r>
      <w:r>
        <w:rPr>
          <w:spacing w:val="-16"/>
        </w:rPr>
        <w:t> </w:t>
      </w:r>
      <w:r>
        <w:rPr/>
        <w:t>los</w:t>
      </w:r>
      <w:r>
        <w:rPr>
          <w:spacing w:val="-18"/>
        </w:rPr>
        <w:t> </w:t>
      </w:r>
      <w:r>
        <w:rPr/>
        <w:t>fondos</w:t>
      </w:r>
      <w:r>
        <w:rPr>
          <w:spacing w:val="-19"/>
        </w:rPr>
        <w:t> </w:t>
      </w:r>
      <w:r>
        <w:rPr/>
        <w:t>federales</w:t>
      </w:r>
      <w:r>
        <w:rPr>
          <w:spacing w:val="-16"/>
        </w:rPr>
        <w:t> </w:t>
      </w:r>
      <w:r>
        <w:rPr/>
        <w:t>a</w:t>
      </w:r>
      <w:r>
        <w:rPr>
          <w:spacing w:val="-16"/>
        </w:rPr>
        <w:t> </w:t>
      </w:r>
      <w:r>
        <w:rPr/>
        <w:t>los</w:t>
      </w:r>
      <w:r>
        <w:rPr>
          <w:spacing w:val="-12"/>
        </w:rPr>
        <w:t> </w:t>
      </w:r>
      <w:r>
        <w:rPr/>
        <w:t>municipios</w:t>
      </w:r>
      <w:r>
        <w:rPr>
          <w:spacing w:val="-16"/>
        </w:rPr>
        <w:t> </w:t>
      </w:r>
      <w:r>
        <w:rPr/>
        <w:t>(FISM y FORTAMUND). Sin duda el que los decisores tengan mayor información para su toma de decisiones, estos serán mucho más prudentes y certeros al seleccionar</w:t>
      </w:r>
      <w:r>
        <w:rPr>
          <w:spacing w:val="18"/>
        </w:rPr>
        <w:t> </w:t>
      </w:r>
      <w:r>
        <w:rPr/>
        <w:t>la</w:t>
      </w:r>
    </w:p>
    <w:p>
      <w:pPr>
        <w:spacing w:after="0" w:line="360" w:lineRule="auto"/>
        <w:jc w:val="both"/>
        <w:sectPr>
          <w:footerReference w:type="default" r:id="rId57"/>
          <w:pgSz w:w="12240" w:h="15840"/>
          <w:pgMar w:footer="992" w:header="0" w:top="1360" w:bottom="1180" w:left="1600" w:right="1580"/>
          <w:pgNumType w:start="181"/>
        </w:sectPr>
      </w:pPr>
    </w:p>
    <w:p>
      <w:pPr>
        <w:pStyle w:val="BodyText"/>
        <w:spacing w:line="362" w:lineRule="auto" w:before="54"/>
        <w:ind w:left="102" w:right="125"/>
        <w:jc w:val="both"/>
      </w:pPr>
      <w:r>
        <w:rPr/>
        <w:t>alternativa que mejor resuelva la problemática que se presente al destinar los dineros.</w:t>
      </w:r>
    </w:p>
    <w:p>
      <w:pPr>
        <w:pStyle w:val="BodyText"/>
      </w:pPr>
    </w:p>
    <w:p>
      <w:pPr>
        <w:pStyle w:val="BodyText"/>
        <w:spacing w:line="360" w:lineRule="auto" w:before="139"/>
        <w:ind w:left="102" w:right="116"/>
        <w:jc w:val="both"/>
      </w:pPr>
      <w:r>
        <w:rPr/>
        <w:t>Con el trabajo se pudo identificar más de un problema que afectan a los gobiernos municipales en la toma de decisión respecto los fondos federales que le fueron descentralizados para reforzar el desarrollo social y fortalecer al Federalismo en México a través del ramo 33, así como se aclaró la idea de que entre más recurso reciban</w:t>
      </w:r>
      <w:r>
        <w:rPr>
          <w:spacing w:val="-18"/>
        </w:rPr>
        <w:t> </w:t>
      </w:r>
      <w:r>
        <w:rPr/>
        <w:t>los</w:t>
      </w:r>
      <w:r>
        <w:rPr>
          <w:spacing w:val="-21"/>
        </w:rPr>
        <w:t> </w:t>
      </w:r>
      <w:r>
        <w:rPr/>
        <w:t>municipios,</w:t>
      </w:r>
      <w:r>
        <w:rPr>
          <w:spacing w:val="-20"/>
        </w:rPr>
        <w:t> </w:t>
      </w:r>
      <w:r>
        <w:rPr/>
        <w:t>mejoraran</w:t>
      </w:r>
      <w:r>
        <w:rPr>
          <w:spacing w:val="-18"/>
        </w:rPr>
        <w:t> </w:t>
      </w:r>
      <w:r>
        <w:rPr/>
        <w:t>los</w:t>
      </w:r>
      <w:r>
        <w:rPr>
          <w:spacing w:val="-18"/>
        </w:rPr>
        <w:t> </w:t>
      </w:r>
      <w:r>
        <w:rPr/>
        <w:t>beneficios</w:t>
      </w:r>
      <w:r>
        <w:rPr>
          <w:spacing w:val="-19"/>
        </w:rPr>
        <w:t> </w:t>
      </w:r>
      <w:r>
        <w:rPr>
          <w:spacing w:val="2"/>
        </w:rPr>
        <w:t>de</w:t>
      </w:r>
      <w:r>
        <w:rPr>
          <w:spacing w:val="-18"/>
        </w:rPr>
        <w:t> </w:t>
      </w:r>
      <w:r>
        <w:rPr/>
        <w:t>sus</w:t>
      </w:r>
      <w:r>
        <w:rPr>
          <w:spacing w:val="-21"/>
        </w:rPr>
        <w:t> </w:t>
      </w:r>
      <w:r>
        <w:rPr/>
        <w:t>habitantes,</w:t>
      </w:r>
      <w:r>
        <w:rPr>
          <w:spacing w:val="-18"/>
        </w:rPr>
        <w:t> </w:t>
      </w:r>
      <w:r>
        <w:rPr/>
        <w:t>sin</w:t>
      </w:r>
      <w:r>
        <w:rPr>
          <w:spacing w:val="-21"/>
        </w:rPr>
        <w:t> </w:t>
      </w:r>
      <w:r>
        <w:rPr/>
        <w:t>embargo</w:t>
      </w:r>
      <w:r>
        <w:rPr>
          <w:spacing w:val="-18"/>
        </w:rPr>
        <w:t> </w:t>
      </w:r>
      <w:r>
        <w:rPr/>
        <w:t>esta idea no es del todo correcta. Si bien es cierto que el municipio requiere de una abundante cantidad para cumplir con sus funciones, también es cierto que eso no es un criterio que resuelva la situación que como institución carece para fortalecer al</w:t>
      </w:r>
      <w:r>
        <w:rPr>
          <w:spacing w:val="-5"/>
        </w:rPr>
        <w:t> </w:t>
      </w:r>
      <w:r>
        <w:rPr/>
        <w:t>Federalismo.</w:t>
      </w:r>
    </w:p>
    <w:p>
      <w:pPr>
        <w:pStyle w:val="BodyText"/>
      </w:pPr>
    </w:p>
    <w:p>
      <w:pPr>
        <w:pStyle w:val="BodyText"/>
      </w:pPr>
    </w:p>
    <w:p>
      <w:pPr>
        <w:pStyle w:val="BodyText"/>
        <w:spacing w:line="360" w:lineRule="auto" w:before="147"/>
        <w:ind w:left="102" w:right="116"/>
        <w:jc w:val="both"/>
      </w:pPr>
      <w:r>
        <w:rPr/>
        <w:t>La política pública de donde se desarrolló la decisión de descentralizar fuentes de financiamiento</w:t>
      </w:r>
      <w:r>
        <w:rPr>
          <w:spacing w:val="-13"/>
        </w:rPr>
        <w:t> </w:t>
      </w:r>
      <w:r>
        <w:rPr/>
        <w:t>para</w:t>
      </w:r>
      <w:r>
        <w:rPr>
          <w:spacing w:val="-11"/>
        </w:rPr>
        <w:t> </w:t>
      </w:r>
      <w:r>
        <w:rPr/>
        <w:t>los</w:t>
      </w:r>
      <w:r>
        <w:rPr>
          <w:spacing w:val="-13"/>
        </w:rPr>
        <w:t> </w:t>
      </w:r>
      <w:r>
        <w:rPr/>
        <w:t>municipios,</w:t>
      </w:r>
      <w:r>
        <w:rPr>
          <w:spacing w:val="-11"/>
        </w:rPr>
        <w:t> </w:t>
      </w:r>
      <w:r>
        <w:rPr/>
        <w:t>parte</w:t>
      </w:r>
      <w:r>
        <w:rPr>
          <w:spacing w:val="-13"/>
        </w:rPr>
        <w:t> </w:t>
      </w:r>
      <w:r>
        <w:rPr/>
        <w:t>de</w:t>
      </w:r>
      <w:r>
        <w:rPr>
          <w:spacing w:val="-11"/>
        </w:rPr>
        <w:t> </w:t>
      </w:r>
      <w:r>
        <w:rPr/>
        <w:t>la</w:t>
      </w:r>
      <w:r>
        <w:rPr>
          <w:spacing w:val="-13"/>
        </w:rPr>
        <w:t> </w:t>
      </w:r>
      <w:r>
        <w:rPr/>
        <w:t>política</w:t>
      </w:r>
      <w:r>
        <w:rPr>
          <w:spacing w:val="-6"/>
        </w:rPr>
        <w:t> </w:t>
      </w:r>
      <w:r>
        <w:rPr/>
        <w:t>social</w:t>
      </w:r>
      <w:r>
        <w:rPr>
          <w:spacing w:val="-11"/>
        </w:rPr>
        <w:t> </w:t>
      </w:r>
      <w:r>
        <w:rPr/>
        <w:t>de</w:t>
      </w:r>
      <w:r>
        <w:rPr>
          <w:spacing w:val="-11"/>
        </w:rPr>
        <w:t> </w:t>
      </w:r>
      <w:r>
        <w:rPr/>
        <w:t>1925;</w:t>
      </w:r>
      <w:r>
        <w:rPr>
          <w:spacing w:val="-11"/>
        </w:rPr>
        <w:t> </w:t>
      </w:r>
      <w:r>
        <w:rPr/>
        <w:t>las</w:t>
      </w:r>
      <w:r>
        <w:rPr>
          <w:spacing w:val="-11"/>
        </w:rPr>
        <w:t> </w:t>
      </w:r>
      <w:r>
        <w:rPr/>
        <w:t>instancias encargadas de llevar a cabo son la Secretaría de Desarrollo Social y la Secretaría de</w:t>
      </w:r>
      <w:r>
        <w:rPr>
          <w:spacing w:val="-6"/>
        </w:rPr>
        <w:t> </w:t>
      </w:r>
      <w:r>
        <w:rPr/>
        <w:t>Hacienda</w:t>
      </w:r>
      <w:r>
        <w:rPr>
          <w:spacing w:val="-7"/>
        </w:rPr>
        <w:t> </w:t>
      </w:r>
      <w:r>
        <w:rPr/>
        <w:t>y</w:t>
      </w:r>
      <w:r>
        <w:rPr>
          <w:spacing w:val="-9"/>
        </w:rPr>
        <w:t> </w:t>
      </w:r>
      <w:r>
        <w:rPr/>
        <w:t>Crédito</w:t>
      </w:r>
      <w:r>
        <w:rPr>
          <w:spacing w:val="-8"/>
        </w:rPr>
        <w:t> </w:t>
      </w:r>
      <w:r>
        <w:rPr/>
        <w:t>Público</w:t>
      </w:r>
      <w:r>
        <w:rPr>
          <w:spacing w:val="-8"/>
        </w:rPr>
        <w:t> </w:t>
      </w:r>
      <w:r>
        <w:rPr/>
        <w:t>a</w:t>
      </w:r>
      <w:r>
        <w:rPr>
          <w:spacing w:val="-6"/>
        </w:rPr>
        <w:t> </w:t>
      </w:r>
      <w:r>
        <w:rPr/>
        <w:t>través</w:t>
      </w:r>
      <w:r>
        <w:rPr>
          <w:spacing w:val="-7"/>
        </w:rPr>
        <w:t> </w:t>
      </w:r>
      <w:r>
        <w:rPr/>
        <w:t>del</w:t>
      </w:r>
      <w:r>
        <w:rPr>
          <w:spacing w:val="-4"/>
        </w:rPr>
        <w:t> </w:t>
      </w:r>
      <w:r>
        <w:rPr/>
        <w:t>ramo</w:t>
      </w:r>
      <w:r>
        <w:rPr>
          <w:spacing w:val="-8"/>
        </w:rPr>
        <w:t> </w:t>
      </w:r>
      <w:r>
        <w:rPr/>
        <w:t>33</w:t>
      </w:r>
      <w:r>
        <w:rPr>
          <w:spacing w:val="-6"/>
        </w:rPr>
        <w:t> </w:t>
      </w:r>
      <w:r>
        <w:rPr/>
        <w:t>que</w:t>
      </w:r>
      <w:r>
        <w:rPr>
          <w:spacing w:val="-8"/>
        </w:rPr>
        <w:t> </w:t>
      </w:r>
      <w:r>
        <w:rPr/>
        <w:t>para</w:t>
      </w:r>
      <w:r>
        <w:rPr>
          <w:spacing w:val="-7"/>
        </w:rPr>
        <w:t> </w:t>
      </w:r>
      <w:r>
        <w:rPr/>
        <w:t>el</w:t>
      </w:r>
      <w:r>
        <w:rPr>
          <w:spacing w:val="-10"/>
        </w:rPr>
        <w:t> </w:t>
      </w:r>
      <w:r>
        <w:rPr/>
        <w:t>ejercicio</w:t>
      </w:r>
      <w:r>
        <w:rPr>
          <w:spacing w:val="-6"/>
        </w:rPr>
        <w:t> </w:t>
      </w:r>
      <w:r>
        <w:rPr/>
        <w:t>fiscal</w:t>
      </w:r>
      <w:r>
        <w:rPr>
          <w:spacing w:val="-7"/>
        </w:rPr>
        <w:t> </w:t>
      </w:r>
      <w:r>
        <w:rPr/>
        <w:t>2015 se destinó del presupuesto $591, 357, 166,754. Cabe citar que, esta política no ha sido tan eficaz y eficiente debido a que se </w:t>
      </w:r>
      <w:r>
        <w:rPr>
          <w:spacing w:val="3"/>
        </w:rPr>
        <w:t>ha </w:t>
      </w:r>
      <w:r>
        <w:rPr/>
        <w:t>incrementado, el presupuesto destinado al ramo 33, pero no se han visto los resultados de las evaluaciones realizadas por el CONEVAL no han sido satisfactorias, dado qur han incrementado la discrecionalidad sobre el destino del recurso, pero también cabe anunciar que con</w:t>
      </w:r>
      <w:r>
        <w:rPr>
          <w:spacing w:val="-4"/>
        </w:rPr>
        <w:t> </w:t>
      </w:r>
      <w:r>
        <w:rPr/>
        <w:t>la</w:t>
      </w:r>
      <w:r>
        <w:rPr>
          <w:spacing w:val="-4"/>
        </w:rPr>
        <w:t> </w:t>
      </w:r>
      <w:r>
        <w:rPr/>
        <w:t>reforma</w:t>
      </w:r>
      <w:r>
        <w:rPr>
          <w:spacing w:val="-4"/>
        </w:rPr>
        <w:t> </w:t>
      </w:r>
      <w:r>
        <w:rPr/>
        <w:t>del</w:t>
      </w:r>
      <w:r>
        <w:rPr>
          <w:spacing w:val="-5"/>
        </w:rPr>
        <w:t> </w:t>
      </w:r>
      <w:r>
        <w:rPr/>
        <w:t>03</w:t>
      </w:r>
      <w:r>
        <w:rPr>
          <w:spacing w:val="-4"/>
        </w:rPr>
        <w:t> </w:t>
      </w:r>
      <w:r>
        <w:rPr/>
        <w:t>de</w:t>
      </w:r>
      <w:r>
        <w:rPr>
          <w:spacing w:val="-4"/>
        </w:rPr>
        <w:t> </w:t>
      </w:r>
      <w:r>
        <w:rPr/>
        <w:t>diciembre</w:t>
      </w:r>
      <w:r>
        <w:rPr>
          <w:spacing w:val="-4"/>
        </w:rPr>
        <w:t> </w:t>
      </w:r>
      <w:r>
        <w:rPr/>
        <w:t>de</w:t>
      </w:r>
      <w:r>
        <w:rPr>
          <w:spacing w:val="-4"/>
        </w:rPr>
        <w:t> </w:t>
      </w:r>
      <w:r>
        <w:rPr/>
        <w:t>2014,</w:t>
      </w:r>
      <w:r>
        <w:rPr>
          <w:spacing w:val="-4"/>
        </w:rPr>
        <w:t> </w:t>
      </w:r>
      <w:r>
        <w:rPr/>
        <w:t>al</w:t>
      </w:r>
      <w:r>
        <w:rPr>
          <w:spacing w:val="-5"/>
        </w:rPr>
        <w:t> </w:t>
      </w:r>
      <w:r>
        <w:rPr/>
        <w:t>emplear</w:t>
      </w:r>
      <w:r>
        <w:rPr>
          <w:spacing w:val="-5"/>
        </w:rPr>
        <w:t> </w:t>
      </w:r>
      <w:r>
        <w:rPr/>
        <w:t>un</w:t>
      </w:r>
      <w:r>
        <w:rPr>
          <w:spacing w:val="3"/>
        </w:rPr>
        <w:t> </w:t>
      </w:r>
      <w:r>
        <w:rPr/>
        <w:t>catálogo</w:t>
      </w:r>
      <w:r>
        <w:rPr>
          <w:spacing w:val="-3"/>
        </w:rPr>
        <w:t> </w:t>
      </w:r>
      <w:r>
        <w:rPr/>
        <w:t>de</w:t>
      </w:r>
      <w:r>
        <w:rPr>
          <w:spacing w:val="-4"/>
        </w:rPr>
        <w:t> </w:t>
      </w:r>
      <w:r>
        <w:rPr/>
        <w:t>gasto</w:t>
      </w:r>
      <w:r>
        <w:rPr>
          <w:spacing w:val="-3"/>
        </w:rPr>
        <w:t> </w:t>
      </w:r>
      <w:r>
        <w:rPr/>
        <w:t>social para la ejecución del FISM, se ha tratado disminuir esta discrecionalidad y dar herramientas claras y concisas a los gobiernos municipales para una elección adecuada que dé solución, sin embargo ya en la actividad administrativa el marco institucional y las responsabilidades derivadas de la ejecución de los fondos aún tiene deficiencias que ya se analizaron en el trabajo y pueden ser desarrolladas para futuras</w:t>
      </w:r>
      <w:r>
        <w:rPr>
          <w:spacing w:val="-5"/>
        </w:rPr>
        <w:t> </w:t>
      </w:r>
      <w:r>
        <w:rPr/>
        <w:t>investigaciones.</w:t>
      </w:r>
    </w:p>
    <w:p>
      <w:pPr>
        <w:spacing w:after="0" w:line="360" w:lineRule="auto"/>
        <w:jc w:val="both"/>
        <w:sectPr>
          <w:pgSz w:w="12240" w:h="15840"/>
          <w:pgMar w:header="0" w:footer="992" w:top="1360" w:bottom="1180" w:left="1600" w:right="1580"/>
        </w:sectPr>
      </w:pPr>
    </w:p>
    <w:p>
      <w:pPr>
        <w:pStyle w:val="BodyText"/>
        <w:spacing w:line="360" w:lineRule="auto" w:before="54"/>
        <w:ind w:left="102" w:right="116"/>
        <w:jc w:val="both"/>
      </w:pPr>
      <w:r>
        <w:rPr/>
        <w:t>Una</w:t>
      </w:r>
      <w:r>
        <w:rPr>
          <w:spacing w:val="-13"/>
        </w:rPr>
        <w:t> </w:t>
      </w:r>
      <w:r>
        <w:rPr/>
        <w:t>propuesta</w:t>
      </w:r>
      <w:r>
        <w:rPr>
          <w:spacing w:val="-13"/>
        </w:rPr>
        <w:t> </w:t>
      </w:r>
      <w:r>
        <w:rPr/>
        <w:t>para</w:t>
      </w:r>
      <w:r>
        <w:rPr>
          <w:spacing w:val="-14"/>
        </w:rPr>
        <w:t> </w:t>
      </w:r>
      <w:r>
        <w:rPr/>
        <w:t>mejorar</w:t>
      </w:r>
      <w:r>
        <w:rPr>
          <w:spacing w:val="-15"/>
        </w:rPr>
        <w:t> </w:t>
      </w:r>
      <w:r>
        <w:rPr/>
        <w:t>y</w:t>
      </w:r>
      <w:r>
        <w:rPr>
          <w:spacing w:val="-16"/>
        </w:rPr>
        <w:t> </w:t>
      </w:r>
      <w:r>
        <w:rPr/>
        <w:t>legitimar</w:t>
      </w:r>
      <w:r>
        <w:rPr>
          <w:spacing w:val="-15"/>
        </w:rPr>
        <w:t> </w:t>
      </w:r>
      <w:r>
        <w:rPr/>
        <w:t>las</w:t>
      </w:r>
      <w:r>
        <w:rPr>
          <w:spacing w:val="-13"/>
        </w:rPr>
        <w:t> </w:t>
      </w:r>
      <w:r>
        <w:rPr/>
        <w:t>elecciones</w:t>
      </w:r>
      <w:r>
        <w:rPr>
          <w:spacing w:val="-16"/>
        </w:rPr>
        <w:t> </w:t>
      </w:r>
      <w:r>
        <w:rPr/>
        <w:t>de</w:t>
      </w:r>
      <w:r>
        <w:rPr>
          <w:spacing w:val="-13"/>
        </w:rPr>
        <w:t> </w:t>
      </w:r>
      <w:r>
        <w:rPr/>
        <w:t>los</w:t>
      </w:r>
      <w:r>
        <w:rPr>
          <w:spacing w:val="-13"/>
        </w:rPr>
        <w:t> </w:t>
      </w:r>
      <w:r>
        <w:rPr/>
        <w:t>gobiernos</w:t>
      </w:r>
      <w:r>
        <w:rPr>
          <w:spacing w:val="-14"/>
        </w:rPr>
        <w:t> </w:t>
      </w:r>
      <w:r>
        <w:rPr/>
        <w:t>municipales, fue implementar el presupuesto participativo, el cual ya fue llevado a cabo en el Distrito Federal, por medio del cual se hace partícipe a la ciudadanía de las decisiones para destinar y aplicar los recursos en las necesidades reales de cada comunidad.</w:t>
      </w:r>
    </w:p>
    <w:p>
      <w:pPr>
        <w:pStyle w:val="BodyText"/>
        <w:spacing w:before="10"/>
      </w:pPr>
    </w:p>
    <w:p>
      <w:pPr>
        <w:pStyle w:val="BodyText"/>
        <w:spacing w:line="360" w:lineRule="auto"/>
        <w:ind w:left="102" w:right="125"/>
        <w:jc w:val="both"/>
      </w:pPr>
      <w:r>
        <w:rPr/>
        <w:t>En suma, todo el mundo puede tomar una decisión. Todo mundo toma un sinfín de decisiones, pero no todos cuentan con los parámetros adecuados para tomar una decisión acertada, esto por supuesto es un problema que afecta al federaliso fiscal y por ende se perjudica a uno de los espacios más básicos del federalismo, al municipio.</w:t>
      </w:r>
    </w:p>
    <w:p>
      <w:pPr>
        <w:spacing w:after="0" w:line="360" w:lineRule="auto"/>
        <w:jc w:val="both"/>
        <w:sectPr>
          <w:pgSz w:w="12240" w:h="15840"/>
          <w:pgMar w:header="0" w:footer="992" w:top="1360" w:bottom="1180" w:left="1600" w:right="1580"/>
        </w:sectPr>
      </w:pPr>
    </w:p>
    <w:p>
      <w:pPr>
        <w:pStyle w:val="Heading1"/>
        <w:spacing w:before="52"/>
        <w:ind w:right="747"/>
        <w:jc w:val="center"/>
      </w:pPr>
      <w:bookmarkStart w:name="_TOC_250001" w:id="51"/>
      <w:bookmarkEnd w:id="51"/>
      <w:r>
        <w:rPr/>
        <w:t>Bibliografía</w:t>
      </w:r>
    </w:p>
    <w:p>
      <w:pPr>
        <w:pStyle w:val="BodyText"/>
        <w:rPr>
          <w:b/>
          <w:sz w:val="28"/>
        </w:rPr>
      </w:pPr>
    </w:p>
    <w:p>
      <w:pPr>
        <w:pStyle w:val="BodyText"/>
        <w:rPr>
          <w:b/>
          <w:sz w:val="28"/>
        </w:rPr>
      </w:pPr>
    </w:p>
    <w:p>
      <w:pPr>
        <w:pStyle w:val="BodyText"/>
        <w:spacing w:before="2"/>
        <w:rPr>
          <w:b/>
          <w:sz w:val="37"/>
        </w:rPr>
      </w:pPr>
    </w:p>
    <w:p>
      <w:pPr>
        <w:spacing w:before="0"/>
        <w:ind w:left="102" w:right="0" w:firstLine="0"/>
        <w:jc w:val="left"/>
        <w:rPr>
          <w:i/>
          <w:sz w:val="24"/>
        </w:rPr>
      </w:pPr>
      <w:r>
        <w:rPr>
          <w:sz w:val="24"/>
        </w:rPr>
        <w:t>ARELLANO Cadena, Rogelio (ed.) (1994). </w:t>
      </w:r>
      <w:r>
        <w:rPr>
          <w:i/>
          <w:sz w:val="24"/>
        </w:rPr>
        <w:t>Retos y Propuestas. Federalismo Fiscal,</w:t>
      </w:r>
    </w:p>
    <w:p>
      <w:pPr>
        <w:pStyle w:val="BodyText"/>
        <w:spacing w:before="45"/>
        <w:ind w:left="810"/>
      </w:pPr>
      <w:r>
        <w:rPr/>
        <w:t>México: Fundación Mexicana Cambio XXI Luis Donaldo Colosio.</w:t>
      </w:r>
    </w:p>
    <w:p>
      <w:pPr>
        <w:pStyle w:val="BodyText"/>
        <w:spacing w:before="8"/>
        <w:rPr>
          <w:sz w:val="27"/>
        </w:rPr>
      </w:pPr>
    </w:p>
    <w:p>
      <w:pPr>
        <w:spacing w:line="276" w:lineRule="auto" w:before="0"/>
        <w:ind w:left="810" w:right="121" w:hanging="708"/>
        <w:jc w:val="both"/>
        <w:rPr>
          <w:sz w:val="24"/>
        </w:rPr>
      </w:pPr>
      <w:r>
        <w:rPr>
          <w:sz w:val="24"/>
        </w:rPr>
        <w:t>ASTUDILLO Moya, Marcela, (2009). </w:t>
      </w:r>
      <w:r>
        <w:rPr>
          <w:i/>
          <w:sz w:val="24"/>
        </w:rPr>
        <w:t>Conceptos Básicos de Federalismo Fiscal. El </w:t>
      </w:r>
      <w:r>
        <w:rPr>
          <w:i/>
          <w:sz w:val="24"/>
        </w:rPr>
        <w:t>caso de México, </w:t>
      </w:r>
      <w:r>
        <w:rPr>
          <w:sz w:val="24"/>
        </w:rPr>
        <w:t>México: Universidad Nacional Autónoma de México</w:t>
      </w:r>
    </w:p>
    <w:p>
      <w:pPr>
        <w:pStyle w:val="BodyText"/>
        <w:spacing w:before="5"/>
      </w:pPr>
    </w:p>
    <w:p>
      <w:pPr>
        <w:spacing w:line="278" w:lineRule="auto" w:before="0"/>
        <w:ind w:left="810" w:right="118" w:hanging="708"/>
        <w:jc w:val="both"/>
        <w:rPr>
          <w:sz w:val="24"/>
        </w:rPr>
      </w:pPr>
      <w:r>
        <w:rPr>
          <w:sz w:val="24"/>
        </w:rPr>
        <w:t>ASF (Auditoría Superior de la Federación), (2010). </w:t>
      </w:r>
      <w:r>
        <w:rPr>
          <w:i/>
          <w:sz w:val="24"/>
        </w:rPr>
        <w:t>Informe del Resultado de la </w:t>
      </w:r>
      <w:r>
        <w:rPr>
          <w:i/>
          <w:sz w:val="24"/>
        </w:rPr>
        <w:t>Fiscalización</w:t>
      </w:r>
      <w:r>
        <w:rPr>
          <w:i/>
          <w:spacing w:val="-4"/>
          <w:sz w:val="24"/>
        </w:rPr>
        <w:t> </w:t>
      </w:r>
      <w:r>
        <w:rPr>
          <w:i/>
          <w:sz w:val="24"/>
        </w:rPr>
        <w:t>Superior</w:t>
      </w:r>
      <w:r>
        <w:rPr>
          <w:i/>
          <w:spacing w:val="-10"/>
          <w:sz w:val="24"/>
        </w:rPr>
        <w:t> </w:t>
      </w:r>
      <w:r>
        <w:rPr>
          <w:i/>
          <w:sz w:val="24"/>
        </w:rPr>
        <w:t>de</w:t>
      </w:r>
      <w:r>
        <w:rPr>
          <w:i/>
          <w:spacing w:val="-6"/>
          <w:sz w:val="24"/>
        </w:rPr>
        <w:t> </w:t>
      </w:r>
      <w:r>
        <w:rPr>
          <w:i/>
          <w:sz w:val="24"/>
        </w:rPr>
        <w:t>la</w:t>
      </w:r>
      <w:r>
        <w:rPr>
          <w:i/>
          <w:spacing w:val="-9"/>
          <w:sz w:val="24"/>
        </w:rPr>
        <w:t> </w:t>
      </w:r>
      <w:r>
        <w:rPr>
          <w:i/>
          <w:sz w:val="24"/>
        </w:rPr>
        <w:t>Cuenta</w:t>
      </w:r>
      <w:r>
        <w:rPr>
          <w:i/>
          <w:spacing w:val="-8"/>
          <w:sz w:val="24"/>
        </w:rPr>
        <w:t> </w:t>
      </w:r>
      <w:r>
        <w:rPr>
          <w:i/>
          <w:sz w:val="24"/>
        </w:rPr>
        <w:t>Pública</w:t>
      </w:r>
      <w:r>
        <w:rPr>
          <w:i/>
          <w:spacing w:val="-8"/>
          <w:sz w:val="24"/>
        </w:rPr>
        <w:t> </w:t>
      </w:r>
      <w:r>
        <w:rPr>
          <w:i/>
          <w:sz w:val="24"/>
        </w:rPr>
        <w:t>2008.</w:t>
      </w:r>
      <w:r>
        <w:rPr>
          <w:i/>
          <w:spacing w:val="-9"/>
          <w:sz w:val="24"/>
        </w:rPr>
        <w:t> </w:t>
      </w:r>
      <w:r>
        <w:rPr>
          <w:i/>
          <w:sz w:val="24"/>
        </w:rPr>
        <w:t>Informe</w:t>
      </w:r>
      <w:r>
        <w:rPr>
          <w:i/>
          <w:spacing w:val="-6"/>
          <w:sz w:val="24"/>
        </w:rPr>
        <w:t> </w:t>
      </w:r>
      <w:r>
        <w:rPr>
          <w:i/>
          <w:sz w:val="24"/>
        </w:rPr>
        <w:t>Ejecutivo</w:t>
      </w:r>
      <w:r>
        <w:rPr>
          <w:sz w:val="24"/>
        </w:rPr>
        <w:t>,</w:t>
      </w:r>
      <w:r>
        <w:rPr>
          <w:spacing w:val="-9"/>
          <w:sz w:val="24"/>
        </w:rPr>
        <w:t> </w:t>
      </w:r>
      <w:r>
        <w:rPr>
          <w:sz w:val="24"/>
        </w:rPr>
        <w:t>México: Cámara de</w:t>
      </w:r>
      <w:r>
        <w:rPr>
          <w:spacing w:val="-5"/>
          <w:sz w:val="24"/>
        </w:rPr>
        <w:t> </w:t>
      </w:r>
      <w:r>
        <w:rPr>
          <w:sz w:val="24"/>
        </w:rPr>
        <w:t>diputados.</w:t>
      </w:r>
    </w:p>
    <w:p>
      <w:pPr>
        <w:pStyle w:val="BodyText"/>
        <w:spacing w:before="9"/>
        <w:rPr>
          <w:sz w:val="23"/>
        </w:rPr>
      </w:pPr>
    </w:p>
    <w:p>
      <w:pPr>
        <w:spacing w:line="278" w:lineRule="auto" w:before="0"/>
        <w:ind w:left="810" w:right="115" w:hanging="708"/>
        <w:jc w:val="both"/>
        <w:rPr>
          <w:sz w:val="24"/>
        </w:rPr>
      </w:pPr>
      <w:r>
        <w:rPr>
          <w:sz w:val="24"/>
        </w:rPr>
        <w:t>ASF (Auditoría Superior de la Federación), (2010). </w:t>
      </w:r>
      <w:r>
        <w:rPr>
          <w:i/>
          <w:sz w:val="24"/>
        </w:rPr>
        <w:t>08-D-15005-02-0870 Recursos </w:t>
      </w:r>
      <w:r>
        <w:rPr>
          <w:i/>
          <w:sz w:val="24"/>
        </w:rPr>
        <w:t>del</w:t>
      </w:r>
      <w:r>
        <w:rPr>
          <w:i/>
          <w:spacing w:val="-18"/>
          <w:sz w:val="24"/>
        </w:rPr>
        <w:t> </w:t>
      </w:r>
      <w:r>
        <w:rPr>
          <w:i/>
          <w:sz w:val="24"/>
        </w:rPr>
        <w:t>Fondo</w:t>
      </w:r>
      <w:r>
        <w:rPr>
          <w:i/>
          <w:spacing w:val="-19"/>
          <w:sz w:val="24"/>
        </w:rPr>
        <w:t> </w:t>
      </w:r>
      <w:r>
        <w:rPr>
          <w:i/>
          <w:sz w:val="24"/>
        </w:rPr>
        <w:t>para</w:t>
      </w:r>
      <w:r>
        <w:rPr>
          <w:i/>
          <w:spacing w:val="-20"/>
          <w:sz w:val="24"/>
        </w:rPr>
        <w:t> </w:t>
      </w:r>
      <w:r>
        <w:rPr>
          <w:i/>
          <w:sz w:val="24"/>
        </w:rPr>
        <w:t>la</w:t>
      </w:r>
      <w:r>
        <w:rPr>
          <w:i/>
          <w:spacing w:val="-17"/>
          <w:sz w:val="24"/>
        </w:rPr>
        <w:t> </w:t>
      </w:r>
      <w:r>
        <w:rPr>
          <w:i/>
          <w:sz w:val="24"/>
        </w:rPr>
        <w:t>Infraestructura</w:t>
      </w:r>
      <w:r>
        <w:rPr>
          <w:i/>
          <w:spacing w:val="-20"/>
          <w:sz w:val="24"/>
        </w:rPr>
        <w:t> </w:t>
      </w:r>
      <w:r>
        <w:rPr>
          <w:i/>
          <w:sz w:val="24"/>
        </w:rPr>
        <w:t>Social</w:t>
      </w:r>
      <w:r>
        <w:rPr>
          <w:i/>
          <w:spacing w:val="-16"/>
          <w:sz w:val="24"/>
        </w:rPr>
        <w:t> </w:t>
      </w:r>
      <w:r>
        <w:rPr>
          <w:i/>
          <w:sz w:val="24"/>
        </w:rPr>
        <w:t>Municipal</w:t>
      </w:r>
      <w:r>
        <w:rPr>
          <w:i/>
          <w:spacing w:val="-17"/>
          <w:sz w:val="24"/>
        </w:rPr>
        <w:t> </w:t>
      </w:r>
      <w:r>
        <w:rPr>
          <w:i/>
          <w:sz w:val="24"/>
        </w:rPr>
        <w:t>(M.de</w:t>
      </w:r>
      <w:r>
        <w:rPr>
          <w:i/>
          <w:spacing w:val="-19"/>
          <w:sz w:val="24"/>
        </w:rPr>
        <w:t> </w:t>
      </w:r>
      <w:r>
        <w:rPr>
          <w:i/>
          <w:sz w:val="24"/>
        </w:rPr>
        <w:t>Almoloya</w:t>
      </w:r>
      <w:r>
        <w:rPr>
          <w:i/>
          <w:spacing w:val="-19"/>
          <w:sz w:val="24"/>
        </w:rPr>
        <w:t> </w:t>
      </w:r>
      <w:r>
        <w:rPr>
          <w:i/>
          <w:sz w:val="24"/>
        </w:rPr>
        <w:t>de</w:t>
      </w:r>
      <w:r>
        <w:rPr>
          <w:i/>
          <w:spacing w:val="-17"/>
          <w:sz w:val="24"/>
        </w:rPr>
        <w:t> </w:t>
      </w:r>
      <w:r>
        <w:rPr>
          <w:i/>
          <w:sz w:val="24"/>
        </w:rPr>
        <w:t>Juárez)</w:t>
      </w:r>
      <w:r>
        <w:rPr>
          <w:sz w:val="24"/>
        </w:rPr>
        <w:t>, México: Cámara de</w:t>
      </w:r>
      <w:r>
        <w:rPr>
          <w:spacing w:val="-5"/>
          <w:sz w:val="24"/>
        </w:rPr>
        <w:t> </w:t>
      </w:r>
      <w:r>
        <w:rPr>
          <w:sz w:val="24"/>
        </w:rPr>
        <w:t>diputados.</w:t>
      </w:r>
    </w:p>
    <w:p>
      <w:pPr>
        <w:pStyle w:val="BodyText"/>
        <w:spacing w:before="9"/>
        <w:rPr>
          <w:sz w:val="23"/>
        </w:rPr>
      </w:pPr>
    </w:p>
    <w:p>
      <w:pPr>
        <w:spacing w:line="278" w:lineRule="auto" w:before="0"/>
        <w:ind w:left="810" w:right="115" w:hanging="708"/>
        <w:jc w:val="both"/>
        <w:rPr>
          <w:sz w:val="24"/>
        </w:rPr>
      </w:pPr>
      <w:r>
        <w:rPr>
          <w:sz w:val="24"/>
        </w:rPr>
        <w:t>ASF (Auditoría Superior de la Federación), (2010). </w:t>
      </w:r>
      <w:r>
        <w:rPr>
          <w:i/>
          <w:sz w:val="24"/>
        </w:rPr>
        <w:t>08-D-15031-02-0871 Recursos </w:t>
      </w:r>
      <w:r>
        <w:rPr>
          <w:i/>
          <w:sz w:val="24"/>
        </w:rPr>
        <w:t>del Fondo para la Infraestructura Social Municipal (M. de Chimalhuacán) </w:t>
      </w:r>
      <w:r>
        <w:rPr>
          <w:sz w:val="24"/>
        </w:rPr>
        <w:t>, México: Cámara de diputados.</w:t>
      </w:r>
    </w:p>
    <w:p>
      <w:pPr>
        <w:pStyle w:val="BodyText"/>
      </w:pPr>
    </w:p>
    <w:p>
      <w:pPr>
        <w:spacing w:line="278" w:lineRule="auto" w:before="0"/>
        <w:ind w:left="810" w:right="115" w:hanging="708"/>
        <w:jc w:val="both"/>
        <w:rPr>
          <w:sz w:val="24"/>
        </w:rPr>
      </w:pPr>
      <w:r>
        <w:rPr>
          <w:sz w:val="24"/>
        </w:rPr>
        <w:t>ASF (Auditoría Superior de la Federación) (2010). </w:t>
      </w:r>
      <w:r>
        <w:rPr>
          <w:i/>
          <w:sz w:val="24"/>
        </w:rPr>
        <w:t>08-D-15058-02-0873 Recursos </w:t>
      </w:r>
      <w:r>
        <w:rPr>
          <w:i/>
          <w:sz w:val="24"/>
        </w:rPr>
        <w:t>del Fondo para la Infraestructura Social Municipal (M.de Nezahualcóyotl) </w:t>
      </w:r>
      <w:r>
        <w:rPr>
          <w:sz w:val="24"/>
        </w:rPr>
        <w:t>, México: Cámara de diputados</w:t>
      </w:r>
    </w:p>
    <w:p>
      <w:pPr>
        <w:pStyle w:val="BodyText"/>
        <w:spacing w:before="9"/>
        <w:rPr>
          <w:sz w:val="23"/>
        </w:rPr>
      </w:pPr>
    </w:p>
    <w:p>
      <w:pPr>
        <w:spacing w:line="276" w:lineRule="auto" w:before="0"/>
        <w:ind w:left="810" w:right="115" w:hanging="708"/>
        <w:jc w:val="both"/>
        <w:rPr>
          <w:sz w:val="24"/>
        </w:rPr>
      </w:pPr>
      <w:r>
        <w:rPr>
          <w:sz w:val="24"/>
        </w:rPr>
        <w:t>ASF (Auditoría Superior de la Federación), (2010), </w:t>
      </w:r>
      <w:r>
        <w:rPr>
          <w:i/>
          <w:sz w:val="24"/>
        </w:rPr>
        <w:t>08-D-15074-02-0875 Recursos </w:t>
      </w:r>
      <w:r>
        <w:rPr>
          <w:i/>
          <w:sz w:val="24"/>
        </w:rPr>
        <w:t>del Fondo para la Infraestructura Social Municipal (M. de San Felipe del Progreso)</w:t>
      </w:r>
      <w:r>
        <w:rPr>
          <w:sz w:val="24"/>
        </w:rPr>
        <w:t>, México: Cámara de diputados.</w:t>
      </w:r>
    </w:p>
    <w:p>
      <w:pPr>
        <w:pStyle w:val="BodyText"/>
        <w:spacing w:before="5"/>
      </w:pPr>
    </w:p>
    <w:p>
      <w:pPr>
        <w:spacing w:line="276" w:lineRule="auto" w:before="0"/>
        <w:ind w:left="810" w:right="115" w:hanging="708"/>
        <w:jc w:val="both"/>
        <w:rPr>
          <w:sz w:val="24"/>
        </w:rPr>
      </w:pPr>
      <w:r>
        <w:rPr>
          <w:sz w:val="24"/>
        </w:rPr>
        <w:t>ASF (Auditoría Superior de la Federación), (2010). </w:t>
      </w:r>
      <w:r>
        <w:rPr>
          <w:i/>
          <w:sz w:val="24"/>
        </w:rPr>
        <w:t>08-D-15031-02-0872 Recursos </w:t>
      </w:r>
      <w:r>
        <w:rPr>
          <w:i/>
          <w:sz w:val="24"/>
        </w:rPr>
        <w:t>del Fondo de Aportaciones para el Fortalecimiento de los Municipios y Demarcaciones Territoriales del Distrito Federal (M. de Chimalhuacán)</w:t>
      </w:r>
      <w:r>
        <w:rPr>
          <w:sz w:val="24"/>
        </w:rPr>
        <w:t>, México: Cámara de diputados.</w:t>
      </w:r>
    </w:p>
    <w:p>
      <w:pPr>
        <w:pStyle w:val="BodyText"/>
      </w:pPr>
    </w:p>
    <w:p>
      <w:pPr>
        <w:spacing w:line="276" w:lineRule="auto" w:before="0"/>
        <w:ind w:left="810" w:right="115" w:hanging="708"/>
        <w:jc w:val="both"/>
        <w:rPr>
          <w:sz w:val="24"/>
        </w:rPr>
      </w:pPr>
      <w:r>
        <w:rPr>
          <w:sz w:val="24"/>
        </w:rPr>
        <w:t>ASF (Auditoría Superior de la Federación), (2010). </w:t>
      </w:r>
      <w:r>
        <w:rPr>
          <w:i/>
          <w:sz w:val="24"/>
        </w:rPr>
        <w:t>08-D-15058-02-0874 Recursos </w:t>
      </w:r>
      <w:r>
        <w:rPr>
          <w:i/>
          <w:sz w:val="24"/>
        </w:rPr>
        <w:t>del Fondo de Aportaciones para el Fortalecimiento de los Municipios y Demarcaciones Territoriales del Distrito Federal (M. de Nezahualcóyotl)</w:t>
      </w:r>
      <w:r>
        <w:rPr>
          <w:sz w:val="24"/>
        </w:rPr>
        <w:t>, México: Cámara de diputados.</w:t>
      </w:r>
    </w:p>
    <w:p>
      <w:pPr>
        <w:spacing w:after="0" w:line="276" w:lineRule="auto"/>
        <w:jc w:val="both"/>
        <w:rPr>
          <w:sz w:val="24"/>
        </w:rPr>
        <w:sectPr>
          <w:pgSz w:w="12240" w:h="15840"/>
          <w:pgMar w:header="0" w:footer="992" w:top="1360" w:bottom="1180" w:left="1600" w:right="1580"/>
        </w:sectPr>
      </w:pPr>
    </w:p>
    <w:p>
      <w:pPr>
        <w:spacing w:line="278" w:lineRule="auto" w:before="51"/>
        <w:ind w:left="810" w:right="118" w:hanging="708"/>
        <w:jc w:val="both"/>
        <w:rPr>
          <w:sz w:val="24"/>
        </w:rPr>
      </w:pPr>
      <w:r>
        <w:rPr>
          <w:sz w:val="24"/>
        </w:rPr>
        <w:t>ASF (Auditoría Superior de la Federación), (2011). </w:t>
      </w:r>
      <w:r>
        <w:rPr>
          <w:i/>
          <w:sz w:val="24"/>
        </w:rPr>
        <w:t>Informe del Resultado de la </w:t>
      </w:r>
      <w:r>
        <w:rPr>
          <w:i/>
          <w:sz w:val="24"/>
        </w:rPr>
        <w:t>Fiscalización</w:t>
      </w:r>
      <w:r>
        <w:rPr>
          <w:i/>
          <w:spacing w:val="-5"/>
          <w:sz w:val="24"/>
        </w:rPr>
        <w:t> </w:t>
      </w:r>
      <w:r>
        <w:rPr>
          <w:i/>
          <w:sz w:val="24"/>
        </w:rPr>
        <w:t>Superior</w:t>
      </w:r>
      <w:r>
        <w:rPr>
          <w:i/>
          <w:spacing w:val="-10"/>
          <w:sz w:val="24"/>
        </w:rPr>
        <w:t> </w:t>
      </w:r>
      <w:r>
        <w:rPr>
          <w:i/>
          <w:sz w:val="24"/>
        </w:rPr>
        <w:t>de</w:t>
      </w:r>
      <w:r>
        <w:rPr>
          <w:i/>
          <w:spacing w:val="-6"/>
          <w:sz w:val="24"/>
        </w:rPr>
        <w:t> </w:t>
      </w:r>
      <w:r>
        <w:rPr>
          <w:i/>
          <w:sz w:val="24"/>
        </w:rPr>
        <w:t>la</w:t>
      </w:r>
      <w:r>
        <w:rPr>
          <w:i/>
          <w:spacing w:val="-9"/>
          <w:sz w:val="24"/>
        </w:rPr>
        <w:t> </w:t>
      </w:r>
      <w:r>
        <w:rPr>
          <w:i/>
          <w:sz w:val="24"/>
        </w:rPr>
        <w:t>Cuenta</w:t>
      </w:r>
      <w:r>
        <w:rPr>
          <w:i/>
          <w:spacing w:val="-8"/>
          <w:sz w:val="24"/>
        </w:rPr>
        <w:t> </w:t>
      </w:r>
      <w:r>
        <w:rPr>
          <w:i/>
          <w:sz w:val="24"/>
        </w:rPr>
        <w:t>Pública</w:t>
      </w:r>
      <w:r>
        <w:rPr>
          <w:i/>
          <w:spacing w:val="-8"/>
          <w:sz w:val="24"/>
        </w:rPr>
        <w:t> </w:t>
      </w:r>
      <w:r>
        <w:rPr>
          <w:i/>
          <w:sz w:val="24"/>
        </w:rPr>
        <w:t>2009.</w:t>
      </w:r>
      <w:r>
        <w:rPr>
          <w:i/>
          <w:spacing w:val="-9"/>
          <w:sz w:val="24"/>
        </w:rPr>
        <w:t> </w:t>
      </w:r>
      <w:r>
        <w:rPr>
          <w:i/>
          <w:sz w:val="24"/>
        </w:rPr>
        <w:t>Informe</w:t>
      </w:r>
      <w:r>
        <w:rPr>
          <w:i/>
          <w:spacing w:val="-6"/>
          <w:sz w:val="24"/>
        </w:rPr>
        <w:t> </w:t>
      </w:r>
      <w:r>
        <w:rPr>
          <w:i/>
          <w:sz w:val="24"/>
        </w:rPr>
        <w:t>Ejecutivo</w:t>
      </w:r>
      <w:r>
        <w:rPr>
          <w:sz w:val="24"/>
        </w:rPr>
        <w:t>,</w:t>
      </w:r>
      <w:r>
        <w:rPr>
          <w:spacing w:val="-9"/>
          <w:sz w:val="24"/>
        </w:rPr>
        <w:t> </w:t>
      </w:r>
      <w:r>
        <w:rPr>
          <w:sz w:val="24"/>
        </w:rPr>
        <w:t>México: Cámara de</w:t>
      </w:r>
      <w:r>
        <w:rPr>
          <w:spacing w:val="-5"/>
          <w:sz w:val="24"/>
        </w:rPr>
        <w:t> </w:t>
      </w:r>
      <w:r>
        <w:rPr>
          <w:sz w:val="24"/>
        </w:rPr>
        <w:t>diputados.</w:t>
      </w:r>
    </w:p>
    <w:p>
      <w:pPr>
        <w:pStyle w:val="BodyText"/>
        <w:spacing w:before="9"/>
        <w:rPr>
          <w:sz w:val="23"/>
        </w:rPr>
      </w:pPr>
    </w:p>
    <w:p>
      <w:pPr>
        <w:spacing w:line="276" w:lineRule="auto" w:before="0"/>
        <w:ind w:left="810" w:right="118" w:hanging="708"/>
        <w:jc w:val="both"/>
        <w:rPr>
          <w:sz w:val="24"/>
        </w:rPr>
      </w:pPr>
      <w:r>
        <w:rPr>
          <w:sz w:val="24"/>
        </w:rPr>
        <w:t>ASF (Auditoría Superior de la Federación), (2011). </w:t>
      </w:r>
      <w:r>
        <w:rPr>
          <w:i/>
          <w:sz w:val="24"/>
        </w:rPr>
        <w:t>09-D-15033-02-0805 Recursos </w:t>
      </w:r>
      <w:r>
        <w:rPr>
          <w:i/>
          <w:sz w:val="24"/>
        </w:rPr>
        <w:t>del Fondo para la Infraestructura Social Municipal. Municipio de Ecatepec, Estado de México</w:t>
      </w:r>
      <w:r>
        <w:rPr>
          <w:sz w:val="24"/>
        </w:rPr>
        <w:t>, México: Cámara de diputados.</w:t>
      </w:r>
    </w:p>
    <w:p>
      <w:pPr>
        <w:pStyle w:val="BodyText"/>
        <w:spacing w:before="5"/>
      </w:pPr>
    </w:p>
    <w:p>
      <w:pPr>
        <w:spacing w:line="276" w:lineRule="auto" w:before="0"/>
        <w:ind w:left="810" w:right="118" w:hanging="708"/>
        <w:jc w:val="both"/>
        <w:rPr>
          <w:sz w:val="24"/>
        </w:rPr>
      </w:pPr>
      <w:r>
        <w:rPr>
          <w:sz w:val="24"/>
        </w:rPr>
        <w:t>ASF (Auditoría Superior de la Federación), (2011). </w:t>
      </w:r>
      <w:r>
        <w:rPr>
          <w:i/>
          <w:sz w:val="24"/>
        </w:rPr>
        <w:t>09-D-15042-02-0851 Recursos </w:t>
      </w:r>
      <w:r>
        <w:rPr>
          <w:i/>
          <w:sz w:val="24"/>
        </w:rPr>
        <w:t>del Fondo para la Infraestructura Social Municipal. Municipio de Ixtlahuaca, Estado de México</w:t>
      </w:r>
      <w:r>
        <w:rPr>
          <w:sz w:val="24"/>
        </w:rPr>
        <w:t>, México: Cámara de diputados.</w:t>
      </w:r>
    </w:p>
    <w:p>
      <w:pPr>
        <w:pStyle w:val="BodyText"/>
        <w:spacing w:before="3"/>
      </w:pPr>
    </w:p>
    <w:p>
      <w:pPr>
        <w:spacing w:line="276" w:lineRule="auto" w:before="0"/>
        <w:ind w:left="810" w:right="118" w:hanging="708"/>
        <w:jc w:val="both"/>
        <w:rPr>
          <w:sz w:val="24"/>
        </w:rPr>
      </w:pPr>
      <w:r>
        <w:rPr>
          <w:sz w:val="24"/>
        </w:rPr>
        <w:t>ASF (Auditoría Superior de la Federación), (2011). </w:t>
      </w:r>
      <w:r>
        <w:rPr>
          <w:i/>
          <w:sz w:val="24"/>
        </w:rPr>
        <w:t>09-D-15074-02-0958 Recursos </w:t>
      </w:r>
      <w:r>
        <w:rPr>
          <w:i/>
          <w:sz w:val="24"/>
        </w:rPr>
        <w:t>del Fondo para la Infraestructura Social Municipal. Municipio de San Felipe del Progreso, Estado de México</w:t>
      </w:r>
      <w:r>
        <w:rPr>
          <w:sz w:val="24"/>
        </w:rPr>
        <w:t>, México: Cámara de diputados.</w:t>
      </w:r>
    </w:p>
    <w:p>
      <w:pPr>
        <w:pStyle w:val="BodyText"/>
        <w:spacing w:before="5"/>
      </w:pPr>
    </w:p>
    <w:p>
      <w:pPr>
        <w:spacing w:line="276" w:lineRule="auto" w:before="0"/>
        <w:ind w:left="810" w:right="118" w:hanging="708"/>
        <w:jc w:val="both"/>
        <w:rPr>
          <w:sz w:val="24"/>
        </w:rPr>
      </w:pPr>
      <w:r>
        <w:rPr>
          <w:sz w:val="24"/>
        </w:rPr>
        <w:t>ASF (Auditoría Superior de la Federación), (2011). </w:t>
      </w:r>
      <w:r>
        <w:rPr>
          <w:i/>
          <w:sz w:val="24"/>
        </w:rPr>
        <w:t>09-D-15123-02-0852 Recursos </w:t>
      </w:r>
      <w:r>
        <w:rPr>
          <w:i/>
          <w:sz w:val="24"/>
        </w:rPr>
        <w:t>del</w:t>
      </w:r>
      <w:r>
        <w:rPr>
          <w:i/>
          <w:spacing w:val="-10"/>
          <w:sz w:val="24"/>
        </w:rPr>
        <w:t> </w:t>
      </w:r>
      <w:r>
        <w:rPr>
          <w:i/>
          <w:sz w:val="24"/>
        </w:rPr>
        <w:t>Fondo</w:t>
      </w:r>
      <w:r>
        <w:rPr>
          <w:i/>
          <w:spacing w:val="-11"/>
          <w:sz w:val="24"/>
        </w:rPr>
        <w:t> </w:t>
      </w:r>
      <w:r>
        <w:rPr>
          <w:i/>
          <w:sz w:val="24"/>
        </w:rPr>
        <w:t>para</w:t>
      </w:r>
      <w:r>
        <w:rPr>
          <w:i/>
          <w:spacing w:val="-11"/>
          <w:sz w:val="24"/>
        </w:rPr>
        <w:t> </w:t>
      </w:r>
      <w:r>
        <w:rPr>
          <w:i/>
          <w:sz w:val="24"/>
        </w:rPr>
        <w:t>la</w:t>
      </w:r>
      <w:r>
        <w:rPr>
          <w:i/>
          <w:spacing w:val="-11"/>
          <w:sz w:val="24"/>
        </w:rPr>
        <w:t> </w:t>
      </w:r>
      <w:r>
        <w:rPr>
          <w:i/>
          <w:sz w:val="24"/>
        </w:rPr>
        <w:t>Infraestructura</w:t>
      </w:r>
      <w:r>
        <w:rPr>
          <w:i/>
          <w:spacing w:val="-11"/>
          <w:sz w:val="24"/>
        </w:rPr>
        <w:t> </w:t>
      </w:r>
      <w:r>
        <w:rPr>
          <w:i/>
          <w:sz w:val="24"/>
        </w:rPr>
        <w:t>Social</w:t>
      </w:r>
      <w:r>
        <w:rPr>
          <w:i/>
          <w:spacing w:val="-9"/>
          <w:sz w:val="24"/>
        </w:rPr>
        <w:t> </w:t>
      </w:r>
      <w:r>
        <w:rPr>
          <w:i/>
          <w:sz w:val="24"/>
        </w:rPr>
        <w:t>Municipal.</w:t>
      </w:r>
      <w:r>
        <w:rPr>
          <w:i/>
          <w:spacing w:val="-9"/>
          <w:sz w:val="24"/>
        </w:rPr>
        <w:t> </w:t>
      </w:r>
      <w:r>
        <w:rPr>
          <w:i/>
          <w:sz w:val="24"/>
        </w:rPr>
        <w:t>Municipio</w:t>
      </w:r>
      <w:r>
        <w:rPr>
          <w:i/>
          <w:spacing w:val="-11"/>
          <w:sz w:val="24"/>
        </w:rPr>
        <w:t> </w:t>
      </w:r>
      <w:r>
        <w:rPr>
          <w:i/>
          <w:sz w:val="24"/>
        </w:rPr>
        <w:t>de</w:t>
      </w:r>
      <w:r>
        <w:rPr>
          <w:i/>
          <w:spacing w:val="-11"/>
          <w:sz w:val="24"/>
        </w:rPr>
        <w:t> </w:t>
      </w:r>
      <w:r>
        <w:rPr>
          <w:i/>
          <w:sz w:val="24"/>
        </w:rPr>
        <w:t>San</w:t>
      </w:r>
      <w:r>
        <w:rPr>
          <w:i/>
          <w:spacing w:val="-11"/>
          <w:sz w:val="24"/>
        </w:rPr>
        <w:t> </w:t>
      </w:r>
      <w:r>
        <w:rPr>
          <w:i/>
          <w:sz w:val="24"/>
        </w:rPr>
        <w:t>José</w:t>
      </w:r>
      <w:r>
        <w:rPr>
          <w:i/>
          <w:spacing w:val="-11"/>
          <w:sz w:val="24"/>
        </w:rPr>
        <w:t> </w:t>
      </w:r>
      <w:r>
        <w:rPr>
          <w:i/>
          <w:sz w:val="24"/>
        </w:rPr>
        <w:t>del Rincón, Estado de México</w:t>
      </w:r>
      <w:r>
        <w:rPr>
          <w:sz w:val="24"/>
        </w:rPr>
        <w:t>, México: Cámara de</w:t>
      </w:r>
      <w:r>
        <w:rPr>
          <w:spacing w:val="-14"/>
          <w:sz w:val="24"/>
        </w:rPr>
        <w:t> </w:t>
      </w:r>
      <w:r>
        <w:rPr>
          <w:sz w:val="24"/>
        </w:rPr>
        <w:t>diputados.</w:t>
      </w:r>
    </w:p>
    <w:p>
      <w:pPr>
        <w:pStyle w:val="BodyText"/>
        <w:spacing w:before="5"/>
      </w:pPr>
    </w:p>
    <w:p>
      <w:pPr>
        <w:spacing w:line="276" w:lineRule="auto" w:before="0"/>
        <w:ind w:left="810" w:right="118" w:hanging="708"/>
        <w:jc w:val="both"/>
        <w:rPr>
          <w:sz w:val="24"/>
        </w:rPr>
      </w:pPr>
      <w:r>
        <w:rPr>
          <w:sz w:val="24"/>
        </w:rPr>
        <w:t>ASF (Auditoría Superior de la Federación), (2011). </w:t>
      </w:r>
      <w:r>
        <w:rPr>
          <w:i/>
          <w:sz w:val="24"/>
        </w:rPr>
        <w:t>09-D-15106-02-0959 Recursos </w:t>
      </w:r>
      <w:r>
        <w:rPr>
          <w:i/>
          <w:sz w:val="24"/>
        </w:rPr>
        <w:t>del Fondo para la Infraestructura Social Municipal. Municipio de Toluca, Estado de México</w:t>
      </w:r>
      <w:r>
        <w:rPr>
          <w:sz w:val="24"/>
        </w:rPr>
        <w:t>, México: Cámara de diputados.</w:t>
      </w:r>
    </w:p>
    <w:p>
      <w:pPr>
        <w:pStyle w:val="BodyText"/>
        <w:spacing w:before="3"/>
      </w:pPr>
    </w:p>
    <w:p>
      <w:pPr>
        <w:spacing w:line="276" w:lineRule="auto" w:before="0"/>
        <w:ind w:left="810" w:right="115" w:hanging="708"/>
        <w:jc w:val="both"/>
        <w:rPr>
          <w:sz w:val="24"/>
        </w:rPr>
      </w:pPr>
      <w:r>
        <w:rPr>
          <w:sz w:val="24"/>
        </w:rPr>
        <w:t>ASF (Auditoría Superior de la Federación), (2011). </w:t>
      </w:r>
      <w:r>
        <w:rPr>
          <w:i/>
          <w:sz w:val="24"/>
        </w:rPr>
        <w:t>09-D-15033-02-0806 Recursos </w:t>
      </w:r>
      <w:r>
        <w:rPr>
          <w:i/>
          <w:sz w:val="24"/>
        </w:rPr>
        <w:t>del</w:t>
      </w:r>
      <w:r>
        <w:rPr>
          <w:i/>
          <w:spacing w:val="-7"/>
          <w:sz w:val="24"/>
        </w:rPr>
        <w:t> </w:t>
      </w:r>
      <w:r>
        <w:rPr>
          <w:i/>
          <w:sz w:val="24"/>
        </w:rPr>
        <w:t>Fondo</w:t>
      </w:r>
      <w:r>
        <w:rPr>
          <w:i/>
          <w:spacing w:val="-6"/>
          <w:sz w:val="24"/>
        </w:rPr>
        <w:t> </w:t>
      </w:r>
      <w:r>
        <w:rPr>
          <w:i/>
          <w:sz w:val="24"/>
        </w:rPr>
        <w:t>de</w:t>
      </w:r>
      <w:r>
        <w:rPr>
          <w:i/>
          <w:spacing w:val="-6"/>
          <w:sz w:val="24"/>
        </w:rPr>
        <w:t> </w:t>
      </w:r>
      <w:r>
        <w:rPr>
          <w:i/>
          <w:sz w:val="24"/>
        </w:rPr>
        <w:t>Aportaciones</w:t>
      </w:r>
      <w:r>
        <w:rPr>
          <w:i/>
          <w:spacing w:val="-7"/>
          <w:sz w:val="24"/>
        </w:rPr>
        <w:t> </w:t>
      </w:r>
      <w:r>
        <w:rPr>
          <w:i/>
          <w:sz w:val="24"/>
        </w:rPr>
        <w:t>para</w:t>
      </w:r>
      <w:r>
        <w:rPr>
          <w:i/>
          <w:spacing w:val="-7"/>
          <w:sz w:val="24"/>
        </w:rPr>
        <w:t> </w:t>
      </w:r>
      <w:r>
        <w:rPr>
          <w:i/>
          <w:sz w:val="24"/>
        </w:rPr>
        <w:t>el</w:t>
      </w:r>
      <w:r>
        <w:rPr>
          <w:i/>
          <w:spacing w:val="-7"/>
          <w:sz w:val="24"/>
        </w:rPr>
        <w:t> </w:t>
      </w:r>
      <w:r>
        <w:rPr>
          <w:i/>
          <w:sz w:val="24"/>
        </w:rPr>
        <w:t>Fortalecimiento</w:t>
      </w:r>
      <w:r>
        <w:rPr>
          <w:i/>
          <w:spacing w:val="-6"/>
          <w:sz w:val="24"/>
        </w:rPr>
        <w:t> </w:t>
      </w:r>
      <w:r>
        <w:rPr>
          <w:i/>
          <w:sz w:val="24"/>
        </w:rPr>
        <w:t>de</w:t>
      </w:r>
      <w:r>
        <w:rPr>
          <w:i/>
          <w:spacing w:val="-6"/>
          <w:sz w:val="24"/>
        </w:rPr>
        <w:t> </w:t>
      </w:r>
      <w:r>
        <w:rPr>
          <w:i/>
          <w:sz w:val="24"/>
        </w:rPr>
        <w:t>los</w:t>
      </w:r>
      <w:r>
        <w:rPr>
          <w:i/>
          <w:spacing w:val="-6"/>
          <w:sz w:val="24"/>
        </w:rPr>
        <w:t> </w:t>
      </w:r>
      <w:r>
        <w:rPr>
          <w:i/>
          <w:sz w:val="24"/>
        </w:rPr>
        <w:t>Municipios</w:t>
      </w:r>
      <w:r>
        <w:rPr>
          <w:i/>
          <w:spacing w:val="-7"/>
          <w:sz w:val="24"/>
        </w:rPr>
        <w:t> </w:t>
      </w:r>
      <w:r>
        <w:rPr>
          <w:i/>
          <w:sz w:val="24"/>
        </w:rPr>
        <w:t>y</w:t>
      </w:r>
      <w:r>
        <w:rPr>
          <w:i/>
          <w:spacing w:val="-7"/>
          <w:sz w:val="24"/>
        </w:rPr>
        <w:t> </w:t>
      </w:r>
      <w:r>
        <w:rPr>
          <w:i/>
          <w:sz w:val="24"/>
        </w:rPr>
        <w:t>de</w:t>
      </w:r>
      <w:r>
        <w:rPr>
          <w:i/>
          <w:spacing w:val="-6"/>
          <w:sz w:val="24"/>
        </w:rPr>
        <w:t> </w:t>
      </w:r>
      <w:r>
        <w:rPr>
          <w:i/>
          <w:sz w:val="24"/>
        </w:rPr>
        <w:t>las Demarcaciones Territoriales del Distrito Federal. Municipio de Ecatepec</w:t>
      </w:r>
      <w:r>
        <w:rPr>
          <w:sz w:val="24"/>
        </w:rPr>
        <w:t>, México: Cámara de</w:t>
      </w:r>
      <w:r>
        <w:rPr>
          <w:spacing w:val="-5"/>
          <w:sz w:val="24"/>
        </w:rPr>
        <w:t> </w:t>
      </w:r>
      <w:r>
        <w:rPr>
          <w:sz w:val="24"/>
        </w:rPr>
        <w:t>diputados.</w:t>
      </w:r>
    </w:p>
    <w:p>
      <w:pPr>
        <w:pStyle w:val="BodyText"/>
        <w:spacing w:before="3"/>
      </w:pPr>
    </w:p>
    <w:p>
      <w:pPr>
        <w:spacing w:line="276" w:lineRule="auto" w:before="0"/>
        <w:ind w:left="810" w:right="118" w:hanging="708"/>
        <w:jc w:val="both"/>
        <w:rPr>
          <w:sz w:val="24"/>
        </w:rPr>
      </w:pPr>
      <w:r>
        <w:rPr>
          <w:sz w:val="24"/>
        </w:rPr>
        <w:t>ASF (Auditoría Superior de la Federación), (2011). </w:t>
      </w:r>
      <w:r>
        <w:rPr>
          <w:i/>
          <w:sz w:val="24"/>
        </w:rPr>
        <w:t>09-D-15058-02-0960 Recursos </w:t>
      </w:r>
      <w:r>
        <w:rPr>
          <w:i/>
          <w:sz w:val="24"/>
        </w:rPr>
        <w:t>del</w:t>
      </w:r>
      <w:r>
        <w:rPr>
          <w:i/>
          <w:spacing w:val="-7"/>
          <w:sz w:val="24"/>
        </w:rPr>
        <w:t> </w:t>
      </w:r>
      <w:r>
        <w:rPr>
          <w:i/>
          <w:sz w:val="24"/>
        </w:rPr>
        <w:t>Fondo</w:t>
      </w:r>
      <w:r>
        <w:rPr>
          <w:i/>
          <w:spacing w:val="-6"/>
          <w:sz w:val="24"/>
        </w:rPr>
        <w:t> </w:t>
      </w:r>
      <w:r>
        <w:rPr>
          <w:i/>
          <w:sz w:val="24"/>
        </w:rPr>
        <w:t>de</w:t>
      </w:r>
      <w:r>
        <w:rPr>
          <w:i/>
          <w:spacing w:val="-6"/>
          <w:sz w:val="24"/>
        </w:rPr>
        <w:t> </w:t>
      </w:r>
      <w:r>
        <w:rPr>
          <w:i/>
          <w:sz w:val="24"/>
        </w:rPr>
        <w:t>Aportaciones</w:t>
      </w:r>
      <w:r>
        <w:rPr>
          <w:i/>
          <w:spacing w:val="-7"/>
          <w:sz w:val="24"/>
        </w:rPr>
        <w:t> </w:t>
      </w:r>
      <w:r>
        <w:rPr>
          <w:i/>
          <w:sz w:val="24"/>
        </w:rPr>
        <w:t>para</w:t>
      </w:r>
      <w:r>
        <w:rPr>
          <w:i/>
          <w:spacing w:val="-7"/>
          <w:sz w:val="24"/>
        </w:rPr>
        <w:t> </w:t>
      </w:r>
      <w:r>
        <w:rPr>
          <w:i/>
          <w:sz w:val="24"/>
        </w:rPr>
        <w:t>el</w:t>
      </w:r>
      <w:r>
        <w:rPr>
          <w:i/>
          <w:spacing w:val="-7"/>
          <w:sz w:val="24"/>
        </w:rPr>
        <w:t> </w:t>
      </w:r>
      <w:r>
        <w:rPr>
          <w:i/>
          <w:sz w:val="24"/>
        </w:rPr>
        <w:t>Fortalecimiento</w:t>
      </w:r>
      <w:r>
        <w:rPr>
          <w:i/>
          <w:spacing w:val="-6"/>
          <w:sz w:val="24"/>
        </w:rPr>
        <w:t> </w:t>
      </w:r>
      <w:r>
        <w:rPr>
          <w:i/>
          <w:sz w:val="24"/>
        </w:rPr>
        <w:t>de</w:t>
      </w:r>
      <w:r>
        <w:rPr>
          <w:i/>
          <w:spacing w:val="-6"/>
          <w:sz w:val="24"/>
        </w:rPr>
        <w:t> </w:t>
      </w:r>
      <w:r>
        <w:rPr>
          <w:i/>
          <w:sz w:val="24"/>
        </w:rPr>
        <w:t>los</w:t>
      </w:r>
      <w:r>
        <w:rPr>
          <w:i/>
          <w:spacing w:val="-6"/>
          <w:sz w:val="24"/>
        </w:rPr>
        <w:t> </w:t>
      </w:r>
      <w:r>
        <w:rPr>
          <w:i/>
          <w:sz w:val="24"/>
        </w:rPr>
        <w:t>Municipios</w:t>
      </w:r>
      <w:r>
        <w:rPr>
          <w:i/>
          <w:spacing w:val="-7"/>
          <w:sz w:val="24"/>
        </w:rPr>
        <w:t> </w:t>
      </w:r>
      <w:r>
        <w:rPr>
          <w:i/>
          <w:sz w:val="24"/>
        </w:rPr>
        <w:t>y</w:t>
      </w:r>
      <w:r>
        <w:rPr>
          <w:i/>
          <w:spacing w:val="-7"/>
          <w:sz w:val="24"/>
        </w:rPr>
        <w:t> </w:t>
      </w:r>
      <w:r>
        <w:rPr>
          <w:i/>
          <w:sz w:val="24"/>
        </w:rPr>
        <w:t>de</w:t>
      </w:r>
      <w:r>
        <w:rPr>
          <w:i/>
          <w:spacing w:val="-6"/>
          <w:sz w:val="24"/>
        </w:rPr>
        <w:t> </w:t>
      </w:r>
      <w:r>
        <w:rPr>
          <w:i/>
          <w:sz w:val="24"/>
        </w:rPr>
        <w:t>las Demarcaciones Territoriales del Distrito Federal. Municipio de Nezahualcóyotl</w:t>
      </w:r>
      <w:r>
        <w:rPr>
          <w:sz w:val="24"/>
        </w:rPr>
        <w:t>, México: Cámara de</w:t>
      </w:r>
      <w:r>
        <w:rPr>
          <w:spacing w:val="-13"/>
          <w:sz w:val="24"/>
        </w:rPr>
        <w:t> </w:t>
      </w:r>
      <w:r>
        <w:rPr>
          <w:sz w:val="24"/>
        </w:rPr>
        <w:t>diputados.</w:t>
      </w:r>
    </w:p>
    <w:p>
      <w:pPr>
        <w:pStyle w:val="BodyText"/>
        <w:spacing w:before="6"/>
      </w:pPr>
    </w:p>
    <w:p>
      <w:pPr>
        <w:spacing w:line="276" w:lineRule="auto" w:before="0"/>
        <w:ind w:left="810" w:right="116" w:hanging="708"/>
        <w:jc w:val="both"/>
        <w:rPr>
          <w:sz w:val="24"/>
        </w:rPr>
      </w:pPr>
      <w:r>
        <w:rPr>
          <w:sz w:val="24"/>
        </w:rPr>
        <w:t>ASF (Auditoría Superior de la Federación), (2012). </w:t>
      </w:r>
      <w:r>
        <w:rPr>
          <w:i/>
          <w:sz w:val="24"/>
        </w:rPr>
        <w:t>Informe del Resultado de la </w:t>
      </w:r>
      <w:r>
        <w:rPr>
          <w:i/>
          <w:sz w:val="24"/>
        </w:rPr>
        <w:t>Fiscalización</w:t>
      </w:r>
      <w:r>
        <w:rPr>
          <w:i/>
          <w:spacing w:val="-4"/>
          <w:sz w:val="24"/>
        </w:rPr>
        <w:t> </w:t>
      </w:r>
      <w:r>
        <w:rPr>
          <w:i/>
          <w:sz w:val="24"/>
        </w:rPr>
        <w:t>Superior</w:t>
      </w:r>
      <w:r>
        <w:rPr>
          <w:i/>
          <w:spacing w:val="-10"/>
          <w:sz w:val="24"/>
        </w:rPr>
        <w:t> </w:t>
      </w:r>
      <w:r>
        <w:rPr>
          <w:i/>
          <w:sz w:val="24"/>
        </w:rPr>
        <w:t>de</w:t>
      </w:r>
      <w:r>
        <w:rPr>
          <w:i/>
          <w:spacing w:val="-6"/>
          <w:sz w:val="24"/>
        </w:rPr>
        <w:t> </w:t>
      </w:r>
      <w:r>
        <w:rPr>
          <w:i/>
          <w:sz w:val="24"/>
        </w:rPr>
        <w:t>la</w:t>
      </w:r>
      <w:r>
        <w:rPr>
          <w:i/>
          <w:spacing w:val="-9"/>
          <w:sz w:val="24"/>
        </w:rPr>
        <w:t> </w:t>
      </w:r>
      <w:r>
        <w:rPr>
          <w:i/>
          <w:sz w:val="24"/>
        </w:rPr>
        <w:t>Cuenta</w:t>
      </w:r>
      <w:r>
        <w:rPr>
          <w:i/>
          <w:spacing w:val="-8"/>
          <w:sz w:val="24"/>
        </w:rPr>
        <w:t> </w:t>
      </w:r>
      <w:r>
        <w:rPr>
          <w:i/>
          <w:sz w:val="24"/>
        </w:rPr>
        <w:t>Pública</w:t>
      </w:r>
      <w:r>
        <w:rPr>
          <w:i/>
          <w:spacing w:val="-8"/>
          <w:sz w:val="24"/>
        </w:rPr>
        <w:t> </w:t>
      </w:r>
      <w:r>
        <w:rPr>
          <w:i/>
          <w:sz w:val="24"/>
        </w:rPr>
        <w:t>2010.</w:t>
      </w:r>
      <w:r>
        <w:rPr>
          <w:i/>
          <w:spacing w:val="-9"/>
          <w:sz w:val="24"/>
        </w:rPr>
        <w:t> </w:t>
      </w:r>
      <w:r>
        <w:rPr>
          <w:i/>
          <w:sz w:val="24"/>
        </w:rPr>
        <w:t>Informe</w:t>
      </w:r>
      <w:r>
        <w:rPr>
          <w:i/>
          <w:spacing w:val="-6"/>
          <w:sz w:val="24"/>
        </w:rPr>
        <w:t> </w:t>
      </w:r>
      <w:r>
        <w:rPr>
          <w:i/>
          <w:sz w:val="24"/>
        </w:rPr>
        <w:t>Ejecutivo</w:t>
      </w:r>
      <w:r>
        <w:rPr>
          <w:sz w:val="24"/>
        </w:rPr>
        <w:t>,</w:t>
      </w:r>
      <w:r>
        <w:rPr>
          <w:spacing w:val="-9"/>
          <w:sz w:val="24"/>
        </w:rPr>
        <w:t> </w:t>
      </w:r>
      <w:r>
        <w:rPr>
          <w:sz w:val="24"/>
        </w:rPr>
        <w:t>México: Cámara de</w:t>
      </w:r>
      <w:r>
        <w:rPr>
          <w:spacing w:val="-5"/>
          <w:sz w:val="24"/>
        </w:rPr>
        <w:t> </w:t>
      </w:r>
      <w:r>
        <w:rPr>
          <w:sz w:val="24"/>
        </w:rPr>
        <w:t>diputados.</w:t>
      </w:r>
    </w:p>
    <w:p>
      <w:pPr>
        <w:pStyle w:val="BodyText"/>
        <w:spacing w:before="3"/>
      </w:pPr>
    </w:p>
    <w:p>
      <w:pPr>
        <w:spacing w:line="276" w:lineRule="auto" w:before="0"/>
        <w:ind w:left="810" w:right="118" w:hanging="708"/>
        <w:jc w:val="both"/>
        <w:rPr>
          <w:sz w:val="24"/>
        </w:rPr>
      </w:pPr>
      <w:r>
        <w:rPr>
          <w:sz w:val="24"/>
        </w:rPr>
        <w:t>ASF (Auditoría Superior de la Federación), (2012). </w:t>
      </w:r>
      <w:r>
        <w:rPr>
          <w:i/>
          <w:sz w:val="24"/>
        </w:rPr>
        <w:t>10-D15005-02-0601 Recursos </w:t>
      </w:r>
      <w:r>
        <w:rPr>
          <w:i/>
          <w:sz w:val="24"/>
        </w:rPr>
        <w:t>del</w:t>
      </w:r>
      <w:r>
        <w:rPr>
          <w:i/>
          <w:spacing w:val="-5"/>
          <w:sz w:val="24"/>
        </w:rPr>
        <w:t> </w:t>
      </w:r>
      <w:r>
        <w:rPr>
          <w:i/>
          <w:sz w:val="24"/>
        </w:rPr>
        <w:t>Fondo</w:t>
      </w:r>
      <w:r>
        <w:rPr>
          <w:i/>
          <w:spacing w:val="-6"/>
          <w:sz w:val="24"/>
        </w:rPr>
        <w:t> </w:t>
      </w:r>
      <w:r>
        <w:rPr>
          <w:i/>
          <w:sz w:val="24"/>
        </w:rPr>
        <w:t>para</w:t>
      </w:r>
      <w:r>
        <w:rPr>
          <w:i/>
          <w:spacing w:val="-4"/>
          <w:sz w:val="24"/>
        </w:rPr>
        <w:t> </w:t>
      </w:r>
      <w:r>
        <w:rPr>
          <w:i/>
          <w:sz w:val="24"/>
        </w:rPr>
        <w:t>la</w:t>
      </w:r>
      <w:r>
        <w:rPr>
          <w:i/>
          <w:spacing w:val="-6"/>
          <w:sz w:val="24"/>
        </w:rPr>
        <w:t> </w:t>
      </w:r>
      <w:r>
        <w:rPr>
          <w:i/>
          <w:sz w:val="24"/>
        </w:rPr>
        <w:t>Infraestructura</w:t>
      </w:r>
      <w:r>
        <w:rPr>
          <w:i/>
          <w:spacing w:val="-7"/>
          <w:sz w:val="24"/>
        </w:rPr>
        <w:t> </w:t>
      </w:r>
      <w:r>
        <w:rPr>
          <w:i/>
          <w:sz w:val="24"/>
        </w:rPr>
        <w:t>Social</w:t>
      </w:r>
      <w:r>
        <w:rPr>
          <w:i/>
          <w:spacing w:val="-4"/>
          <w:sz w:val="24"/>
        </w:rPr>
        <w:t> </w:t>
      </w:r>
      <w:r>
        <w:rPr>
          <w:i/>
          <w:sz w:val="24"/>
        </w:rPr>
        <w:t>Municipal.</w:t>
      </w:r>
      <w:r>
        <w:rPr>
          <w:i/>
          <w:spacing w:val="-4"/>
          <w:sz w:val="24"/>
        </w:rPr>
        <w:t> </w:t>
      </w:r>
      <w:r>
        <w:rPr>
          <w:i/>
          <w:sz w:val="24"/>
        </w:rPr>
        <w:t>Municipio</w:t>
      </w:r>
      <w:r>
        <w:rPr>
          <w:i/>
          <w:spacing w:val="-6"/>
          <w:sz w:val="24"/>
        </w:rPr>
        <w:t> </w:t>
      </w:r>
      <w:r>
        <w:rPr>
          <w:i/>
          <w:sz w:val="24"/>
        </w:rPr>
        <w:t>de</w:t>
      </w:r>
      <w:r>
        <w:rPr>
          <w:i/>
          <w:spacing w:val="-6"/>
          <w:sz w:val="24"/>
        </w:rPr>
        <w:t> </w:t>
      </w:r>
      <w:r>
        <w:rPr>
          <w:i/>
          <w:sz w:val="24"/>
        </w:rPr>
        <w:t>Almoloya</w:t>
      </w:r>
      <w:r>
        <w:rPr>
          <w:i/>
          <w:spacing w:val="-6"/>
          <w:sz w:val="24"/>
        </w:rPr>
        <w:t> </w:t>
      </w:r>
      <w:r>
        <w:rPr>
          <w:i/>
          <w:sz w:val="24"/>
        </w:rPr>
        <w:t>de Juárez, Estado de México</w:t>
      </w:r>
      <w:r>
        <w:rPr>
          <w:sz w:val="24"/>
        </w:rPr>
        <w:t>, México: Cámara de</w:t>
      </w:r>
      <w:r>
        <w:rPr>
          <w:spacing w:val="-14"/>
          <w:sz w:val="24"/>
        </w:rPr>
        <w:t> </w:t>
      </w:r>
      <w:r>
        <w:rPr>
          <w:sz w:val="24"/>
        </w:rPr>
        <w:t>diputados.</w:t>
      </w:r>
    </w:p>
    <w:p>
      <w:pPr>
        <w:spacing w:after="0" w:line="276" w:lineRule="auto"/>
        <w:jc w:val="both"/>
        <w:rPr>
          <w:sz w:val="24"/>
        </w:rPr>
        <w:sectPr>
          <w:pgSz w:w="12240" w:h="15840"/>
          <w:pgMar w:header="0" w:footer="992" w:top="1360" w:bottom="1180" w:left="1600" w:right="1580"/>
        </w:sectPr>
      </w:pPr>
    </w:p>
    <w:p>
      <w:pPr>
        <w:spacing w:line="276" w:lineRule="auto" w:before="51"/>
        <w:ind w:left="810" w:right="118" w:hanging="708"/>
        <w:jc w:val="both"/>
        <w:rPr>
          <w:sz w:val="24"/>
        </w:rPr>
      </w:pPr>
      <w:r>
        <w:rPr>
          <w:sz w:val="24"/>
        </w:rPr>
        <w:t>ASF (Auditoría Superior de la Federación), (2012). </w:t>
      </w:r>
      <w:r>
        <w:rPr>
          <w:i/>
          <w:sz w:val="24"/>
        </w:rPr>
        <w:t>10-D15013-02-0358 Recursos </w:t>
      </w:r>
      <w:r>
        <w:rPr>
          <w:i/>
          <w:sz w:val="24"/>
        </w:rPr>
        <w:t>del Fondo para la Infraestructura Social Municipal. Municipio de Atizapán de Zaragoza, Estado de México</w:t>
      </w:r>
      <w:r>
        <w:rPr>
          <w:sz w:val="24"/>
        </w:rPr>
        <w:t>, México: Cámara de diputados.</w:t>
      </w:r>
    </w:p>
    <w:p>
      <w:pPr>
        <w:pStyle w:val="BodyText"/>
        <w:spacing w:before="3"/>
      </w:pPr>
    </w:p>
    <w:p>
      <w:pPr>
        <w:spacing w:line="276" w:lineRule="auto" w:before="0"/>
        <w:ind w:left="810" w:right="118" w:hanging="708"/>
        <w:jc w:val="both"/>
        <w:rPr>
          <w:sz w:val="24"/>
        </w:rPr>
      </w:pPr>
      <w:r>
        <w:rPr>
          <w:sz w:val="24"/>
        </w:rPr>
        <w:t>ASF (Auditoría Superior de la Federación), (2012). </w:t>
      </w:r>
      <w:r>
        <w:rPr>
          <w:i/>
          <w:sz w:val="24"/>
        </w:rPr>
        <w:t>10-D15033-02-0602 Recursos </w:t>
      </w:r>
      <w:r>
        <w:rPr>
          <w:i/>
          <w:sz w:val="24"/>
        </w:rPr>
        <w:t>del</w:t>
      </w:r>
      <w:r>
        <w:rPr>
          <w:i/>
          <w:spacing w:val="-6"/>
          <w:sz w:val="24"/>
        </w:rPr>
        <w:t> </w:t>
      </w:r>
      <w:r>
        <w:rPr>
          <w:i/>
          <w:sz w:val="24"/>
        </w:rPr>
        <w:t>Fondo</w:t>
      </w:r>
      <w:r>
        <w:rPr>
          <w:i/>
          <w:spacing w:val="-7"/>
          <w:sz w:val="24"/>
        </w:rPr>
        <w:t> </w:t>
      </w:r>
      <w:r>
        <w:rPr>
          <w:i/>
          <w:sz w:val="24"/>
        </w:rPr>
        <w:t>para</w:t>
      </w:r>
      <w:r>
        <w:rPr>
          <w:i/>
          <w:spacing w:val="-8"/>
          <w:sz w:val="24"/>
        </w:rPr>
        <w:t> </w:t>
      </w:r>
      <w:r>
        <w:rPr>
          <w:i/>
          <w:sz w:val="24"/>
        </w:rPr>
        <w:t>la</w:t>
      </w:r>
      <w:r>
        <w:rPr>
          <w:i/>
          <w:spacing w:val="-7"/>
          <w:sz w:val="24"/>
        </w:rPr>
        <w:t> </w:t>
      </w:r>
      <w:r>
        <w:rPr>
          <w:i/>
          <w:sz w:val="24"/>
        </w:rPr>
        <w:t>Infraestructura</w:t>
      </w:r>
      <w:r>
        <w:rPr>
          <w:i/>
          <w:spacing w:val="-8"/>
          <w:sz w:val="24"/>
        </w:rPr>
        <w:t> </w:t>
      </w:r>
      <w:r>
        <w:rPr>
          <w:i/>
          <w:sz w:val="24"/>
        </w:rPr>
        <w:t>Social</w:t>
      </w:r>
      <w:r>
        <w:rPr>
          <w:i/>
          <w:spacing w:val="-5"/>
          <w:sz w:val="24"/>
        </w:rPr>
        <w:t> </w:t>
      </w:r>
      <w:r>
        <w:rPr>
          <w:i/>
          <w:sz w:val="24"/>
        </w:rPr>
        <w:t>Municipal.</w:t>
      </w:r>
      <w:r>
        <w:rPr>
          <w:i/>
          <w:spacing w:val="-5"/>
          <w:sz w:val="24"/>
        </w:rPr>
        <w:t> </w:t>
      </w:r>
      <w:r>
        <w:rPr>
          <w:i/>
          <w:sz w:val="24"/>
        </w:rPr>
        <w:t>Municipio</w:t>
      </w:r>
      <w:r>
        <w:rPr>
          <w:i/>
          <w:spacing w:val="-7"/>
          <w:sz w:val="24"/>
        </w:rPr>
        <w:t> </w:t>
      </w:r>
      <w:r>
        <w:rPr>
          <w:i/>
          <w:sz w:val="24"/>
        </w:rPr>
        <w:t>de</w:t>
      </w:r>
      <w:r>
        <w:rPr>
          <w:i/>
          <w:spacing w:val="-7"/>
          <w:sz w:val="24"/>
        </w:rPr>
        <w:t> </w:t>
      </w:r>
      <w:r>
        <w:rPr>
          <w:i/>
          <w:sz w:val="24"/>
        </w:rPr>
        <w:t>Ecatepec</w:t>
      </w:r>
      <w:r>
        <w:rPr>
          <w:i/>
          <w:spacing w:val="-8"/>
          <w:sz w:val="24"/>
        </w:rPr>
        <w:t> </w:t>
      </w:r>
      <w:r>
        <w:rPr>
          <w:i/>
          <w:sz w:val="24"/>
        </w:rPr>
        <w:t>de Morelos, Estado de México</w:t>
      </w:r>
      <w:r>
        <w:rPr>
          <w:sz w:val="24"/>
        </w:rPr>
        <w:t>, México: Cámara de</w:t>
      </w:r>
      <w:r>
        <w:rPr>
          <w:spacing w:val="-12"/>
          <w:sz w:val="24"/>
        </w:rPr>
        <w:t> </w:t>
      </w:r>
      <w:r>
        <w:rPr>
          <w:sz w:val="24"/>
        </w:rPr>
        <w:t>diputados.</w:t>
      </w:r>
    </w:p>
    <w:p>
      <w:pPr>
        <w:pStyle w:val="BodyText"/>
        <w:spacing w:before="5"/>
      </w:pPr>
    </w:p>
    <w:p>
      <w:pPr>
        <w:spacing w:line="276" w:lineRule="auto" w:before="0"/>
        <w:ind w:left="810" w:right="116" w:hanging="708"/>
        <w:jc w:val="both"/>
        <w:rPr>
          <w:sz w:val="24"/>
        </w:rPr>
      </w:pPr>
      <w:r>
        <w:rPr>
          <w:sz w:val="24"/>
        </w:rPr>
        <w:t>ASF (Auditoría Superior de la Federación), (2012). </w:t>
      </w:r>
      <w:r>
        <w:rPr>
          <w:i/>
          <w:sz w:val="24"/>
        </w:rPr>
        <w:t>10-D15047-02-0605 Recursos </w:t>
      </w:r>
      <w:r>
        <w:rPr>
          <w:i/>
          <w:sz w:val="24"/>
        </w:rPr>
        <w:t>del Fondo para la Infraestructura Social Municipal. Municipio de Jiquipilco, Estado de México</w:t>
      </w:r>
      <w:r>
        <w:rPr>
          <w:sz w:val="24"/>
        </w:rPr>
        <w:t>, México: Cámara de diputados.</w:t>
      </w:r>
    </w:p>
    <w:p>
      <w:pPr>
        <w:pStyle w:val="BodyText"/>
        <w:spacing w:before="3"/>
      </w:pPr>
    </w:p>
    <w:p>
      <w:pPr>
        <w:spacing w:line="276" w:lineRule="auto" w:before="0"/>
        <w:ind w:left="810" w:right="116" w:hanging="708"/>
        <w:jc w:val="both"/>
        <w:rPr>
          <w:sz w:val="24"/>
        </w:rPr>
      </w:pPr>
      <w:r>
        <w:rPr>
          <w:sz w:val="24"/>
        </w:rPr>
        <w:t>ASF (Auditoría Superior de la Federación), (2012). </w:t>
      </w:r>
      <w:r>
        <w:rPr>
          <w:i/>
          <w:sz w:val="24"/>
        </w:rPr>
        <w:t>10-D15057-02-0359 Recursos </w:t>
      </w:r>
      <w:r>
        <w:rPr>
          <w:i/>
          <w:sz w:val="24"/>
        </w:rPr>
        <w:t>del Fondo para la Infraestructura Social Municipal. Municipio de Naucalpan de Juárez, Estado de México</w:t>
      </w:r>
      <w:r>
        <w:rPr>
          <w:sz w:val="24"/>
        </w:rPr>
        <w:t>, México: Cámara de diputados.</w:t>
      </w:r>
    </w:p>
    <w:p>
      <w:pPr>
        <w:pStyle w:val="BodyText"/>
        <w:spacing w:before="5"/>
      </w:pPr>
    </w:p>
    <w:p>
      <w:pPr>
        <w:spacing w:line="276" w:lineRule="auto" w:before="0"/>
        <w:ind w:left="810" w:right="118" w:hanging="708"/>
        <w:jc w:val="both"/>
        <w:rPr>
          <w:sz w:val="24"/>
        </w:rPr>
      </w:pPr>
      <w:r>
        <w:rPr>
          <w:sz w:val="24"/>
        </w:rPr>
        <w:t>ASF (Auditoría Superior de la Federación), (2012). </w:t>
      </w:r>
      <w:r>
        <w:rPr>
          <w:i/>
          <w:sz w:val="24"/>
        </w:rPr>
        <w:t>10-D15058-02-0606 Recursos </w:t>
      </w:r>
      <w:r>
        <w:rPr>
          <w:i/>
          <w:sz w:val="24"/>
        </w:rPr>
        <w:t>del Fondo para la Infraestructura Social Municipal. Municipio de Nezahualcóyotl, Estado de México</w:t>
      </w:r>
      <w:r>
        <w:rPr>
          <w:sz w:val="24"/>
        </w:rPr>
        <w:t>, México: Cámara de diputados.</w:t>
      </w:r>
    </w:p>
    <w:p>
      <w:pPr>
        <w:pStyle w:val="BodyText"/>
        <w:spacing w:before="5"/>
      </w:pPr>
    </w:p>
    <w:p>
      <w:pPr>
        <w:spacing w:line="276" w:lineRule="auto" w:before="0"/>
        <w:ind w:left="810" w:right="118" w:hanging="708"/>
        <w:jc w:val="both"/>
        <w:rPr>
          <w:sz w:val="24"/>
        </w:rPr>
      </w:pPr>
      <w:r>
        <w:rPr>
          <w:sz w:val="24"/>
        </w:rPr>
        <w:t>ASF (Auditoría Superior de la Federación), (2012). </w:t>
      </w:r>
      <w:r>
        <w:rPr>
          <w:i/>
          <w:sz w:val="24"/>
        </w:rPr>
        <w:t>10-D15106-02-0361 Recursos </w:t>
      </w:r>
      <w:r>
        <w:rPr>
          <w:i/>
          <w:sz w:val="24"/>
        </w:rPr>
        <w:t>del Fondo para la Infraestructura Social Municipal. Municipio de Toluca, Estado de México</w:t>
      </w:r>
      <w:r>
        <w:rPr>
          <w:sz w:val="24"/>
        </w:rPr>
        <w:t>, México: Cámara de diputados.</w:t>
      </w:r>
    </w:p>
    <w:p>
      <w:pPr>
        <w:pStyle w:val="BodyText"/>
        <w:spacing w:before="3"/>
      </w:pPr>
    </w:p>
    <w:p>
      <w:pPr>
        <w:spacing w:line="276" w:lineRule="auto" w:before="0"/>
        <w:ind w:left="810" w:right="115" w:hanging="708"/>
        <w:jc w:val="both"/>
        <w:rPr>
          <w:sz w:val="24"/>
        </w:rPr>
      </w:pPr>
      <w:r>
        <w:rPr>
          <w:sz w:val="24"/>
        </w:rPr>
        <w:t>ASF (Auditoría Superior de la Federación), (2012). </w:t>
      </w:r>
      <w:r>
        <w:rPr>
          <w:i/>
          <w:sz w:val="24"/>
        </w:rPr>
        <w:t>10-D15033-02-0603 Recursos </w:t>
      </w:r>
      <w:r>
        <w:rPr>
          <w:i/>
          <w:sz w:val="24"/>
        </w:rPr>
        <w:t>del Fondo de Aportaciones para el Fortalecimiento de los Municipios y Demarcaciones Territoriales. Municipio de Ecatepec de Morelos</w:t>
      </w:r>
      <w:r>
        <w:rPr>
          <w:sz w:val="24"/>
        </w:rPr>
        <w:t>, México: Cámara de diputados.</w:t>
      </w:r>
    </w:p>
    <w:p>
      <w:pPr>
        <w:pStyle w:val="BodyText"/>
        <w:spacing w:before="3"/>
      </w:pPr>
    </w:p>
    <w:p>
      <w:pPr>
        <w:spacing w:line="276" w:lineRule="auto" w:before="0"/>
        <w:ind w:left="810" w:right="118" w:hanging="708"/>
        <w:jc w:val="both"/>
        <w:rPr>
          <w:sz w:val="24"/>
        </w:rPr>
      </w:pPr>
      <w:r>
        <w:rPr>
          <w:sz w:val="24"/>
        </w:rPr>
        <w:t>ASF (Auditoría Superior de la Federación), (2012). </w:t>
      </w:r>
      <w:r>
        <w:rPr>
          <w:i/>
          <w:sz w:val="24"/>
        </w:rPr>
        <w:t>10-D-15057-02-0360 Recursos </w:t>
      </w:r>
      <w:r>
        <w:rPr>
          <w:i/>
          <w:sz w:val="24"/>
        </w:rPr>
        <w:t>del Fondo de Aportaciones para el Fortalecimiento de los Municipios y Demarcaciones Territoriales. Municipio de Naucalpan de Juárez</w:t>
      </w:r>
      <w:r>
        <w:rPr>
          <w:sz w:val="24"/>
        </w:rPr>
        <w:t>, México: Cámara de diputados.</w:t>
      </w:r>
    </w:p>
    <w:p>
      <w:pPr>
        <w:pStyle w:val="BodyText"/>
        <w:spacing w:before="3"/>
      </w:pPr>
    </w:p>
    <w:p>
      <w:pPr>
        <w:spacing w:line="276" w:lineRule="auto" w:before="0"/>
        <w:ind w:left="810" w:right="117" w:hanging="708"/>
        <w:jc w:val="both"/>
        <w:rPr>
          <w:sz w:val="24"/>
        </w:rPr>
      </w:pPr>
      <w:r>
        <w:rPr>
          <w:sz w:val="24"/>
        </w:rPr>
        <w:t>ASF (Auditoría Superior de la Federación), (2013). </w:t>
      </w:r>
      <w:r>
        <w:rPr>
          <w:i/>
          <w:sz w:val="24"/>
        </w:rPr>
        <w:t>Informe del Resultado de la </w:t>
      </w:r>
      <w:r>
        <w:rPr>
          <w:i/>
          <w:sz w:val="24"/>
        </w:rPr>
        <w:t>Fiscalización</w:t>
      </w:r>
      <w:r>
        <w:rPr>
          <w:i/>
          <w:spacing w:val="-4"/>
          <w:sz w:val="24"/>
        </w:rPr>
        <w:t> </w:t>
      </w:r>
      <w:r>
        <w:rPr>
          <w:i/>
          <w:sz w:val="24"/>
        </w:rPr>
        <w:t>Superior</w:t>
      </w:r>
      <w:r>
        <w:rPr>
          <w:i/>
          <w:spacing w:val="-10"/>
          <w:sz w:val="24"/>
        </w:rPr>
        <w:t> </w:t>
      </w:r>
      <w:r>
        <w:rPr>
          <w:i/>
          <w:sz w:val="24"/>
        </w:rPr>
        <w:t>de</w:t>
      </w:r>
      <w:r>
        <w:rPr>
          <w:i/>
          <w:spacing w:val="-6"/>
          <w:sz w:val="24"/>
        </w:rPr>
        <w:t> </w:t>
      </w:r>
      <w:r>
        <w:rPr>
          <w:i/>
          <w:sz w:val="24"/>
        </w:rPr>
        <w:t>la</w:t>
      </w:r>
      <w:r>
        <w:rPr>
          <w:i/>
          <w:spacing w:val="-9"/>
          <w:sz w:val="24"/>
        </w:rPr>
        <w:t> </w:t>
      </w:r>
      <w:r>
        <w:rPr>
          <w:i/>
          <w:sz w:val="24"/>
        </w:rPr>
        <w:t>Cuenta</w:t>
      </w:r>
      <w:r>
        <w:rPr>
          <w:i/>
          <w:spacing w:val="-8"/>
          <w:sz w:val="24"/>
        </w:rPr>
        <w:t> </w:t>
      </w:r>
      <w:r>
        <w:rPr>
          <w:i/>
          <w:sz w:val="24"/>
        </w:rPr>
        <w:t>Pública</w:t>
      </w:r>
      <w:r>
        <w:rPr>
          <w:i/>
          <w:spacing w:val="-8"/>
          <w:sz w:val="24"/>
        </w:rPr>
        <w:t> </w:t>
      </w:r>
      <w:r>
        <w:rPr>
          <w:i/>
          <w:sz w:val="24"/>
        </w:rPr>
        <w:t>2011.</w:t>
      </w:r>
      <w:r>
        <w:rPr>
          <w:i/>
          <w:spacing w:val="-9"/>
          <w:sz w:val="24"/>
        </w:rPr>
        <w:t> </w:t>
      </w:r>
      <w:r>
        <w:rPr>
          <w:i/>
          <w:sz w:val="24"/>
        </w:rPr>
        <w:t>Informe</w:t>
      </w:r>
      <w:r>
        <w:rPr>
          <w:i/>
          <w:spacing w:val="-6"/>
          <w:sz w:val="24"/>
        </w:rPr>
        <w:t> </w:t>
      </w:r>
      <w:r>
        <w:rPr>
          <w:i/>
          <w:sz w:val="24"/>
        </w:rPr>
        <w:t>Ejecutivo</w:t>
      </w:r>
      <w:r>
        <w:rPr>
          <w:sz w:val="24"/>
        </w:rPr>
        <w:t>,</w:t>
      </w:r>
      <w:r>
        <w:rPr>
          <w:spacing w:val="-9"/>
          <w:sz w:val="24"/>
        </w:rPr>
        <w:t> </w:t>
      </w:r>
      <w:r>
        <w:rPr>
          <w:sz w:val="24"/>
        </w:rPr>
        <w:t>México: Cámara de</w:t>
      </w:r>
      <w:r>
        <w:rPr>
          <w:spacing w:val="-5"/>
          <w:sz w:val="24"/>
        </w:rPr>
        <w:t> </w:t>
      </w:r>
      <w:r>
        <w:rPr>
          <w:sz w:val="24"/>
        </w:rPr>
        <w:t>diputados.</w:t>
      </w:r>
    </w:p>
    <w:p>
      <w:pPr>
        <w:pStyle w:val="BodyText"/>
        <w:spacing w:before="3"/>
      </w:pPr>
    </w:p>
    <w:p>
      <w:pPr>
        <w:spacing w:line="276" w:lineRule="auto" w:before="0"/>
        <w:ind w:left="810" w:right="116" w:hanging="708"/>
        <w:jc w:val="both"/>
        <w:rPr>
          <w:sz w:val="24"/>
        </w:rPr>
      </w:pPr>
      <w:r>
        <w:rPr>
          <w:sz w:val="24"/>
        </w:rPr>
        <w:t>ASF (Auditoría Superior de la Federación), (2013). </w:t>
      </w:r>
      <w:r>
        <w:rPr>
          <w:i/>
          <w:sz w:val="24"/>
        </w:rPr>
        <w:t>11-D-15004-02-0891 Recursos </w:t>
      </w:r>
      <w:r>
        <w:rPr>
          <w:i/>
          <w:sz w:val="24"/>
        </w:rPr>
        <w:t>del Fondo para la Infraestructura Social Municipal. Municipio de Almoloya</w:t>
      </w:r>
      <w:r>
        <w:rPr>
          <w:i/>
          <w:spacing w:val="-40"/>
          <w:sz w:val="24"/>
        </w:rPr>
        <w:t> </w:t>
      </w:r>
      <w:r>
        <w:rPr>
          <w:i/>
          <w:sz w:val="24"/>
        </w:rPr>
        <w:t>de Alquisiras, Estado de México</w:t>
      </w:r>
      <w:r>
        <w:rPr>
          <w:sz w:val="24"/>
        </w:rPr>
        <w:t>, México: Cámara de</w:t>
      </w:r>
      <w:r>
        <w:rPr>
          <w:spacing w:val="-14"/>
          <w:sz w:val="24"/>
        </w:rPr>
        <w:t> </w:t>
      </w:r>
      <w:r>
        <w:rPr>
          <w:sz w:val="24"/>
        </w:rPr>
        <w:t>diputados.</w:t>
      </w:r>
    </w:p>
    <w:p>
      <w:pPr>
        <w:spacing w:after="0" w:line="276" w:lineRule="auto"/>
        <w:jc w:val="both"/>
        <w:rPr>
          <w:sz w:val="24"/>
        </w:rPr>
        <w:sectPr>
          <w:pgSz w:w="12240" w:h="15840"/>
          <w:pgMar w:header="0" w:footer="992" w:top="1360" w:bottom="1180" w:left="1600" w:right="1580"/>
        </w:sectPr>
      </w:pPr>
    </w:p>
    <w:p>
      <w:pPr>
        <w:spacing w:line="276" w:lineRule="auto" w:before="51"/>
        <w:ind w:left="810" w:right="118" w:hanging="708"/>
        <w:jc w:val="both"/>
        <w:rPr>
          <w:sz w:val="24"/>
        </w:rPr>
      </w:pPr>
      <w:r>
        <w:rPr>
          <w:sz w:val="24"/>
        </w:rPr>
        <w:t>ASF (Auditoría Superior de la Federación), (2013). </w:t>
      </w:r>
      <w:r>
        <w:rPr>
          <w:i/>
          <w:sz w:val="24"/>
        </w:rPr>
        <w:t>11-D-15031-02-0969 Recursos </w:t>
      </w:r>
      <w:r>
        <w:rPr>
          <w:i/>
          <w:sz w:val="24"/>
        </w:rPr>
        <w:t>del Fondo para la Infraestructura Social Municipal. Municipio de Chimalhuacán, Estado de México</w:t>
      </w:r>
      <w:r>
        <w:rPr>
          <w:sz w:val="24"/>
        </w:rPr>
        <w:t>, México: Cámara de diputados.</w:t>
      </w:r>
    </w:p>
    <w:p>
      <w:pPr>
        <w:pStyle w:val="BodyText"/>
        <w:spacing w:before="3"/>
      </w:pPr>
    </w:p>
    <w:p>
      <w:pPr>
        <w:spacing w:line="276" w:lineRule="auto" w:before="0"/>
        <w:ind w:left="810" w:right="118" w:hanging="708"/>
        <w:jc w:val="both"/>
        <w:rPr>
          <w:sz w:val="24"/>
        </w:rPr>
      </w:pPr>
      <w:r>
        <w:rPr>
          <w:sz w:val="24"/>
        </w:rPr>
        <w:t>ASF (Auditoría Superior de la Federación), (2013). </w:t>
      </w:r>
      <w:r>
        <w:rPr>
          <w:i/>
          <w:sz w:val="24"/>
        </w:rPr>
        <w:t>11-D-15042-02-0970 Recursos </w:t>
      </w:r>
      <w:r>
        <w:rPr>
          <w:i/>
          <w:sz w:val="24"/>
        </w:rPr>
        <w:t>del Fondo para la Infraestructura Social Municipal. Municipio de Ixtlahuaca, Estado de México</w:t>
      </w:r>
      <w:r>
        <w:rPr>
          <w:sz w:val="24"/>
        </w:rPr>
        <w:t>, México: Cámara de diputados.</w:t>
      </w:r>
    </w:p>
    <w:p>
      <w:pPr>
        <w:pStyle w:val="BodyText"/>
        <w:spacing w:before="5"/>
      </w:pPr>
    </w:p>
    <w:p>
      <w:pPr>
        <w:spacing w:line="276" w:lineRule="auto" w:before="0"/>
        <w:ind w:left="810" w:right="118" w:hanging="708"/>
        <w:jc w:val="both"/>
        <w:rPr>
          <w:sz w:val="24"/>
        </w:rPr>
      </w:pPr>
      <w:r>
        <w:rPr>
          <w:sz w:val="24"/>
        </w:rPr>
        <w:t>ASF (Auditoría Superior de la Federación), (2013). </w:t>
      </w:r>
      <w:r>
        <w:rPr>
          <w:i/>
          <w:sz w:val="24"/>
        </w:rPr>
        <w:t>11-D-15057-02-0971 Recursos </w:t>
      </w:r>
      <w:r>
        <w:rPr>
          <w:i/>
          <w:sz w:val="24"/>
        </w:rPr>
        <w:t>del Fondo para la Infraestructura Social Municipal. Municipio de Naucalpan de Juárez, Estado de México</w:t>
      </w:r>
      <w:r>
        <w:rPr>
          <w:sz w:val="24"/>
        </w:rPr>
        <w:t>, México: Cámara de diputados.</w:t>
      </w:r>
    </w:p>
    <w:p>
      <w:pPr>
        <w:pStyle w:val="BodyText"/>
        <w:spacing w:before="3"/>
      </w:pPr>
    </w:p>
    <w:p>
      <w:pPr>
        <w:spacing w:line="276" w:lineRule="auto" w:before="0"/>
        <w:ind w:left="810" w:right="115" w:hanging="708"/>
        <w:jc w:val="both"/>
        <w:rPr>
          <w:sz w:val="24"/>
        </w:rPr>
      </w:pPr>
      <w:r>
        <w:rPr>
          <w:sz w:val="24"/>
        </w:rPr>
        <w:t>ASF (Auditoría Superior de la Federación), (2013). </w:t>
      </w:r>
      <w:r>
        <w:rPr>
          <w:i/>
          <w:sz w:val="24"/>
        </w:rPr>
        <w:t>11-D-15080-02-0890 Recursos </w:t>
      </w:r>
      <w:r>
        <w:rPr>
          <w:i/>
          <w:sz w:val="24"/>
        </w:rPr>
        <w:t>del Fondo para la Infraestructura Social Municipal. Municipio de Sultepec, Estado de México</w:t>
      </w:r>
      <w:r>
        <w:rPr>
          <w:sz w:val="24"/>
        </w:rPr>
        <w:t>, México: Cámara de diputados.</w:t>
      </w:r>
    </w:p>
    <w:p>
      <w:pPr>
        <w:pStyle w:val="BodyText"/>
        <w:spacing w:before="5"/>
      </w:pPr>
    </w:p>
    <w:p>
      <w:pPr>
        <w:spacing w:line="276" w:lineRule="auto" w:before="0"/>
        <w:ind w:left="810" w:right="118" w:hanging="708"/>
        <w:jc w:val="both"/>
        <w:rPr>
          <w:sz w:val="24"/>
        </w:rPr>
      </w:pPr>
      <w:r>
        <w:rPr>
          <w:sz w:val="24"/>
        </w:rPr>
        <w:t>ASF (Auditoría Superior de la Federación), (2013). </w:t>
      </w:r>
      <w:r>
        <w:rPr>
          <w:i/>
          <w:sz w:val="24"/>
        </w:rPr>
        <w:t>11-D-15117-02-0892 Recursos </w:t>
      </w:r>
      <w:r>
        <w:rPr>
          <w:i/>
          <w:sz w:val="24"/>
        </w:rPr>
        <w:t>del Fondo para la Infraestructura Social Municipal. Municipio de Zacualpan, Estado de México</w:t>
      </w:r>
      <w:r>
        <w:rPr>
          <w:sz w:val="24"/>
        </w:rPr>
        <w:t>, México: Cámara de diputados.</w:t>
      </w:r>
    </w:p>
    <w:p>
      <w:pPr>
        <w:pStyle w:val="BodyText"/>
        <w:spacing w:before="5"/>
      </w:pPr>
    </w:p>
    <w:p>
      <w:pPr>
        <w:spacing w:line="276" w:lineRule="auto" w:before="0"/>
        <w:ind w:left="810" w:right="118" w:hanging="708"/>
        <w:jc w:val="both"/>
        <w:rPr>
          <w:sz w:val="24"/>
        </w:rPr>
      </w:pPr>
      <w:r>
        <w:rPr>
          <w:sz w:val="24"/>
        </w:rPr>
        <w:t>ASF</w:t>
      </w:r>
      <w:r>
        <w:rPr>
          <w:spacing w:val="-9"/>
          <w:sz w:val="24"/>
        </w:rPr>
        <w:t> </w:t>
      </w:r>
      <w:r>
        <w:rPr>
          <w:sz w:val="24"/>
        </w:rPr>
        <w:t>(Auditoría</w:t>
      </w:r>
      <w:r>
        <w:rPr>
          <w:spacing w:val="-9"/>
          <w:sz w:val="24"/>
        </w:rPr>
        <w:t> </w:t>
      </w:r>
      <w:r>
        <w:rPr>
          <w:sz w:val="24"/>
        </w:rPr>
        <w:t>Superior</w:t>
      </w:r>
      <w:r>
        <w:rPr>
          <w:spacing w:val="-9"/>
          <w:sz w:val="24"/>
        </w:rPr>
        <w:t> </w:t>
      </w:r>
      <w:r>
        <w:rPr>
          <w:sz w:val="24"/>
        </w:rPr>
        <w:t>de</w:t>
      </w:r>
      <w:r>
        <w:rPr>
          <w:spacing w:val="-10"/>
          <w:sz w:val="24"/>
        </w:rPr>
        <w:t> </w:t>
      </w:r>
      <w:r>
        <w:rPr>
          <w:sz w:val="24"/>
        </w:rPr>
        <w:t>la</w:t>
      </w:r>
      <w:r>
        <w:rPr>
          <w:spacing w:val="-9"/>
          <w:sz w:val="24"/>
        </w:rPr>
        <w:t> </w:t>
      </w:r>
      <w:r>
        <w:rPr>
          <w:sz w:val="24"/>
        </w:rPr>
        <w:t>Federación),</w:t>
      </w:r>
      <w:r>
        <w:rPr>
          <w:spacing w:val="-11"/>
          <w:sz w:val="24"/>
        </w:rPr>
        <w:t> </w:t>
      </w:r>
      <w:r>
        <w:rPr>
          <w:sz w:val="24"/>
        </w:rPr>
        <w:t>(2013).</w:t>
      </w:r>
      <w:r>
        <w:rPr>
          <w:spacing w:val="-10"/>
          <w:sz w:val="24"/>
        </w:rPr>
        <w:t> </w:t>
      </w:r>
      <w:r>
        <w:rPr>
          <w:i/>
          <w:sz w:val="24"/>
        </w:rPr>
        <w:t>11-D-15057-02-01071</w:t>
      </w:r>
      <w:r>
        <w:rPr>
          <w:i/>
          <w:spacing w:val="-8"/>
          <w:sz w:val="24"/>
        </w:rPr>
        <w:t> </w:t>
      </w:r>
      <w:r>
        <w:rPr>
          <w:i/>
          <w:sz w:val="24"/>
        </w:rPr>
        <w:t>Recursos </w:t>
      </w:r>
      <w:r>
        <w:rPr>
          <w:i/>
          <w:sz w:val="24"/>
        </w:rPr>
        <w:t>del Fondo de Aportaciones para el Fortalecimiento de los Municipios y Demarcaciones Territoriales. Municipio de Naucalpan de Juárez</w:t>
      </w:r>
      <w:r>
        <w:rPr>
          <w:sz w:val="24"/>
        </w:rPr>
        <w:t>, México: Cámara de</w:t>
      </w:r>
      <w:r>
        <w:rPr>
          <w:spacing w:val="-5"/>
          <w:sz w:val="24"/>
        </w:rPr>
        <w:t> </w:t>
      </w:r>
      <w:r>
        <w:rPr>
          <w:sz w:val="24"/>
        </w:rPr>
        <w:t>diputados.</w:t>
      </w:r>
    </w:p>
    <w:p>
      <w:pPr>
        <w:pStyle w:val="BodyText"/>
        <w:spacing w:before="3"/>
      </w:pPr>
    </w:p>
    <w:p>
      <w:pPr>
        <w:spacing w:line="276" w:lineRule="auto" w:before="0"/>
        <w:ind w:left="810" w:right="116" w:hanging="708"/>
        <w:jc w:val="both"/>
        <w:rPr>
          <w:sz w:val="24"/>
        </w:rPr>
      </w:pPr>
      <w:r>
        <w:rPr>
          <w:sz w:val="24"/>
        </w:rPr>
        <w:t>ASF</w:t>
      </w:r>
      <w:r>
        <w:rPr>
          <w:spacing w:val="-9"/>
          <w:sz w:val="24"/>
        </w:rPr>
        <w:t> </w:t>
      </w:r>
      <w:r>
        <w:rPr>
          <w:sz w:val="24"/>
        </w:rPr>
        <w:t>(Auditoría</w:t>
      </w:r>
      <w:r>
        <w:rPr>
          <w:spacing w:val="-9"/>
          <w:sz w:val="24"/>
        </w:rPr>
        <w:t> </w:t>
      </w:r>
      <w:r>
        <w:rPr>
          <w:sz w:val="24"/>
        </w:rPr>
        <w:t>Superior</w:t>
      </w:r>
      <w:r>
        <w:rPr>
          <w:spacing w:val="-9"/>
          <w:sz w:val="24"/>
        </w:rPr>
        <w:t> </w:t>
      </w:r>
      <w:r>
        <w:rPr>
          <w:sz w:val="24"/>
        </w:rPr>
        <w:t>de</w:t>
      </w:r>
      <w:r>
        <w:rPr>
          <w:spacing w:val="-10"/>
          <w:sz w:val="24"/>
        </w:rPr>
        <w:t> </w:t>
      </w:r>
      <w:r>
        <w:rPr>
          <w:sz w:val="24"/>
        </w:rPr>
        <w:t>la</w:t>
      </w:r>
      <w:r>
        <w:rPr>
          <w:spacing w:val="-9"/>
          <w:sz w:val="24"/>
        </w:rPr>
        <w:t> </w:t>
      </w:r>
      <w:r>
        <w:rPr>
          <w:sz w:val="24"/>
        </w:rPr>
        <w:t>Federación),</w:t>
      </w:r>
      <w:r>
        <w:rPr>
          <w:spacing w:val="-11"/>
          <w:sz w:val="24"/>
        </w:rPr>
        <w:t> </w:t>
      </w:r>
      <w:r>
        <w:rPr>
          <w:sz w:val="24"/>
        </w:rPr>
        <w:t>(2013).</w:t>
      </w:r>
      <w:r>
        <w:rPr>
          <w:spacing w:val="-10"/>
          <w:sz w:val="24"/>
        </w:rPr>
        <w:t> </w:t>
      </w:r>
      <w:r>
        <w:rPr>
          <w:i/>
          <w:sz w:val="24"/>
        </w:rPr>
        <w:t>11-D-15058-02-01051</w:t>
      </w:r>
      <w:r>
        <w:rPr>
          <w:i/>
          <w:spacing w:val="-8"/>
          <w:sz w:val="24"/>
        </w:rPr>
        <w:t> </w:t>
      </w:r>
      <w:r>
        <w:rPr>
          <w:i/>
          <w:sz w:val="24"/>
        </w:rPr>
        <w:t>Recursos </w:t>
      </w:r>
      <w:r>
        <w:rPr>
          <w:i/>
          <w:sz w:val="24"/>
        </w:rPr>
        <w:t>del Fondo de Aportaciones para el Fortalecimiento de los Municipios y Demarcaciones Territoriales. Municipio de Nezahualcóyotl</w:t>
      </w:r>
      <w:r>
        <w:rPr>
          <w:sz w:val="24"/>
        </w:rPr>
        <w:t>, México: Cámara de</w:t>
      </w:r>
      <w:r>
        <w:rPr>
          <w:spacing w:val="-3"/>
          <w:sz w:val="24"/>
        </w:rPr>
        <w:t> </w:t>
      </w:r>
      <w:r>
        <w:rPr>
          <w:sz w:val="24"/>
        </w:rPr>
        <w:t>diputados.</w:t>
      </w:r>
    </w:p>
    <w:p>
      <w:pPr>
        <w:pStyle w:val="BodyText"/>
      </w:pPr>
    </w:p>
    <w:p>
      <w:pPr>
        <w:spacing w:line="278" w:lineRule="auto" w:before="0"/>
        <w:ind w:left="810" w:right="118" w:hanging="708"/>
        <w:jc w:val="both"/>
        <w:rPr>
          <w:sz w:val="24"/>
        </w:rPr>
      </w:pPr>
      <w:r>
        <w:rPr>
          <w:sz w:val="24"/>
        </w:rPr>
        <w:t>ASF (Auditoría Superior de la Federación), (2014). </w:t>
      </w:r>
      <w:r>
        <w:rPr>
          <w:i/>
          <w:sz w:val="24"/>
        </w:rPr>
        <w:t>Informe del Resultado </w:t>
      </w:r>
      <w:r>
        <w:rPr>
          <w:i/>
          <w:sz w:val="24"/>
        </w:rPr>
        <w:t>Fiscalización</w:t>
      </w:r>
      <w:r>
        <w:rPr>
          <w:i/>
          <w:spacing w:val="-4"/>
          <w:sz w:val="24"/>
        </w:rPr>
        <w:t> </w:t>
      </w:r>
      <w:r>
        <w:rPr>
          <w:i/>
          <w:sz w:val="24"/>
        </w:rPr>
        <w:t>Superior</w:t>
      </w:r>
      <w:r>
        <w:rPr>
          <w:i/>
          <w:spacing w:val="-10"/>
          <w:sz w:val="24"/>
        </w:rPr>
        <w:t> </w:t>
      </w:r>
      <w:r>
        <w:rPr>
          <w:i/>
          <w:sz w:val="24"/>
        </w:rPr>
        <w:t>de</w:t>
      </w:r>
      <w:r>
        <w:rPr>
          <w:i/>
          <w:spacing w:val="-6"/>
          <w:sz w:val="24"/>
        </w:rPr>
        <w:t> </w:t>
      </w:r>
      <w:r>
        <w:rPr>
          <w:i/>
          <w:sz w:val="24"/>
        </w:rPr>
        <w:t>la</w:t>
      </w:r>
      <w:r>
        <w:rPr>
          <w:i/>
          <w:spacing w:val="-9"/>
          <w:sz w:val="24"/>
        </w:rPr>
        <w:t> </w:t>
      </w:r>
      <w:r>
        <w:rPr>
          <w:i/>
          <w:sz w:val="24"/>
        </w:rPr>
        <w:t>Cuenta</w:t>
      </w:r>
      <w:r>
        <w:rPr>
          <w:i/>
          <w:spacing w:val="-8"/>
          <w:sz w:val="24"/>
        </w:rPr>
        <w:t> </w:t>
      </w:r>
      <w:r>
        <w:rPr>
          <w:i/>
          <w:sz w:val="24"/>
        </w:rPr>
        <w:t>Pública</w:t>
      </w:r>
      <w:r>
        <w:rPr>
          <w:i/>
          <w:spacing w:val="-8"/>
          <w:sz w:val="24"/>
        </w:rPr>
        <w:t> </w:t>
      </w:r>
      <w:r>
        <w:rPr>
          <w:i/>
          <w:sz w:val="24"/>
        </w:rPr>
        <w:t>2012.</w:t>
      </w:r>
      <w:r>
        <w:rPr>
          <w:i/>
          <w:spacing w:val="-9"/>
          <w:sz w:val="24"/>
        </w:rPr>
        <w:t> </w:t>
      </w:r>
      <w:r>
        <w:rPr>
          <w:i/>
          <w:sz w:val="24"/>
        </w:rPr>
        <w:t>Informe</w:t>
      </w:r>
      <w:r>
        <w:rPr>
          <w:i/>
          <w:spacing w:val="-6"/>
          <w:sz w:val="24"/>
        </w:rPr>
        <w:t> </w:t>
      </w:r>
      <w:r>
        <w:rPr>
          <w:i/>
          <w:sz w:val="24"/>
        </w:rPr>
        <w:t>Ejecutivo</w:t>
      </w:r>
      <w:r>
        <w:rPr>
          <w:sz w:val="24"/>
        </w:rPr>
        <w:t>,</w:t>
      </w:r>
      <w:r>
        <w:rPr>
          <w:spacing w:val="-9"/>
          <w:sz w:val="24"/>
        </w:rPr>
        <w:t> </w:t>
      </w:r>
      <w:r>
        <w:rPr>
          <w:sz w:val="24"/>
        </w:rPr>
        <w:t>México: Cámara de</w:t>
      </w:r>
      <w:r>
        <w:rPr>
          <w:spacing w:val="-5"/>
          <w:sz w:val="24"/>
        </w:rPr>
        <w:t> </w:t>
      </w:r>
      <w:r>
        <w:rPr>
          <w:sz w:val="24"/>
        </w:rPr>
        <w:t>diputados.</w:t>
      </w:r>
    </w:p>
    <w:p>
      <w:pPr>
        <w:pStyle w:val="BodyText"/>
      </w:pPr>
    </w:p>
    <w:p>
      <w:pPr>
        <w:spacing w:line="276" w:lineRule="auto" w:before="1"/>
        <w:ind w:left="810" w:right="118" w:hanging="708"/>
        <w:jc w:val="both"/>
        <w:rPr>
          <w:sz w:val="24"/>
        </w:rPr>
      </w:pPr>
      <w:r>
        <w:rPr>
          <w:sz w:val="24"/>
        </w:rPr>
        <w:t>ASF (Auditoría Superior de la Federación), (2014). </w:t>
      </w:r>
      <w:r>
        <w:rPr>
          <w:i/>
          <w:sz w:val="24"/>
        </w:rPr>
        <w:t>12-D-15013-14-0841 Recursos </w:t>
      </w:r>
      <w:r>
        <w:rPr>
          <w:i/>
          <w:sz w:val="24"/>
        </w:rPr>
        <w:t>del Fondo para la Infraestructura Social Municipal. Municipio de Atizapán de Zaragoza, Estado de México</w:t>
      </w:r>
      <w:r>
        <w:rPr>
          <w:sz w:val="24"/>
        </w:rPr>
        <w:t>, México: Cámara de diputados.</w:t>
      </w:r>
    </w:p>
    <w:p>
      <w:pPr>
        <w:pStyle w:val="BodyText"/>
        <w:spacing w:before="5"/>
      </w:pPr>
    </w:p>
    <w:p>
      <w:pPr>
        <w:spacing w:line="276" w:lineRule="auto" w:before="0"/>
        <w:ind w:left="810" w:right="115" w:hanging="708"/>
        <w:jc w:val="both"/>
        <w:rPr>
          <w:sz w:val="24"/>
        </w:rPr>
      </w:pPr>
      <w:r>
        <w:rPr>
          <w:sz w:val="24"/>
        </w:rPr>
        <w:t>ASF (Auditoría Superior de la Federación), (2014). </w:t>
      </w:r>
      <w:r>
        <w:rPr>
          <w:i/>
          <w:sz w:val="24"/>
        </w:rPr>
        <w:t>12-D-15121-14-1204 Recursos </w:t>
      </w:r>
      <w:r>
        <w:rPr>
          <w:i/>
          <w:sz w:val="24"/>
        </w:rPr>
        <w:t>del Fondo para la Infraestructura Social Municipal. Municipio de Cuautitlán Izcalli, Estado de México</w:t>
      </w:r>
      <w:r>
        <w:rPr>
          <w:sz w:val="24"/>
        </w:rPr>
        <w:t>, México: Cámara de diputados.</w:t>
      </w:r>
    </w:p>
    <w:p>
      <w:pPr>
        <w:spacing w:after="0" w:line="276" w:lineRule="auto"/>
        <w:jc w:val="both"/>
        <w:rPr>
          <w:sz w:val="24"/>
        </w:rPr>
        <w:sectPr>
          <w:pgSz w:w="12240" w:h="15840"/>
          <w:pgMar w:header="0" w:footer="992" w:top="1360" w:bottom="1180" w:left="1600" w:right="1580"/>
        </w:sectPr>
      </w:pPr>
    </w:p>
    <w:p>
      <w:pPr>
        <w:spacing w:line="276" w:lineRule="auto" w:before="51"/>
        <w:ind w:left="810" w:right="118" w:hanging="708"/>
        <w:jc w:val="both"/>
        <w:rPr>
          <w:sz w:val="24"/>
        </w:rPr>
      </w:pPr>
      <w:r>
        <w:rPr>
          <w:sz w:val="24"/>
        </w:rPr>
        <w:t>ASF (Auditoría Superior de la Federación), (2014). </w:t>
      </w:r>
      <w:r>
        <w:rPr>
          <w:i/>
          <w:sz w:val="24"/>
        </w:rPr>
        <w:t>12-D-15033-14-0842 Recursos </w:t>
      </w:r>
      <w:r>
        <w:rPr>
          <w:i/>
          <w:sz w:val="24"/>
        </w:rPr>
        <w:t>del</w:t>
      </w:r>
      <w:r>
        <w:rPr>
          <w:i/>
          <w:spacing w:val="-6"/>
          <w:sz w:val="24"/>
        </w:rPr>
        <w:t> </w:t>
      </w:r>
      <w:r>
        <w:rPr>
          <w:i/>
          <w:sz w:val="24"/>
        </w:rPr>
        <w:t>Fondo</w:t>
      </w:r>
      <w:r>
        <w:rPr>
          <w:i/>
          <w:spacing w:val="-7"/>
          <w:sz w:val="24"/>
        </w:rPr>
        <w:t> </w:t>
      </w:r>
      <w:r>
        <w:rPr>
          <w:i/>
          <w:sz w:val="24"/>
        </w:rPr>
        <w:t>para</w:t>
      </w:r>
      <w:r>
        <w:rPr>
          <w:i/>
          <w:spacing w:val="-8"/>
          <w:sz w:val="24"/>
        </w:rPr>
        <w:t> </w:t>
      </w:r>
      <w:r>
        <w:rPr>
          <w:i/>
          <w:sz w:val="24"/>
        </w:rPr>
        <w:t>la</w:t>
      </w:r>
      <w:r>
        <w:rPr>
          <w:i/>
          <w:spacing w:val="-7"/>
          <w:sz w:val="24"/>
        </w:rPr>
        <w:t> </w:t>
      </w:r>
      <w:r>
        <w:rPr>
          <w:i/>
          <w:sz w:val="24"/>
        </w:rPr>
        <w:t>Infraestructura</w:t>
      </w:r>
      <w:r>
        <w:rPr>
          <w:i/>
          <w:spacing w:val="-8"/>
          <w:sz w:val="24"/>
        </w:rPr>
        <w:t> </w:t>
      </w:r>
      <w:r>
        <w:rPr>
          <w:i/>
          <w:sz w:val="24"/>
        </w:rPr>
        <w:t>Social</w:t>
      </w:r>
      <w:r>
        <w:rPr>
          <w:i/>
          <w:spacing w:val="-5"/>
          <w:sz w:val="24"/>
        </w:rPr>
        <w:t> </w:t>
      </w:r>
      <w:r>
        <w:rPr>
          <w:i/>
          <w:sz w:val="24"/>
        </w:rPr>
        <w:t>Municipal.</w:t>
      </w:r>
      <w:r>
        <w:rPr>
          <w:i/>
          <w:spacing w:val="-5"/>
          <w:sz w:val="24"/>
        </w:rPr>
        <w:t> </w:t>
      </w:r>
      <w:r>
        <w:rPr>
          <w:i/>
          <w:sz w:val="24"/>
        </w:rPr>
        <w:t>Municipio</w:t>
      </w:r>
      <w:r>
        <w:rPr>
          <w:i/>
          <w:spacing w:val="-7"/>
          <w:sz w:val="24"/>
        </w:rPr>
        <w:t> </w:t>
      </w:r>
      <w:r>
        <w:rPr>
          <w:i/>
          <w:sz w:val="24"/>
        </w:rPr>
        <w:t>de</w:t>
      </w:r>
      <w:r>
        <w:rPr>
          <w:i/>
          <w:spacing w:val="-7"/>
          <w:sz w:val="24"/>
        </w:rPr>
        <w:t> </w:t>
      </w:r>
      <w:r>
        <w:rPr>
          <w:i/>
          <w:sz w:val="24"/>
        </w:rPr>
        <w:t>Ecatepec</w:t>
      </w:r>
      <w:r>
        <w:rPr>
          <w:i/>
          <w:spacing w:val="-8"/>
          <w:sz w:val="24"/>
        </w:rPr>
        <w:t> </w:t>
      </w:r>
      <w:r>
        <w:rPr>
          <w:i/>
          <w:sz w:val="24"/>
        </w:rPr>
        <w:t>de Morelos, Estado de México</w:t>
      </w:r>
      <w:r>
        <w:rPr>
          <w:sz w:val="24"/>
        </w:rPr>
        <w:t>, México: Cámara de</w:t>
      </w:r>
      <w:r>
        <w:rPr>
          <w:spacing w:val="-11"/>
          <w:sz w:val="24"/>
        </w:rPr>
        <w:t> </w:t>
      </w:r>
      <w:r>
        <w:rPr>
          <w:sz w:val="24"/>
        </w:rPr>
        <w:t>diputados.</w:t>
      </w:r>
    </w:p>
    <w:p>
      <w:pPr>
        <w:pStyle w:val="BodyText"/>
        <w:spacing w:before="3"/>
      </w:pPr>
    </w:p>
    <w:p>
      <w:pPr>
        <w:spacing w:line="276" w:lineRule="auto" w:before="0"/>
        <w:ind w:left="810" w:right="118" w:hanging="708"/>
        <w:jc w:val="both"/>
        <w:rPr>
          <w:sz w:val="24"/>
        </w:rPr>
      </w:pPr>
      <w:r>
        <w:rPr>
          <w:sz w:val="24"/>
        </w:rPr>
        <w:t>ASF (Auditoría Superior de la Federación), (2014). </w:t>
      </w:r>
      <w:r>
        <w:rPr>
          <w:i/>
          <w:sz w:val="24"/>
        </w:rPr>
        <w:t>12-D-15037-14-0843 Recursos </w:t>
      </w:r>
      <w:r>
        <w:rPr>
          <w:i/>
          <w:sz w:val="24"/>
        </w:rPr>
        <w:t>del</w:t>
      </w:r>
      <w:r>
        <w:rPr>
          <w:i/>
          <w:spacing w:val="-19"/>
          <w:sz w:val="24"/>
        </w:rPr>
        <w:t> </w:t>
      </w:r>
      <w:r>
        <w:rPr>
          <w:i/>
          <w:sz w:val="24"/>
        </w:rPr>
        <w:t>Fondo</w:t>
      </w:r>
      <w:r>
        <w:rPr>
          <w:i/>
          <w:spacing w:val="-19"/>
          <w:sz w:val="24"/>
        </w:rPr>
        <w:t> </w:t>
      </w:r>
      <w:r>
        <w:rPr>
          <w:i/>
          <w:sz w:val="24"/>
        </w:rPr>
        <w:t>para</w:t>
      </w:r>
      <w:r>
        <w:rPr>
          <w:i/>
          <w:spacing w:val="-19"/>
          <w:sz w:val="24"/>
        </w:rPr>
        <w:t> </w:t>
      </w:r>
      <w:r>
        <w:rPr>
          <w:i/>
          <w:sz w:val="24"/>
        </w:rPr>
        <w:t>la</w:t>
      </w:r>
      <w:r>
        <w:rPr>
          <w:i/>
          <w:spacing w:val="-19"/>
          <w:sz w:val="24"/>
        </w:rPr>
        <w:t> </w:t>
      </w:r>
      <w:r>
        <w:rPr>
          <w:i/>
          <w:sz w:val="24"/>
        </w:rPr>
        <w:t>Infraestructura</w:t>
      </w:r>
      <w:r>
        <w:rPr>
          <w:i/>
          <w:spacing w:val="-19"/>
          <w:sz w:val="24"/>
        </w:rPr>
        <w:t> </w:t>
      </w:r>
      <w:r>
        <w:rPr>
          <w:i/>
          <w:sz w:val="24"/>
        </w:rPr>
        <w:t>Social</w:t>
      </w:r>
      <w:r>
        <w:rPr>
          <w:i/>
          <w:spacing w:val="-19"/>
          <w:sz w:val="24"/>
        </w:rPr>
        <w:t> </w:t>
      </w:r>
      <w:r>
        <w:rPr>
          <w:i/>
          <w:sz w:val="24"/>
        </w:rPr>
        <w:t>Municipal.</w:t>
      </w:r>
      <w:r>
        <w:rPr>
          <w:i/>
          <w:spacing w:val="-19"/>
          <w:sz w:val="24"/>
        </w:rPr>
        <w:t> </w:t>
      </w:r>
      <w:r>
        <w:rPr>
          <w:i/>
          <w:sz w:val="24"/>
        </w:rPr>
        <w:t>Municipio</w:t>
      </w:r>
      <w:r>
        <w:rPr>
          <w:i/>
          <w:spacing w:val="-19"/>
          <w:sz w:val="24"/>
        </w:rPr>
        <w:t> </w:t>
      </w:r>
      <w:r>
        <w:rPr>
          <w:i/>
          <w:sz w:val="24"/>
        </w:rPr>
        <w:t>de</w:t>
      </w:r>
      <w:r>
        <w:rPr>
          <w:i/>
          <w:spacing w:val="-19"/>
          <w:sz w:val="24"/>
        </w:rPr>
        <w:t> </w:t>
      </w:r>
      <w:r>
        <w:rPr>
          <w:i/>
          <w:sz w:val="24"/>
        </w:rPr>
        <w:t>Huixquilucan, Estado de México</w:t>
      </w:r>
      <w:r>
        <w:rPr>
          <w:sz w:val="24"/>
        </w:rPr>
        <w:t>, México: Cámara de</w:t>
      </w:r>
      <w:r>
        <w:rPr>
          <w:spacing w:val="-10"/>
          <w:sz w:val="24"/>
        </w:rPr>
        <w:t> </w:t>
      </w:r>
      <w:r>
        <w:rPr>
          <w:sz w:val="24"/>
        </w:rPr>
        <w:t>diputados.</w:t>
      </w:r>
    </w:p>
    <w:p>
      <w:pPr>
        <w:pStyle w:val="BodyText"/>
        <w:spacing w:before="5"/>
      </w:pPr>
    </w:p>
    <w:p>
      <w:pPr>
        <w:spacing w:line="276" w:lineRule="auto" w:before="0"/>
        <w:ind w:left="810" w:right="115" w:hanging="708"/>
        <w:jc w:val="both"/>
        <w:rPr>
          <w:sz w:val="24"/>
        </w:rPr>
      </w:pPr>
      <w:r>
        <w:rPr>
          <w:sz w:val="24"/>
        </w:rPr>
        <w:t>ASF (Auditoría Superior de la Federación), (2014). </w:t>
      </w:r>
      <w:r>
        <w:rPr>
          <w:i/>
          <w:sz w:val="24"/>
        </w:rPr>
        <w:t>12-D-15057-14-0844 Recursos </w:t>
      </w:r>
      <w:r>
        <w:rPr>
          <w:i/>
          <w:sz w:val="24"/>
        </w:rPr>
        <w:t>del Fondo para la Infraestructura Social Municipal. Municipio de Naucalpan de Juárez, Estado de México</w:t>
      </w:r>
      <w:r>
        <w:rPr>
          <w:sz w:val="24"/>
        </w:rPr>
        <w:t>, México: Cámara de diputados.</w:t>
      </w:r>
    </w:p>
    <w:p>
      <w:pPr>
        <w:pStyle w:val="BodyText"/>
        <w:spacing w:before="3"/>
      </w:pPr>
    </w:p>
    <w:p>
      <w:pPr>
        <w:spacing w:line="276" w:lineRule="auto" w:before="0"/>
        <w:ind w:left="810" w:right="118" w:hanging="708"/>
        <w:jc w:val="both"/>
        <w:rPr>
          <w:sz w:val="24"/>
        </w:rPr>
      </w:pPr>
      <w:r>
        <w:rPr>
          <w:sz w:val="24"/>
        </w:rPr>
        <w:t>ASF (Auditoría Superior de la Federación), (2014). </w:t>
      </w:r>
      <w:r>
        <w:rPr>
          <w:i/>
          <w:sz w:val="24"/>
        </w:rPr>
        <w:t>12-D-15074-14-0983 Recursos </w:t>
      </w:r>
      <w:r>
        <w:rPr>
          <w:i/>
          <w:sz w:val="24"/>
        </w:rPr>
        <w:t>del Fondo para la Infraestructura Social Municipal. Municipio de San Felipe del Progreso, Estado de México</w:t>
      </w:r>
      <w:r>
        <w:rPr>
          <w:sz w:val="24"/>
        </w:rPr>
        <w:t>, México: Cámara de diputados.</w:t>
      </w:r>
    </w:p>
    <w:p>
      <w:pPr>
        <w:pStyle w:val="BodyText"/>
        <w:spacing w:before="5"/>
      </w:pPr>
    </w:p>
    <w:p>
      <w:pPr>
        <w:spacing w:line="276" w:lineRule="auto" w:before="0"/>
        <w:ind w:left="810" w:right="118" w:hanging="708"/>
        <w:jc w:val="both"/>
        <w:rPr>
          <w:sz w:val="24"/>
        </w:rPr>
      </w:pPr>
      <w:r>
        <w:rPr>
          <w:sz w:val="24"/>
        </w:rPr>
        <w:t>ASF (Auditoría Superior de la Federación), (2014). </w:t>
      </w:r>
      <w:r>
        <w:rPr>
          <w:i/>
          <w:sz w:val="24"/>
        </w:rPr>
        <w:t>12-D-15123-14-0984 Recursos </w:t>
      </w:r>
      <w:r>
        <w:rPr>
          <w:i/>
          <w:sz w:val="24"/>
        </w:rPr>
        <w:t>del</w:t>
      </w:r>
      <w:r>
        <w:rPr>
          <w:i/>
          <w:spacing w:val="-10"/>
          <w:sz w:val="24"/>
        </w:rPr>
        <w:t> </w:t>
      </w:r>
      <w:r>
        <w:rPr>
          <w:i/>
          <w:sz w:val="24"/>
        </w:rPr>
        <w:t>Fondo</w:t>
      </w:r>
      <w:r>
        <w:rPr>
          <w:i/>
          <w:spacing w:val="-11"/>
          <w:sz w:val="24"/>
        </w:rPr>
        <w:t> </w:t>
      </w:r>
      <w:r>
        <w:rPr>
          <w:i/>
          <w:sz w:val="24"/>
        </w:rPr>
        <w:t>para</w:t>
      </w:r>
      <w:r>
        <w:rPr>
          <w:i/>
          <w:spacing w:val="-11"/>
          <w:sz w:val="24"/>
        </w:rPr>
        <w:t> </w:t>
      </w:r>
      <w:r>
        <w:rPr>
          <w:i/>
          <w:sz w:val="24"/>
        </w:rPr>
        <w:t>la</w:t>
      </w:r>
      <w:r>
        <w:rPr>
          <w:i/>
          <w:spacing w:val="-11"/>
          <w:sz w:val="24"/>
        </w:rPr>
        <w:t> </w:t>
      </w:r>
      <w:r>
        <w:rPr>
          <w:i/>
          <w:sz w:val="24"/>
        </w:rPr>
        <w:t>Infraestructura</w:t>
      </w:r>
      <w:r>
        <w:rPr>
          <w:i/>
          <w:spacing w:val="-11"/>
          <w:sz w:val="24"/>
        </w:rPr>
        <w:t> </w:t>
      </w:r>
      <w:r>
        <w:rPr>
          <w:i/>
          <w:sz w:val="24"/>
        </w:rPr>
        <w:t>Social</w:t>
      </w:r>
      <w:r>
        <w:rPr>
          <w:i/>
          <w:spacing w:val="-9"/>
          <w:sz w:val="24"/>
        </w:rPr>
        <w:t> </w:t>
      </w:r>
      <w:r>
        <w:rPr>
          <w:i/>
          <w:sz w:val="24"/>
        </w:rPr>
        <w:t>Municipal.</w:t>
      </w:r>
      <w:r>
        <w:rPr>
          <w:i/>
          <w:spacing w:val="-9"/>
          <w:sz w:val="24"/>
        </w:rPr>
        <w:t> </w:t>
      </w:r>
      <w:r>
        <w:rPr>
          <w:i/>
          <w:sz w:val="24"/>
        </w:rPr>
        <w:t>Municipio</w:t>
      </w:r>
      <w:r>
        <w:rPr>
          <w:i/>
          <w:spacing w:val="-11"/>
          <w:sz w:val="24"/>
        </w:rPr>
        <w:t> </w:t>
      </w:r>
      <w:r>
        <w:rPr>
          <w:i/>
          <w:sz w:val="24"/>
        </w:rPr>
        <w:t>de</w:t>
      </w:r>
      <w:r>
        <w:rPr>
          <w:i/>
          <w:spacing w:val="-11"/>
          <w:sz w:val="24"/>
        </w:rPr>
        <w:t> </w:t>
      </w:r>
      <w:r>
        <w:rPr>
          <w:i/>
          <w:sz w:val="24"/>
        </w:rPr>
        <w:t>San</w:t>
      </w:r>
      <w:r>
        <w:rPr>
          <w:i/>
          <w:spacing w:val="-11"/>
          <w:sz w:val="24"/>
        </w:rPr>
        <w:t> </w:t>
      </w:r>
      <w:r>
        <w:rPr>
          <w:i/>
          <w:sz w:val="24"/>
        </w:rPr>
        <w:t>José</w:t>
      </w:r>
      <w:r>
        <w:rPr>
          <w:i/>
          <w:spacing w:val="-11"/>
          <w:sz w:val="24"/>
        </w:rPr>
        <w:t> </w:t>
      </w:r>
      <w:r>
        <w:rPr>
          <w:i/>
          <w:sz w:val="24"/>
        </w:rPr>
        <w:t>del Rincón, Estado de México</w:t>
      </w:r>
      <w:r>
        <w:rPr>
          <w:sz w:val="24"/>
        </w:rPr>
        <w:t>, México: Cámara de</w:t>
      </w:r>
      <w:r>
        <w:rPr>
          <w:spacing w:val="-14"/>
          <w:sz w:val="24"/>
        </w:rPr>
        <w:t> </w:t>
      </w:r>
      <w:r>
        <w:rPr>
          <w:sz w:val="24"/>
        </w:rPr>
        <w:t>diputados.</w:t>
      </w:r>
    </w:p>
    <w:p>
      <w:pPr>
        <w:pStyle w:val="BodyText"/>
        <w:spacing w:before="5"/>
      </w:pPr>
    </w:p>
    <w:p>
      <w:pPr>
        <w:spacing w:line="276" w:lineRule="auto" w:before="0"/>
        <w:ind w:left="810" w:right="116" w:hanging="708"/>
        <w:jc w:val="both"/>
        <w:rPr>
          <w:sz w:val="24"/>
        </w:rPr>
      </w:pPr>
      <w:r>
        <w:rPr>
          <w:sz w:val="24"/>
        </w:rPr>
        <w:t>ASF (Auditoría Superior de la Federación), (2014). </w:t>
      </w:r>
      <w:r>
        <w:rPr>
          <w:i/>
          <w:sz w:val="24"/>
        </w:rPr>
        <w:t>12-D-15082-14-0985 Recursos </w:t>
      </w:r>
      <w:r>
        <w:rPr>
          <w:i/>
          <w:sz w:val="24"/>
        </w:rPr>
        <w:t>del Fondo para la Infraestructura Social Municipal. Municipio de Tejupilco, Estado de México</w:t>
      </w:r>
      <w:r>
        <w:rPr>
          <w:sz w:val="24"/>
        </w:rPr>
        <w:t>, México: Cámara de diputados.</w:t>
      </w:r>
    </w:p>
    <w:p>
      <w:pPr>
        <w:pStyle w:val="BodyText"/>
        <w:spacing w:before="3"/>
      </w:pPr>
    </w:p>
    <w:p>
      <w:pPr>
        <w:spacing w:line="276" w:lineRule="auto" w:before="0"/>
        <w:ind w:left="810" w:right="118" w:hanging="708"/>
        <w:jc w:val="both"/>
        <w:rPr>
          <w:sz w:val="24"/>
        </w:rPr>
      </w:pPr>
      <w:r>
        <w:rPr>
          <w:sz w:val="24"/>
        </w:rPr>
        <w:t>ASF (Auditoría Superior de la Federación), (2014). </w:t>
      </w:r>
      <w:r>
        <w:rPr>
          <w:i/>
          <w:sz w:val="24"/>
        </w:rPr>
        <w:t>12-D-15104-14-0845 Recursos </w:t>
      </w:r>
      <w:r>
        <w:rPr>
          <w:i/>
          <w:sz w:val="24"/>
        </w:rPr>
        <w:t>del Fondo para la Infraestructura Social Municipal. Municipio de</w:t>
      </w:r>
      <w:r>
        <w:rPr>
          <w:i/>
          <w:spacing w:val="-32"/>
          <w:sz w:val="24"/>
        </w:rPr>
        <w:t> </w:t>
      </w:r>
      <w:r>
        <w:rPr>
          <w:i/>
          <w:sz w:val="24"/>
        </w:rPr>
        <w:t>Tlalnepantla de Baz, Estado de México</w:t>
      </w:r>
      <w:r>
        <w:rPr>
          <w:sz w:val="24"/>
        </w:rPr>
        <w:t>, México: Cámara de</w:t>
      </w:r>
      <w:r>
        <w:rPr>
          <w:spacing w:val="-15"/>
          <w:sz w:val="24"/>
        </w:rPr>
        <w:t> </w:t>
      </w:r>
      <w:r>
        <w:rPr>
          <w:sz w:val="24"/>
        </w:rPr>
        <w:t>diputados.</w:t>
      </w:r>
    </w:p>
    <w:p>
      <w:pPr>
        <w:pStyle w:val="BodyText"/>
        <w:spacing w:before="5"/>
      </w:pPr>
    </w:p>
    <w:p>
      <w:pPr>
        <w:spacing w:line="276" w:lineRule="auto" w:before="0"/>
        <w:ind w:left="810" w:right="118" w:hanging="708"/>
        <w:jc w:val="both"/>
        <w:rPr>
          <w:sz w:val="24"/>
        </w:rPr>
      </w:pPr>
      <w:r>
        <w:rPr>
          <w:sz w:val="24"/>
        </w:rPr>
        <w:t>ASF (Auditoría Superior de la Federación), (2014). </w:t>
      </w:r>
      <w:r>
        <w:rPr>
          <w:i/>
          <w:sz w:val="24"/>
        </w:rPr>
        <w:t>12-D-15013-14-0858 Recursos </w:t>
      </w:r>
      <w:r>
        <w:rPr>
          <w:i/>
          <w:sz w:val="24"/>
        </w:rPr>
        <w:t>del</w:t>
      </w:r>
      <w:r>
        <w:rPr>
          <w:i/>
          <w:spacing w:val="-7"/>
          <w:sz w:val="24"/>
        </w:rPr>
        <w:t> </w:t>
      </w:r>
      <w:r>
        <w:rPr>
          <w:i/>
          <w:sz w:val="24"/>
        </w:rPr>
        <w:t>Fondo</w:t>
      </w:r>
      <w:r>
        <w:rPr>
          <w:i/>
          <w:spacing w:val="-6"/>
          <w:sz w:val="24"/>
        </w:rPr>
        <w:t> </w:t>
      </w:r>
      <w:r>
        <w:rPr>
          <w:i/>
          <w:sz w:val="24"/>
        </w:rPr>
        <w:t>de</w:t>
      </w:r>
      <w:r>
        <w:rPr>
          <w:i/>
          <w:spacing w:val="-6"/>
          <w:sz w:val="24"/>
        </w:rPr>
        <w:t> </w:t>
      </w:r>
      <w:r>
        <w:rPr>
          <w:i/>
          <w:sz w:val="24"/>
        </w:rPr>
        <w:t>Aportaciones</w:t>
      </w:r>
      <w:r>
        <w:rPr>
          <w:i/>
          <w:spacing w:val="-7"/>
          <w:sz w:val="24"/>
        </w:rPr>
        <w:t> </w:t>
      </w:r>
      <w:r>
        <w:rPr>
          <w:i/>
          <w:sz w:val="24"/>
        </w:rPr>
        <w:t>para</w:t>
      </w:r>
      <w:r>
        <w:rPr>
          <w:i/>
          <w:spacing w:val="-7"/>
          <w:sz w:val="24"/>
        </w:rPr>
        <w:t> </w:t>
      </w:r>
      <w:r>
        <w:rPr>
          <w:i/>
          <w:sz w:val="24"/>
        </w:rPr>
        <w:t>el</w:t>
      </w:r>
      <w:r>
        <w:rPr>
          <w:i/>
          <w:spacing w:val="-7"/>
          <w:sz w:val="24"/>
        </w:rPr>
        <w:t> </w:t>
      </w:r>
      <w:r>
        <w:rPr>
          <w:i/>
          <w:sz w:val="24"/>
        </w:rPr>
        <w:t>Fortalecimiento</w:t>
      </w:r>
      <w:r>
        <w:rPr>
          <w:i/>
          <w:spacing w:val="-6"/>
          <w:sz w:val="24"/>
        </w:rPr>
        <w:t> </w:t>
      </w:r>
      <w:r>
        <w:rPr>
          <w:i/>
          <w:sz w:val="24"/>
        </w:rPr>
        <w:t>de</w:t>
      </w:r>
      <w:r>
        <w:rPr>
          <w:i/>
          <w:spacing w:val="-6"/>
          <w:sz w:val="24"/>
        </w:rPr>
        <w:t> </w:t>
      </w:r>
      <w:r>
        <w:rPr>
          <w:i/>
          <w:sz w:val="24"/>
        </w:rPr>
        <w:t>los</w:t>
      </w:r>
      <w:r>
        <w:rPr>
          <w:i/>
          <w:spacing w:val="-6"/>
          <w:sz w:val="24"/>
        </w:rPr>
        <w:t> </w:t>
      </w:r>
      <w:r>
        <w:rPr>
          <w:i/>
          <w:sz w:val="24"/>
        </w:rPr>
        <w:t>Municipios</w:t>
      </w:r>
      <w:r>
        <w:rPr>
          <w:i/>
          <w:spacing w:val="-7"/>
          <w:sz w:val="24"/>
        </w:rPr>
        <w:t> </w:t>
      </w:r>
      <w:r>
        <w:rPr>
          <w:i/>
          <w:sz w:val="24"/>
        </w:rPr>
        <w:t>y</w:t>
      </w:r>
      <w:r>
        <w:rPr>
          <w:i/>
          <w:spacing w:val="-7"/>
          <w:sz w:val="24"/>
        </w:rPr>
        <w:t> </w:t>
      </w:r>
      <w:r>
        <w:rPr>
          <w:i/>
          <w:sz w:val="24"/>
        </w:rPr>
        <w:t>de</w:t>
      </w:r>
      <w:r>
        <w:rPr>
          <w:i/>
          <w:spacing w:val="-6"/>
          <w:sz w:val="24"/>
        </w:rPr>
        <w:t> </w:t>
      </w:r>
      <w:r>
        <w:rPr>
          <w:i/>
          <w:sz w:val="24"/>
        </w:rPr>
        <w:t>las Demarcaciones Territoriales del Distrito Federal. Municipio de Atizapán de Zaragoza, Estado de México</w:t>
      </w:r>
      <w:r>
        <w:rPr>
          <w:sz w:val="24"/>
        </w:rPr>
        <w:t>, México: Cámara de</w:t>
      </w:r>
      <w:r>
        <w:rPr>
          <w:spacing w:val="-16"/>
          <w:sz w:val="24"/>
        </w:rPr>
        <w:t> </w:t>
      </w:r>
      <w:r>
        <w:rPr>
          <w:sz w:val="24"/>
        </w:rPr>
        <w:t>diputados.</w:t>
      </w:r>
    </w:p>
    <w:p>
      <w:pPr>
        <w:pStyle w:val="BodyText"/>
        <w:spacing w:before="3"/>
      </w:pPr>
    </w:p>
    <w:p>
      <w:pPr>
        <w:spacing w:line="276" w:lineRule="auto" w:before="0"/>
        <w:ind w:left="810" w:right="118" w:hanging="708"/>
        <w:jc w:val="both"/>
        <w:rPr>
          <w:sz w:val="24"/>
        </w:rPr>
      </w:pPr>
      <w:r>
        <w:rPr>
          <w:sz w:val="24"/>
        </w:rPr>
        <w:t>ASF (Auditoría Superior de la Federación), (2014). </w:t>
      </w:r>
      <w:r>
        <w:rPr>
          <w:i/>
          <w:sz w:val="24"/>
        </w:rPr>
        <w:t>12-D-15033-14-0859 Recursos </w:t>
      </w:r>
      <w:r>
        <w:rPr>
          <w:i/>
          <w:sz w:val="24"/>
        </w:rPr>
        <w:t>del</w:t>
      </w:r>
      <w:r>
        <w:rPr>
          <w:i/>
          <w:spacing w:val="-7"/>
          <w:sz w:val="24"/>
        </w:rPr>
        <w:t> </w:t>
      </w:r>
      <w:r>
        <w:rPr>
          <w:i/>
          <w:sz w:val="24"/>
        </w:rPr>
        <w:t>Fondo</w:t>
      </w:r>
      <w:r>
        <w:rPr>
          <w:i/>
          <w:spacing w:val="-6"/>
          <w:sz w:val="24"/>
        </w:rPr>
        <w:t> </w:t>
      </w:r>
      <w:r>
        <w:rPr>
          <w:i/>
          <w:sz w:val="24"/>
        </w:rPr>
        <w:t>de</w:t>
      </w:r>
      <w:r>
        <w:rPr>
          <w:i/>
          <w:spacing w:val="-6"/>
          <w:sz w:val="24"/>
        </w:rPr>
        <w:t> </w:t>
      </w:r>
      <w:r>
        <w:rPr>
          <w:i/>
          <w:sz w:val="24"/>
        </w:rPr>
        <w:t>Aportaciones</w:t>
      </w:r>
      <w:r>
        <w:rPr>
          <w:i/>
          <w:spacing w:val="-7"/>
          <w:sz w:val="24"/>
        </w:rPr>
        <w:t> </w:t>
      </w:r>
      <w:r>
        <w:rPr>
          <w:i/>
          <w:sz w:val="24"/>
        </w:rPr>
        <w:t>para</w:t>
      </w:r>
      <w:r>
        <w:rPr>
          <w:i/>
          <w:spacing w:val="-7"/>
          <w:sz w:val="24"/>
        </w:rPr>
        <w:t> </w:t>
      </w:r>
      <w:r>
        <w:rPr>
          <w:i/>
          <w:sz w:val="24"/>
        </w:rPr>
        <w:t>el</w:t>
      </w:r>
      <w:r>
        <w:rPr>
          <w:i/>
          <w:spacing w:val="-7"/>
          <w:sz w:val="24"/>
        </w:rPr>
        <w:t> </w:t>
      </w:r>
      <w:r>
        <w:rPr>
          <w:i/>
          <w:sz w:val="24"/>
        </w:rPr>
        <w:t>Fortalecimiento</w:t>
      </w:r>
      <w:r>
        <w:rPr>
          <w:i/>
          <w:spacing w:val="-1"/>
          <w:sz w:val="24"/>
        </w:rPr>
        <w:t> </w:t>
      </w:r>
      <w:r>
        <w:rPr>
          <w:i/>
          <w:sz w:val="24"/>
        </w:rPr>
        <w:t>de</w:t>
      </w:r>
      <w:r>
        <w:rPr>
          <w:i/>
          <w:spacing w:val="-6"/>
          <w:sz w:val="24"/>
        </w:rPr>
        <w:t> </w:t>
      </w:r>
      <w:r>
        <w:rPr>
          <w:i/>
          <w:sz w:val="24"/>
        </w:rPr>
        <w:t>los</w:t>
      </w:r>
      <w:r>
        <w:rPr>
          <w:i/>
          <w:spacing w:val="-6"/>
          <w:sz w:val="24"/>
        </w:rPr>
        <w:t> </w:t>
      </w:r>
      <w:r>
        <w:rPr>
          <w:i/>
          <w:sz w:val="24"/>
        </w:rPr>
        <w:t>Municipios</w:t>
      </w:r>
      <w:r>
        <w:rPr>
          <w:i/>
          <w:spacing w:val="-7"/>
          <w:sz w:val="24"/>
        </w:rPr>
        <w:t> </w:t>
      </w:r>
      <w:r>
        <w:rPr>
          <w:i/>
          <w:sz w:val="24"/>
        </w:rPr>
        <w:t>y</w:t>
      </w:r>
      <w:r>
        <w:rPr>
          <w:i/>
          <w:spacing w:val="-7"/>
          <w:sz w:val="24"/>
        </w:rPr>
        <w:t> </w:t>
      </w:r>
      <w:r>
        <w:rPr>
          <w:i/>
          <w:sz w:val="24"/>
        </w:rPr>
        <w:t>de</w:t>
      </w:r>
      <w:r>
        <w:rPr>
          <w:i/>
          <w:spacing w:val="-6"/>
          <w:sz w:val="24"/>
        </w:rPr>
        <w:t> </w:t>
      </w:r>
      <w:r>
        <w:rPr>
          <w:i/>
          <w:sz w:val="24"/>
        </w:rPr>
        <w:t>las Demarcaciones Territoriales del Distrito Federal. Municipio de Ecatepec de Morelos, Estado de México</w:t>
      </w:r>
      <w:r>
        <w:rPr>
          <w:sz w:val="24"/>
        </w:rPr>
        <w:t>, México: Cámara de</w:t>
      </w:r>
      <w:r>
        <w:rPr>
          <w:spacing w:val="-11"/>
          <w:sz w:val="24"/>
        </w:rPr>
        <w:t> </w:t>
      </w:r>
      <w:r>
        <w:rPr>
          <w:sz w:val="24"/>
        </w:rPr>
        <w:t>diputados.</w:t>
      </w:r>
    </w:p>
    <w:p>
      <w:pPr>
        <w:pStyle w:val="BodyText"/>
        <w:spacing w:before="5"/>
      </w:pPr>
    </w:p>
    <w:p>
      <w:pPr>
        <w:spacing w:line="276" w:lineRule="auto" w:before="0"/>
        <w:ind w:left="810" w:right="118" w:hanging="708"/>
        <w:jc w:val="both"/>
        <w:rPr>
          <w:sz w:val="24"/>
        </w:rPr>
      </w:pPr>
      <w:r>
        <w:rPr>
          <w:sz w:val="24"/>
        </w:rPr>
        <w:t>ASF (Auditoría Superior de la Federación), (2014). </w:t>
      </w:r>
      <w:r>
        <w:rPr>
          <w:i/>
          <w:sz w:val="24"/>
        </w:rPr>
        <w:t>12-D-15037-14-0860 Recursos </w:t>
      </w:r>
      <w:r>
        <w:rPr>
          <w:i/>
          <w:sz w:val="24"/>
        </w:rPr>
        <w:t>del</w:t>
      </w:r>
      <w:r>
        <w:rPr>
          <w:i/>
          <w:spacing w:val="-7"/>
          <w:sz w:val="24"/>
        </w:rPr>
        <w:t> </w:t>
      </w:r>
      <w:r>
        <w:rPr>
          <w:i/>
          <w:sz w:val="24"/>
        </w:rPr>
        <w:t>Fondo</w:t>
      </w:r>
      <w:r>
        <w:rPr>
          <w:i/>
          <w:spacing w:val="-6"/>
          <w:sz w:val="24"/>
        </w:rPr>
        <w:t> </w:t>
      </w:r>
      <w:r>
        <w:rPr>
          <w:i/>
          <w:sz w:val="24"/>
        </w:rPr>
        <w:t>de</w:t>
      </w:r>
      <w:r>
        <w:rPr>
          <w:i/>
          <w:spacing w:val="-6"/>
          <w:sz w:val="24"/>
        </w:rPr>
        <w:t> </w:t>
      </w:r>
      <w:r>
        <w:rPr>
          <w:i/>
          <w:sz w:val="24"/>
        </w:rPr>
        <w:t>Aportaciones</w:t>
      </w:r>
      <w:r>
        <w:rPr>
          <w:i/>
          <w:spacing w:val="-7"/>
          <w:sz w:val="24"/>
        </w:rPr>
        <w:t> </w:t>
      </w:r>
      <w:r>
        <w:rPr>
          <w:i/>
          <w:sz w:val="24"/>
        </w:rPr>
        <w:t>para</w:t>
      </w:r>
      <w:r>
        <w:rPr>
          <w:i/>
          <w:spacing w:val="-7"/>
          <w:sz w:val="24"/>
        </w:rPr>
        <w:t> </w:t>
      </w:r>
      <w:r>
        <w:rPr>
          <w:i/>
          <w:sz w:val="24"/>
        </w:rPr>
        <w:t>el</w:t>
      </w:r>
      <w:r>
        <w:rPr>
          <w:i/>
          <w:spacing w:val="-7"/>
          <w:sz w:val="24"/>
        </w:rPr>
        <w:t> </w:t>
      </w:r>
      <w:r>
        <w:rPr>
          <w:i/>
          <w:sz w:val="24"/>
        </w:rPr>
        <w:t>Fortalecimiento</w:t>
      </w:r>
      <w:r>
        <w:rPr>
          <w:i/>
          <w:spacing w:val="-6"/>
          <w:sz w:val="24"/>
        </w:rPr>
        <w:t> </w:t>
      </w:r>
      <w:r>
        <w:rPr>
          <w:i/>
          <w:sz w:val="24"/>
        </w:rPr>
        <w:t>de</w:t>
      </w:r>
      <w:r>
        <w:rPr>
          <w:i/>
          <w:spacing w:val="-6"/>
          <w:sz w:val="24"/>
        </w:rPr>
        <w:t> </w:t>
      </w:r>
      <w:r>
        <w:rPr>
          <w:i/>
          <w:sz w:val="24"/>
        </w:rPr>
        <w:t>los</w:t>
      </w:r>
      <w:r>
        <w:rPr>
          <w:i/>
          <w:spacing w:val="-6"/>
          <w:sz w:val="24"/>
        </w:rPr>
        <w:t> </w:t>
      </w:r>
      <w:r>
        <w:rPr>
          <w:i/>
          <w:sz w:val="24"/>
        </w:rPr>
        <w:t>Municipios</w:t>
      </w:r>
      <w:r>
        <w:rPr>
          <w:i/>
          <w:spacing w:val="-7"/>
          <w:sz w:val="24"/>
        </w:rPr>
        <w:t> </w:t>
      </w:r>
      <w:r>
        <w:rPr>
          <w:i/>
          <w:sz w:val="24"/>
        </w:rPr>
        <w:t>y</w:t>
      </w:r>
      <w:r>
        <w:rPr>
          <w:i/>
          <w:spacing w:val="-7"/>
          <w:sz w:val="24"/>
        </w:rPr>
        <w:t> </w:t>
      </w:r>
      <w:r>
        <w:rPr>
          <w:i/>
          <w:sz w:val="24"/>
        </w:rPr>
        <w:t>de</w:t>
      </w:r>
      <w:r>
        <w:rPr>
          <w:i/>
          <w:spacing w:val="-6"/>
          <w:sz w:val="24"/>
        </w:rPr>
        <w:t> </w:t>
      </w:r>
      <w:r>
        <w:rPr>
          <w:i/>
          <w:sz w:val="24"/>
        </w:rPr>
        <w:t>las Demarcaciones Territoriales del Distrito Federal. Municipio de Huixquilucan, Estado de México</w:t>
      </w:r>
      <w:r>
        <w:rPr>
          <w:sz w:val="24"/>
        </w:rPr>
        <w:t>, México: Cámara de</w:t>
      </w:r>
      <w:r>
        <w:rPr>
          <w:spacing w:val="-10"/>
          <w:sz w:val="24"/>
        </w:rPr>
        <w:t> </w:t>
      </w:r>
      <w:r>
        <w:rPr>
          <w:sz w:val="24"/>
        </w:rPr>
        <w:t>diputados.</w:t>
      </w:r>
    </w:p>
    <w:p>
      <w:pPr>
        <w:spacing w:after="0" w:line="276" w:lineRule="auto"/>
        <w:jc w:val="both"/>
        <w:rPr>
          <w:sz w:val="24"/>
        </w:rPr>
        <w:sectPr>
          <w:pgSz w:w="12240" w:h="15840"/>
          <w:pgMar w:header="0" w:footer="992" w:top="1360" w:bottom="1180" w:left="1600" w:right="1580"/>
        </w:sectPr>
      </w:pPr>
    </w:p>
    <w:p>
      <w:pPr>
        <w:spacing w:line="276" w:lineRule="auto" w:before="51"/>
        <w:ind w:left="810" w:right="115" w:hanging="708"/>
        <w:jc w:val="both"/>
        <w:rPr>
          <w:sz w:val="24"/>
        </w:rPr>
      </w:pPr>
      <w:r>
        <w:rPr>
          <w:sz w:val="24"/>
        </w:rPr>
        <w:t>ASF (Auditoría Superior de la Federación), (2014). </w:t>
      </w:r>
      <w:r>
        <w:rPr>
          <w:i/>
          <w:sz w:val="24"/>
        </w:rPr>
        <w:t>12-D-15057-14-0861 Recursos </w:t>
      </w:r>
      <w:r>
        <w:rPr>
          <w:i/>
          <w:sz w:val="24"/>
        </w:rPr>
        <w:t>del</w:t>
      </w:r>
      <w:r>
        <w:rPr>
          <w:i/>
          <w:spacing w:val="-7"/>
          <w:sz w:val="24"/>
        </w:rPr>
        <w:t> </w:t>
      </w:r>
      <w:r>
        <w:rPr>
          <w:i/>
          <w:sz w:val="24"/>
        </w:rPr>
        <w:t>Fondo</w:t>
      </w:r>
      <w:r>
        <w:rPr>
          <w:i/>
          <w:spacing w:val="-6"/>
          <w:sz w:val="24"/>
        </w:rPr>
        <w:t> </w:t>
      </w:r>
      <w:r>
        <w:rPr>
          <w:i/>
          <w:sz w:val="24"/>
        </w:rPr>
        <w:t>de</w:t>
      </w:r>
      <w:r>
        <w:rPr>
          <w:i/>
          <w:spacing w:val="-6"/>
          <w:sz w:val="24"/>
        </w:rPr>
        <w:t> </w:t>
      </w:r>
      <w:r>
        <w:rPr>
          <w:i/>
          <w:sz w:val="24"/>
        </w:rPr>
        <w:t>Aportaciones</w:t>
      </w:r>
      <w:r>
        <w:rPr>
          <w:i/>
          <w:spacing w:val="-7"/>
          <w:sz w:val="24"/>
        </w:rPr>
        <w:t> </w:t>
      </w:r>
      <w:r>
        <w:rPr>
          <w:i/>
          <w:sz w:val="24"/>
        </w:rPr>
        <w:t>para</w:t>
      </w:r>
      <w:r>
        <w:rPr>
          <w:i/>
          <w:spacing w:val="-7"/>
          <w:sz w:val="24"/>
        </w:rPr>
        <w:t> </w:t>
      </w:r>
      <w:r>
        <w:rPr>
          <w:i/>
          <w:sz w:val="24"/>
        </w:rPr>
        <w:t>el</w:t>
      </w:r>
      <w:r>
        <w:rPr>
          <w:i/>
          <w:spacing w:val="-7"/>
          <w:sz w:val="24"/>
        </w:rPr>
        <w:t> </w:t>
      </w:r>
      <w:r>
        <w:rPr>
          <w:i/>
          <w:sz w:val="24"/>
        </w:rPr>
        <w:t>Fortalecimiento</w:t>
      </w:r>
      <w:r>
        <w:rPr>
          <w:i/>
          <w:spacing w:val="-6"/>
          <w:sz w:val="24"/>
        </w:rPr>
        <w:t> </w:t>
      </w:r>
      <w:r>
        <w:rPr>
          <w:i/>
          <w:sz w:val="24"/>
        </w:rPr>
        <w:t>de</w:t>
      </w:r>
      <w:r>
        <w:rPr>
          <w:i/>
          <w:spacing w:val="-6"/>
          <w:sz w:val="24"/>
        </w:rPr>
        <w:t> </w:t>
      </w:r>
      <w:r>
        <w:rPr>
          <w:i/>
          <w:sz w:val="24"/>
        </w:rPr>
        <w:t>los</w:t>
      </w:r>
      <w:r>
        <w:rPr>
          <w:i/>
          <w:spacing w:val="-6"/>
          <w:sz w:val="24"/>
        </w:rPr>
        <w:t> </w:t>
      </w:r>
      <w:r>
        <w:rPr>
          <w:i/>
          <w:sz w:val="24"/>
        </w:rPr>
        <w:t>Municipios</w:t>
      </w:r>
      <w:r>
        <w:rPr>
          <w:i/>
          <w:spacing w:val="-7"/>
          <w:sz w:val="24"/>
        </w:rPr>
        <w:t> </w:t>
      </w:r>
      <w:r>
        <w:rPr>
          <w:i/>
          <w:sz w:val="24"/>
        </w:rPr>
        <w:t>y</w:t>
      </w:r>
      <w:r>
        <w:rPr>
          <w:i/>
          <w:spacing w:val="-7"/>
          <w:sz w:val="24"/>
        </w:rPr>
        <w:t> </w:t>
      </w:r>
      <w:r>
        <w:rPr>
          <w:i/>
          <w:sz w:val="24"/>
        </w:rPr>
        <w:t>de</w:t>
      </w:r>
      <w:r>
        <w:rPr>
          <w:i/>
          <w:spacing w:val="-6"/>
          <w:sz w:val="24"/>
        </w:rPr>
        <w:t> </w:t>
      </w:r>
      <w:r>
        <w:rPr>
          <w:i/>
          <w:sz w:val="24"/>
        </w:rPr>
        <w:t>las Demarcaciones Territoriales del Distrito Federal. Municipio de Naucalpan de Juárez, Estado de México</w:t>
      </w:r>
      <w:r>
        <w:rPr>
          <w:sz w:val="24"/>
        </w:rPr>
        <w:t>, México: Cámara de</w:t>
      </w:r>
      <w:r>
        <w:rPr>
          <w:spacing w:val="-14"/>
          <w:sz w:val="24"/>
        </w:rPr>
        <w:t> </w:t>
      </w:r>
      <w:r>
        <w:rPr>
          <w:sz w:val="24"/>
        </w:rPr>
        <w:t>diputados.</w:t>
      </w:r>
    </w:p>
    <w:p>
      <w:pPr>
        <w:pStyle w:val="BodyText"/>
        <w:spacing w:before="5"/>
      </w:pPr>
    </w:p>
    <w:p>
      <w:pPr>
        <w:spacing w:line="276" w:lineRule="auto" w:before="0"/>
        <w:ind w:left="810" w:right="118" w:hanging="708"/>
        <w:jc w:val="both"/>
        <w:rPr>
          <w:sz w:val="24"/>
        </w:rPr>
      </w:pPr>
      <w:r>
        <w:rPr>
          <w:sz w:val="24"/>
        </w:rPr>
        <w:t>ASF (Auditoría Superior de la Federación), (2014). </w:t>
      </w:r>
      <w:r>
        <w:rPr>
          <w:i/>
          <w:sz w:val="24"/>
        </w:rPr>
        <w:t>12-D-15104-14-0862 Recursos </w:t>
      </w:r>
      <w:r>
        <w:rPr>
          <w:i/>
          <w:sz w:val="24"/>
        </w:rPr>
        <w:t>del</w:t>
      </w:r>
      <w:r>
        <w:rPr>
          <w:i/>
          <w:spacing w:val="-7"/>
          <w:sz w:val="24"/>
        </w:rPr>
        <w:t> </w:t>
      </w:r>
      <w:r>
        <w:rPr>
          <w:i/>
          <w:sz w:val="24"/>
        </w:rPr>
        <w:t>Fondo</w:t>
      </w:r>
      <w:r>
        <w:rPr>
          <w:i/>
          <w:spacing w:val="-6"/>
          <w:sz w:val="24"/>
        </w:rPr>
        <w:t> </w:t>
      </w:r>
      <w:r>
        <w:rPr>
          <w:i/>
          <w:sz w:val="24"/>
        </w:rPr>
        <w:t>de</w:t>
      </w:r>
      <w:r>
        <w:rPr>
          <w:i/>
          <w:spacing w:val="-6"/>
          <w:sz w:val="24"/>
        </w:rPr>
        <w:t> </w:t>
      </w:r>
      <w:r>
        <w:rPr>
          <w:i/>
          <w:sz w:val="24"/>
        </w:rPr>
        <w:t>Aportaciones</w:t>
      </w:r>
      <w:r>
        <w:rPr>
          <w:i/>
          <w:spacing w:val="-7"/>
          <w:sz w:val="24"/>
        </w:rPr>
        <w:t> </w:t>
      </w:r>
      <w:r>
        <w:rPr>
          <w:i/>
          <w:sz w:val="24"/>
        </w:rPr>
        <w:t>para</w:t>
      </w:r>
      <w:r>
        <w:rPr>
          <w:i/>
          <w:spacing w:val="-7"/>
          <w:sz w:val="24"/>
        </w:rPr>
        <w:t> </w:t>
      </w:r>
      <w:r>
        <w:rPr>
          <w:i/>
          <w:sz w:val="24"/>
        </w:rPr>
        <w:t>el</w:t>
      </w:r>
      <w:r>
        <w:rPr>
          <w:i/>
          <w:spacing w:val="-7"/>
          <w:sz w:val="24"/>
        </w:rPr>
        <w:t> </w:t>
      </w:r>
      <w:r>
        <w:rPr>
          <w:i/>
          <w:sz w:val="24"/>
        </w:rPr>
        <w:t>Fortalecimiento</w:t>
      </w:r>
      <w:r>
        <w:rPr>
          <w:i/>
          <w:spacing w:val="-6"/>
          <w:sz w:val="24"/>
        </w:rPr>
        <w:t> </w:t>
      </w:r>
      <w:r>
        <w:rPr>
          <w:i/>
          <w:sz w:val="24"/>
        </w:rPr>
        <w:t>de</w:t>
      </w:r>
      <w:r>
        <w:rPr>
          <w:i/>
          <w:spacing w:val="-6"/>
          <w:sz w:val="24"/>
        </w:rPr>
        <w:t> </w:t>
      </w:r>
      <w:r>
        <w:rPr>
          <w:i/>
          <w:sz w:val="24"/>
        </w:rPr>
        <w:t>los</w:t>
      </w:r>
      <w:r>
        <w:rPr>
          <w:i/>
          <w:spacing w:val="-6"/>
          <w:sz w:val="24"/>
        </w:rPr>
        <w:t> </w:t>
      </w:r>
      <w:r>
        <w:rPr>
          <w:i/>
          <w:sz w:val="24"/>
        </w:rPr>
        <w:t>Municipios</w:t>
      </w:r>
      <w:r>
        <w:rPr>
          <w:i/>
          <w:spacing w:val="-7"/>
          <w:sz w:val="24"/>
        </w:rPr>
        <w:t> </w:t>
      </w:r>
      <w:r>
        <w:rPr>
          <w:i/>
          <w:sz w:val="24"/>
        </w:rPr>
        <w:t>y</w:t>
      </w:r>
      <w:r>
        <w:rPr>
          <w:i/>
          <w:spacing w:val="-7"/>
          <w:sz w:val="24"/>
        </w:rPr>
        <w:t> </w:t>
      </w:r>
      <w:r>
        <w:rPr>
          <w:i/>
          <w:sz w:val="24"/>
        </w:rPr>
        <w:t>de</w:t>
      </w:r>
      <w:r>
        <w:rPr>
          <w:i/>
          <w:spacing w:val="-6"/>
          <w:sz w:val="24"/>
        </w:rPr>
        <w:t> </w:t>
      </w:r>
      <w:r>
        <w:rPr>
          <w:i/>
          <w:sz w:val="24"/>
        </w:rPr>
        <w:t>las Demarcaciones Territoriales del Distrito Federal. Municipio de Tlalnepantla de Baz, Estado de México</w:t>
      </w:r>
      <w:r>
        <w:rPr>
          <w:sz w:val="24"/>
        </w:rPr>
        <w:t>, México: Cámara de</w:t>
      </w:r>
      <w:r>
        <w:rPr>
          <w:spacing w:val="-15"/>
          <w:sz w:val="24"/>
        </w:rPr>
        <w:t> </w:t>
      </w:r>
      <w:r>
        <w:rPr>
          <w:sz w:val="24"/>
        </w:rPr>
        <w:t>diputados.</w:t>
      </w:r>
    </w:p>
    <w:p>
      <w:pPr>
        <w:pStyle w:val="BodyText"/>
        <w:spacing w:before="3"/>
      </w:pPr>
    </w:p>
    <w:p>
      <w:pPr>
        <w:spacing w:line="278" w:lineRule="auto" w:before="0"/>
        <w:ind w:left="810" w:right="115" w:hanging="708"/>
        <w:jc w:val="both"/>
        <w:rPr>
          <w:sz w:val="24"/>
        </w:rPr>
      </w:pPr>
      <w:r>
        <w:rPr>
          <w:sz w:val="24"/>
        </w:rPr>
        <w:t>ASF (Auditoría Superior de la Federación), (2015). </w:t>
      </w:r>
      <w:r>
        <w:rPr>
          <w:i/>
          <w:sz w:val="24"/>
        </w:rPr>
        <w:t>Informe del Resultado de la </w:t>
      </w:r>
      <w:r>
        <w:rPr>
          <w:i/>
          <w:sz w:val="24"/>
        </w:rPr>
        <w:t>Fiscalización Superior de la Cuenta Pública 2013. Informe General, </w:t>
      </w:r>
      <w:r>
        <w:rPr>
          <w:sz w:val="24"/>
        </w:rPr>
        <w:t>México: Cámara de diputados.</w:t>
      </w:r>
    </w:p>
    <w:p>
      <w:pPr>
        <w:pStyle w:val="BodyText"/>
      </w:pPr>
    </w:p>
    <w:p>
      <w:pPr>
        <w:spacing w:line="278" w:lineRule="auto" w:before="0"/>
        <w:ind w:left="810" w:right="115" w:hanging="708"/>
        <w:jc w:val="both"/>
        <w:rPr>
          <w:sz w:val="24"/>
        </w:rPr>
      </w:pPr>
      <w:r>
        <w:rPr>
          <w:sz w:val="24"/>
        </w:rPr>
        <w:t>ASF (Auditoría Superior de la Federación), (2016). </w:t>
      </w:r>
      <w:r>
        <w:rPr>
          <w:i/>
          <w:sz w:val="24"/>
        </w:rPr>
        <w:t>Informe del Resultado de la </w:t>
      </w:r>
      <w:r>
        <w:rPr>
          <w:i/>
          <w:sz w:val="24"/>
        </w:rPr>
        <w:t>Fiscalización Superior de la Cuenta Pública 2014. Informe General</w:t>
      </w:r>
      <w:r>
        <w:rPr>
          <w:sz w:val="24"/>
        </w:rPr>
        <w:t>, México: Cámara de diputados.</w:t>
      </w:r>
    </w:p>
    <w:p>
      <w:pPr>
        <w:pStyle w:val="BodyText"/>
        <w:spacing w:before="9"/>
        <w:rPr>
          <w:sz w:val="23"/>
        </w:rPr>
      </w:pPr>
    </w:p>
    <w:p>
      <w:pPr>
        <w:spacing w:line="278" w:lineRule="auto" w:before="0"/>
        <w:ind w:left="810" w:right="119" w:hanging="708"/>
        <w:jc w:val="both"/>
        <w:rPr>
          <w:sz w:val="24"/>
        </w:rPr>
      </w:pPr>
      <w:r>
        <w:rPr>
          <w:sz w:val="24"/>
        </w:rPr>
        <w:t>AYALA Espino, José, (1999). </w:t>
      </w:r>
      <w:r>
        <w:rPr>
          <w:i/>
          <w:sz w:val="24"/>
        </w:rPr>
        <w:t>Instituciones y economía. Una introducción al </w:t>
      </w:r>
      <w:r>
        <w:rPr>
          <w:i/>
          <w:sz w:val="24"/>
        </w:rPr>
        <w:t>neoinstitucionalismo económico</w:t>
      </w:r>
      <w:r>
        <w:rPr>
          <w:sz w:val="24"/>
        </w:rPr>
        <w:t>, México: Fondo de Cultura Económica.</w:t>
      </w:r>
    </w:p>
    <w:p>
      <w:pPr>
        <w:pStyle w:val="BodyText"/>
      </w:pPr>
    </w:p>
    <w:p>
      <w:pPr>
        <w:spacing w:before="0"/>
        <w:ind w:left="102" w:right="0" w:firstLine="0"/>
        <w:jc w:val="left"/>
        <w:rPr>
          <w:sz w:val="24"/>
        </w:rPr>
      </w:pPr>
      <w:r>
        <w:rPr>
          <w:sz w:val="24"/>
        </w:rPr>
        <w:t>AYALA Espino, José, (2005). </w:t>
      </w:r>
      <w:r>
        <w:rPr>
          <w:i/>
          <w:sz w:val="24"/>
        </w:rPr>
        <w:t>Economía del Sector Público</w:t>
      </w:r>
      <w:r>
        <w:rPr>
          <w:sz w:val="24"/>
        </w:rPr>
        <w:t>, México: Esfinge.</w:t>
      </w:r>
    </w:p>
    <w:p>
      <w:pPr>
        <w:pStyle w:val="BodyText"/>
        <w:spacing w:before="2"/>
        <w:rPr>
          <w:sz w:val="28"/>
        </w:rPr>
      </w:pPr>
    </w:p>
    <w:p>
      <w:pPr>
        <w:spacing w:line="276" w:lineRule="auto" w:before="0"/>
        <w:ind w:left="810" w:right="119" w:hanging="708"/>
        <w:jc w:val="both"/>
        <w:rPr>
          <w:sz w:val="24"/>
        </w:rPr>
      </w:pPr>
      <w:r>
        <w:rPr>
          <w:sz w:val="24"/>
        </w:rPr>
        <w:t>AGÜERA Ibáñez, Roberto y Oroza Pérez, J. José, (1998). “La toma de decisiones en la Administración Municipal” en </w:t>
      </w:r>
      <w:r>
        <w:rPr>
          <w:i/>
          <w:sz w:val="24"/>
        </w:rPr>
        <w:t>Gaceta Mexicana de Administración </w:t>
      </w:r>
      <w:r>
        <w:rPr>
          <w:i/>
          <w:sz w:val="24"/>
        </w:rPr>
        <w:t>Pública Estatal y Municipal, </w:t>
      </w:r>
      <w:r>
        <w:rPr>
          <w:sz w:val="24"/>
        </w:rPr>
        <w:t>No. 61, Diciembre, pp. 67-80.</w:t>
      </w:r>
    </w:p>
    <w:p>
      <w:pPr>
        <w:pStyle w:val="BodyText"/>
        <w:spacing w:before="7"/>
      </w:pPr>
    </w:p>
    <w:p>
      <w:pPr>
        <w:pStyle w:val="BodyText"/>
        <w:spacing w:line="273" w:lineRule="auto" w:before="1"/>
        <w:ind w:left="810" w:right="118" w:hanging="708"/>
        <w:jc w:val="both"/>
      </w:pPr>
      <w:r>
        <w:rPr/>
        <w:t>BELTRÁN, Ulises y Portilla, Santiago, (1986). “El proyecto de descentralización</w:t>
      </w:r>
      <w:r>
        <w:rPr>
          <w:spacing w:val="-28"/>
        </w:rPr>
        <w:t> </w:t>
      </w:r>
      <w:r>
        <w:rPr/>
        <w:t>del Gobierno Mexicano (1983-1984)” en Torres, Blanca (comp), </w:t>
      </w:r>
      <w:r>
        <w:rPr>
          <w:i/>
        </w:rPr>
        <w:t>Descentralización y democracia en México, </w:t>
      </w:r>
      <w:r>
        <w:rPr/>
        <w:t>México: El Colegio de</w:t>
      </w:r>
      <w:r>
        <w:rPr>
          <w:spacing w:val="-18"/>
        </w:rPr>
        <w:t> </w:t>
      </w:r>
      <w:r>
        <w:rPr/>
        <w:t>México.</w:t>
      </w:r>
    </w:p>
    <w:p>
      <w:pPr>
        <w:spacing w:line="276" w:lineRule="auto" w:before="205"/>
        <w:ind w:left="102" w:right="200" w:firstLine="0"/>
        <w:jc w:val="left"/>
        <w:rPr>
          <w:sz w:val="24"/>
        </w:rPr>
      </w:pPr>
      <w:r>
        <w:rPr>
          <w:sz w:val="24"/>
        </w:rPr>
        <w:t>BONOME, María G., (2009). </w:t>
      </w:r>
      <w:r>
        <w:rPr>
          <w:i/>
          <w:sz w:val="24"/>
        </w:rPr>
        <w:t>La racionalidad en la toma de decisiones: Análisis de </w:t>
      </w:r>
      <w:r>
        <w:rPr>
          <w:i/>
          <w:sz w:val="24"/>
        </w:rPr>
        <w:t>la Teoría de la Decisión de Herbert A. Simon, </w:t>
      </w:r>
      <w:r>
        <w:rPr>
          <w:sz w:val="24"/>
        </w:rPr>
        <w:t>España: Netbiblo, S. L.</w:t>
      </w:r>
    </w:p>
    <w:p>
      <w:pPr>
        <w:pStyle w:val="BodyText"/>
        <w:spacing w:before="3"/>
      </w:pPr>
    </w:p>
    <w:p>
      <w:pPr>
        <w:spacing w:line="280" w:lineRule="auto" w:before="0"/>
        <w:ind w:left="810" w:right="116" w:hanging="708"/>
        <w:jc w:val="both"/>
        <w:rPr>
          <w:sz w:val="24"/>
        </w:rPr>
      </w:pPr>
      <w:r>
        <w:rPr>
          <w:sz w:val="24"/>
        </w:rPr>
        <w:t>CABRERA Dircio, Julio, (2009). </w:t>
      </w:r>
      <w:r>
        <w:rPr>
          <w:i/>
          <w:sz w:val="24"/>
        </w:rPr>
        <w:t>Teoría del Derecho Municipal, </w:t>
      </w:r>
      <w:r>
        <w:rPr>
          <w:sz w:val="24"/>
        </w:rPr>
        <w:t>México, D.F: Ediciones Coyoacán.</w:t>
      </w:r>
    </w:p>
    <w:p>
      <w:pPr>
        <w:pStyle w:val="BodyText"/>
      </w:pPr>
    </w:p>
    <w:p>
      <w:pPr>
        <w:pStyle w:val="BodyText"/>
        <w:spacing w:line="276" w:lineRule="auto"/>
        <w:ind w:left="810" w:right="118" w:hanging="708"/>
        <w:jc w:val="both"/>
      </w:pPr>
      <w:r>
        <w:rPr/>
        <w:t>CABRERO Mendoza, Enrique, (2004). “Descentralización de la política social y nuevo papel de los gobiernos locales. ¿Políticas multinivel o múltiples políticas? El caso de México”, en Goma, Ricard y J. Jordana (eds.), </w:t>
      </w:r>
      <w:r>
        <w:rPr>
          <w:i/>
        </w:rPr>
        <w:t>Descentralización y políticas sociales en América Latina, </w:t>
      </w:r>
      <w:r>
        <w:rPr/>
        <w:t>Barcelona: Fundación CODOB.</w:t>
      </w:r>
    </w:p>
    <w:p>
      <w:pPr>
        <w:spacing w:after="0" w:line="276" w:lineRule="auto"/>
        <w:jc w:val="both"/>
        <w:sectPr>
          <w:pgSz w:w="12240" w:h="15840"/>
          <w:pgMar w:header="0" w:footer="992" w:top="1360" w:bottom="1180" w:left="1600" w:right="1580"/>
        </w:sectPr>
      </w:pPr>
    </w:p>
    <w:p>
      <w:pPr>
        <w:spacing w:line="276" w:lineRule="auto" w:before="54"/>
        <w:ind w:left="810" w:right="118" w:hanging="708"/>
        <w:jc w:val="both"/>
        <w:rPr>
          <w:sz w:val="24"/>
        </w:rPr>
      </w:pPr>
      <w:r>
        <w:rPr>
          <w:sz w:val="24"/>
        </w:rPr>
        <w:t>CABRERO</w:t>
      </w:r>
      <w:r>
        <w:rPr>
          <w:spacing w:val="-7"/>
          <w:sz w:val="24"/>
        </w:rPr>
        <w:t> </w:t>
      </w:r>
      <w:r>
        <w:rPr>
          <w:sz w:val="24"/>
        </w:rPr>
        <w:t>Mendoza,</w:t>
      </w:r>
      <w:r>
        <w:rPr>
          <w:spacing w:val="-9"/>
          <w:sz w:val="24"/>
        </w:rPr>
        <w:t> </w:t>
      </w:r>
      <w:r>
        <w:rPr>
          <w:sz w:val="24"/>
        </w:rPr>
        <w:t>Enrique</w:t>
      </w:r>
      <w:r>
        <w:rPr>
          <w:spacing w:val="-6"/>
          <w:sz w:val="24"/>
        </w:rPr>
        <w:t> </w:t>
      </w:r>
      <w:r>
        <w:rPr>
          <w:sz w:val="24"/>
        </w:rPr>
        <w:t>y</w:t>
      </w:r>
      <w:r>
        <w:rPr>
          <w:spacing w:val="-9"/>
          <w:sz w:val="24"/>
        </w:rPr>
        <w:t> </w:t>
      </w:r>
      <w:r>
        <w:rPr>
          <w:sz w:val="24"/>
        </w:rPr>
        <w:t>Mejía</w:t>
      </w:r>
      <w:r>
        <w:rPr>
          <w:spacing w:val="-6"/>
          <w:sz w:val="24"/>
        </w:rPr>
        <w:t> </w:t>
      </w:r>
      <w:r>
        <w:rPr>
          <w:sz w:val="24"/>
        </w:rPr>
        <w:t>Lira,</w:t>
      </w:r>
      <w:r>
        <w:rPr>
          <w:spacing w:val="-6"/>
          <w:sz w:val="24"/>
        </w:rPr>
        <w:t> </w:t>
      </w:r>
      <w:r>
        <w:rPr>
          <w:sz w:val="24"/>
        </w:rPr>
        <w:t>José,</w:t>
      </w:r>
      <w:r>
        <w:rPr>
          <w:spacing w:val="-6"/>
          <w:sz w:val="24"/>
        </w:rPr>
        <w:t> </w:t>
      </w:r>
      <w:r>
        <w:rPr>
          <w:sz w:val="24"/>
        </w:rPr>
        <w:t>(2007).</w:t>
      </w:r>
      <w:r>
        <w:rPr>
          <w:spacing w:val="-9"/>
          <w:sz w:val="24"/>
        </w:rPr>
        <w:t> </w:t>
      </w:r>
      <w:r>
        <w:rPr>
          <w:sz w:val="24"/>
        </w:rPr>
        <w:t>“El</w:t>
      </w:r>
      <w:r>
        <w:rPr>
          <w:spacing w:val="-7"/>
          <w:sz w:val="24"/>
        </w:rPr>
        <w:t> </w:t>
      </w:r>
      <w:r>
        <w:rPr>
          <w:sz w:val="24"/>
        </w:rPr>
        <w:t>estudio</w:t>
      </w:r>
      <w:r>
        <w:rPr>
          <w:spacing w:val="-6"/>
          <w:sz w:val="24"/>
        </w:rPr>
        <w:t> </w:t>
      </w:r>
      <w:r>
        <w:rPr>
          <w:sz w:val="24"/>
        </w:rPr>
        <w:t>de</w:t>
      </w:r>
      <w:r>
        <w:rPr>
          <w:spacing w:val="-8"/>
          <w:sz w:val="24"/>
        </w:rPr>
        <w:t> </w:t>
      </w:r>
      <w:r>
        <w:rPr>
          <w:sz w:val="24"/>
        </w:rPr>
        <w:t>las</w:t>
      </w:r>
      <w:r>
        <w:rPr>
          <w:spacing w:val="-9"/>
          <w:sz w:val="24"/>
        </w:rPr>
        <w:t> </w:t>
      </w:r>
      <w:r>
        <w:rPr>
          <w:sz w:val="24"/>
        </w:rPr>
        <w:t>políticas descentralizadoras en México” Cabrero Mendoza, Enrique (coord.), </w:t>
      </w:r>
      <w:r>
        <w:rPr>
          <w:i/>
          <w:sz w:val="24"/>
        </w:rPr>
        <w:t>La s </w:t>
      </w:r>
      <w:r>
        <w:rPr>
          <w:i/>
          <w:sz w:val="24"/>
        </w:rPr>
        <w:t>políticas Descentralizadoras en México (1983-1993). Logros y desencantos, </w:t>
      </w:r>
      <w:r>
        <w:rPr>
          <w:sz w:val="24"/>
        </w:rPr>
        <w:t>México: Miguel Ángel Porrúa,</w:t>
      </w:r>
      <w:r>
        <w:rPr>
          <w:spacing w:val="-11"/>
          <w:sz w:val="24"/>
        </w:rPr>
        <w:t> </w:t>
      </w:r>
      <w:r>
        <w:rPr>
          <w:sz w:val="24"/>
        </w:rPr>
        <w:t>CIDE.</w:t>
      </w:r>
    </w:p>
    <w:p>
      <w:pPr>
        <w:pStyle w:val="BodyText"/>
        <w:spacing w:before="3"/>
      </w:pPr>
    </w:p>
    <w:p>
      <w:pPr>
        <w:spacing w:line="278" w:lineRule="auto" w:before="0"/>
        <w:ind w:left="810" w:right="119" w:hanging="708"/>
        <w:jc w:val="both"/>
        <w:rPr>
          <w:sz w:val="24"/>
        </w:rPr>
      </w:pPr>
      <w:r>
        <w:rPr>
          <w:sz w:val="24"/>
        </w:rPr>
        <w:t>CABRERO Mendoza, Enrique (coord.), (2007). </w:t>
      </w:r>
      <w:r>
        <w:rPr>
          <w:i/>
          <w:sz w:val="24"/>
        </w:rPr>
        <w:t>Las políticas Descentralizadoras</w:t>
      </w:r>
      <w:r>
        <w:rPr>
          <w:i/>
          <w:spacing w:val="-32"/>
          <w:sz w:val="24"/>
        </w:rPr>
        <w:t> </w:t>
      </w:r>
      <w:r>
        <w:rPr>
          <w:i/>
          <w:sz w:val="24"/>
        </w:rPr>
        <w:t>en </w:t>
      </w:r>
      <w:r>
        <w:rPr>
          <w:i/>
          <w:sz w:val="24"/>
        </w:rPr>
        <w:t>México (1983-1993). Logros y desencantos, </w:t>
      </w:r>
      <w:r>
        <w:rPr>
          <w:sz w:val="24"/>
        </w:rPr>
        <w:t>México: Miguel Ángel Porrúa, CIDE.</w:t>
      </w:r>
    </w:p>
    <w:p>
      <w:pPr>
        <w:pStyle w:val="BodyText"/>
        <w:spacing w:before="9"/>
        <w:rPr>
          <w:sz w:val="23"/>
        </w:rPr>
      </w:pPr>
    </w:p>
    <w:p>
      <w:pPr>
        <w:spacing w:line="278" w:lineRule="auto" w:before="0"/>
        <w:ind w:left="810" w:right="119" w:hanging="708"/>
        <w:jc w:val="both"/>
        <w:rPr>
          <w:sz w:val="24"/>
        </w:rPr>
      </w:pPr>
      <w:r>
        <w:rPr>
          <w:sz w:val="24"/>
        </w:rPr>
        <w:t>CARMAGNANI, Marcello (coord.), (1996). </w:t>
      </w:r>
      <w:r>
        <w:rPr>
          <w:i/>
          <w:sz w:val="24"/>
        </w:rPr>
        <w:t>Federalismos Latinoamericanos: </w:t>
      </w:r>
      <w:r>
        <w:rPr>
          <w:i/>
          <w:sz w:val="24"/>
        </w:rPr>
        <w:t>México/Brasil/Argentina, </w:t>
      </w:r>
      <w:r>
        <w:rPr>
          <w:sz w:val="24"/>
        </w:rPr>
        <w:t>México: Fondo de Cultura Económica.</w:t>
      </w:r>
    </w:p>
    <w:p>
      <w:pPr>
        <w:pStyle w:val="BodyText"/>
        <w:spacing w:before="3"/>
      </w:pPr>
    </w:p>
    <w:p>
      <w:pPr>
        <w:spacing w:line="276" w:lineRule="auto" w:before="0"/>
        <w:ind w:left="810" w:right="112" w:hanging="708"/>
        <w:jc w:val="both"/>
        <w:rPr>
          <w:sz w:val="24"/>
        </w:rPr>
      </w:pPr>
      <w:r>
        <w:rPr>
          <w:sz w:val="24"/>
        </w:rPr>
        <w:t>CARRILLO Castro, Alejandro, (2007). “El reto del Estado Mexicano: Desarrollo Social con equilibrio macroeconómico” en </w:t>
      </w:r>
      <w:r>
        <w:rPr>
          <w:i/>
          <w:sz w:val="24"/>
        </w:rPr>
        <w:t>Revista de Administración</w:t>
      </w:r>
      <w:r>
        <w:rPr>
          <w:i/>
          <w:spacing w:val="-27"/>
          <w:sz w:val="24"/>
        </w:rPr>
        <w:t> </w:t>
      </w:r>
      <w:r>
        <w:rPr>
          <w:i/>
          <w:sz w:val="24"/>
        </w:rPr>
        <w:t>Pública </w:t>
      </w:r>
      <w:r>
        <w:rPr>
          <w:i/>
          <w:sz w:val="24"/>
        </w:rPr>
        <w:t>del</w:t>
      </w:r>
      <w:r>
        <w:rPr>
          <w:i/>
          <w:spacing w:val="-5"/>
          <w:sz w:val="24"/>
        </w:rPr>
        <w:t> </w:t>
      </w:r>
      <w:r>
        <w:rPr>
          <w:i/>
          <w:sz w:val="24"/>
        </w:rPr>
        <w:t>Instituto</w:t>
      </w:r>
      <w:r>
        <w:rPr>
          <w:i/>
          <w:spacing w:val="-4"/>
          <w:sz w:val="24"/>
        </w:rPr>
        <w:t> </w:t>
      </w:r>
      <w:r>
        <w:rPr>
          <w:i/>
          <w:sz w:val="24"/>
        </w:rPr>
        <w:t>Nacional</w:t>
      </w:r>
      <w:r>
        <w:rPr>
          <w:i/>
          <w:spacing w:val="-7"/>
          <w:sz w:val="24"/>
        </w:rPr>
        <w:t> </w:t>
      </w:r>
      <w:r>
        <w:rPr>
          <w:i/>
          <w:sz w:val="24"/>
        </w:rPr>
        <w:t>de</w:t>
      </w:r>
      <w:r>
        <w:rPr>
          <w:i/>
          <w:spacing w:val="-4"/>
          <w:sz w:val="24"/>
        </w:rPr>
        <w:t> </w:t>
      </w:r>
      <w:r>
        <w:rPr>
          <w:i/>
          <w:sz w:val="24"/>
        </w:rPr>
        <w:t>Administración</w:t>
      </w:r>
      <w:r>
        <w:rPr>
          <w:i/>
          <w:spacing w:val="-4"/>
          <w:sz w:val="24"/>
        </w:rPr>
        <w:t> </w:t>
      </w:r>
      <w:r>
        <w:rPr>
          <w:i/>
          <w:sz w:val="24"/>
        </w:rPr>
        <w:t>Publica</w:t>
      </w:r>
      <w:r>
        <w:rPr>
          <w:i/>
          <w:spacing w:val="-4"/>
          <w:sz w:val="24"/>
        </w:rPr>
        <w:t> </w:t>
      </w:r>
      <w:r>
        <w:rPr>
          <w:i/>
          <w:sz w:val="24"/>
        </w:rPr>
        <w:t>A.C</w:t>
      </w:r>
      <w:r>
        <w:rPr>
          <w:i/>
          <w:spacing w:val="-7"/>
          <w:sz w:val="24"/>
        </w:rPr>
        <w:t> </w:t>
      </w:r>
      <w:r>
        <w:rPr>
          <w:i/>
          <w:sz w:val="24"/>
        </w:rPr>
        <w:t>(INAP), </w:t>
      </w:r>
      <w:r>
        <w:rPr>
          <w:sz w:val="24"/>
        </w:rPr>
        <w:t>No.</w:t>
      </w:r>
      <w:r>
        <w:rPr>
          <w:spacing w:val="-6"/>
          <w:sz w:val="24"/>
        </w:rPr>
        <w:t> </w:t>
      </w:r>
      <w:r>
        <w:rPr>
          <w:sz w:val="24"/>
        </w:rPr>
        <w:t>114,</w:t>
      </w:r>
      <w:r>
        <w:rPr>
          <w:spacing w:val="-6"/>
          <w:sz w:val="24"/>
        </w:rPr>
        <w:t> </w:t>
      </w:r>
      <w:r>
        <w:rPr>
          <w:sz w:val="24"/>
        </w:rPr>
        <w:t>pp:</w:t>
      </w:r>
      <w:r>
        <w:rPr>
          <w:spacing w:val="-6"/>
          <w:sz w:val="24"/>
        </w:rPr>
        <w:t> </w:t>
      </w:r>
      <w:r>
        <w:rPr>
          <w:sz w:val="24"/>
        </w:rPr>
        <w:t>01- 15.</w:t>
      </w:r>
    </w:p>
    <w:p>
      <w:pPr>
        <w:pStyle w:val="BodyText"/>
        <w:spacing w:before="3"/>
      </w:pPr>
    </w:p>
    <w:p>
      <w:pPr>
        <w:spacing w:line="278" w:lineRule="auto" w:before="0"/>
        <w:ind w:left="810" w:right="115" w:hanging="708"/>
        <w:jc w:val="both"/>
        <w:rPr>
          <w:sz w:val="24"/>
        </w:rPr>
      </w:pPr>
      <w:r>
        <w:rPr>
          <w:sz w:val="24"/>
        </w:rPr>
        <w:t>CASTORENA, Jesús, (1982). </w:t>
      </w:r>
      <w:r>
        <w:rPr>
          <w:i/>
          <w:sz w:val="24"/>
        </w:rPr>
        <w:t>El problema municipal mexicano</w:t>
      </w:r>
      <w:r>
        <w:rPr>
          <w:sz w:val="24"/>
        </w:rPr>
        <w:t>, México: Morales Hnos. Impresores, S.A.</w:t>
      </w:r>
    </w:p>
    <w:p>
      <w:pPr>
        <w:pStyle w:val="BodyText"/>
      </w:pPr>
    </w:p>
    <w:p>
      <w:pPr>
        <w:tabs>
          <w:tab w:pos="1836" w:val="left" w:leader="none"/>
          <w:tab w:pos="2901" w:val="left" w:leader="none"/>
          <w:tab w:pos="3954" w:val="left" w:leader="none"/>
          <w:tab w:pos="5210" w:val="left" w:leader="none"/>
          <w:tab w:pos="6251" w:val="left" w:leader="none"/>
          <w:tab w:pos="7436" w:val="left" w:leader="none"/>
        </w:tabs>
        <w:spacing w:line="278" w:lineRule="auto" w:before="0"/>
        <w:ind w:left="102" w:right="118" w:firstLine="0"/>
        <w:jc w:val="left"/>
        <w:rPr>
          <w:sz w:val="24"/>
        </w:rPr>
      </w:pPr>
      <w:r>
        <w:rPr>
          <w:sz w:val="24"/>
        </w:rPr>
        <w:t>CASTREJÓN</w:t>
        <w:tab/>
        <w:t>García,</w:t>
        <w:tab/>
        <w:t>Gabino</w:t>
        <w:tab/>
        <w:t>Eduardo,</w:t>
        <w:tab/>
        <w:t>(2006).</w:t>
        <w:tab/>
      </w:r>
      <w:r>
        <w:rPr>
          <w:i/>
          <w:sz w:val="24"/>
        </w:rPr>
        <w:t>Derecho</w:t>
        <w:tab/>
      </w:r>
      <w:r>
        <w:rPr>
          <w:i/>
          <w:spacing w:val="-1"/>
          <w:sz w:val="24"/>
        </w:rPr>
        <w:t>Administrativo </w:t>
      </w:r>
      <w:r>
        <w:rPr>
          <w:i/>
          <w:sz w:val="24"/>
        </w:rPr>
        <w:t>Constitucional, </w:t>
      </w:r>
      <w:r>
        <w:rPr>
          <w:sz w:val="24"/>
        </w:rPr>
        <w:t>México: Cárdenas Velasco S.A de</w:t>
      </w:r>
      <w:r>
        <w:rPr>
          <w:spacing w:val="-8"/>
          <w:sz w:val="24"/>
        </w:rPr>
        <w:t> </w:t>
      </w:r>
      <w:r>
        <w:rPr>
          <w:sz w:val="24"/>
        </w:rPr>
        <w:t>C.V.</w:t>
      </w:r>
    </w:p>
    <w:p>
      <w:pPr>
        <w:pStyle w:val="BodyText"/>
        <w:spacing w:before="3"/>
      </w:pPr>
    </w:p>
    <w:p>
      <w:pPr>
        <w:tabs>
          <w:tab w:pos="1389" w:val="left" w:leader="none"/>
          <w:tab w:pos="2089" w:val="left" w:leader="none"/>
          <w:tab w:pos="3377" w:val="left" w:leader="none"/>
          <w:tab w:pos="4849" w:val="left" w:leader="none"/>
          <w:tab w:pos="5187" w:val="left" w:leader="none"/>
          <w:tab w:pos="6695" w:val="left" w:leader="none"/>
          <w:tab w:pos="7184" w:val="left" w:leader="none"/>
          <w:tab w:pos="7965" w:val="left" w:leader="none"/>
        </w:tabs>
        <w:spacing w:line="276" w:lineRule="auto" w:before="0"/>
        <w:ind w:left="102" w:right="115" w:firstLine="0"/>
        <w:jc w:val="right"/>
        <w:rPr>
          <w:sz w:val="24"/>
        </w:rPr>
      </w:pPr>
      <w:r>
        <w:rPr>
          <w:sz w:val="24"/>
        </w:rPr>
        <w:t>CENTRO de Estudios de las Finanzas Públicas, (2006). “Ramo</w:t>
      </w:r>
      <w:r>
        <w:rPr>
          <w:spacing w:val="51"/>
          <w:sz w:val="24"/>
        </w:rPr>
        <w:t> </w:t>
      </w:r>
      <w:r>
        <w:rPr>
          <w:sz w:val="24"/>
        </w:rPr>
        <w:t>33.</w:t>
      </w:r>
      <w:r>
        <w:rPr>
          <w:spacing w:val="21"/>
          <w:sz w:val="24"/>
        </w:rPr>
        <w:t> </w:t>
      </w:r>
      <w:r>
        <w:rPr>
          <w:sz w:val="24"/>
        </w:rPr>
        <w:t>Aportaciones Federales</w:t>
        <w:tab/>
        <w:t>para</w:t>
        <w:tab/>
        <w:t>Entidades</w:t>
        <w:tab/>
        <w:t>Federativas</w:t>
        <w:tab/>
        <w:t>y</w:t>
        <w:tab/>
        <w:t>Municipios</w:t>
      </w:r>
      <w:r>
        <w:rPr>
          <w:i/>
          <w:sz w:val="24"/>
        </w:rPr>
        <w:t>”,</w:t>
        <w:tab/>
        <w:t>en</w:t>
        <w:tab/>
        <w:t>Serie</w:t>
        <w:tab/>
      </w:r>
      <w:r>
        <w:rPr>
          <w:i/>
          <w:spacing w:val="-2"/>
          <w:sz w:val="24"/>
        </w:rPr>
        <w:t>de</w:t>
      </w:r>
      <w:r>
        <w:rPr>
          <w:i/>
          <w:w w:val="99"/>
          <w:sz w:val="24"/>
        </w:rPr>
        <w:t> </w:t>
      </w:r>
      <w:r>
        <w:rPr>
          <w:i/>
          <w:sz w:val="24"/>
        </w:rPr>
        <w:t>Cuadernillos</w:t>
      </w:r>
      <w:r>
        <w:rPr>
          <w:i/>
          <w:spacing w:val="-17"/>
          <w:sz w:val="24"/>
        </w:rPr>
        <w:t> </w:t>
      </w:r>
      <w:r>
        <w:rPr>
          <w:i/>
          <w:sz w:val="24"/>
        </w:rPr>
        <w:t>de</w:t>
      </w:r>
      <w:r>
        <w:rPr>
          <w:i/>
          <w:spacing w:val="-16"/>
          <w:sz w:val="24"/>
        </w:rPr>
        <w:t> </w:t>
      </w:r>
      <w:r>
        <w:rPr>
          <w:i/>
          <w:sz w:val="24"/>
        </w:rPr>
        <w:t>Finanzas</w:t>
      </w:r>
      <w:r>
        <w:rPr>
          <w:i/>
          <w:spacing w:val="-15"/>
          <w:sz w:val="24"/>
        </w:rPr>
        <w:t> </w:t>
      </w:r>
      <w:r>
        <w:rPr>
          <w:i/>
          <w:sz w:val="24"/>
        </w:rPr>
        <w:t>Públicas,</w:t>
      </w:r>
      <w:r>
        <w:rPr>
          <w:i/>
          <w:spacing w:val="-14"/>
          <w:sz w:val="24"/>
        </w:rPr>
        <w:t> </w:t>
      </w:r>
      <w:r>
        <w:rPr>
          <w:sz w:val="24"/>
        </w:rPr>
        <w:t>México:</w:t>
      </w:r>
      <w:r>
        <w:rPr>
          <w:spacing w:val="-14"/>
          <w:sz w:val="24"/>
        </w:rPr>
        <w:t> </w:t>
      </w:r>
      <w:r>
        <w:rPr>
          <w:sz w:val="24"/>
        </w:rPr>
        <w:t>Poder</w:t>
      </w:r>
      <w:r>
        <w:rPr>
          <w:spacing w:val="-18"/>
          <w:sz w:val="24"/>
        </w:rPr>
        <w:t> </w:t>
      </w:r>
      <w:r>
        <w:rPr>
          <w:sz w:val="24"/>
        </w:rPr>
        <w:t>Legislativo</w:t>
      </w:r>
      <w:r>
        <w:rPr>
          <w:spacing w:val="-14"/>
          <w:sz w:val="24"/>
        </w:rPr>
        <w:t> </w:t>
      </w:r>
      <w:r>
        <w:rPr>
          <w:sz w:val="24"/>
        </w:rPr>
        <w:t>de</w:t>
      </w:r>
      <w:r>
        <w:rPr>
          <w:spacing w:val="-16"/>
          <w:sz w:val="24"/>
        </w:rPr>
        <w:t> </w:t>
      </w:r>
      <w:r>
        <w:rPr>
          <w:sz w:val="24"/>
        </w:rPr>
        <w:t>San</w:t>
      </w:r>
      <w:r>
        <w:rPr>
          <w:spacing w:val="-14"/>
          <w:sz w:val="24"/>
        </w:rPr>
        <w:t> </w:t>
      </w:r>
      <w:r>
        <w:rPr>
          <w:sz w:val="24"/>
        </w:rPr>
        <w:t>Lázaro.</w:t>
      </w:r>
    </w:p>
    <w:p>
      <w:pPr>
        <w:pStyle w:val="BodyText"/>
        <w:spacing w:before="5"/>
      </w:pPr>
    </w:p>
    <w:p>
      <w:pPr>
        <w:spacing w:line="276" w:lineRule="auto" w:before="0"/>
        <w:ind w:left="810" w:right="117" w:hanging="708"/>
        <w:jc w:val="both"/>
        <w:rPr>
          <w:sz w:val="24"/>
        </w:rPr>
      </w:pPr>
      <w:r>
        <w:rPr>
          <w:sz w:val="24"/>
        </w:rPr>
        <w:t>COLMENARES Paramo, David, (1999). “Retos del federalismo fiscal mexicano” </w:t>
      </w:r>
      <w:r>
        <w:rPr>
          <w:i/>
          <w:sz w:val="24"/>
        </w:rPr>
        <w:t>en </w:t>
      </w:r>
      <w:r>
        <w:rPr>
          <w:i/>
          <w:sz w:val="24"/>
        </w:rPr>
        <w:t>Revista Comercio Exterior. </w:t>
      </w:r>
      <w:r>
        <w:rPr>
          <w:sz w:val="24"/>
        </w:rPr>
        <w:t>Vol.49, Num. 5, Mayo, pp. 415-431.</w:t>
      </w:r>
    </w:p>
    <w:p>
      <w:pPr>
        <w:pStyle w:val="BodyText"/>
        <w:spacing w:before="5"/>
      </w:pPr>
    </w:p>
    <w:p>
      <w:pPr>
        <w:spacing w:line="278" w:lineRule="auto" w:before="0"/>
        <w:ind w:left="810" w:right="115" w:hanging="708"/>
        <w:jc w:val="both"/>
        <w:rPr>
          <w:sz w:val="24"/>
        </w:rPr>
      </w:pPr>
      <w:r>
        <w:rPr>
          <w:sz w:val="24"/>
        </w:rPr>
        <w:t>COMSILLE C., Victor Manuel, (1989</w:t>
      </w:r>
      <w:r>
        <w:rPr>
          <w:i/>
          <w:sz w:val="24"/>
        </w:rPr>
        <w:t>). ABC del Municipio en México, </w:t>
      </w:r>
      <w:r>
        <w:rPr>
          <w:sz w:val="24"/>
        </w:rPr>
        <w:t>México: Universidad Autónoma del Estado de Morelos.</w:t>
      </w:r>
    </w:p>
    <w:p>
      <w:pPr>
        <w:pStyle w:val="BodyText"/>
      </w:pPr>
    </w:p>
    <w:p>
      <w:pPr>
        <w:spacing w:line="276" w:lineRule="auto" w:before="1"/>
        <w:ind w:left="0" w:right="116" w:firstLine="0"/>
        <w:jc w:val="right"/>
        <w:rPr>
          <w:sz w:val="24"/>
        </w:rPr>
      </w:pPr>
      <w:r>
        <w:rPr>
          <w:sz w:val="24"/>
        </w:rPr>
        <w:t>CORDERA, Rolando. y Cabrera Adame, C. Javier (coords.), (2008). </w:t>
      </w:r>
      <w:r>
        <w:rPr>
          <w:i/>
          <w:sz w:val="24"/>
        </w:rPr>
        <w:t>El papel de las</w:t>
      </w:r>
      <w:r>
        <w:rPr>
          <w:i/>
          <w:w w:val="99"/>
          <w:sz w:val="24"/>
        </w:rPr>
        <w:t> </w:t>
      </w:r>
      <w:r>
        <w:rPr>
          <w:i/>
          <w:sz w:val="24"/>
        </w:rPr>
        <w:t>ideas y las políticas en el cambio estructural en México, </w:t>
      </w:r>
      <w:r>
        <w:rPr>
          <w:sz w:val="24"/>
        </w:rPr>
        <w:t>México: FCE, UNAM.</w:t>
      </w:r>
    </w:p>
    <w:p>
      <w:pPr>
        <w:pStyle w:val="BodyText"/>
        <w:spacing w:before="5"/>
      </w:pPr>
    </w:p>
    <w:p>
      <w:pPr>
        <w:spacing w:line="280" w:lineRule="auto" w:before="0"/>
        <w:ind w:left="810" w:right="117" w:hanging="708"/>
        <w:jc w:val="both"/>
        <w:rPr>
          <w:sz w:val="24"/>
        </w:rPr>
      </w:pPr>
      <w:r>
        <w:rPr>
          <w:sz w:val="24"/>
        </w:rPr>
        <w:t>CURZIO, Leonardo, (1998). </w:t>
      </w:r>
      <w:r>
        <w:rPr>
          <w:i/>
          <w:sz w:val="24"/>
        </w:rPr>
        <w:t>Toma de decisiones. </w:t>
      </w:r>
      <w:r>
        <w:rPr>
          <w:sz w:val="24"/>
        </w:rPr>
        <w:t>México: Instituto Federal Electoral.</w:t>
      </w:r>
    </w:p>
    <w:p>
      <w:pPr>
        <w:pStyle w:val="BodyText"/>
        <w:spacing w:before="6"/>
        <w:rPr>
          <w:sz w:val="23"/>
        </w:rPr>
      </w:pPr>
    </w:p>
    <w:p>
      <w:pPr>
        <w:spacing w:line="278" w:lineRule="auto" w:before="0"/>
        <w:ind w:left="810" w:right="115" w:hanging="708"/>
        <w:jc w:val="both"/>
        <w:rPr>
          <w:sz w:val="24"/>
        </w:rPr>
      </w:pPr>
      <w:r>
        <w:rPr>
          <w:sz w:val="24"/>
        </w:rPr>
        <w:t>COVARRUBIAS Moreno, Oscar Mauricio, (2006). </w:t>
      </w:r>
      <w:r>
        <w:rPr>
          <w:i/>
          <w:sz w:val="24"/>
        </w:rPr>
        <w:t>El problema de la Coordinación </w:t>
      </w:r>
      <w:r>
        <w:rPr>
          <w:i/>
          <w:sz w:val="24"/>
        </w:rPr>
        <w:t>en el Gobierno Contemporáneo. Hacia un Estado Federal Coordinado</w:t>
      </w:r>
      <w:r>
        <w:rPr>
          <w:sz w:val="24"/>
        </w:rPr>
        <w:t>, México: Instituto de Administración Pública del Estado de México.</w:t>
      </w:r>
    </w:p>
    <w:p>
      <w:pPr>
        <w:spacing w:after="0" w:line="278" w:lineRule="auto"/>
        <w:jc w:val="both"/>
        <w:rPr>
          <w:sz w:val="24"/>
        </w:rPr>
        <w:sectPr>
          <w:footerReference w:type="default" r:id="rId58"/>
          <w:pgSz w:w="12240" w:h="15840"/>
          <w:pgMar w:footer="992" w:header="0" w:top="1360" w:bottom="1180" w:left="1600" w:right="1580"/>
        </w:sectPr>
      </w:pPr>
    </w:p>
    <w:p>
      <w:pPr>
        <w:spacing w:line="276" w:lineRule="auto" w:before="54"/>
        <w:ind w:left="810" w:right="120" w:hanging="708"/>
        <w:jc w:val="both"/>
        <w:rPr>
          <w:sz w:val="24"/>
        </w:rPr>
      </w:pPr>
      <w:r>
        <w:rPr>
          <w:sz w:val="24"/>
        </w:rPr>
        <w:t>DE LA TORRE Torres, Rosa María, (2010). “Municipio y Federalismo. La reconfiguración del sistema” en González Oropeza, M y D. Cienfuegos Salgado (coords), </w:t>
      </w:r>
      <w:r>
        <w:rPr>
          <w:i/>
          <w:sz w:val="24"/>
        </w:rPr>
        <w:t>El Municipio base del régimen interior de los Estados, </w:t>
      </w:r>
      <w:r>
        <w:rPr>
          <w:sz w:val="24"/>
        </w:rPr>
        <w:t>México: Laguna S.A de C.V.</w:t>
      </w:r>
    </w:p>
    <w:p>
      <w:pPr>
        <w:pStyle w:val="BodyText"/>
        <w:spacing w:before="3"/>
      </w:pPr>
    </w:p>
    <w:p>
      <w:pPr>
        <w:spacing w:before="0"/>
        <w:ind w:left="102" w:right="0" w:firstLine="0"/>
        <w:jc w:val="left"/>
        <w:rPr>
          <w:sz w:val="24"/>
        </w:rPr>
      </w:pPr>
      <w:r>
        <w:rPr>
          <w:sz w:val="24"/>
        </w:rPr>
        <w:t>DE PINA Vara, Rafael, (2003). </w:t>
      </w:r>
      <w:r>
        <w:rPr>
          <w:i/>
          <w:sz w:val="24"/>
        </w:rPr>
        <w:t>Diccionario de Derecho</w:t>
      </w:r>
      <w:r>
        <w:rPr>
          <w:sz w:val="24"/>
        </w:rPr>
        <w:t>, México: Porrúa.</w:t>
      </w:r>
    </w:p>
    <w:p>
      <w:pPr>
        <w:pStyle w:val="BodyText"/>
        <w:spacing w:before="11"/>
        <w:rPr>
          <w:sz w:val="27"/>
        </w:rPr>
      </w:pPr>
    </w:p>
    <w:p>
      <w:pPr>
        <w:spacing w:line="276" w:lineRule="auto" w:before="0"/>
        <w:ind w:left="810" w:right="120" w:hanging="708"/>
        <w:jc w:val="both"/>
        <w:rPr>
          <w:sz w:val="24"/>
        </w:rPr>
      </w:pPr>
      <w:r>
        <w:rPr>
          <w:sz w:val="24"/>
        </w:rPr>
        <w:t>DIEZ, J.; Redondo, C y B. Barreiro, (1997). </w:t>
      </w:r>
      <w:r>
        <w:rPr>
          <w:i/>
          <w:sz w:val="24"/>
        </w:rPr>
        <w:t>Ayuda a la decisión. Un nuevo </w:t>
      </w:r>
      <w:r>
        <w:rPr>
          <w:i/>
          <w:sz w:val="24"/>
        </w:rPr>
        <w:t>instrumento de gestión, </w:t>
      </w:r>
      <w:r>
        <w:rPr>
          <w:sz w:val="24"/>
        </w:rPr>
        <w:t>Santiago de Compostela: Universidad de Santiago de Compostela.</w:t>
      </w:r>
    </w:p>
    <w:p>
      <w:pPr>
        <w:pStyle w:val="BodyText"/>
        <w:spacing w:before="3"/>
      </w:pPr>
    </w:p>
    <w:p>
      <w:pPr>
        <w:pStyle w:val="BodyText"/>
        <w:spacing w:line="278" w:lineRule="auto"/>
        <w:ind w:left="810" w:right="115" w:hanging="708"/>
        <w:jc w:val="both"/>
      </w:pPr>
      <w:r>
        <w:rPr/>
        <w:t>DOGER Guerrero, Enrique, (2013). </w:t>
      </w:r>
      <w:r>
        <w:rPr>
          <w:i/>
        </w:rPr>
        <w:t>El Gobierno Municipal</w:t>
      </w:r>
      <w:r>
        <w:rPr/>
        <w:t>, México: M. Porrúa, Universidad</w:t>
      </w:r>
      <w:r>
        <w:rPr>
          <w:spacing w:val="-9"/>
        </w:rPr>
        <w:t> </w:t>
      </w:r>
      <w:r>
        <w:rPr/>
        <w:t>Autónoma</w:t>
      </w:r>
      <w:r>
        <w:rPr>
          <w:spacing w:val="-12"/>
        </w:rPr>
        <w:t> </w:t>
      </w:r>
      <w:r>
        <w:rPr/>
        <w:t>de</w:t>
      </w:r>
      <w:r>
        <w:rPr>
          <w:spacing w:val="-9"/>
        </w:rPr>
        <w:t> </w:t>
      </w:r>
      <w:r>
        <w:rPr/>
        <w:t>Puebla,</w:t>
      </w:r>
      <w:r>
        <w:rPr>
          <w:spacing w:val="-9"/>
        </w:rPr>
        <w:t> </w:t>
      </w:r>
      <w:r>
        <w:rPr/>
        <w:t>Consejo</w:t>
      </w:r>
      <w:r>
        <w:rPr>
          <w:spacing w:val="-5"/>
        </w:rPr>
        <w:t> </w:t>
      </w:r>
      <w:r>
        <w:rPr/>
        <w:t>Editorial</w:t>
      </w:r>
      <w:r>
        <w:rPr>
          <w:spacing w:val="-11"/>
        </w:rPr>
        <w:t> </w:t>
      </w:r>
      <w:r>
        <w:rPr/>
        <w:t>LXII</w:t>
      </w:r>
      <w:r>
        <w:rPr>
          <w:spacing w:val="-9"/>
        </w:rPr>
        <w:t> </w:t>
      </w:r>
      <w:r>
        <w:rPr/>
        <w:t>Legislatura</w:t>
      </w:r>
      <w:r>
        <w:rPr>
          <w:spacing w:val="-12"/>
        </w:rPr>
        <w:t> </w:t>
      </w:r>
      <w:r>
        <w:rPr/>
        <w:t>Cámara de</w:t>
      </w:r>
      <w:r>
        <w:rPr>
          <w:spacing w:val="-3"/>
        </w:rPr>
        <w:t> </w:t>
      </w:r>
      <w:r>
        <w:rPr/>
        <w:t>Diputados.</w:t>
      </w:r>
    </w:p>
    <w:p>
      <w:pPr>
        <w:pStyle w:val="BodyText"/>
        <w:spacing w:before="9"/>
        <w:rPr>
          <w:sz w:val="23"/>
        </w:rPr>
      </w:pPr>
    </w:p>
    <w:p>
      <w:pPr>
        <w:spacing w:line="278" w:lineRule="auto" w:before="0"/>
        <w:ind w:left="810" w:right="117" w:hanging="708"/>
        <w:jc w:val="both"/>
        <w:rPr>
          <w:sz w:val="24"/>
        </w:rPr>
      </w:pPr>
      <w:r>
        <w:rPr>
          <w:sz w:val="24"/>
        </w:rPr>
        <w:t>DOUGHERTY, James E., (1993). “Teoría de la toma de decisiones” </w:t>
      </w:r>
      <w:r>
        <w:rPr>
          <w:i/>
          <w:sz w:val="24"/>
        </w:rPr>
        <w:t>en Teorías en </w:t>
      </w:r>
      <w:r>
        <w:rPr>
          <w:i/>
          <w:sz w:val="24"/>
        </w:rPr>
        <w:t>Pugna en las Relaciones Internacionales, </w:t>
      </w:r>
      <w:r>
        <w:rPr>
          <w:sz w:val="24"/>
        </w:rPr>
        <w:t>Buenos Aires Argentina: Grupo Editor Latinoamericano S.R.L.</w:t>
      </w:r>
    </w:p>
    <w:p>
      <w:pPr>
        <w:pStyle w:val="BodyText"/>
      </w:pPr>
    </w:p>
    <w:p>
      <w:pPr>
        <w:pStyle w:val="BodyText"/>
        <w:spacing w:line="276" w:lineRule="auto"/>
        <w:ind w:left="810" w:right="116" w:hanging="708"/>
        <w:jc w:val="both"/>
      </w:pPr>
      <w:r>
        <w:rPr/>
        <w:t>DRUCKER, Peter F, (2006). “La decisión eficaz” en Harvard Business Review, </w:t>
      </w:r>
      <w:r>
        <w:rPr>
          <w:i/>
        </w:rPr>
        <w:t>La </w:t>
      </w:r>
      <w:r>
        <w:rPr>
          <w:i/>
        </w:rPr>
        <w:t>toma de decisiones</w:t>
      </w:r>
      <w:r>
        <w:rPr/>
        <w:t>, España: Deusto.</w:t>
      </w:r>
    </w:p>
    <w:p>
      <w:pPr>
        <w:pStyle w:val="BodyText"/>
        <w:spacing w:before="8"/>
      </w:pPr>
    </w:p>
    <w:p>
      <w:pPr>
        <w:pStyle w:val="BodyText"/>
        <w:ind w:left="102"/>
      </w:pPr>
      <w:r>
        <w:rPr/>
        <w:t>ELAZAR, Daniel J., (2000). “Federalismo y Presidencialismo” en Márquez  Padilla,</w:t>
      </w:r>
    </w:p>
    <w:p>
      <w:pPr>
        <w:spacing w:line="278" w:lineRule="auto" w:before="38"/>
        <w:ind w:left="810" w:right="26" w:firstLine="0"/>
        <w:jc w:val="left"/>
        <w:rPr>
          <w:sz w:val="24"/>
        </w:rPr>
      </w:pPr>
      <w:r>
        <w:rPr>
          <w:sz w:val="24"/>
        </w:rPr>
        <w:t>P. Consuelo y Castro Rea, J. (coords), </w:t>
      </w:r>
      <w:r>
        <w:rPr>
          <w:i/>
          <w:sz w:val="24"/>
        </w:rPr>
        <w:t>El Nuevo Federalismo en América del </w:t>
      </w:r>
      <w:r>
        <w:rPr>
          <w:i/>
          <w:sz w:val="24"/>
        </w:rPr>
        <w:t>Norte, </w:t>
      </w:r>
      <w:r>
        <w:rPr>
          <w:sz w:val="24"/>
        </w:rPr>
        <w:t>México: Universidad Nacional Autónoma de México.</w:t>
      </w:r>
    </w:p>
    <w:p>
      <w:pPr>
        <w:pStyle w:val="BodyText"/>
      </w:pPr>
    </w:p>
    <w:p>
      <w:pPr>
        <w:spacing w:line="278" w:lineRule="auto" w:before="0"/>
        <w:ind w:left="810" w:right="121" w:hanging="708"/>
        <w:jc w:val="both"/>
        <w:rPr>
          <w:sz w:val="24"/>
        </w:rPr>
      </w:pPr>
      <w:r>
        <w:rPr>
          <w:sz w:val="24"/>
        </w:rPr>
        <w:t>ESPEJEL Mena, Jaime (coord.), (2015). </w:t>
      </w:r>
      <w:r>
        <w:rPr>
          <w:i/>
          <w:sz w:val="24"/>
        </w:rPr>
        <w:t>Las Relaciones intergubernamentales y la </w:t>
      </w:r>
      <w:r>
        <w:rPr>
          <w:i/>
          <w:sz w:val="24"/>
        </w:rPr>
        <w:t>compensación de los desequilibrios territoriales</w:t>
      </w:r>
      <w:r>
        <w:rPr>
          <w:sz w:val="24"/>
        </w:rPr>
        <w:t>, México: Fontamara.</w:t>
      </w:r>
    </w:p>
    <w:p>
      <w:pPr>
        <w:pStyle w:val="BodyText"/>
      </w:pPr>
    </w:p>
    <w:p>
      <w:pPr>
        <w:spacing w:before="0"/>
        <w:ind w:left="102" w:right="0" w:firstLine="0"/>
        <w:jc w:val="left"/>
        <w:rPr>
          <w:i/>
          <w:sz w:val="24"/>
        </w:rPr>
      </w:pPr>
      <w:r>
        <w:rPr>
          <w:sz w:val="24"/>
        </w:rPr>
        <w:t>FERNÁNDEZ Ruiz, Jorge, (2012). </w:t>
      </w:r>
      <w:r>
        <w:rPr>
          <w:i/>
          <w:sz w:val="24"/>
        </w:rPr>
        <w:t>Derecho Administrativo y Administración Pública,</w:t>
      </w:r>
    </w:p>
    <w:p>
      <w:pPr>
        <w:pStyle w:val="BodyText"/>
        <w:spacing w:before="45"/>
        <w:ind w:left="810" w:right="3182"/>
      </w:pPr>
      <w:r>
        <w:rPr/>
        <w:t>México: Porrúa.</w:t>
      </w:r>
    </w:p>
    <w:p>
      <w:pPr>
        <w:pStyle w:val="BodyText"/>
        <w:spacing w:before="11"/>
        <w:rPr>
          <w:sz w:val="27"/>
        </w:rPr>
      </w:pPr>
    </w:p>
    <w:p>
      <w:pPr>
        <w:spacing w:line="276" w:lineRule="auto" w:before="0"/>
        <w:ind w:left="810" w:right="116" w:hanging="708"/>
        <w:jc w:val="both"/>
        <w:rPr>
          <w:sz w:val="24"/>
        </w:rPr>
      </w:pPr>
      <w:r>
        <w:rPr>
          <w:sz w:val="24"/>
        </w:rPr>
        <w:t>(FUNDESYRAM) Fundación para el Desarrollo Socioeconómico y Restauración Ambiental, (2011). ¿</w:t>
      </w:r>
      <w:r>
        <w:rPr>
          <w:i/>
          <w:sz w:val="24"/>
        </w:rPr>
        <w:t>Cómo enseñar a tomar decisiones acertadas?, </w:t>
      </w:r>
      <w:r>
        <w:rPr>
          <w:sz w:val="24"/>
        </w:rPr>
        <w:t>San Salvador: Casa Barak.</w:t>
      </w:r>
    </w:p>
    <w:p>
      <w:pPr>
        <w:pStyle w:val="BodyText"/>
        <w:spacing w:before="5"/>
      </w:pPr>
    </w:p>
    <w:p>
      <w:pPr>
        <w:spacing w:line="276" w:lineRule="auto" w:before="0"/>
        <w:ind w:left="810" w:right="117" w:hanging="708"/>
        <w:jc w:val="both"/>
        <w:rPr>
          <w:sz w:val="24"/>
        </w:rPr>
      </w:pPr>
      <w:r>
        <w:rPr>
          <w:sz w:val="24"/>
        </w:rPr>
        <w:t>FRANCO, Rolando, (2004). “Descentralización, participación y competencia en la gestión social”, en Goma, Ricard y J. Jordana (eds.), </w:t>
      </w:r>
      <w:r>
        <w:rPr>
          <w:i/>
          <w:sz w:val="24"/>
        </w:rPr>
        <w:t>Descentralización y </w:t>
      </w:r>
      <w:r>
        <w:rPr>
          <w:i/>
          <w:sz w:val="24"/>
        </w:rPr>
        <w:t>políticas sociales en América Latina, </w:t>
      </w:r>
      <w:r>
        <w:rPr>
          <w:sz w:val="24"/>
        </w:rPr>
        <w:t>Barcelona: Fundación CODOB.</w:t>
      </w:r>
    </w:p>
    <w:p>
      <w:pPr>
        <w:pStyle w:val="BodyText"/>
        <w:spacing w:before="5"/>
      </w:pPr>
    </w:p>
    <w:p>
      <w:pPr>
        <w:pStyle w:val="BodyText"/>
        <w:spacing w:line="278" w:lineRule="auto"/>
        <w:ind w:left="810" w:right="118" w:hanging="708"/>
        <w:jc w:val="both"/>
      </w:pPr>
      <w:r>
        <w:rPr/>
        <w:t>GARCÍA Martínez, Juan Antonio, (2007). “El sistema de coordinación fiscal en México.   Una   perspectiva   municipal”   en   González   Oropeza,   M   y D.</w:t>
      </w:r>
    </w:p>
    <w:p>
      <w:pPr>
        <w:spacing w:after="0" w:line="278" w:lineRule="auto"/>
        <w:jc w:val="both"/>
        <w:sectPr>
          <w:footerReference w:type="default" r:id="rId59"/>
          <w:pgSz w:w="12240" w:h="15840"/>
          <w:pgMar w:footer="992" w:header="0" w:top="1360" w:bottom="1180" w:left="1600" w:right="1580"/>
          <w:pgNumType w:start="191"/>
        </w:sectPr>
      </w:pPr>
    </w:p>
    <w:p>
      <w:pPr>
        <w:spacing w:line="280" w:lineRule="auto" w:before="51"/>
        <w:ind w:left="810" w:right="205" w:firstLine="0"/>
        <w:jc w:val="left"/>
        <w:rPr>
          <w:sz w:val="24"/>
        </w:rPr>
      </w:pPr>
      <w:r>
        <w:rPr>
          <w:sz w:val="24"/>
        </w:rPr>
        <w:t>Cienfuegos Salgado (coords), </w:t>
      </w:r>
      <w:r>
        <w:rPr>
          <w:i/>
          <w:sz w:val="24"/>
        </w:rPr>
        <w:t>El Municipio en México, </w:t>
      </w:r>
      <w:r>
        <w:rPr>
          <w:sz w:val="24"/>
        </w:rPr>
        <w:t>México: Laguna S.A de C.V.</w:t>
      </w:r>
    </w:p>
    <w:p>
      <w:pPr>
        <w:pStyle w:val="BodyText"/>
        <w:spacing w:before="9"/>
        <w:rPr>
          <w:sz w:val="23"/>
        </w:rPr>
      </w:pPr>
    </w:p>
    <w:p>
      <w:pPr>
        <w:pStyle w:val="BodyText"/>
        <w:spacing w:line="276" w:lineRule="auto"/>
        <w:ind w:left="810" w:right="120" w:hanging="708"/>
        <w:jc w:val="both"/>
      </w:pPr>
      <w:r>
        <w:rPr/>
        <w:t>GARCÍA Morales, Verónica Y., (2007). “El Art. 115 y las resoluciones del Poder Judicial</w:t>
      </w:r>
      <w:r>
        <w:rPr>
          <w:spacing w:val="-13"/>
        </w:rPr>
        <w:t> </w:t>
      </w:r>
      <w:r>
        <w:rPr/>
        <w:t>Federal”</w:t>
      </w:r>
      <w:r>
        <w:rPr>
          <w:spacing w:val="-14"/>
        </w:rPr>
        <w:t> </w:t>
      </w:r>
      <w:r>
        <w:rPr/>
        <w:t>en</w:t>
      </w:r>
      <w:r>
        <w:rPr>
          <w:spacing w:val="-12"/>
        </w:rPr>
        <w:t> </w:t>
      </w:r>
      <w:r>
        <w:rPr/>
        <w:t>González</w:t>
      </w:r>
      <w:r>
        <w:rPr>
          <w:spacing w:val="-14"/>
        </w:rPr>
        <w:t> </w:t>
      </w:r>
      <w:r>
        <w:rPr/>
        <w:t>Oropeza,</w:t>
      </w:r>
      <w:r>
        <w:rPr>
          <w:spacing w:val="-12"/>
        </w:rPr>
        <w:t> </w:t>
      </w:r>
      <w:r>
        <w:rPr/>
        <w:t>M</w:t>
      </w:r>
      <w:r>
        <w:rPr>
          <w:spacing w:val="-13"/>
        </w:rPr>
        <w:t> </w:t>
      </w:r>
      <w:r>
        <w:rPr/>
        <w:t>y</w:t>
      </w:r>
      <w:r>
        <w:rPr>
          <w:spacing w:val="-15"/>
        </w:rPr>
        <w:t> </w:t>
      </w:r>
      <w:r>
        <w:rPr/>
        <w:t>D.</w:t>
      </w:r>
      <w:r>
        <w:rPr>
          <w:spacing w:val="-13"/>
        </w:rPr>
        <w:t> </w:t>
      </w:r>
      <w:r>
        <w:rPr/>
        <w:t>Cienfuegos</w:t>
      </w:r>
      <w:r>
        <w:rPr>
          <w:spacing w:val="-13"/>
        </w:rPr>
        <w:t> </w:t>
      </w:r>
      <w:r>
        <w:rPr/>
        <w:t>Salgado</w:t>
      </w:r>
      <w:r>
        <w:rPr>
          <w:spacing w:val="-14"/>
        </w:rPr>
        <w:t> </w:t>
      </w:r>
      <w:r>
        <w:rPr/>
        <w:t>(coords), </w:t>
      </w:r>
      <w:r>
        <w:rPr>
          <w:i/>
        </w:rPr>
        <w:t>El Municipio en México, </w:t>
      </w:r>
      <w:r>
        <w:rPr/>
        <w:t>México: Laguna S.A de</w:t>
      </w:r>
      <w:r>
        <w:rPr>
          <w:spacing w:val="-12"/>
        </w:rPr>
        <w:t> </w:t>
      </w:r>
      <w:r>
        <w:rPr/>
        <w:t>C.V.</w:t>
      </w:r>
    </w:p>
    <w:p>
      <w:pPr>
        <w:pStyle w:val="BodyText"/>
        <w:spacing w:before="7"/>
      </w:pPr>
    </w:p>
    <w:p>
      <w:pPr>
        <w:spacing w:line="276" w:lineRule="auto" w:before="1"/>
        <w:ind w:left="810" w:right="118" w:hanging="708"/>
        <w:jc w:val="both"/>
        <w:rPr>
          <w:sz w:val="24"/>
        </w:rPr>
      </w:pPr>
      <w:r>
        <w:rPr>
          <w:sz w:val="24"/>
        </w:rPr>
        <w:t>GARCÍA Segura, Paloma, (2003). “Coordinación Federal” en Palacios Alcocer, Mariano (coord.), </w:t>
      </w:r>
      <w:r>
        <w:rPr>
          <w:i/>
          <w:sz w:val="24"/>
        </w:rPr>
        <w:t>Federalismo y relaciones intergubernamentales, </w:t>
      </w:r>
      <w:r>
        <w:rPr>
          <w:sz w:val="24"/>
        </w:rPr>
        <w:t>México: Miguel Ángel Porrúa.</w:t>
      </w:r>
    </w:p>
    <w:p>
      <w:pPr>
        <w:pStyle w:val="BodyText"/>
        <w:spacing w:before="3"/>
      </w:pPr>
    </w:p>
    <w:p>
      <w:pPr>
        <w:spacing w:line="278" w:lineRule="auto" w:before="0"/>
        <w:ind w:left="810" w:right="120" w:hanging="708"/>
        <w:jc w:val="both"/>
        <w:rPr>
          <w:sz w:val="24"/>
        </w:rPr>
      </w:pPr>
      <w:r>
        <w:rPr>
          <w:sz w:val="24"/>
        </w:rPr>
        <w:t>GREENWOOD, William T. (comp.), (1978). </w:t>
      </w:r>
      <w:r>
        <w:rPr>
          <w:i/>
          <w:sz w:val="24"/>
        </w:rPr>
        <w:t>Teoría de decisiones y sistemas de </w:t>
      </w:r>
      <w:r>
        <w:rPr>
          <w:i/>
          <w:sz w:val="24"/>
        </w:rPr>
        <w:t>información, </w:t>
      </w:r>
      <w:r>
        <w:rPr>
          <w:sz w:val="24"/>
        </w:rPr>
        <w:t>México: Trillas.</w:t>
      </w:r>
    </w:p>
    <w:p>
      <w:pPr>
        <w:pStyle w:val="BodyText"/>
        <w:spacing w:before="2"/>
      </w:pPr>
    </w:p>
    <w:p>
      <w:pPr>
        <w:pStyle w:val="BodyText"/>
        <w:spacing w:line="276" w:lineRule="auto"/>
        <w:ind w:left="810" w:right="118" w:hanging="708"/>
        <w:jc w:val="both"/>
      </w:pPr>
      <w:r>
        <w:rPr/>
        <w:t>GUERRA</w:t>
      </w:r>
      <w:r>
        <w:rPr>
          <w:spacing w:val="-14"/>
        </w:rPr>
        <w:t> </w:t>
      </w:r>
      <w:r>
        <w:rPr/>
        <w:t>Rodríguez,</w:t>
      </w:r>
      <w:r>
        <w:rPr>
          <w:spacing w:val="-12"/>
        </w:rPr>
        <w:t> </w:t>
      </w:r>
      <w:r>
        <w:rPr/>
        <w:t>Carlos,</w:t>
      </w:r>
      <w:r>
        <w:rPr>
          <w:spacing w:val="-14"/>
        </w:rPr>
        <w:t> </w:t>
      </w:r>
      <w:r>
        <w:rPr/>
        <w:t>(1996).</w:t>
      </w:r>
      <w:r>
        <w:rPr>
          <w:spacing w:val="-15"/>
        </w:rPr>
        <w:t> </w:t>
      </w:r>
      <w:r>
        <w:rPr/>
        <w:t>“La</w:t>
      </w:r>
      <w:r>
        <w:rPr>
          <w:spacing w:val="-14"/>
        </w:rPr>
        <w:t> </w:t>
      </w:r>
      <w:r>
        <w:rPr/>
        <w:t>participación</w:t>
      </w:r>
      <w:r>
        <w:rPr>
          <w:spacing w:val="-14"/>
        </w:rPr>
        <w:t> </w:t>
      </w:r>
      <w:r>
        <w:rPr/>
        <w:t>social</w:t>
      </w:r>
      <w:r>
        <w:rPr>
          <w:spacing w:val="-15"/>
        </w:rPr>
        <w:t> </w:t>
      </w:r>
      <w:r>
        <w:rPr/>
        <w:t>y</w:t>
      </w:r>
      <w:r>
        <w:rPr>
          <w:spacing w:val="-17"/>
        </w:rPr>
        <w:t> </w:t>
      </w:r>
      <w:r>
        <w:rPr/>
        <w:t>las</w:t>
      </w:r>
      <w:r>
        <w:rPr>
          <w:spacing w:val="-14"/>
        </w:rPr>
        <w:t> </w:t>
      </w:r>
      <w:r>
        <w:rPr/>
        <w:t>políticas</w:t>
      </w:r>
      <w:r>
        <w:rPr>
          <w:spacing w:val="-15"/>
        </w:rPr>
        <w:t> </w:t>
      </w:r>
      <w:r>
        <w:rPr/>
        <w:t>públicas: un juego de estrategias” en Pineda C., Marcela, </w:t>
      </w:r>
      <w:r>
        <w:rPr>
          <w:i/>
        </w:rPr>
        <w:t>Las políticas sociales de </w:t>
      </w:r>
      <w:r>
        <w:rPr>
          <w:i/>
        </w:rPr>
        <w:t>México en los años noventa, </w:t>
      </w:r>
      <w:r>
        <w:rPr/>
        <w:t>México: Instituto José Ma. Luis Mora, Universidad Nacional Autónoma de México, Facultad Latinoamericana de Ciencias</w:t>
      </w:r>
      <w:r>
        <w:rPr>
          <w:spacing w:val="-3"/>
        </w:rPr>
        <w:t> </w:t>
      </w:r>
      <w:r>
        <w:rPr/>
        <w:t>Sociales.</w:t>
      </w:r>
    </w:p>
    <w:p>
      <w:pPr>
        <w:pStyle w:val="BodyText"/>
        <w:spacing w:before="3"/>
      </w:pPr>
    </w:p>
    <w:p>
      <w:pPr>
        <w:pStyle w:val="BodyText"/>
        <w:spacing w:line="280" w:lineRule="auto"/>
        <w:ind w:left="810" w:right="116" w:hanging="708"/>
        <w:jc w:val="both"/>
      </w:pPr>
      <w:r>
        <w:rPr/>
        <w:t>GONZÁLEZ Oropeza, Manuel, (1995). </w:t>
      </w:r>
      <w:r>
        <w:rPr>
          <w:i/>
        </w:rPr>
        <w:t>El federalismo, </w:t>
      </w:r>
      <w:r>
        <w:rPr/>
        <w:t>México: Universidad Nacional Autónoma de México.</w:t>
      </w:r>
    </w:p>
    <w:p>
      <w:pPr>
        <w:pStyle w:val="BodyText"/>
        <w:spacing w:before="9"/>
        <w:rPr>
          <w:sz w:val="23"/>
        </w:rPr>
      </w:pPr>
    </w:p>
    <w:p>
      <w:pPr>
        <w:pStyle w:val="BodyText"/>
        <w:ind w:left="102"/>
      </w:pPr>
      <w:r>
        <w:rPr/>
        <w:t>HERNÁNDEZ  Díaz,  Ana  María,  (2006).  “Relaciones  Intergubernamentales”  en</w:t>
      </w:r>
    </w:p>
    <w:p>
      <w:pPr>
        <w:spacing w:before="41"/>
        <w:ind w:left="810" w:right="0" w:firstLine="0"/>
        <w:jc w:val="left"/>
        <w:rPr>
          <w:sz w:val="24"/>
        </w:rPr>
      </w:pPr>
      <w:r>
        <w:rPr>
          <w:i/>
          <w:sz w:val="24"/>
        </w:rPr>
        <w:t>Espacios Públicos, </w:t>
      </w:r>
      <w:r>
        <w:rPr>
          <w:sz w:val="24"/>
        </w:rPr>
        <w:t>vol. 9, núm. 18, Marzo, pp 36-53.</w:t>
      </w:r>
    </w:p>
    <w:p>
      <w:pPr>
        <w:pStyle w:val="BodyText"/>
        <w:spacing w:line="600" w:lineRule="exact" w:before="64"/>
        <w:ind w:left="102"/>
      </w:pPr>
      <w:r>
        <w:rPr/>
        <w:t>HERNÁNDEZ Gaona, Pedro Emiliano, (1991). </w:t>
      </w:r>
      <w:r>
        <w:rPr>
          <w:i/>
        </w:rPr>
        <w:t>Derecho Municipal. </w:t>
      </w:r>
      <w:r>
        <w:rPr/>
        <w:t>México: UNAM. HERNÁNDEZ Sampieri, Roberto, (2014). Metodología de la Investigación, México:</w:t>
      </w:r>
    </w:p>
    <w:p>
      <w:pPr>
        <w:pStyle w:val="BodyText"/>
        <w:spacing w:line="250" w:lineRule="exact"/>
        <w:ind w:left="810" w:right="3182"/>
      </w:pPr>
      <w:r>
        <w:rPr/>
        <w:t>Mc Graw Hill.</w:t>
      </w:r>
    </w:p>
    <w:p>
      <w:pPr>
        <w:pStyle w:val="BodyText"/>
        <w:spacing w:before="6"/>
        <w:rPr>
          <w:sz w:val="27"/>
        </w:rPr>
      </w:pPr>
    </w:p>
    <w:p>
      <w:pPr>
        <w:spacing w:line="280" w:lineRule="auto" w:before="0"/>
        <w:ind w:left="810" w:right="117" w:hanging="708"/>
        <w:jc w:val="both"/>
        <w:rPr>
          <w:sz w:val="24"/>
        </w:rPr>
      </w:pPr>
      <w:r>
        <w:rPr>
          <w:sz w:val="24"/>
        </w:rPr>
        <w:t>HUERTA Barrera, Teresita Rendón, (1985). </w:t>
      </w:r>
      <w:r>
        <w:rPr>
          <w:i/>
          <w:sz w:val="24"/>
        </w:rPr>
        <w:t>Derecho Municipal, </w:t>
      </w:r>
      <w:r>
        <w:rPr>
          <w:sz w:val="24"/>
        </w:rPr>
        <w:t>México: Porrúa</w:t>
      </w:r>
      <w:r>
        <w:rPr>
          <w:spacing w:val="-31"/>
          <w:sz w:val="24"/>
        </w:rPr>
        <w:t> </w:t>
      </w:r>
      <w:r>
        <w:rPr>
          <w:sz w:val="24"/>
        </w:rPr>
        <w:t>SA de CV.</w:t>
      </w:r>
    </w:p>
    <w:p>
      <w:pPr>
        <w:pStyle w:val="BodyText"/>
        <w:spacing w:before="7"/>
        <w:rPr>
          <w:sz w:val="23"/>
        </w:rPr>
      </w:pPr>
    </w:p>
    <w:p>
      <w:pPr>
        <w:spacing w:line="278" w:lineRule="auto" w:before="0"/>
        <w:ind w:left="810" w:right="121" w:hanging="708"/>
        <w:jc w:val="both"/>
        <w:rPr>
          <w:sz w:val="24"/>
        </w:rPr>
      </w:pPr>
      <w:r>
        <w:rPr>
          <w:sz w:val="24"/>
        </w:rPr>
        <w:t>IBARRA</w:t>
      </w:r>
      <w:r>
        <w:rPr>
          <w:spacing w:val="-13"/>
          <w:sz w:val="24"/>
        </w:rPr>
        <w:t> </w:t>
      </w:r>
      <w:r>
        <w:rPr>
          <w:sz w:val="24"/>
        </w:rPr>
        <w:t>Cortes,</w:t>
      </w:r>
      <w:r>
        <w:rPr>
          <w:spacing w:val="-13"/>
          <w:sz w:val="24"/>
        </w:rPr>
        <w:t> </w:t>
      </w:r>
      <w:r>
        <w:rPr>
          <w:sz w:val="24"/>
        </w:rPr>
        <w:t>Mario,</w:t>
      </w:r>
      <w:r>
        <w:rPr>
          <w:spacing w:val="-16"/>
          <w:sz w:val="24"/>
        </w:rPr>
        <w:t> </w:t>
      </w:r>
      <w:r>
        <w:rPr>
          <w:sz w:val="24"/>
        </w:rPr>
        <w:t>(2010).</w:t>
      </w:r>
      <w:r>
        <w:rPr>
          <w:spacing w:val="-13"/>
          <w:sz w:val="24"/>
        </w:rPr>
        <w:t> </w:t>
      </w:r>
      <w:r>
        <w:rPr>
          <w:i/>
          <w:sz w:val="24"/>
        </w:rPr>
        <w:t>Estrategia</w:t>
      </w:r>
      <w:r>
        <w:rPr>
          <w:i/>
          <w:spacing w:val="-13"/>
          <w:sz w:val="24"/>
        </w:rPr>
        <w:t> </w:t>
      </w:r>
      <w:r>
        <w:rPr>
          <w:i/>
          <w:sz w:val="24"/>
        </w:rPr>
        <w:t>de</w:t>
      </w:r>
      <w:r>
        <w:rPr>
          <w:i/>
          <w:spacing w:val="-16"/>
          <w:sz w:val="24"/>
        </w:rPr>
        <w:t> </w:t>
      </w:r>
      <w:r>
        <w:rPr>
          <w:i/>
          <w:sz w:val="24"/>
        </w:rPr>
        <w:t>política</w:t>
      </w:r>
      <w:r>
        <w:rPr>
          <w:i/>
          <w:spacing w:val="-16"/>
          <w:sz w:val="24"/>
        </w:rPr>
        <w:t> </w:t>
      </w:r>
      <w:r>
        <w:rPr>
          <w:i/>
          <w:sz w:val="24"/>
        </w:rPr>
        <w:t>pública</w:t>
      </w:r>
      <w:r>
        <w:rPr>
          <w:i/>
          <w:spacing w:val="-16"/>
          <w:sz w:val="24"/>
        </w:rPr>
        <w:t> </w:t>
      </w:r>
      <w:r>
        <w:rPr>
          <w:i/>
          <w:sz w:val="24"/>
        </w:rPr>
        <w:t>en</w:t>
      </w:r>
      <w:r>
        <w:rPr>
          <w:i/>
          <w:spacing w:val="-13"/>
          <w:sz w:val="24"/>
        </w:rPr>
        <w:t> </w:t>
      </w:r>
      <w:r>
        <w:rPr>
          <w:i/>
          <w:sz w:val="24"/>
        </w:rPr>
        <w:t>la</w:t>
      </w:r>
      <w:r>
        <w:rPr>
          <w:i/>
          <w:spacing w:val="-16"/>
          <w:sz w:val="24"/>
        </w:rPr>
        <w:t> </w:t>
      </w:r>
      <w:r>
        <w:rPr>
          <w:i/>
          <w:sz w:val="24"/>
        </w:rPr>
        <w:t>gestión</w:t>
      </w:r>
      <w:r>
        <w:rPr>
          <w:i/>
          <w:spacing w:val="-13"/>
          <w:sz w:val="24"/>
        </w:rPr>
        <w:t> </w:t>
      </w:r>
      <w:r>
        <w:rPr>
          <w:i/>
          <w:sz w:val="24"/>
        </w:rPr>
        <w:t>financiera </w:t>
      </w:r>
      <w:r>
        <w:rPr>
          <w:i/>
          <w:sz w:val="24"/>
        </w:rPr>
        <w:t>en</w:t>
      </w:r>
      <w:r>
        <w:rPr>
          <w:i/>
          <w:spacing w:val="-8"/>
          <w:sz w:val="24"/>
        </w:rPr>
        <w:t> </w:t>
      </w:r>
      <w:r>
        <w:rPr>
          <w:i/>
          <w:sz w:val="24"/>
        </w:rPr>
        <w:t>los</w:t>
      </w:r>
      <w:r>
        <w:rPr>
          <w:i/>
          <w:spacing w:val="-9"/>
          <w:sz w:val="24"/>
        </w:rPr>
        <w:t> </w:t>
      </w:r>
      <w:r>
        <w:rPr>
          <w:i/>
          <w:sz w:val="24"/>
        </w:rPr>
        <w:t>municipios</w:t>
      </w:r>
      <w:r>
        <w:rPr>
          <w:i/>
          <w:spacing w:val="-9"/>
          <w:sz w:val="24"/>
        </w:rPr>
        <w:t> </w:t>
      </w:r>
      <w:r>
        <w:rPr>
          <w:i/>
          <w:sz w:val="24"/>
        </w:rPr>
        <w:t>urbanos</w:t>
      </w:r>
      <w:r>
        <w:rPr>
          <w:i/>
          <w:spacing w:val="-9"/>
          <w:sz w:val="24"/>
        </w:rPr>
        <w:t> </w:t>
      </w:r>
      <w:r>
        <w:rPr>
          <w:i/>
          <w:sz w:val="24"/>
        </w:rPr>
        <w:t>de</w:t>
      </w:r>
      <w:r>
        <w:rPr>
          <w:i/>
          <w:spacing w:val="-8"/>
          <w:sz w:val="24"/>
        </w:rPr>
        <w:t> </w:t>
      </w:r>
      <w:r>
        <w:rPr>
          <w:i/>
          <w:sz w:val="24"/>
        </w:rPr>
        <w:t>México</w:t>
      </w:r>
      <w:r>
        <w:rPr>
          <w:i/>
          <w:spacing w:val="-9"/>
          <w:sz w:val="24"/>
        </w:rPr>
        <w:t> </w:t>
      </w:r>
      <w:r>
        <w:rPr>
          <w:i/>
          <w:sz w:val="24"/>
        </w:rPr>
        <w:t>y</w:t>
      </w:r>
      <w:r>
        <w:rPr>
          <w:i/>
          <w:spacing w:val="-9"/>
          <w:sz w:val="24"/>
        </w:rPr>
        <w:t> </w:t>
      </w:r>
      <w:r>
        <w:rPr>
          <w:i/>
          <w:sz w:val="24"/>
        </w:rPr>
        <w:t>su</w:t>
      </w:r>
      <w:r>
        <w:rPr>
          <w:i/>
          <w:spacing w:val="-8"/>
          <w:sz w:val="24"/>
        </w:rPr>
        <w:t> </w:t>
      </w:r>
      <w:r>
        <w:rPr>
          <w:i/>
          <w:sz w:val="24"/>
        </w:rPr>
        <w:t>impacto</w:t>
      </w:r>
      <w:r>
        <w:rPr>
          <w:i/>
          <w:spacing w:val="-10"/>
          <w:sz w:val="24"/>
        </w:rPr>
        <w:t> </w:t>
      </w:r>
      <w:r>
        <w:rPr>
          <w:i/>
          <w:sz w:val="24"/>
        </w:rPr>
        <w:t>en</w:t>
      </w:r>
      <w:r>
        <w:rPr>
          <w:i/>
          <w:spacing w:val="-8"/>
          <w:sz w:val="24"/>
        </w:rPr>
        <w:t> </w:t>
      </w:r>
      <w:r>
        <w:rPr>
          <w:i/>
          <w:sz w:val="24"/>
        </w:rPr>
        <w:t>la</w:t>
      </w:r>
      <w:r>
        <w:rPr>
          <w:i/>
          <w:spacing w:val="-9"/>
          <w:sz w:val="24"/>
        </w:rPr>
        <w:t> </w:t>
      </w:r>
      <w:r>
        <w:rPr>
          <w:i/>
          <w:sz w:val="24"/>
        </w:rPr>
        <w:t>gobernabilidad</w:t>
      </w:r>
      <w:r>
        <w:rPr>
          <w:i/>
          <w:spacing w:val="-8"/>
          <w:sz w:val="24"/>
        </w:rPr>
        <w:t> </w:t>
      </w:r>
      <w:r>
        <w:rPr>
          <w:i/>
          <w:sz w:val="24"/>
        </w:rPr>
        <w:t>local, </w:t>
      </w:r>
      <w:r>
        <w:rPr>
          <w:sz w:val="24"/>
        </w:rPr>
        <w:t>México: Miguel Ángel</w:t>
      </w:r>
      <w:r>
        <w:rPr>
          <w:spacing w:val="-9"/>
          <w:sz w:val="24"/>
        </w:rPr>
        <w:t> </w:t>
      </w:r>
      <w:r>
        <w:rPr>
          <w:sz w:val="24"/>
        </w:rPr>
        <w:t>Porrúa.</w:t>
      </w:r>
    </w:p>
    <w:p>
      <w:pPr>
        <w:pStyle w:val="BodyText"/>
      </w:pPr>
    </w:p>
    <w:p>
      <w:pPr>
        <w:spacing w:line="278" w:lineRule="auto" w:before="0"/>
        <w:ind w:left="810" w:right="115" w:hanging="708"/>
        <w:jc w:val="both"/>
        <w:rPr>
          <w:sz w:val="24"/>
        </w:rPr>
      </w:pPr>
      <w:r>
        <w:rPr>
          <w:sz w:val="24"/>
        </w:rPr>
        <w:t>IGLOM, (2007). </w:t>
      </w:r>
      <w:r>
        <w:rPr>
          <w:i/>
          <w:sz w:val="24"/>
        </w:rPr>
        <w:t>Bases para una reforma constitucional en materia municipal</w:t>
      </w:r>
      <w:r>
        <w:rPr>
          <w:sz w:val="24"/>
        </w:rPr>
        <w:t>, México:</w:t>
      </w:r>
      <w:r>
        <w:rPr>
          <w:spacing w:val="-11"/>
          <w:sz w:val="24"/>
        </w:rPr>
        <w:t> </w:t>
      </w:r>
      <w:r>
        <w:rPr>
          <w:sz w:val="24"/>
        </w:rPr>
        <w:t>Red</w:t>
      </w:r>
      <w:r>
        <w:rPr>
          <w:spacing w:val="-11"/>
          <w:sz w:val="24"/>
        </w:rPr>
        <w:t> </w:t>
      </w:r>
      <w:r>
        <w:rPr>
          <w:sz w:val="24"/>
        </w:rPr>
        <w:t>de</w:t>
      </w:r>
      <w:r>
        <w:rPr>
          <w:spacing w:val="-11"/>
          <w:sz w:val="24"/>
        </w:rPr>
        <w:t> </w:t>
      </w:r>
      <w:r>
        <w:rPr>
          <w:sz w:val="24"/>
        </w:rPr>
        <w:t>Investigadores</w:t>
      </w:r>
      <w:r>
        <w:rPr>
          <w:spacing w:val="-11"/>
          <w:sz w:val="24"/>
        </w:rPr>
        <w:t> </w:t>
      </w:r>
      <w:r>
        <w:rPr>
          <w:sz w:val="24"/>
        </w:rPr>
        <w:t>en</w:t>
      </w:r>
      <w:r>
        <w:rPr>
          <w:spacing w:val="-11"/>
          <w:sz w:val="24"/>
        </w:rPr>
        <w:t> </w:t>
      </w:r>
      <w:r>
        <w:rPr>
          <w:sz w:val="24"/>
        </w:rPr>
        <w:t>Gobiernos</w:t>
      </w:r>
      <w:r>
        <w:rPr>
          <w:spacing w:val="-14"/>
          <w:sz w:val="24"/>
        </w:rPr>
        <w:t> </w:t>
      </w:r>
      <w:r>
        <w:rPr>
          <w:sz w:val="24"/>
        </w:rPr>
        <w:t>Locales</w:t>
      </w:r>
      <w:r>
        <w:rPr>
          <w:spacing w:val="-11"/>
          <w:sz w:val="24"/>
        </w:rPr>
        <w:t> </w:t>
      </w:r>
      <w:r>
        <w:rPr>
          <w:sz w:val="24"/>
        </w:rPr>
        <w:t>Mexicanos,</w:t>
      </w:r>
      <w:r>
        <w:rPr>
          <w:spacing w:val="-11"/>
          <w:sz w:val="24"/>
        </w:rPr>
        <w:t> </w:t>
      </w:r>
      <w:r>
        <w:rPr>
          <w:sz w:val="24"/>
        </w:rPr>
        <w:t>Senado</w:t>
      </w:r>
      <w:r>
        <w:rPr>
          <w:spacing w:val="-11"/>
          <w:sz w:val="24"/>
        </w:rPr>
        <w:t> </w:t>
      </w:r>
      <w:r>
        <w:rPr>
          <w:sz w:val="24"/>
        </w:rPr>
        <w:t>de la Republica LX</w:t>
      </w:r>
      <w:r>
        <w:rPr>
          <w:spacing w:val="-3"/>
          <w:sz w:val="24"/>
        </w:rPr>
        <w:t> </w:t>
      </w:r>
      <w:r>
        <w:rPr>
          <w:sz w:val="24"/>
        </w:rPr>
        <w:t>Legislatura.</w:t>
      </w:r>
    </w:p>
    <w:p>
      <w:pPr>
        <w:spacing w:after="0" w:line="278" w:lineRule="auto"/>
        <w:jc w:val="both"/>
        <w:rPr>
          <w:sz w:val="24"/>
        </w:rPr>
        <w:sectPr>
          <w:pgSz w:w="12240" w:h="15840"/>
          <w:pgMar w:header="0" w:footer="992" w:top="1360" w:bottom="1180" w:left="1600" w:right="1580"/>
        </w:sectPr>
      </w:pPr>
    </w:p>
    <w:p>
      <w:pPr>
        <w:pStyle w:val="BodyText"/>
        <w:spacing w:line="276" w:lineRule="auto" w:before="54"/>
        <w:ind w:left="810" w:right="118" w:hanging="708"/>
        <w:jc w:val="both"/>
      </w:pPr>
      <w:r>
        <w:rPr/>
        <w:t>INCHÁUSTEGUI, Teresa y Martínez F., Alicia, (1996). “Política Social y cambios de finales de siglo: contexto y valores en la relación con los nuevos actores” en Instituto José María Luis Mora, </w:t>
      </w:r>
      <w:r>
        <w:rPr>
          <w:i/>
        </w:rPr>
        <w:t>Las políticas sociales de México en los </w:t>
      </w:r>
      <w:r>
        <w:rPr>
          <w:i/>
        </w:rPr>
        <w:t>años noventa, </w:t>
      </w:r>
      <w:r>
        <w:rPr/>
        <w:t>México: Plaza y Valdés S.A de</w:t>
      </w:r>
      <w:r>
        <w:rPr>
          <w:spacing w:val="-12"/>
        </w:rPr>
        <w:t> </w:t>
      </w:r>
      <w:r>
        <w:rPr/>
        <w:t>C.V.</w:t>
      </w:r>
    </w:p>
    <w:p>
      <w:pPr>
        <w:pStyle w:val="BodyText"/>
        <w:spacing w:before="5"/>
      </w:pPr>
    </w:p>
    <w:p>
      <w:pPr>
        <w:spacing w:line="276" w:lineRule="auto" w:before="0"/>
        <w:ind w:left="810" w:right="122" w:hanging="708"/>
        <w:jc w:val="both"/>
        <w:rPr>
          <w:sz w:val="24"/>
        </w:rPr>
      </w:pPr>
      <w:r>
        <w:rPr>
          <w:sz w:val="24"/>
        </w:rPr>
        <w:t>JIMENEZ Dorantes, Miguel, (2007). </w:t>
      </w:r>
      <w:r>
        <w:rPr>
          <w:i/>
          <w:sz w:val="24"/>
        </w:rPr>
        <w:t>Autonomía Municipal y planeamiento </w:t>
      </w:r>
      <w:r>
        <w:rPr>
          <w:i/>
          <w:sz w:val="24"/>
        </w:rPr>
        <w:t>urbanístico</w:t>
      </w:r>
      <w:r>
        <w:rPr>
          <w:sz w:val="24"/>
        </w:rPr>
        <w:t>, México: Fontamara, Universidad Autónoma de Chiapas.</w:t>
      </w:r>
    </w:p>
    <w:p>
      <w:pPr>
        <w:pStyle w:val="BodyText"/>
        <w:spacing w:before="7"/>
      </w:pPr>
    </w:p>
    <w:p>
      <w:pPr>
        <w:pStyle w:val="BodyText"/>
        <w:spacing w:before="1"/>
        <w:ind w:left="102"/>
      </w:pPr>
      <w:r>
        <w:rPr/>
        <w:t>JUSIDMAN,  Clara,  (2006).”Federalismo  y política  social” en IBERGOP-MÉXICO,</w:t>
      </w:r>
    </w:p>
    <w:p>
      <w:pPr>
        <w:spacing w:before="38"/>
        <w:ind w:left="810" w:right="0" w:firstLine="0"/>
        <w:jc w:val="left"/>
        <w:rPr>
          <w:sz w:val="24"/>
        </w:rPr>
      </w:pPr>
      <w:r>
        <w:rPr>
          <w:i/>
          <w:sz w:val="24"/>
        </w:rPr>
        <w:t>Política Social para la equidad, </w:t>
      </w:r>
      <w:r>
        <w:rPr>
          <w:sz w:val="24"/>
        </w:rPr>
        <w:t>México: Porrúa.</w:t>
      </w:r>
    </w:p>
    <w:p>
      <w:pPr>
        <w:pStyle w:val="BodyText"/>
        <w:spacing w:before="2"/>
        <w:rPr>
          <w:sz w:val="28"/>
        </w:rPr>
      </w:pPr>
    </w:p>
    <w:p>
      <w:pPr>
        <w:pStyle w:val="BodyText"/>
        <w:spacing w:line="276" w:lineRule="auto"/>
        <w:ind w:left="810" w:right="118" w:hanging="708"/>
        <w:jc w:val="both"/>
      </w:pPr>
      <w:r>
        <w:rPr/>
        <w:t>LERNER Sigal, Bertha, (1996). “Globalización, neoliberalismo y política social” en Pineda C., Marcela, </w:t>
      </w:r>
      <w:r>
        <w:rPr>
          <w:i/>
        </w:rPr>
        <w:t>Las políticas sociales de México en los años noventa, </w:t>
      </w:r>
      <w:r>
        <w:rPr/>
        <w:t>México: Instituto José Ma. Luis Mora, Universidad Nacional Autónoma de México, Facultad Latinoamericana de Ciencias Sociales.</w:t>
      </w:r>
    </w:p>
    <w:p>
      <w:pPr>
        <w:pStyle w:val="BodyText"/>
        <w:spacing w:before="5"/>
      </w:pPr>
    </w:p>
    <w:p>
      <w:pPr>
        <w:spacing w:line="276" w:lineRule="auto" w:before="0"/>
        <w:ind w:left="810" w:right="121" w:hanging="708"/>
        <w:jc w:val="both"/>
        <w:rPr>
          <w:sz w:val="24"/>
        </w:rPr>
      </w:pPr>
      <w:r>
        <w:rPr>
          <w:sz w:val="24"/>
        </w:rPr>
        <w:t>MARTÍNEZ Sánchez, L. Javier, (2003). “Historia del Federalismo en México y sus perspectivas” en Palacios Alcocer, Mariano (coord.), </w:t>
      </w:r>
      <w:r>
        <w:rPr>
          <w:i/>
          <w:sz w:val="24"/>
        </w:rPr>
        <w:t>Federalismo y </w:t>
      </w:r>
      <w:r>
        <w:rPr>
          <w:i/>
          <w:sz w:val="24"/>
        </w:rPr>
        <w:t>relaciones intergubernamentales, </w:t>
      </w:r>
      <w:r>
        <w:rPr>
          <w:sz w:val="24"/>
        </w:rPr>
        <w:t>México: Senado de la República, LIX Legislatura.</w:t>
      </w:r>
    </w:p>
    <w:p>
      <w:pPr>
        <w:pStyle w:val="BodyText"/>
      </w:pPr>
    </w:p>
    <w:p>
      <w:pPr>
        <w:spacing w:line="278" w:lineRule="auto" w:before="0"/>
        <w:ind w:left="810" w:right="120" w:hanging="708"/>
        <w:jc w:val="both"/>
        <w:rPr>
          <w:sz w:val="24"/>
        </w:rPr>
      </w:pPr>
      <w:r>
        <w:rPr>
          <w:sz w:val="24"/>
        </w:rPr>
        <w:t>MARQUEZ, P. y J. Castro (coords.), (2000). </w:t>
      </w:r>
      <w:r>
        <w:rPr>
          <w:i/>
          <w:sz w:val="24"/>
        </w:rPr>
        <w:t>El nuevo federalismo en América del </w:t>
      </w:r>
      <w:r>
        <w:rPr>
          <w:i/>
          <w:sz w:val="24"/>
        </w:rPr>
        <w:t>Norte, </w:t>
      </w:r>
      <w:r>
        <w:rPr>
          <w:sz w:val="24"/>
        </w:rPr>
        <w:t>México: UNAM y CISAN.</w:t>
      </w:r>
    </w:p>
    <w:p>
      <w:pPr>
        <w:pStyle w:val="BodyText"/>
        <w:spacing w:before="2"/>
      </w:pPr>
    </w:p>
    <w:p>
      <w:pPr>
        <w:spacing w:line="276" w:lineRule="auto" w:before="0"/>
        <w:ind w:left="810" w:right="119" w:hanging="708"/>
        <w:jc w:val="both"/>
        <w:rPr>
          <w:sz w:val="24"/>
        </w:rPr>
      </w:pPr>
      <w:r>
        <w:rPr>
          <w:sz w:val="24"/>
        </w:rPr>
        <w:t>MATA</w:t>
      </w:r>
      <w:r>
        <w:rPr>
          <w:spacing w:val="-13"/>
          <w:sz w:val="24"/>
        </w:rPr>
        <w:t> </w:t>
      </w:r>
      <w:r>
        <w:rPr>
          <w:sz w:val="24"/>
        </w:rPr>
        <w:t>Espino,</w:t>
      </w:r>
      <w:r>
        <w:rPr>
          <w:spacing w:val="-13"/>
          <w:sz w:val="24"/>
        </w:rPr>
        <w:t> </w:t>
      </w:r>
      <w:r>
        <w:rPr>
          <w:sz w:val="24"/>
        </w:rPr>
        <w:t>Xóchitl</w:t>
      </w:r>
      <w:r>
        <w:rPr>
          <w:spacing w:val="-14"/>
          <w:sz w:val="24"/>
        </w:rPr>
        <w:t> </w:t>
      </w:r>
      <w:r>
        <w:rPr>
          <w:sz w:val="24"/>
        </w:rPr>
        <w:t>y</w:t>
      </w:r>
      <w:r>
        <w:rPr>
          <w:spacing w:val="-14"/>
          <w:sz w:val="24"/>
        </w:rPr>
        <w:t> </w:t>
      </w:r>
      <w:r>
        <w:rPr>
          <w:sz w:val="24"/>
        </w:rPr>
        <w:t>Valdés</w:t>
      </w:r>
      <w:r>
        <w:rPr>
          <w:spacing w:val="-14"/>
          <w:sz w:val="24"/>
        </w:rPr>
        <w:t> </w:t>
      </w:r>
      <w:r>
        <w:rPr>
          <w:sz w:val="24"/>
        </w:rPr>
        <w:t>Trejo,</w:t>
      </w:r>
      <w:r>
        <w:rPr>
          <w:spacing w:val="-11"/>
          <w:sz w:val="24"/>
        </w:rPr>
        <w:t> </w:t>
      </w:r>
      <w:r>
        <w:rPr>
          <w:sz w:val="24"/>
        </w:rPr>
        <w:t>Sergio</w:t>
      </w:r>
      <w:r>
        <w:rPr>
          <w:spacing w:val="-11"/>
          <w:sz w:val="24"/>
        </w:rPr>
        <w:t> </w:t>
      </w:r>
      <w:r>
        <w:rPr>
          <w:sz w:val="24"/>
        </w:rPr>
        <w:t>S.,</w:t>
      </w:r>
      <w:r>
        <w:rPr>
          <w:spacing w:val="-11"/>
          <w:sz w:val="24"/>
        </w:rPr>
        <w:t> </w:t>
      </w:r>
      <w:r>
        <w:rPr>
          <w:sz w:val="24"/>
        </w:rPr>
        <w:t>(2003).</w:t>
      </w:r>
      <w:r>
        <w:rPr>
          <w:spacing w:val="-14"/>
          <w:sz w:val="24"/>
        </w:rPr>
        <w:t> </w:t>
      </w:r>
      <w:r>
        <w:rPr>
          <w:sz w:val="24"/>
        </w:rPr>
        <w:t>“Régimen</w:t>
      </w:r>
      <w:r>
        <w:rPr>
          <w:spacing w:val="-13"/>
          <w:sz w:val="24"/>
        </w:rPr>
        <w:t> </w:t>
      </w:r>
      <w:r>
        <w:rPr>
          <w:sz w:val="24"/>
        </w:rPr>
        <w:t>Constitucional</w:t>
      </w:r>
      <w:r>
        <w:rPr>
          <w:spacing w:val="-14"/>
          <w:sz w:val="24"/>
        </w:rPr>
        <w:t> </w:t>
      </w:r>
      <w:r>
        <w:rPr>
          <w:sz w:val="24"/>
        </w:rPr>
        <w:t>de los municipios” en Palacios Alcocer, Mariano (coord.), </w:t>
      </w:r>
      <w:r>
        <w:rPr>
          <w:i/>
          <w:sz w:val="24"/>
        </w:rPr>
        <w:t>Federalismo y </w:t>
      </w:r>
      <w:r>
        <w:rPr>
          <w:i/>
          <w:sz w:val="24"/>
        </w:rPr>
        <w:t>relaciones intergubernamentales, </w:t>
      </w:r>
      <w:r>
        <w:rPr>
          <w:sz w:val="24"/>
        </w:rPr>
        <w:t>México: Senado de la República, LIX Legislatura.</w:t>
      </w:r>
    </w:p>
    <w:p>
      <w:pPr>
        <w:pStyle w:val="BodyText"/>
        <w:spacing w:before="3"/>
      </w:pPr>
    </w:p>
    <w:p>
      <w:pPr>
        <w:spacing w:line="278" w:lineRule="auto" w:before="0"/>
        <w:ind w:left="810" w:right="121" w:hanging="708"/>
        <w:jc w:val="both"/>
        <w:rPr>
          <w:sz w:val="24"/>
        </w:rPr>
      </w:pPr>
      <w:r>
        <w:rPr>
          <w:sz w:val="24"/>
        </w:rPr>
        <w:t>MATUTE González, Carlos F., (2007). </w:t>
      </w:r>
      <w:r>
        <w:rPr>
          <w:i/>
          <w:sz w:val="24"/>
        </w:rPr>
        <w:t>El reparto de facultades en el Federalismo </w:t>
      </w:r>
      <w:r>
        <w:rPr>
          <w:i/>
          <w:sz w:val="24"/>
        </w:rPr>
        <w:t>Mexicano, </w:t>
      </w:r>
      <w:r>
        <w:rPr>
          <w:sz w:val="24"/>
        </w:rPr>
        <w:t>México: Porrúa S.A de C.V.</w:t>
      </w:r>
    </w:p>
    <w:p>
      <w:pPr>
        <w:pStyle w:val="BodyText"/>
      </w:pPr>
    </w:p>
    <w:p>
      <w:pPr>
        <w:spacing w:before="0"/>
        <w:ind w:left="102" w:right="0" w:firstLine="0"/>
        <w:jc w:val="left"/>
        <w:rPr>
          <w:i/>
          <w:sz w:val="24"/>
        </w:rPr>
      </w:pPr>
      <w:r>
        <w:rPr>
          <w:sz w:val="24"/>
        </w:rPr>
        <w:t>MONTAÑO  García,  Agustín,  (2005).  </w:t>
      </w:r>
      <w:r>
        <w:rPr>
          <w:i/>
          <w:sz w:val="24"/>
        </w:rPr>
        <w:t>Administración  Municipal  y </w:t>
      </w:r>
      <w:r>
        <w:rPr>
          <w:i/>
          <w:spacing w:val="63"/>
          <w:sz w:val="24"/>
        </w:rPr>
        <w:t> </w:t>
      </w:r>
      <w:r>
        <w:rPr>
          <w:i/>
          <w:sz w:val="24"/>
        </w:rPr>
        <w:t>Delegacional,</w:t>
      </w:r>
    </w:p>
    <w:p>
      <w:pPr>
        <w:pStyle w:val="BodyText"/>
        <w:spacing w:before="46"/>
        <w:ind w:left="810"/>
      </w:pPr>
      <w:r>
        <w:rPr/>
        <w:t>México: Publicaciones Administrativas Contables Juridicas, SA  de CV.</w:t>
      </w:r>
    </w:p>
    <w:p>
      <w:pPr>
        <w:pStyle w:val="BodyText"/>
        <w:spacing w:before="6"/>
        <w:rPr>
          <w:sz w:val="27"/>
        </w:rPr>
      </w:pPr>
    </w:p>
    <w:p>
      <w:pPr>
        <w:pStyle w:val="BodyText"/>
        <w:spacing w:line="280" w:lineRule="auto"/>
        <w:ind w:left="810" w:right="117" w:hanging="708"/>
        <w:jc w:val="both"/>
      </w:pPr>
      <w:r>
        <w:rPr/>
        <w:t>MORENO Osorio, Luis G., (2011). </w:t>
      </w:r>
      <w:r>
        <w:rPr>
          <w:i/>
        </w:rPr>
        <w:t>Teoría de la decisión, </w:t>
      </w:r>
      <w:r>
        <w:rPr/>
        <w:t>Colombia: Universidad Nacional de Colombia sede Bogotá Facultad de Ciencias.</w:t>
      </w:r>
    </w:p>
    <w:p>
      <w:pPr>
        <w:pStyle w:val="BodyText"/>
        <w:spacing w:before="6"/>
        <w:rPr>
          <w:sz w:val="23"/>
        </w:rPr>
      </w:pPr>
    </w:p>
    <w:p>
      <w:pPr>
        <w:spacing w:line="280" w:lineRule="auto" w:before="0"/>
        <w:ind w:left="810" w:right="118" w:hanging="708"/>
        <w:jc w:val="both"/>
        <w:rPr>
          <w:sz w:val="24"/>
        </w:rPr>
      </w:pPr>
      <w:r>
        <w:rPr>
          <w:sz w:val="24"/>
        </w:rPr>
        <w:t>ORDAZ</w:t>
      </w:r>
      <w:r>
        <w:rPr>
          <w:spacing w:val="-16"/>
          <w:sz w:val="24"/>
        </w:rPr>
        <w:t> </w:t>
      </w:r>
      <w:r>
        <w:rPr>
          <w:sz w:val="24"/>
        </w:rPr>
        <w:t>Álvarez,</w:t>
      </w:r>
      <w:r>
        <w:rPr>
          <w:spacing w:val="-15"/>
          <w:sz w:val="24"/>
        </w:rPr>
        <w:t> </w:t>
      </w:r>
      <w:r>
        <w:rPr>
          <w:sz w:val="24"/>
        </w:rPr>
        <w:t>Arturo,</w:t>
      </w:r>
      <w:r>
        <w:rPr>
          <w:spacing w:val="-15"/>
          <w:sz w:val="24"/>
        </w:rPr>
        <w:t> </w:t>
      </w:r>
      <w:r>
        <w:rPr>
          <w:sz w:val="24"/>
        </w:rPr>
        <w:t>(coord.)</w:t>
      </w:r>
      <w:r>
        <w:rPr>
          <w:spacing w:val="-16"/>
          <w:sz w:val="24"/>
        </w:rPr>
        <w:t> </w:t>
      </w:r>
      <w:r>
        <w:rPr>
          <w:sz w:val="24"/>
        </w:rPr>
        <w:t>(2014).</w:t>
      </w:r>
      <w:r>
        <w:rPr>
          <w:spacing w:val="-15"/>
          <w:sz w:val="24"/>
        </w:rPr>
        <w:t> </w:t>
      </w:r>
      <w:r>
        <w:rPr>
          <w:i/>
          <w:sz w:val="24"/>
        </w:rPr>
        <w:t>Federalismo</w:t>
      </w:r>
      <w:r>
        <w:rPr>
          <w:i/>
          <w:spacing w:val="-15"/>
          <w:sz w:val="24"/>
        </w:rPr>
        <w:t> </w:t>
      </w:r>
      <w:r>
        <w:rPr>
          <w:i/>
          <w:sz w:val="24"/>
        </w:rPr>
        <w:t>y</w:t>
      </w:r>
      <w:r>
        <w:rPr>
          <w:i/>
          <w:spacing w:val="-16"/>
          <w:sz w:val="24"/>
        </w:rPr>
        <w:t> </w:t>
      </w:r>
      <w:r>
        <w:rPr>
          <w:i/>
          <w:sz w:val="24"/>
        </w:rPr>
        <w:t>Gobierno</w:t>
      </w:r>
      <w:r>
        <w:rPr>
          <w:i/>
          <w:spacing w:val="-17"/>
          <w:sz w:val="24"/>
        </w:rPr>
        <w:t> </w:t>
      </w:r>
      <w:r>
        <w:rPr>
          <w:i/>
          <w:sz w:val="24"/>
        </w:rPr>
        <w:t>Municipal</w:t>
      </w:r>
      <w:r>
        <w:rPr>
          <w:sz w:val="24"/>
        </w:rPr>
        <w:t>,</w:t>
      </w:r>
      <w:r>
        <w:rPr>
          <w:spacing w:val="-15"/>
          <w:sz w:val="24"/>
        </w:rPr>
        <w:t> </w:t>
      </w:r>
      <w:r>
        <w:rPr>
          <w:sz w:val="24"/>
        </w:rPr>
        <w:t>México: Universidad de</w:t>
      </w:r>
      <w:r>
        <w:rPr>
          <w:spacing w:val="-9"/>
          <w:sz w:val="24"/>
        </w:rPr>
        <w:t> </w:t>
      </w:r>
      <w:r>
        <w:rPr>
          <w:sz w:val="24"/>
        </w:rPr>
        <w:t>Sonora.</w:t>
      </w:r>
    </w:p>
    <w:p>
      <w:pPr>
        <w:spacing w:after="0" w:line="280" w:lineRule="auto"/>
        <w:jc w:val="both"/>
        <w:rPr>
          <w:sz w:val="24"/>
        </w:rPr>
        <w:sectPr>
          <w:pgSz w:w="12240" w:h="15840"/>
          <w:pgMar w:header="0" w:footer="992" w:top="1360" w:bottom="1180" w:left="1600" w:right="1580"/>
        </w:sectPr>
      </w:pPr>
    </w:p>
    <w:p>
      <w:pPr>
        <w:spacing w:line="280" w:lineRule="auto" w:before="51"/>
        <w:ind w:left="810" w:right="118" w:hanging="708"/>
        <w:jc w:val="both"/>
        <w:rPr>
          <w:sz w:val="24"/>
        </w:rPr>
      </w:pPr>
      <w:r>
        <w:rPr>
          <w:sz w:val="24"/>
        </w:rPr>
        <w:t>ORTEGA Venzor, Alberto et.at., (2006). </w:t>
      </w:r>
      <w:r>
        <w:rPr>
          <w:i/>
          <w:sz w:val="24"/>
        </w:rPr>
        <w:t>Política social para la equidad, </w:t>
      </w:r>
      <w:r>
        <w:rPr>
          <w:sz w:val="24"/>
        </w:rPr>
        <w:t>México: Escuela Iberoamericana de Gobierno y Políticas Públicas, EGAP, Porrúa</w:t>
      </w:r>
    </w:p>
    <w:p>
      <w:pPr>
        <w:pStyle w:val="BodyText"/>
        <w:spacing w:before="9"/>
        <w:rPr>
          <w:sz w:val="23"/>
        </w:rPr>
      </w:pPr>
    </w:p>
    <w:p>
      <w:pPr>
        <w:pStyle w:val="BodyText"/>
        <w:spacing w:line="278" w:lineRule="auto"/>
        <w:ind w:left="810" w:right="123" w:hanging="708"/>
        <w:jc w:val="both"/>
      </w:pPr>
      <w:r>
        <w:rPr/>
        <w:t>OATES, Wallace E., (1977). Federalismo Fiscal, Madrid: Instituto de Estudios de Administración Local.</w:t>
      </w:r>
    </w:p>
    <w:p>
      <w:pPr>
        <w:pStyle w:val="BodyText"/>
        <w:spacing w:before="9"/>
        <w:rPr>
          <w:sz w:val="23"/>
        </w:rPr>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Acambay de Ruiz Castañeda, </w:t>
      </w:r>
      <w:r>
        <w:rPr>
          <w:sz w:val="24"/>
        </w:rPr>
        <w:t>Estado de México: OSFEM.</w:t>
      </w:r>
    </w:p>
    <w:p>
      <w:pPr>
        <w:pStyle w:val="BodyText"/>
        <w:spacing w:before="5"/>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Almoloya de Juárez, </w:t>
      </w:r>
      <w:r>
        <w:rPr>
          <w:sz w:val="24"/>
        </w:rPr>
        <w:t>Estado de México: OSFEM.</w:t>
      </w:r>
    </w:p>
    <w:p>
      <w:pPr>
        <w:pStyle w:val="BodyText"/>
        <w:spacing w:before="3"/>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Atizapán de Zaragoza, </w:t>
      </w:r>
      <w:r>
        <w:rPr>
          <w:sz w:val="24"/>
        </w:rPr>
        <w:t>Estado de México: OSFEM.</w:t>
      </w:r>
    </w:p>
    <w:p>
      <w:pPr>
        <w:pStyle w:val="BodyText"/>
        <w:spacing w:before="5"/>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Atlacomulco,  </w:t>
      </w:r>
      <w:r>
        <w:rPr>
          <w:sz w:val="24"/>
        </w:rPr>
        <w:t>Estado de México: OSFEM.</w:t>
      </w:r>
    </w:p>
    <w:p>
      <w:pPr>
        <w:pStyle w:val="BodyText"/>
        <w:spacing w:before="5"/>
      </w:pPr>
    </w:p>
    <w:p>
      <w:pPr>
        <w:spacing w:line="276" w:lineRule="auto" w:before="1"/>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Chalco, </w:t>
      </w:r>
      <w:r>
        <w:rPr>
          <w:sz w:val="24"/>
        </w:rPr>
        <w:t>Estado de México: OSFEM.</w:t>
      </w:r>
    </w:p>
    <w:p>
      <w:pPr>
        <w:pStyle w:val="BodyText"/>
        <w:spacing w:before="3"/>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Chimalhuacán, </w:t>
      </w:r>
      <w:r>
        <w:rPr>
          <w:sz w:val="24"/>
        </w:rPr>
        <w:t>Estado de México: OSFEM.</w:t>
      </w:r>
    </w:p>
    <w:p>
      <w:pPr>
        <w:pStyle w:val="BodyText"/>
        <w:spacing w:before="5"/>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Cuautitlán Izcalli, </w:t>
      </w:r>
      <w:r>
        <w:rPr>
          <w:sz w:val="24"/>
        </w:rPr>
        <w:t>Estado de México: OSFEM.</w:t>
      </w:r>
    </w:p>
    <w:p>
      <w:pPr>
        <w:pStyle w:val="BodyText"/>
      </w:pPr>
    </w:p>
    <w:p>
      <w:pPr>
        <w:pStyle w:val="BodyText"/>
      </w:pPr>
    </w:p>
    <w:p>
      <w:pPr>
        <w:pStyle w:val="BodyText"/>
        <w:spacing w:before="5"/>
        <w:rPr>
          <w:sz w:val="28"/>
        </w:rPr>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Ecatepec de Morelos, </w:t>
      </w:r>
      <w:r>
        <w:rPr>
          <w:sz w:val="24"/>
        </w:rPr>
        <w:t>Estado de México: OSFEM.</w:t>
      </w:r>
    </w:p>
    <w:p>
      <w:pPr>
        <w:spacing w:after="0" w:line="276" w:lineRule="auto"/>
        <w:jc w:val="both"/>
        <w:rPr>
          <w:sz w:val="24"/>
        </w:rPr>
        <w:sectPr>
          <w:pgSz w:w="12240" w:h="15840"/>
          <w:pgMar w:header="0" w:footer="992" w:top="1360" w:bottom="1180" w:left="1600" w:right="1580"/>
        </w:sectPr>
      </w:pPr>
    </w:p>
    <w:p>
      <w:pPr>
        <w:spacing w:line="276" w:lineRule="auto" w:before="51"/>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Huehuetoca,  </w:t>
      </w:r>
      <w:r>
        <w:rPr>
          <w:sz w:val="24"/>
        </w:rPr>
        <w:t>Estado de México: OSFEM.</w:t>
      </w:r>
    </w:p>
    <w:p>
      <w:pPr>
        <w:pStyle w:val="BodyText"/>
        <w:spacing w:before="3"/>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Huixquilucan, </w:t>
      </w:r>
      <w:r>
        <w:rPr>
          <w:sz w:val="24"/>
        </w:rPr>
        <w:t>Estado de México: OSFEM.</w:t>
      </w:r>
    </w:p>
    <w:p>
      <w:pPr>
        <w:pStyle w:val="BodyText"/>
        <w:spacing w:before="5"/>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Ixtapaluca, </w:t>
      </w:r>
      <w:r>
        <w:rPr>
          <w:sz w:val="24"/>
        </w:rPr>
        <w:t>Estado de México: OSFEM.</w:t>
      </w:r>
    </w:p>
    <w:p>
      <w:pPr>
        <w:pStyle w:val="BodyText"/>
        <w:spacing w:before="3"/>
      </w:pPr>
    </w:p>
    <w:p>
      <w:pPr>
        <w:spacing w:line="276" w:lineRule="auto" w:before="0"/>
        <w:ind w:left="810" w:right="116" w:hanging="708"/>
        <w:jc w:val="both"/>
        <w:rPr>
          <w:sz w:val="24"/>
        </w:rPr>
      </w:pPr>
      <w:r>
        <w:rPr>
          <w:sz w:val="24"/>
        </w:rPr>
        <w:t>OSFEM (Órgano Superior de Fiscalización del Estado de México), (2014). </w:t>
      </w:r>
      <w:r>
        <w:rPr>
          <w:i/>
          <w:sz w:val="24"/>
        </w:rPr>
        <w:t>Informe </w:t>
      </w:r>
      <w:r>
        <w:rPr>
          <w:i/>
          <w:sz w:val="24"/>
        </w:rPr>
        <w:t>de Resultados de las Cuentas Públicas del Estado de México y Municipios, Municipio de Ixtlahuaca, </w:t>
      </w:r>
      <w:r>
        <w:rPr>
          <w:sz w:val="24"/>
        </w:rPr>
        <w:t>Estado de México: OSFEM.</w:t>
      </w:r>
    </w:p>
    <w:p>
      <w:pPr>
        <w:pStyle w:val="BodyText"/>
        <w:spacing w:before="5"/>
      </w:pPr>
    </w:p>
    <w:p>
      <w:pPr>
        <w:spacing w:line="276" w:lineRule="auto" w:before="0"/>
        <w:ind w:left="810" w:right="117" w:hanging="708"/>
        <w:jc w:val="both"/>
        <w:rPr>
          <w:sz w:val="24"/>
        </w:rPr>
      </w:pPr>
      <w:r>
        <w:rPr>
          <w:sz w:val="24"/>
        </w:rPr>
        <w:t>PALACIOS Alcocer, Mariano, (2003). </w:t>
      </w:r>
      <w:r>
        <w:rPr>
          <w:i/>
          <w:sz w:val="24"/>
        </w:rPr>
        <w:t>Federalismo y relaciones </w:t>
      </w:r>
      <w:r>
        <w:rPr>
          <w:i/>
          <w:sz w:val="24"/>
        </w:rPr>
        <w:t>intergubernamentales</w:t>
      </w:r>
      <w:r>
        <w:rPr>
          <w:sz w:val="24"/>
        </w:rPr>
        <w:t>, México: Miguel Ángel Porrúa.</w:t>
      </w:r>
    </w:p>
    <w:p>
      <w:pPr>
        <w:pStyle w:val="BodyText"/>
        <w:spacing w:before="7"/>
      </w:pPr>
    </w:p>
    <w:p>
      <w:pPr>
        <w:spacing w:line="276" w:lineRule="auto" w:before="1"/>
        <w:ind w:left="810" w:right="119" w:hanging="708"/>
        <w:jc w:val="both"/>
        <w:rPr>
          <w:sz w:val="24"/>
        </w:rPr>
      </w:pPr>
      <w:r>
        <w:rPr>
          <w:sz w:val="24"/>
        </w:rPr>
        <w:t>PARDO,</w:t>
      </w:r>
      <w:r>
        <w:rPr>
          <w:spacing w:val="-9"/>
          <w:sz w:val="24"/>
        </w:rPr>
        <w:t> </w:t>
      </w:r>
      <w:r>
        <w:rPr>
          <w:sz w:val="24"/>
        </w:rPr>
        <w:t>M.</w:t>
      </w:r>
      <w:r>
        <w:rPr>
          <w:spacing w:val="-10"/>
          <w:sz w:val="24"/>
        </w:rPr>
        <w:t> </w:t>
      </w:r>
      <w:r>
        <w:rPr>
          <w:sz w:val="24"/>
        </w:rPr>
        <w:t>del</w:t>
      </w:r>
      <w:r>
        <w:rPr>
          <w:spacing w:val="-11"/>
          <w:sz w:val="24"/>
        </w:rPr>
        <w:t> </w:t>
      </w:r>
      <w:r>
        <w:rPr>
          <w:sz w:val="24"/>
        </w:rPr>
        <w:t>Carmen,</w:t>
      </w:r>
      <w:r>
        <w:rPr>
          <w:spacing w:val="-10"/>
          <w:sz w:val="24"/>
        </w:rPr>
        <w:t> </w:t>
      </w:r>
      <w:r>
        <w:rPr>
          <w:sz w:val="24"/>
        </w:rPr>
        <w:t>(1986).</w:t>
      </w:r>
      <w:r>
        <w:rPr>
          <w:spacing w:val="-10"/>
          <w:sz w:val="24"/>
        </w:rPr>
        <w:t> </w:t>
      </w:r>
      <w:r>
        <w:rPr>
          <w:sz w:val="24"/>
        </w:rPr>
        <w:t>“La</w:t>
      </w:r>
      <w:r>
        <w:rPr>
          <w:spacing w:val="-9"/>
          <w:sz w:val="24"/>
        </w:rPr>
        <w:t> </w:t>
      </w:r>
      <w:r>
        <w:rPr>
          <w:sz w:val="24"/>
        </w:rPr>
        <w:t>descentralización</w:t>
      </w:r>
      <w:r>
        <w:rPr>
          <w:spacing w:val="-9"/>
          <w:sz w:val="24"/>
        </w:rPr>
        <w:t> </w:t>
      </w:r>
      <w:r>
        <w:rPr>
          <w:sz w:val="24"/>
        </w:rPr>
        <w:t>administrativa:</w:t>
      </w:r>
      <w:r>
        <w:rPr>
          <w:spacing w:val="-10"/>
          <w:sz w:val="24"/>
        </w:rPr>
        <w:t> </w:t>
      </w:r>
      <w:r>
        <w:rPr>
          <w:sz w:val="24"/>
        </w:rPr>
        <w:t>decisión</w:t>
      </w:r>
      <w:r>
        <w:rPr>
          <w:spacing w:val="-9"/>
          <w:sz w:val="24"/>
        </w:rPr>
        <w:t> </w:t>
      </w:r>
      <w:r>
        <w:rPr>
          <w:sz w:val="24"/>
        </w:rPr>
        <w:t>para fortalecer el federalismo” en Torres, Blanca (comp), </w:t>
      </w:r>
      <w:r>
        <w:rPr>
          <w:i/>
          <w:sz w:val="24"/>
        </w:rPr>
        <w:t>Descentralización y </w:t>
      </w:r>
      <w:r>
        <w:rPr>
          <w:i/>
          <w:sz w:val="24"/>
        </w:rPr>
        <w:t>democracia en México, </w:t>
      </w:r>
      <w:r>
        <w:rPr>
          <w:sz w:val="24"/>
        </w:rPr>
        <w:t>México: El Colegio de</w:t>
      </w:r>
      <w:r>
        <w:rPr>
          <w:spacing w:val="-12"/>
          <w:sz w:val="24"/>
        </w:rPr>
        <w:t> </w:t>
      </w:r>
      <w:r>
        <w:rPr>
          <w:sz w:val="24"/>
        </w:rPr>
        <w:t>México.</w:t>
      </w:r>
    </w:p>
    <w:p>
      <w:pPr>
        <w:pStyle w:val="BodyText"/>
        <w:spacing w:before="5"/>
      </w:pPr>
    </w:p>
    <w:p>
      <w:pPr>
        <w:spacing w:line="276" w:lineRule="auto" w:before="1"/>
        <w:ind w:left="810" w:right="116" w:hanging="708"/>
        <w:jc w:val="both"/>
        <w:rPr>
          <w:sz w:val="24"/>
        </w:rPr>
      </w:pPr>
      <w:r>
        <w:rPr>
          <w:sz w:val="24"/>
        </w:rPr>
        <w:t>PÉREZ Barceló, Nallely, (2004). “Desarrollo histórico de la coordinación fiscal en México” en Calderón Salazar, Jorge, </w:t>
      </w:r>
      <w:r>
        <w:rPr>
          <w:i/>
          <w:sz w:val="24"/>
        </w:rPr>
        <w:t>Federalismo Hacendario en México. </w:t>
      </w:r>
      <w:r>
        <w:rPr>
          <w:i/>
          <w:sz w:val="24"/>
        </w:rPr>
        <w:t>Retos y Alternativas, </w:t>
      </w:r>
      <w:r>
        <w:rPr>
          <w:sz w:val="24"/>
        </w:rPr>
        <w:t>México: Instituto de Estudios de la Revolución Democrática.</w:t>
      </w:r>
    </w:p>
    <w:p>
      <w:pPr>
        <w:pStyle w:val="BodyText"/>
        <w:spacing w:before="3"/>
      </w:pPr>
    </w:p>
    <w:p>
      <w:pPr>
        <w:spacing w:line="278" w:lineRule="auto" w:before="0"/>
        <w:ind w:left="810" w:right="116" w:hanging="708"/>
        <w:jc w:val="both"/>
        <w:rPr>
          <w:sz w:val="24"/>
        </w:rPr>
      </w:pPr>
      <w:r>
        <w:rPr>
          <w:sz w:val="24"/>
        </w:rPr>
        <w:t>PONTIFES</w:t>
      </w:r>
      <w:r>
        <w:rPr>
          <w:spacing w:val="-8"/>
          <w:sz w:val="24"/>
        </w:rPr>
        <w:t> </w:t>
      </w:r>
      <w:r>
        <w:rPr>
          <w:sz w:val="24"/>
        </w:rPr>
        <w:t>Martínez,</w:t>
      </w:r>
      <w:r>
        <w:rPr>
          <w:spacing w:val="-8"/>
          <w:sz w:val="24"/>
        </w:rPr>
        <w:t> </w:t>
      </w:r>
      <w:r>
        <w:rPr>
          <w:sz w:val="24"/>
        </w:rPr>
        <w:t>Arturo,</w:t>
      </w:r>
      <w:r>
        <w:rPr>
          <w:spacing w:val="-8"/>
          <w:sz w:val="24"/>
        </w:rPr>
        <w:t> </w:t>
      </w:r>
      <w:r>
        <w:rPr>
          <w:sz w:val="24"/>
        </w:rPr>
        <w:t>(2002).</w:t>
      </w:r>
      <w:r>
        <w:rPr>
          <w:spacing w:val="-9"/>
          <w:sz w:val="24"/>
        </w:rPr>
        <w:t> </w:t>
      </w:r>
      <w:r>
        <w:rPr>
          <w:sz w:val="24"/>
        </w:rPr>
        <w:t>“Relaciones</w:t>
      </w:r>
      <w:r>
        <w:rPr>
          <w:spacing w:val="-11"/>
          <w:sz w:val="24"/>
        </w:rPr>
        <w:t> </w:t>
      </w:r>
      <w:r>
        <w:rPr>
          <w:sz w:val="24"/>
        </w:rPr>
        <w:t>Intergubernamentales”</w:t>
      </w:r>
      <w:r>
        <w:rPr>
          <w:spacing w:val="-5"/>
          <w:sz w:val="24"/>
        </w:rPr>
        <w:t> </w:t>
      </w:r>
      <w:r>
        <w:rPr>
          <w:i/>
          <w:sz w:val="24"/>
        </w:rPr>
        <w:t>en</w:t>
      </w:r>
      <w:r>
        <w:rPr>
          <w:i/>
          <w:spacing w:val="-10"/>
          <w:sz w:val="24"/>
        </w:rPr>
        <w:t> </w:t>
      </w:r>
      <w:r>
        <w:rPr>
          <w:i/>
          <w:sz w:val="24"/>
        </w:rPr>
        <w:t>Gaceta </w:t>
      </w:r>
      <w:r>
        <w:rPr>
          <w:i/>
          <w:sz w:val="24"/>
        </w:rPr>
        <w:t>Mexicana</w:t>
      </w:r>
      <w:r>
        <w:rPr>
          <w:i/>
          <w:spacing w:val="-8"/>
          <w:sz w:val="24"/>
        </w:rPr>
        <w:t> </w:t>
      </w:r>
      <w:r>
        <w:rPr>
          <w:i/>
          <w:sz w:val="24"/>
        </w:rPr>
        <w:t>de</w:t>
      </w:r>
      <w:r>
        <w:rPr>
          <w:i/>
          <w:spacing w:val="-8"/>
          <w:sz w:val="24"/>
        </w:rPr>
        <w:t> </w:t>
      </w:r>
      <w:r>
        <w:rPr>
          <w:i/>
          <w:sz w:val="24"/>
        </w:rPr>
        <w:t>Administración</w:t>
      </w:r>
      <w:r>
        <w:rPr>
          <w:i/>
          <w:spacing w:val="-8"/>
          <w:sz w:val="24"/>
        </w:rPr>
        <w:t> </w:t>
      </w:r>
      <w:r>
        <w:rPr>
          <w:i/>
          <w:sz w:val="24"/>
        </w:rPr>
        <w:t>Pública</w:t>
      </w:r>
      <w:r>
        <w:rPr>
          <w:i/>
          <w:spacing w:val="-8"/>
          <w:sz w:val="24"/>
        </w:rPr>
        <w:t> </w:t>
      </w:r>
      <w:r>
        <w:rPr>
          <w:i/>
          <w:sz w:val="24"/>
        </w:rPr>
        <w:t>Estatal</w:t>
      </w:r>
      <w:r>
        <w:rPr>
          <w:i/>
          <w:spacing w:val="-10"/>
          <w:sz w:val="24"/>
        </w:rPr>
        <w:t> </w:t>
      </w:r>
      <w:r>
        <w:rPr>
          <w:i/>
          <w:sz w:val="24"/>
        </w:rPr>
        <w:t>y</w:t>
      </w:r>
      <w:r>
        <w:rPr>
          <w:i/>
          <w:spacing w:val="-12"/>
          <w:sz w:val="24"/>
        </w:rPr>
        <w:t> </w:t>
      </w:r>
      <w:r>
        <w:rPr>
          <w:i/>
          <w:sz w:val="24"/>
        </w:rPr>
        <w:t>Municipal.</w:t>
      </w:r>
      <w:r>
        <w:rPr>
          <w:i/>
          <w:spacing w:val="-4"/>
          <w:sz w:val="24"/>
        </w:rPr>
        <w:t> </w:t>
      </w:r>
      <w:r>
        <w:rPr>
          <w:sz w:val="24"/>
        </w:rPr>
        <w:t>No.</w:t>
      </w:r>
      <w:r>
        <w:rPr>
          <w:spacing w:val="-8"/>
          <w:sz w:val="24"/>
        </w:rPr>
        <w:t> </w:t>
      </w:r>
      <w:r>
        <w:rPr>
          <w:sz w:val="24"/>
        </w:rPr>
        <w:t>62,</w:t>
      </w:r>
      <w:r>
        <w:rPr>
          <w:spacing w:val="-11"/>
          <w:sz w:val="24"/>
        </w:rPr>
        <w:t> </w:t>
      </w:r>
      <w:r>
        <w:rPr>
          <w:sz w:val="24"/>
        </w:rPr>
        <w:t>Abril,</w:t>
      </w:r>
      <w:r>
        <w:rPr>
          <w:spacing w:val="-9"/>
          <w:sz w:val="24"/>
        </w:rPr>
        <w:t> </w:t>
      </w:r>
      <w:r>
        <w:rPr>
          <w:sz w:val="24"/>
        </w:rPr>
        <w:t>pp.43- 59.</w:t>
      </w:r>
    </w:p>
    <w:p>
      <w:pPr>
        <w:pStyle w:val="BodyText"/>
      </w:pPr>
    </w:p>
    <w:p>
      <w:pPr>
        <w:pStyle w:val="BodyText"/>
        <w:spacing w:line="276" w:lineRule="auto"/>
        <w:ind w:left="810" w:right="114" w:hanging="708"/>
        <w:jc w:val="both"/>
      </w:pPr>
      <w:r>
        <w:rPr/>
        <w:t>QUINTANILLA</w:t>
      </w:r>
      <w:r>
        <w:rPr>
          <w:spacing w:val="-9"/>
        </w:rPr>
        <w:t> </w:t>
      </w:r>
      <w:r>
        <w:rPr/>
        <w:t>Roldan,</w:t>
      </w:r>
      <w:r>
        <w:rPr>
          <w:spacing w:val="-7"/>
        </w:rPr>
        <w:t> </w:t>
      </w:r>
      <w:r>
        <w:rPr/>
        <w:t>Carlos</w:t>
      </w:r>
      <w:r>
        <w:rPr>
          <w:spacing w:val="-8"/>
        </w:rPr>
        <w:t> </w:t>
      </w:r>
      <w:r>
        <w:rPr/>
        <w:t>F.,</w:t>
      </w:r>
      <w:r>
        <w:rPr>
          <w:spacing w:val="-10"/>
        </w:rPr>
        <w:t> </w:t>
      </w:r>
      <w:r>
        <w:rPr/>
        <w:t>(2007).</w:t>
      </w:r>
      <w:r>
        <w:rPr>
          <w:spacing w:val="-8"/>
        </w:rPr>
        <w:t> </w:t>
      </w:r>
      <w:r>
        <w:rPr/>
        <w:t>“La</w:t>
      </w:r>
      <w:r>
        <w:rPr>
          <w:spacing w:val="-9"/>
        </w:rPr>
        <w:t> </w:t>
      </w:r>
      <w:r>
        <w:rPr/>
        <w:t>ubicación</w:t>
      </w:r>
      <w:r>
        <w:rPr>
          <w:spacing w:val="-9"/>
        </w:rPr>
        <w:t> </w:t>
      </w:r>
      <w:r>
        <w:rPr/>
        <w:t>constitucional</w:t>
      </w:r>
      <w:r>
        <w:rPr>
          <w:spacing w:val="-8"/>
        </w:rPr>
        <w:t> </w:t>
      </w:r>
      <w:r>
        <w:rPr/>
        <w:t>del</w:t>
      </w:r>
      <w:r>
        <w:rPr>
          <w:spacing w:val="-8"/>
        </w:rPr>
        <w:t> </w:t>
      </w:r>
      <w:r>
        <w:rPr/>
        <w:t>Municipio mexicano” en González Oropeza, M y D. Cienfuegos Salgado (coords), </w:t>
      </w:r>
      <w:r>
        <w:rPr>
          <w:i/>
        </w:rPr>
        <w:t>El </w:t>
      </w:r>
      <w:r>
        <w:rPr>
          <w:i/>
        </w:rPr>
        <w:t>Municipio en México, </w:t>
      </w:r>
      <w:r>
        <w:rPr/>
        <w:t>México: Laguna S.A de</w:t>
      </w:r>
      <w:r>
        <w:rPr>
          <w:spacing w:val="-11"/>
        </w:rPr>
        <w:t> </w:t>
      </w:r>
      <w:r>
        <w:rPr/>
        <w:t>C.V.</w:t>
      </w:r>
    </w:p>
    <w:p>
      <w:pPr>
        <w:pStyle w:val="BodyText"/>
        <w:spacing w:before="7"/>
      </w:pPr>
    </w:p>
    <w:p>
      <w:pPr>
        <w:spacing w:line="276" w:lineRule="auto" w:before="1"/>
        <w:ind w:left="810" w:right="114" w:hanging="708"/>
        <w:jc w:val="both"/>
        <w:rPr>
          <w:sz w:val="24"/>
        </w:rPr>
      </w:pPr>
      <w:r>
        <w:rPr>
          <w:sz w:val="24"/>
        </w:rPr>
        <w:t>RAMOS García, J. María, (1999). “Federalismo, Descentralización y Relaciones Intergubernamentales: Una agenda para la toma de decisiones político- administrativas” </w:t>
      </w:r>
      <w:r>
        <w:rPr>
          <w:i/>
          <w:sz w:val="24"/>
        </w:rPr>
        <w:t>en Gaceta Mexicana de Administración Pública Estatal y </w:t>
      </w:r>
      <w:r>
        <w:rPr>
          <w:i/>
          <w:sz w:val="24"/>
        </w:rPr>
        <w:t>Municipal. </w:t>
      </w:r>
      <w:r>
        <w:rPr>
          <w:sz w:val="24"/>
        </w:rPr>
        <w:t>No. 65, pp.9-46.</w:t>
      </w:r>
    </w:p>
    <w:p>
      <w:pPr>
        <w:spacing w:after="0" w:line="276" w:lineRule="auto"/>
        <w:jc w:val="both"/>
        <w:rPr>
          <w:sz w:val="24"/>
        </w:rPr>
        <w:sectPr>
          <w:pgSz w:w="12240" w:h="15840"/>
          <w:pgMar w:header="0" w:footer="992" w:top="1360" w:bottom="1180" w:left="1600" w:right="1580"/>
        </w:sectPr>
      </w:pPr>
    </w:p>
    <w:p>
      <w:pPr>
        <w:spacing w:before="51"/>
        <w:ind w:left="102" w:right="-14" w:firstLine="0"/>
        <w:jc w:val="left"/>
        <w:rPr>
          <w:i/>
          <w:sz w:val="24"/>
        </w:rPr>
      </w:pPr>
      <w:r>
        <w:rPr>
          <w:sz w:val="24"/>
        </w:rPr>
        <w:t>RESNIK, Michael D., (1998). </w:t>
      </w:r>
      <w:r>
        <w:rPr>
          <w:i/>
          <w:sz w:val="24"/>
        </w:rPr>
        <w:t>Elecciones. Una introducción a la teoría de la decisión,</w:t>
      </w:r>
    </w:p>
    <w:p>
      <w:pPr>
        <w:pStyle w:val="BodyText"/>
        <w:spacing w:before="46"/>
        <w:ind w:left="810" w:right="3182"/>
      </w:pPr>
      <w:r>
        <w:rPr/>
        <w:t>España: Gedisa.</w:t>
      </w:r>
    </w:p>
    <w:p>
      <w:pPr>
        <w:pStyle w:val="BodyText"/>
        <w:spacing w:before="6"/>
        <w:rPr>
          <w:sz w:val="27"/>
        </w:rPr>
      </w:pPr>
    </w:p>
    <w:p>
      <w:pPr>
        <w:spacing w:line="278" w:lineRule="auto" w:before="0"/>
        <w:ind w:left="810" w:right="118" w:hanging="708"/>
        <w:jc w:val="both"/>
        <w:rPr>
          <w:sz w:val="24"/>
        </w:rPr>
      </w:pPr>
      <w:r>
        <w:rPr>
          <w:sz w:val="24"/>
        </w:rPr>
        <w:t>REYNOSO Soto, S. Y M. Villafuerte y Eudave, (2003). </w:t>
      </w:r>
      <w:r>
        <w:rPr>
          <w:i/>
          <w:sz w:val="24"/>
        </w:rPr>
        <w:t>Manual Básico para la </w:t>
      </w:r>
      <w:r>
        <w:rPr>
          <w:i/>
          <w:sz w:val="24"/>
        </w:rPr>
        <w:t>Administración</w:t>
      </w:r>
      <w:r>
        <w:rPr>
          <w:i/>
          <w:spacing w:val="-13"/>
          <w:sz w:val="24"/>
        </w:rPr>
        <w:t> </w:t>
      </w:r>
      <w:r>
        <w:rPr>
          <w:i/>
          <w:sz w:val="24"/>
        </w:rPr>
        <w:t>Pública</w:t>
      </w:r>
      <w:r>
        <w:rPr>
          <w:i/>
          <w:spacing w:val="-15"/>
          <w:sz w:val="24"/>
        </w:rPr>
        <w:t> </w:t>
      </w:r>
      <w:r>
        <w:rPr>
          <w:i/>
          <w:sz w:val="24"/>
        </w:rPr>
        <w:t>Municipal,</w:t>
      </w:r>
      <w:r>
        <w:rPr>
          <w:i/>
          <w:spacing w:val="-13"/>
          <w:sz w:val="24"/>
        </w:rPr>
        <w:t> </w:t>
      </w:r>
      <w:r>
        <w:rPr>
          <w:sz w:val="24"/>
        </w:rPr>
        <w:t>México:</w:t>
      </w:r>
      <w:r>
        <w:rPr>
          <w:spacing w:val="-13"/>
          <w:sz w:val="24"/>
        </w:rPr>
        <w:t> </w:t>
      </w:r>
      <w:r>
        <w:rPr>
          <w:sz w:val="24"/>
        </w:rPr>
        <w:t>Instituto</w:t>
      </w:r>
      <w:r>
        <w:rPr>
          <w:spacing w:val="-15"/>
          <w:sz w:val="24"/>
        </w:rPr>
        <w:t> </w:t>
      </w:r>
      <w:r>
        <w:rPr>
          <w:sz w:val="24"/>
        </w:rPr>
        <w:t>de</w:t>
      </w:r>
      <w:r>
        <w:rPr>
          <w:spacing w:val="-15"/>
          <w:sz w:val="24"/>
        </w:rPr>
        <w:t> </w:t>
      </w:r>
      <w:r>
        <w:rPr>
          <w:sz w:val="24"/>
        </w:rPr>
        <w:t>Administración</w:t>
      </w:r>
      <w:r>
        <w:rPr>
          <w:spacing w:val="-13"/>
          <w:sz w:val="24"/>
        </w:rPr>
        <w:t> </w:t>
      </w:r>
      <w:r>
        <w:rPr>
          <w:sz w:val="24"/>
        </w:rPr>
        <w:t>Pública del Estado de México</w:t>
      </w:r>
      <w:r>
        <w:rPr>
          <w:spacing w:val="-7"/>
          <w:sz w:val="24"/>
        </w:rPr>
        <w:t> </w:t>
      </w:r>
      <w:r>
        <w:rPr>
          <w:sz w:val="24"/>
        </w:rPr>
        <w:t>A.C.</w:t>
      </w:r>
    </w:p>
    <w:p>
      <w:pPr>
        <w:pStyle w:val="BodyText"/>
      </w:pPr>
    </w:p>
    <w:p>
      <w:pPr>
        <w:spacing w:line="276" w:lineRule="auto" w:before="0"/>
        <w:ind w:left="810" w:right="121" w:hanging="708"/>
        <w:jc w:val="both"/>
        <w:rPr>
          <w:sz w:val="24"/>
        </w:rPr>
      </w:pPr>
      <w:r>
        <w:rPr>
          <w:sz w:val="24"/>
        </w:rPr>
        <w:t>RHEAULT, Jean Paul, (1977). </w:t>
      </w:r>
      <w:r>
        <w:rPr>
          <w:i/>
          <w:sz w:val="24"/>
        </w:rPr>
        <w:t>Introducción a la teoría de las decisiones con </w:t>
      </w:r>
      <w:r>
        <w:rPr>
          <w:i/>
          <w:sz w:val="24"/>
        </w:rPr>
        <w:t>aplicaciones a la Administración</w:t>
      </w:r>
      <w:r>
        <w:rPr>
          <w:sz w:val="24"/>
        </w:rPr>
        <w:t>, México: Limusa.</w:t>
      </w:r>
    </w:p>
    <w:p>
      <w:pPr>
        <w:pStyle w:val="BodyText"/>
        <w:spacing w:before="5"/>
      </w:pPr>
    </w:p>
    <w:p>
      <w:pPr>
        <w:spacing w:before="0"/>
        <w:ind w:left="102" w:right="0" w:firstLine="0"/>
        <w:jc w:val="left"/>
        <w:rPr>
          <w:sz w:val="24"/>
        </w:rPr>
      </w:pPr>
      <w:r>
        <w:rPr>
          <w:sz w:val="24"/>
        </w:rPr>
        <w:t>ROBLES Martínez, Reynaldo, (1987</w:t>
      </w:r>
      <w:r>
        <w:rPr>
          <w:i/>
          <w:sz w:val="24"/>
        </w:rPr>
        <w:t>). El Municipio, </w:t>
      </w:r>
      <w:r>
        <w:rPr>
          <w:sz w:val="24"/>
        </w:rPr>
        <w:t>México: Porrúa S.A.</w:t>
      </w:r>
    </w:p>
    <w:p>
      <w:pPr>
        <w:pStyle w:val="BodyText"/>
        <w:rPr>
          <w:sz w:val="28"/>
        </w:rPr>
      </w:pPr>
    </w:p>
    <w:p>
      <w:pPr>
        <w:spacing w:line="276" w:lineRule="auto" w:before="0"/>
        <w:ind w:left="810" w:right="120" w:hanging="708"/>
        <w:jc w:val="both"/>
        <w:rPr>
          <w:sz w:val="24"/>
        </w:rPr>
      </w:pPr>
      <w:r>
        <w:rPr>
          <w:sz w:val="24"/>
        </w:rPr>
        <w:t>RODRÍGUEZ, M. y M. Márquez, (1988). </w:t>
      </w:r>
      <w:r>
        <w:rPr>
          <w:i/>
          <w:sz w:val="24"/>
        </w:rPr>
        <w:t>Manejo de Problemas y toma de </w:t>
      </w:r>
      <w:r>
        <w:rPr>
          <w:i/>
          <w:sz w:val="24"/>
        </w:rPr>
        <w:t>decisiones, </w:t>
      </w:r>
      <w:r>
        <w:rPr>
          <w:sz w:val="24"/>
        </w:rPr>
        <w:t>México: Manual Moderno.</w:t>
      </w:r>
    </w:p>
    <w:p>
      <w:pPr>
        <w:pStyle w:val="BodyText"/>
        <w:spacing w:before="5"/>
      </w:pPr>
    </w:p>
    <w:p>
      <w:pPr>
        <w:spacing w:line="278" w:lineRule="auto" w:before="0"/>
        <w:ind w:left="810" w:right="118" w:hanging="708"/>
        <w:jc w:val="both"/>
        <w:rPr>
          <w:sz w:val="24"/>
        </w:rPr>
      </w:pPr>
      <w:r>
        <w:rPr>
          <w:sz w:val="24"/>
        </w:rPr>
        <w:t>RODRÍGUEZ, Victoria E., (1999). </w:t>
      </w:r>
      <w:r>
        <w:rPr>
          <w:i/>
          <w:sz w:val="24"/>
        </w:rPr>
        <w:t>La Descentralización en México. De la reforma </w:t>
      </w:r>
      <w:r>
        <w:rPr>
          <w:i/>
          <w:sz w:val="24"/>
        </w:rPr>
        <w:t>municipal a Solidaridad y el nuevo federalismo, </w:t>
      </w:r>
      <w:r>
        <w:rPr>
          <w:sz w:val="24"/>
        </w:rPr>
        <w:t>México: Fondo de Cultura Económica.</w:t>
      </w:r>
    </w:p>
    <w:p>
      <w:pPr>
        <w:pStyle w:val="BodyText"/>
      </w:pPr>
    </w:p>
    <w:p>
      <w:pPr>
        <w:pStyle w:val="BodyText"/>
        <w:spacing w:line="276" w:lineRule="auto"/>
        <w:ind w:left="810" w:right="117" w:hanging="708"/>
        <w:jc w:val="both"/>
      </w:pPr>
      <w:r>
        <w:rPr/>
        <w:t>RODRÍGUEZ Rosas, Silvia, (2003). “Teoría del Federalismo” en Palacios Alcocer, Mariano (coord.), Federalismo y relaciones intergubernamentales, México: Senado de la República, LIX Legislatura.</w:t>
      </w:r>
    </w:p>
    <w:p>
      <w:pPr>
        <w:pStyle w:val="BodyText"/>
        <w:spacing w:before="3"/>
      </w:pPr>
    </w:p>
    <w:p>
      <w:pPr>
        <w:spacing w:line="276" w:lineRule="auto" w:before="0"/>
        <w:ind w:left="810" w:right="122" w:hanging="708"/>
        <w:jc w:val="both"/>
        <w:rPr>
          <w:sz w:val="24"/>
        </w:rPr>
      </w:pPr>
      <w:r>
        <w:rPr>
          <w:sz w:val="24"/>
        </w:rPr>
        <w:t>SÁNCHEZ Almanza, Adolfo, (2000). </w:t>
      </w:r>
      <w:r>
        <w:rPr>
          <w:i/>
          <w:sz w:val="24"/>
        </w:rPr>
        <w:t>Marginación e ingreso en los municipios de </w:t>
      </w:r>
      <w:r>
        <w:rPr>
          <w:i/>
          <w:sz w:val="24"/>
        </w:rPr>
        <w:t>México</w:t>
      </w:r>
      <w:r>
        <w:rPr>
          <w:sz w:val="24"/>
        </w:rPr>
        <w:t>, México: Miguel Ángel Porrúa.</w:t>
      </w:r>
    </w:p>
    <w:p>
      <w:pPr>
        <w:pStyle w:val="BodyText"/>
        <w:spacing w:before="7"/>
      </w:pPr>
    </w:p>
    <w:p>
      <w:pPr>
        <w:spacing w:line="276" w:lineRule="auto" w:before="1"/>
        <w:ind w:left="810" w:right="122" w:hanging="708"/>
        <w:jc w:val="both"/>
        <w:rPr>
          <w:sz w:val="24"/>
        </w:rPr>
      </w:pPr>
      <w:r>
        <w:rPr>
          <w:sz w:val="24"/>
        </w:rPr>
        <w:t>SÁNCHEZ Ramos, M. Ángel, (2015). “Las relaciones intergubernamentales en la transición política” </w:t>
      </w:r>
      <w:r>
        <w:rPr>
          <w:i/>
          <w:sz w:val="24"/>
        </w:rPr>
        <w:t>en Espejel Mena, Jaime (coord.), Las relaciones </w:t>
      </w:r>
      <w:r>
        <w:rPr>
          <w:i/>
          <w:sz w:val="24"/>
        </w:rPr>
        <w:t>intergubernamentales y la compensación de los desequilibrios territoriales, </w:t>
      </w:r>
      <w:r>
        <w:rPr>
          <w:sz w:val="24"/>
        </w:rPr>
        <w:t>México: Fontamara.</w:t>
      </w:r>
    </w:p>
    <w:p>
      <w:pPr>
        <w:pStyle w:val="BodyText"/>
      </w:pPr>
    </w:p>
    <w:p>
      <w:pPr>
        <w:spacing w:line="278" w:lineRule="auto" w:before="0"/>
        <w:ind w:left="810" w:right="122" w:hanging="708"/>
        <w:jc w:val="both"/>
        <w:rPr>
          <w:sz w:val="24"/>
        </w:rPr>
      </w:pPr>
      <w:r>
        <w:rPr>
          <w:sz w:val="24"/>
        </w:rPr>
        <w:t>SANDOVAL, Carlos et al., (2015). </w:t>
      </w:r>
      <w:r>
        <w:rPr>
          <w:i/>
          <w:sz w:val="24"/>
        </w:rPr>
        <w:t>La planificación participativa para lograr un </w:t>
      </w:r>
      <w:r>
        <w:rPr>
          <w:i/>
          <w:sz w:val="24"/>
        </w:rPr>
        <w:t>cambio estructural con igualdad, </w:t>
      </w:r>
      <w:r>
        <w:rPr>
          <w:sz w:val="24"/>
        </w:rPr>
        <w:t>Chiles: CEPAL Naciones Unidas.</w:t>
      </w:r>
    </w:p>
    <w:p>
      <w:pPr>
        <w:pStyle w:val="BodyText"/>
        <w:spacing w:before="3"/>
      </w:pPr>
    </w:p>
    <w:p>
      <w:pPr>
        <w:pStyle w:val="BodyText"/>
        <w:spacing w:line="276" w:lineRule="auto"/>
        <w:ind w:left="810" w:right="115" w:hanging="708"/>
        <w:jc w:val="both"/>
      </w:pPr>
      <w:r>
        <w:rPr/>
        <w:t>SECRETARÍA de Hacienda y Crédito Público, (2013), “Decreto por el que se reforman</w:t>
      </w:r>
      <w:r>
        <w:rPr>
          <w:spacing w:val="-14"/>
        </w:rPr>
        <w:t> </w:t>
      </w:r>
      <w:r>
        <w:rPr/>
        <w:t>y</w:t>
      </w:r>
      <w:r>
        <w:rPr>
          <w:spacing w:val="-16"/>
        </w:rPr>
        <w:t> </w:t>
      </w:r>
      <w:r>
        <w:rPr/>
        <w:t>adicionan</w:t>
      </w:r>
      <w:r>
        <w:rPr>
          <w:spacing w:val="-16"/>
        </w:rPr>
        <w:t> </w:t>
      </w:r>
      <w:r>
        <w:rPr/>
        <w:t>diversas</w:t>
      </w:r>
      <w:r>
        <w:rPr>
          <w:spacing w:val="-14"/>
        </w:rPr>
        <w:t> </w:t>
      </w:r>
      <w:r>
        <w:rPr/>
        <w:t>disposiciones</w:t>
      </w:r>
      <w:r>
        <w:rPr>
          <w:spacing w:val="-16"/>
        </w:rPr>
        <w:t> </w:t>
      </w:r>
      <w:r>
        <w:rPr/>
        <w:t>de</w:t>
      </w:r>
      <w:r>
        <w:rPr>
          <w:spacing w:val="-14"/>
        </w:rPr>
        <w:t> </w:t>
      </w:r>
      <w:r>
        <w:rPr/>
        <w:t>la</w:t>
      </w:r>
      <w:r>
        <w:rPr>
          <w:spacing w:val="-16"/>
        </w:rPr>
        <w:t> </w:t>
      </w:r>
      <w:r>
        <w:rPr/>
        <w:t>Ley</w:t>
      </w:r>
      <w:r>
        <w:rPr>
          <w:spacing w:val="-16"/>
        </w:rPr>
        <w:t> </w:t>
      </w:r>
      <w:r>
        <w:rPr/>
        <w:t>de</w:t>
      </w:r>
      <w:r>
        <w:rPr>
          <w:spacing w:val="-14"/>
        </w:rPr>
        <w:t> </w:t>
      </w:r>
      <w:r>
        <w:rPr/>
        <w:t>Coordinación</w:t>
      </w:r>
      <w:r>
        <w:rPr>
          <w:spacing w:val="-14"/>
        </w:rPr>
        <w:t> </w:t>
      </w:r>
      <w:r>
        <w:rPr/>
        <w:t>Fiscal y</w:t>
      </w:r>
      <w:r>
        <w:rPr>
          <w:spacing w:val="-14"/>
        </w:rPr>
        <w:t> </w:t>
      </w:r>
      <w:r>
        <w:rPr/>
        <w:t>la</w:t>
      </w:r>
      <w:r>
        <w:rPr>
          <w:spacing w:val="-12"/>
        </w:rPr>
        <w:t> </w:t>
      </w:r>
      <w:r>
        <w:rPr/>
        <w:t>Ley</w:t>
      </w:r>
      <w:r>
        <w:rPr>
          <w:spacing w:val="-14"/>
        </w:rPr>
        <w:t> </w:t>
      </w:r>
      <w:r>
        <w:rPr/>
        <w:t>General</w:t>
      </w:r>
      <w:r>
        <w:rPr>
          <w:spacing w:val="-13"/>
        </w:rPr>
        <w:t> </w:t>
      </w:r>
      <w:r>
        <w:rPr/>
        <w:t>de</w:t>
      </w:r>
      <w:r>
        <w:rPr>
          <w:spacing w:val="-12"/>
        </w:rPr>
        <w:t> </w:t>
      </w:r>
      <w:r>
        <w:rPr/>
        <w:t>Contabilidad</w:t>
      </w:r>
      <w:r>
        <w:rPr>
          <w:spacing w:val="-12"/>
        </w:rPr>
        <w:t> </w:t>
      </w:r>
      <w:r>
        <w:rPr/>
        <w:t>Gubernamental”</w:t>
      </w:r>
      <w:r>
        <w:rPr>
          <w:spacing w:val="-9"/>
        </w:rPr>
        <w:t> </w:t>
      </w:r>
      <w:r>
        <w:rPr>
          <w:i/>
        </w:rPr>
        <w:t>en</w:t>
      </w:r>
      <w:r>
        <w:rPr>
          <w:i/>
          <w:spacing w:val="-12"/>
        </w:rPr>
        <w:t> </w:t>
      </w:r>
      <w:r>
        <w:rPr>
          <w:i/>
        </w:rPr>
        <w:t>Diario</w:t>
      </w:r>
      <w:r>
        <w:rPr>
          <w:i/>
          <w:spacing w:val="-13"/>
        </w:rPr>
        <w:t> </w:t>
      </w:r>
      <w:r>
        <w:rPr>
          <w:i/>
        </w:rPr>
        <w:t>de</w:t>
      </w:r>
      <w:r>
        <w:rPr>
          <w:i/>
          <w:spacing w:val="-12"/>
        </w:rPr>
        <w:t> </w:t>
      </w:r>
      <w:r>
        <w:rPr>
          <w:i/>
        </w:rPr>
        <w:t>la</w:t>
      </w:r>
      <w:r>
        <w:rPr>
          <w:i/>
          <w:spacing w:val="-12"/>
        </w:rPr>
        <w:t> </w:t>
      </w:r>
      <w:r>
        <w:rPr>
          <w:i/>
        </w:rPr>
        <w:t>Federación, </w:t>
      </w:r>
      <w:r>
        <w:rPr/>
        <w:t>2da sección, 09 de</w:t>
      </w:r>
      <w:r>
        <w:rPr>
          <w:spacing w:val="-9"/>
        </w:rPr>
        <w:t> </w:t>
      </w:r>
      <w:r>
        <w:rPr/>
        <w:t>Diciembre.</w:t>
      </w:r>
    </w:p>
    <w:p>
      <w:pPr>
        <w:pStyle w:val="BodyText"/>
        <w:spacing w:before="3"/>
      </w:pPr>
    </w:p>
    <w:p>
      <w:pPr>
        <w:pStyle w:val="BodyText"/>
        <w:ind w:left="102"/>
      </w:pPr>
      <w:r>
        <w:rPr/>
        <w:t>SEDESOL (2015). </w:t>
      </w:r>
      <w:hyperlink r:id="rId45">
        <w:r>
          <w:rPr/>
          <w:t>www.sedesol.gob.mx/en/SEDESOL/Informe_fais</w:t>
        </w:r>
      </w:hyperlink>
    </w:p>
    <w:p>
      <w:pPr>
        <w:spacing w:after="0"/>
        <w:sectPr>
          <w:pgSz w:w="12240" w:h="15840"/>
          <w:pgMar w:header="0" w:footer="992" w:top="1360" w:bottom="1180" w:left="1600" w:right="1580"/>
        </w:sectPr>
      </w:pPr>
    </w:p>
    <w:p>
      <w:pPr>
        <w:spacing w:line="278" w:lineRule="auto" w:before="51"/>
        <w:ind w:left="810" w:right="120" w:hanging="708"/>
        <w:jc w:val="both"/>
        <w:rPr>
          <w:sz w:val="24"/>
        </w:rPr>
      </w:pPr>
      <w:r>
        <w:rPr>
          <w:sz w:val="24"/>
        </w:rPr>
        <w:t>SIMON, Herbet A., (1988). </w:t>
      </w:r>
      <w:r>
        <w:rPr>
          <w:i/>
          <w:sz w:val="24"/>
        </w:rPr>
        <w:t>El comportamiento administrativo. Estudio de los </w:t>
      </w:r>
      <w:r>
        <w:rPr>
          <w:i/>
          <w:sz w:val="24"/>
        </w:rPr>
        <w:t>procesos de adopción de decisiones en la organización administrativa, </w:t>
      </w:r>
      <w:r>
        <w:rPr>
          <w:sz w:val="24"/>
        </w:rPr>
        <w:t>Argentina: Aguilar Argentina S.A de C.V.</w:t>
      </w:r>
    </w:p>
    <w:p>
      <w:pPr>
        <w:pStyle w:val="BodyText"/>
      </w:pPr>
    </w:p>
    <w:p>
      <w:pPr>
        <w:spacing w:line="276" w:lineRule="auto" w:before="0"/>
        <w:ind w:left="810" w:right="122" w:hanging="708"/>
        <w:jc w:val="both"/>
        <w:rPr>
          <w:sz w:val="24"/>
        </w:rPr>
      </w:pPr>
      <w:r>
        <w:rPr>
          <w:sz w:val="24"/>
        </w:rPr>
        <w:t>SOJO,</w:t>
      </w:r>
      <w:r>
        <w:rPr>
          <w:spacing w:val="-13"/>
          <w:sz w:val="24"/>
        </w:rPr>
        <w:t> </w:t>
      </w:r>
      <w:r>
        <w:rPr>
          <w:sz w:val="24"/>
        </w:rPr>
        <w:t>Carlos,</w:t>
      </w:r>
      <w:r>
        <w:rPr>
          <w:spacing w:val="-13"/>
          <w:sz w:val="24"/>
        </w:rPr>
        <w:t> </w:t>
      </w:r>
      <w:r>
        <w:rPr>
          <w:sz w:val="24"/>
        </w:rPr>
        <w:t>(2004).</w:t>
      </w:r>
      <w:r>
        <w:rPr>
          <w:spacing w:val="-17"/>
          <w:sz w:val="24"/>
        </w:rPr>
        <w:t> </w:t>
      </w:r>
      <w:r>
        <w:rPr>
          <w:sz w:val="24"/>
        </w:rPr>
        <w:t>“Desarrollo</w:t>
      </w:r>
      <w:r>
        <w:rPr>
          <w:spacing w:val="-13"/>
          <w:sz w:val="24"/>
        </w:rPr>
        <w:t> </w:t>
      </w:r>
      <w:r>
        <w:rPr>
          <w:sz w:val="24"/>
        </w:rPr>
        <w:t>social,</w:t>
      </w:r>
      <w:r>
        <w:rPr>
          <w:spacing w:val="-13"/>
          <w:sz w:val="24"/>
        </w:rPr>
        <w:t> </w:t>
      </w:r>
      <w:r>
        <w:rPr>
          <w:sz w:val="24"/>
        </w:rPr>
        <w:t>integración</w:t>
      </w:r>
      <w:r>
        <w:rPr>
          <w:spacing w:val="-13"/>
          <w:sz w:val="24"/>
        </w:rPr>
        <w:t> </w:t>
      </w:r>
      <w:r>
        <w:rPr>
          <w:sz w:val="24"/>
        </w:rPr>
        <w:t>y</w:t>
      </w:r>
      <w:r>
        <w:rPr>
          <w:spacing w:val="-16"/>
          <w:sz w:val="24"/>
        </w:rPr>
        <w:t> </w:t>
      </w:r>
      <w:r>
        <w:rPr>
          <w:sz w:val="24"/>
        </w:rPr>
        <w:t>políticas</w:t>
      </w:r>
      <w:r>
        <w:rPr>
          <w:spacing w:val="-14"/>
          <w:sz w:val="24"/>
        </w:rPr>
        <w:t> </w:t>
      </w:r>
      <w:r>
        <w:rPr>
          <w:sz w:val="24"/>
        </w:rPr>
        <w:t>públicas”,</w:t>
      </w:r>
      <w:r>
        <w:rPr>
          <w:spacing w:val="-14"/>
          <w:sz w:val="24"/>
        </w:rPr>
        <w:t> </w:t>
      </w:r>
      <w:r>
        <w:rPr>
          <w:sz w:val="24"/>
        </w:rPr>
        <w:t>en</w:t>
      </w:r>
      <w:r>
        <w:rPr>
          <w:spacing w:val="-13"/>
          <w:sz w:val="24"/>
        </w:rPr>
        <w:t> </w:t>
      </w:r>
      <w:r>
        <w:rPr>
          <w:sz w:val="24"/>
        </w:rPr>
        <w:t>Goma, Ricard y J. Jordana (eds.), </w:t>
      </w:r>
      <w:r>
        <w:rPr>
          <w:i/>
          <w:sz w:val="24"/>
        </w:rPr>
        <w:t>Descentralización y políticas sociales en América </w:t>
      </w:r>
      <w:r>
        <w:rPr>
          <w:i/>
          <w:sz w:val="24"/>
        </w:rPr>
        <w:t>Latina, </w:t>
      </w:r>
      <w:r>
        <w:rPr>
          <w:sz w:val="24"/>
        </w:rPr>
        <w:t>Barcelona: Fundación</w:t>
      </w:r>
      <w:r>
        <w:rPr>
          <w:spacing w:val="-8"/>
          <w:sz w:val="24"/>
        </w:rPr>
        <w:t> </w:t>
      </w:r>
      <w:r>
        <w:rPr>
          <w:sz w:val="24"/>
        </w:rPr>
        <w:t>CODOB.</w:t>
      </w:r>
    </w:p>
    <w:p>
      <w:pPr>
        <w:pStyle w:val="BodyText"/>
        <w:spacing w:before="7"/>
      </w:pPr>
    </w:p>
    <w:p>
      <w:pPr>
        <w:pStyle w:val="BodyText"/>
        <w:spacing w:line="276" w:lineRule="auto" w:before="1"/>
        <w:ind w:left="810" w:right="120" w:hanging="708"/>
        <w:jc w:val="both"/>
      </w:pPr>
      <w:r>
        <w:rPr/>
        <w:t>SCHECHTER, Stephen L., (2000) “Elementos teóricos del federalismo la perspectiva de Estados Unidos” en Márquez Padilla, P. Consuelo y Castro Rea, J. (coords), </w:t>
      </w:r>
      <w:r>
        <w:rPr>
          <w:i/>
        </w:rPr>
        <w:t>El Nuevo Federalismo en América del Norte, </w:t>
      </w:r>
      <w:r>
        <w:rPr/>
        <w:t>México: Universidad Nacional Autónoma de México.</w:t>
      </w:r>
    </w:p>
    <w:p>
      <w:pPr>
        <w:pStyle w:val="BodyText"/>
        <w:spacing w:before="3"/>
      </w:pPr>
    </w:p>
    <w:p>
      <w:pPr>
        <w:spacing w:line="276" w:lineRule="auto" w:before="0"/>
        <w:ind w:left="102" w:right="115" w:firstLine="0"/>
        <w:jc w:val="right"/>
        <w:rPr>
          <w:sz w:val="24"/>
        </w:rPr>
      </w:pPr>
      <w:r>
        <w:rPr>
          <w:sz w:val="24"/>
        </w:rPr>
        <w:t>SZÉKELY Pard, Miguel, (2006).”Federalismo y política social en México” en</w:t>
      </w:r>
      <w:r>
        <w:rPr>
          <w:w w:val="99"/>
          <w:sz w:val="24"/>
        </w:rPr>
        <w:t> </w:t>
      </w:r>
      <w:r>
        <w:rPr>
          <w:sz w:val="24"/>
        </w:rPr>
        <w:t>IBERGOP-MÉXICO, </w:t>
      </w:r>
      <w:r>
        <w:rPr>
          <w:i/>
          <w:sz w:val="24"/>
        </w:rPr>
        <w:t>Política Social para la equidad, </w:t>
      </w:r>
      <w:r>
        <w:rPr>
          <w:sz w:val="24"/>
        </w:rPr>
        <w:t>México: editorial Porrúa.</w:t>
      </w:r>
    </w:p>
    <w:p>
      <w:pPr>
        <w:pStyle w:val="BodyText"/>
        <w:spacing w:before="7"/>
      </w:pPr>
    </w:p>
    <w:p>
      <w:pPr>
        <w:spacing w:line="273" w:lineRule="auto" w:before="1"/>
        <w:ind w:left="810" w:right="119" w:hanging="708"/>
        <w:jc w:val="both"/>
        <w:rPr>
          <w:sz w:val="24"/>
        </w:rPr>
      </w:pPr>
      <w:r>
        <w:rPr>
          <w:sz w:val="24"/>
        </w:rPr>
        <w:t>TERRAZAS</w:t>
      </w:r>
      <w:r>
        <w:rPr>
          <w:spacing w:val="-7"/>
          <w:sz w:val="24"/>
        </w:rPr>
        <w:t> </w:t>
      </w:r>
      <w:r>
        <w:rPr>
          <w:sz w:val="24"/>
        </w:rPr>
        <w:t>Solís,</w:t>
      </w:r>
      <w:r>
        <w:rPr>
          <w:spacing w:val="-7"/>
          <w:sz w:val="24"/>
        </w:rPr>
        <w:t> </w:t>
      </w:r>
      <w:r>
        <w:rPr>
          <w:sz w:val="24"/>
        </w:rPr>
        <w:t>Barceló,</w:t>
      </w:r>
      <w:r>
        <w:rPr>
          <w:spacing w:val="-5"/>
          <w:sz w:val="24"/>
        </w:rPr>
        <w:t> </w:t>
      </w:r>
      <w:r>
        <w:rPr>
          <w:sz w:val="24"/>
        </w:rPr>
        <w:t>Amabilia,</w:t>
      </w:r>
      <w:r>
        <w:rPr>
          <w:spacing w:val="-7"/>
          <w:sz w:val="24"/>
        </w:rPr>
        <w:t> </w:t>
      </w:r>
      <w:r>
        <w:rPr>
          <w:sz w:val="24"/>
        </w:rPr>
        <w:t>(2004).</w:t>
      </w:r>
      <w:r>
        <w:rPr>
          <w:spacing w:val="-13"/>
          <w:sz w:val="24"/>
        </w:rPr>
        <w:t> </w:t>
      </w:r>
      <w:r>
        <w:rPr>
          <w:sz w:val="24"/>
        </w:rPr>
        <w:t>“Federalismo</w:t>
      </w:r>
      <w:r>
        <w:rPr>
          <w:spacing w:val="-9"/>
          <w:sz w:val="24"/>
        </w:rPr>
        <w:t> </w:t>
      </w:r>
      <w:r>
        <w:rPr>
          <w:sz w:val="24"/>
        </w:rPr>
        <w:t>y</w:t>
      </w:r>
      <w:r>
        <w:rPr>
          <w:spacing w:val="-10"/>
          <w:sz w:val="24"/>
        </w:rPr>
        <w:t> </w:t>
      </w:r>
      <w:r>
        <w:rPr>
          <w:sz w:val="24"/>
        </w:rPr>
        <w:t>coordinación</w:t>
      </w:r>
      <w:r>
        <w:rPr>
          <w:spacing w:val="-9"/>
          <w:sz w:val="24"/>
        </w:rPr>
        <w:t> </w:t>
      </w:r>
      <w:r>
        <w:rPr>
          <w:sz w:val="24"/>
        </w:rPr>
        <w:t>fiscal”</w:t>
      </w:r>
      <w:r>
        <w:rPr>
          <w:spacing w:val="-9"/>
          <w:sz w:val="24"/>
        </w:rPr>
        <w:t> </w:t>
      </w:r>
      <w:r>
        <w:rPr>
          <w:sz w:val="24"/>
        </w:rPr>
        <w:t>en Calderón Salazar, Jorge (coord.), </w:t>
      </w:r>
      <w:r>
        <w:rPr>
          <w:i/>
          <w:sz w:val="24"/>
        </w:rPr>
        <w:t>Federalismo Hacendario en México.</w:t>
      </w:r>
      <w:r>
        <w:rPr>
          <w:i/>
          <w:spacing w:val="-42"/>
          <w:sz w:val="24"/>
        </w:rPr>
        <w:t> </w:t>
      </w:r>
      <w:r>
        <w:rPr>
          <w:i/>
          <w:sz w:val="24"/>
        </w:rPr>
        <w:t>Resto </w:t>
      </w:r>
      <w:r>
        <w:rPr>
          <w:i/>
          <w:sz w:val="24"/>
        </w:rPr>
        <w:t>y Alternativas, </w:t>
      </w:r>
      <w:r>
        <w:rPr>
          <w:sz w:val="24"/>
        </w:rPr>
        <w:t>México: Instituto de Estudios de la Revolución</w:t>
      </w:r>
      <w:r>
        <w:rPr>
          <w:spacing w:val="-24"/>
          <w:sz w:val="24"/>
        </w:rPr>
        <w:t> </w:t>
      </w:r>
      <w:r>
        <w:rPr>
          <w:sz w:val="24"/>
        </w:rPr>
        <w:t>Democrática.</w:t>
      </w:r>
    </w:p>
    <w:p>
      <w:pPr>
        <w:pStyle w:val="BodyText"/>
        <w:spacing w:before="8"/>
      </w:pPr>
    </w:p>
    <w:p>
      <w:pPr>
        <w:spacing w:before="0"/>
        <w:ind w:left="102" w:right="0" w:firstLine="0"/>
        <w:jc w:val="left"/>
        <w:rPr>
          <w:i/>
          <w:sz w:val="24"/>
        </w:rPr>
      </w:pPr>
      <w:r>
        <w:rPr>
          <w:sz w:val="24"/>
        </w:rPr>
        <w:t>TORRES,  Blanca  (comp.),  (1986).  </w:t>
      </w:r>
      <w:r>
        <w:rPr>
          <w:i/>
          <w:sz w:val="24"/>
        </w:rPr>
        <w:t>Descentralización  y  democracia  en México,</w:t>
      </w:r>
    </w:p>
    <w:p>
      <w:pPr>
        <w:pStyle w:val="BodyText"/>
        <w:spacing w:before="45"/>
        <w:ind w:left="810" w:right="3182"/>
      </w:pPr>
      <w:r>
        <w:rPr/>
        <w:t>México: El Colegio de México.</w:t>
      </w:r>
    </w:p>
    <w:p>
      <w:pPr>
        <w:pStyle w:val="BodyText"/>
        <w:spacing w:before="6"/>
        <w:rPr>
          <w:sz w:val="27"/>
        </w:rPr>
      </w:pPr>
    </w:p>
    <w:p>
      <w:pPr>
        <w:spacing w:line="278" w:lineRule="auto" w:before="0"/>
        <w:ind w:left="810" w:right="118" w:hanging="708"/>
        <w:jc w:val="both"/>
        <w:rPr>
          <w:sz w:val="24"/>
        </w:rPr>
      </w:pPr>
      <w:r>
        <w:rPr>
          <w:sz w:val="24"/>
        </w:rPr>
        <w:t>VELÁZQUEZ Luna, Baldomero, (2012). </w:t>
      </w:r>
      <w:r>
        <w:rPr>
          <w:i/>
          <w:sz w:val="24"/>
        </w:rPr>
        <w:t>Los programas sociales en México como </w:t>
      </w:r>
      <w:r>
        <w:rPr>
          <w:i/>
          <w:sz w:val="24"/>
        </w:rPr>
        <w:t>sustento de la economía social y solidaria, </w:t>
      </w:r>
      <w:r>
        <w:rPr>
          <w:sz w:val="24"/>
        </w:rPr>
        <w:t>México: Instituto Belisario Domínguez.</w:t>
      </w:r>
    </w:p>
    <w:p>
      <w:pPr>
        <w:pStyle w:val="BodyText"/>
      </w:pPr>
    </w:p>
    <w:p>
      <w:pPr>
        <w:spacing w:line="276" w:lineRule="auto" w:before="0"/>
        <w:ind w:left="810" w:right="118" w:hanging="708"/>
        <w:jc w:val="both"/>
        <w:rPr>
          <w:sz w:val="24"/>
        </w:rPr>
      </w:pPr>
      <w:r>
        <w:rPr>
          <w:sz w:val="24"/>
        </w:rPr>
        <w:t>VICTORIA Marín, Alfredo Carlos, (2015). </w:t>
      </w:r>
      <w:r>
        <w:rPr>
          <w:i/>
          <w:sz w:val="24"/>
        </w:rPr>
        <w:t>Diagnóstico sobre el ejercicio, control, </w:t>
      </w:r>
      <w:r>
        <w:rPr>
          <w:i/>
          <w:sz w:val="24"/>
        </w:rPr>
        <w:t>evaluación y transparencia del gasto público federalizado de los municipios del Estado de México, </w:t>
      </w:r>
      <w:r>
        <w:rPr>
          <w:sz w:val="24"/>
        </w:rPr>
        <w:t>México: Instituto Hacendario del Estado de México.</w:t>
      </w:r>
    </w:p>
    <w:p>
      <w:pPr>
        <w:pStyle w:val="BodyText"/>
        <w:spacing w:before="5"/>
      </w:pPr>
    </w:p>
    <w:p>
      <w:pPr>
        <w:spacing w:line="278" w:lineRule="auto" w:before="0"/>
        <w:ind w:left="810" w:right="116" w:hanging="708"/>
        <w:jc w:val="both"/>
        <w:rPr>
          <w:sz w:val="24"/>
        </w:rPr>
      </w:pPr>
      <w:r>
        <w:rPr>
          <w:sz w:val="24"/>
        </w:rPr>
        <w:t>WARD, Edwards (comp.), (1979). </w:t>
      </w:r>
      <w:r>
        <w:rPr>
          <w:i/>
          <w:sz w:val="24"/>
        </w:rPr>
        <w:t>Toma de decisiones</w:t>
      </w:r>
      <w:r>
        <w:rPr>
          <w:sz w:val="24"/>
        </w:rPr>
        <w:t>, México: Fondo de Cultura Económica.</w:t>
      </w:r>
    </w:p>
    <w:p>
      <w:pPr>
        <w:pStyle w:val="BodyText"/>
      </w:pPr>
    </w:p>
    <w:p>
      <w:pPr>
        <w:spacing w:line="280" w:lineRule="auto" w:before="1"/>
        <w:ind w:left="810" w:right="115" w:hanging="708"/>
        <w:jc w:val="both"/>
        <w:rPr>
          <w:sz w:val="24"/>
        </w:rPr>
      </w:pPr>
      <w:r>
        <w:rPr>
          <w:sz w:val="24"/>
        </w:rPr>
        <w:t>WRIGHT, Deil S., (1997). </w:t>
      </w:r>
      <w:r>
        <w:rPr>
          <w:i/>
          <w:sz w:val="24"/>
        </w:rPr>
        <w:t>Para entender las relaciones intergubernamentales</w:t>
      </w:r>
      <w:r>
        <w:rPr>
          <w:sz w:val="24"/>
        </w:rPr>
        <w:t>, México: Fondo de Cultura Económica.</w:t>
      </w:r>
    </w:p>
    <w:p>
      <w:pPr>
        <w:pStyle w:val="BodyText"/>
        <w:spacing w:before="6"/>
        <w:rPr>
          <w:sz w:val="23"/>
        </w:rPr>
      </w:pPr>
    </w:p>
    <w:p>
      <w:pPr>
        <w:spacing w:line="242" w:lineRule="auto" w:before="0"/>
        <w:ind w:left="810" w:right="117" w:hanging="708"/>
        <w:jc w:val="both"/>
        <w:rPr>
          <w:sz w:val="24"/>
        </w:rPr>
      </w:pPr>
      <w:r>
        <w:rPr>
          <w:sz w:val="24"/>
        </w:rPr>
        <w:t>ZAPATA Perogordo, Alejandro y Meade Hervert, Oliver, (2008). </w:t>
      </w:r>
      <w:r>
        <w:rPr>
          <w:i/>
          <w:sz w:val="24"/>
        </w:rPr>
        <w:t>Organización y </w:t>
      </w:r>
      <w:r>
        <w:rPr>
          <w:i/>
          <w:sz w:val="24"/>
        </w:rPr>
        <w:t>gestión municipal</w:t>
      </w:r>
      <w:r>
        <w:rPr>
          <w:sz w:val="24"/>
        </w:rPr>
        <w:t>, México: Porrúa S.A.</w:t>
      </w:r>
    </w:p>
    <w:p>
      <w:pPr>
        <w:pStyle w:val="BodyText"/>
        <w:spacing w:before="2"/>
      </w:pPr>
    </w:p>
    <w:p>
      <w:pPr>
        <w:pStyle w:val="BodyText"/>
        <w:ind w:left="102" w:right="3182"/>
      </w:pPr>
      <w:r>
        <w:rPr/>
        <w:t>Entrevistas</w:t>
      </w:r>
    </w:p>
    <w:p>
      <w:pPr>
        <w:spacing w:after="0"/>
        <w:sectPr>
          <w:pgSz w:w="12240" w:h="15840"/>
          <w:pgMar w:header="0" w:footer="992" w:top="1360" w:bottom="1180" w:left="1600" w:right="1580"/>
        </w:sectPr>
      </w:pPr>
    </w:p>
    <w:p>
      <w:pPr>
        <w:spacing w:line="242" w:lineRule="auto" w:before="51"/>
        <w:ind w:left="810" w:right="100" w:hanging="708"/>
        <w:jc w:val="both"/>
        <w:rPr>
          <w:sz w:val="24"/>
        </w:rPr>
      </w:pPr>
      <w:r>
        <w:rPr>
          <w:sz w:val="24"/>
        </w:rPr>
        <w:t>OSORNO Soberón, Francisco, (2014). </w:t>
      </w:r>
      <w:r>
        <w:rPr>
          <w:i/>
          <w:sz w:val="24"/>
        </w:rPr>
        <w:t>Entrevista realizada por María Dolores </w:t>
      </w:r>
      <w:r>
        <w:rPr>
          <w:i/>
          <w:sz w:val="24"/>
        </w:rPr>
        <w:t>Fernández Pilar, </w:t>
      </w:r>
      <w:r>
        <w:rPr>
          <w:sz w:val="24"/>
        </w:rPr>
        <w:t>02 de Agosto, en las instalaciones de la Presidencia municipal de Chalco, Estado de México.</w:t>
      </w:r>
    </w:p>
    <w:p>
      <w:pPr>
        <w:pStyle w:val="BodyText"/>
        <w:spacing w:before="11"/>
        <w:rPr>
          <w:sz w:val="23"/>
        </w:rPr>
      </w:pPr>
    </w:p>
    <w:p>
      <w:pPr>
        <w:spacing w:line="240" w:lineRule="auto" w:before="0"/>
        <w:ind w:left="810" w:right="100" w:hanging="708"/>
        <w:jc w:val="both"/>
        <w:rPr>
          <w:sz w:val="24"/>
        </w:rPr>
      </w:pPr>
      <w:r>
        <w:rPr>
          <w:sz w:val="24"/>
        </w:rPr>
        <w:t>SANTOS Amador, Carlos, (2014). </w:t>
      </w:r>
      <w:r>
        <w:rPr>
          <w:i/>
          <w:sz w:val="24"/>
        </w:rPr>
        <w:t>Entrevista realizada por María Dolores </w:t>
      </w:r>
      <w:r>
        <w:rPr>
          <w:i/>
          <w:sz w:val="24"/>
        </w:rPr>
        <w:t>Fernández</w:t>
      </w:r>
      <w:r>
        <w:rPr>
          <w:i/>
          <w:spacing w:val="-23"/>
          <w:sz w:val="24"/>
        </w:rPr>
        <w:t> </w:t>
      </w:r>
      <w:r>
        <w:rPr>
          <w:i/>
          <w:sz w:val="24"/>
        </w:rPr>
        <w:t>Pilar,</w:t>
      </w:r>
      <w:r>
        <w:rPr>
          <w:i/>
          <w:spacing w:val="-15"/>
          <w:sz w:val="24"/>
        </w:rPr>
        <w:t> </w:t>
      </w:r>
      <w:r>
        <w:rPr>
          <w:sz w:val="24"/>
        </w:rPr>
        <w:t>15</w:t>
      </w:r>
      <w:r>
        <w:rPr>
          <w:spacing w:val="-17"/>
          <w:sz w:val="24"/>
        </w:rPr>
        <w:t> </w:t>
      </w:r>
      <w:r>
        <w:rPr>
          <w:sz w:val="24"/>
        </w:rPr>
        <w:t>de</w:t>
      </w:r>
      <w:r>
        <w:rPr>
          <w:spacing w:val="-19"/>
          <w:sz w:val="24"/>
        </w:rPr>
        <w:t> </w:t>
      </w:r>
      <w:r>
        <w:rPr>
          <w:sz w:val="24"/>
        </w:rPr>
        <w:t>Agosto</w:t>
      </w:r>
      <w:r>
        <w:rPr>
          <w:spacing w:val="-17"/>
          <w:sz w:val="24"/>
        </w:rPr>
        <w:t> </w:t>
      </w:r>
      <w:r>
        <w:rPr>
          <w:sz w:val="24"/>
        </w:rPr>
        <w:t>de</w:t>
      </w:r>
      <w:r>
        <w:rPr>
          <w:spacing w:val="-17"/>
          <w:sz w:val="24"/>
        </w:rPr>
        <w:t> </w:t>
      </w:r>
      <w:r>
        <w:rPr>
          <w:sz w:val="24"/>
        </w:rPr>
        <w:t>2014,</w:t>
      </w:r>
      <w:r>
        <w:rPr>
          <w:spacing w:val="-17"/>
          <w:sz w:val="24"/>
        </w:rPr>
        <w:t> </w:t>
      </w:r>
      <w:r>
        <w:rPr>
          <w:sz w:val="24"/>
        </w:rPr>
        <w:t>en</w:t>
      </w:r>
      <w:r>
        <w:rPr>
          <w:spacing w:val="-15"/>
          <w:sz w:val="24"/>
        </w:rPr>
        <w:t> </w:t>
      </w:r>
      <w:r>
        <w:rPr>
          <w:sz w:val="24"/>
        </w:rPr>
        <w:t>las</w:t>
      </w:r>
      <w:r>
        <w:rPr>
          <w:spacing w:val="-20"/>
          <w:sz w:val="24"/>
        </w:rPr>
        <w:t> </w:t>
      </w:r>
      <w:r>
        <w:rPr>
          <w:sz w:val="24"/>
        </w:rPr>
        <w:t>instalaciones</w:t>
      </w:r>
      <w:r>
        <w:rPr>
          <w:spacing w:val="-18"/>
          <w:sz w:val="24"/>
        </w:rPr>
        <w:t> </w:t>
      </w:r>
      <w:r>
        <w:rPr>
          <w:sz w:val="24"/>
        </w:rPr>
        <w:t>de</w:t>
      </w:r>
      <w:r>
        <w:rPr>
          <w:spacing w:val="-17"/>
          <w:sz w:val="24"/>
        </w:rPr>
        <w:t> </w:t>
      </w:r>
      <w:r>
        <w:rPr>
          <w:sz w:val="24"/>
        </w:rPr>
        <w:t>la</w:t>
      </w:r>
      <w:r>
        <w:rPr>
          <w:spacing w:val="-17"/>
          <w:sz w:val="24"/>
        </w:rPr>
        <w:t> </w:t>
      </w:r>
      <w:r>
        <w:rPr>
          <w:sz w:val="24"/>
        </w:rPr>
        <w:t>Presidencia municipal de Amecameca, Estado de</w:t>
      </w:r>
      <w:r>
        <w:rPr>
          <w:spacing w:val="-17"/>
          <w:sz w:val="24"/>
        </w:rPr>
        <w:t> </w:t>
      </w:r>
      <w:r>
        <w:rPr>
          <w:sz w:val="24"/>
        </w:rPr>
        <w:t>México.</w:t>
      </w:r>
    </w:p>
    <w:p>
      <w:pPr>
        <w:spacing w:after="0" w:line="240" w:lineRule="auto"/>
        <w:jc w:val="both"/>
        <w:rPr>
          <w:sz w:val="24"/>
        </w:rPr>
        <w:sectPr>
          <w:pgSz w:w="12240" w:h="15840"/>
          <w:pgMar w:header="0" w:footer="992" w:top="1360" w:bottom="118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pStyle w:val="Heading1"/>
        <w:spacing w:before="65"/>
        <w:ind w:left="3874" w:right="3874"/>
        <w:jc w:val="center"/>
      </w:pPr>
      <w:bookmarkStart w:name="_TOC_250000" w:id="52"/>
      <w:bookmarkEnd w:id="52"/>
      <w:r>
        <w:rPr/>
        <w:t>Anexos</w:t>
      </w:r>
    </w:p>
    <w:p>
      <w:pPr>
        <w:spacing w:after="0"/>
        <w:jc w:val="center"/>
        <w:sectPr>
          <w:pgSz w:w="12240" w:h="15840"/>
          <w:pgMar w:header="0" w:footer="992" w:top="1500" w:bottom="1180" w:left="1720" w:right="1720"/>
        </w:sectPr>
      </w:pPr>
    </w:p>
    <w:p>
      <w:pPr>
        <w:pStyle w:val="BodyText"/>
        <w:rPr>
          <w:b/>
          <w:sz w:val="20"/>
        </w:rPr>
      </w:pPr>
    </w:p>
    <w:p>
      <w:pPr>
        <w:pStyle w:val="BodyText"/>
        <w:spacing w:before="10"/>
        <w:rPr>
          <w:b/>
          <w:sz w:val="28"/>
        </w:rPr>
      </w:pPr>
    </w:p>
    <w:p>
      <w:pPr>
        <w:pStyle w:val="BodyText"/>
        <w:spacing w:before="70"/>
        <w:ind w:left="2002" w:right="1340"/>
      </w:pPr>
      <w:r>
        <w:rPr/>
        <w:t>Anexo 1.</w:t>
      </w:r>
    </w:p>
    <w:p>
      <w:pPr>
        <w:spacing w:before="142" w:after="7"/>
        <w:ind w:left="2780" w:right="1340" w:firstLine="0"/>
        <w:jc w:val="left"/>
        <w:rPr>
          <w:b/>
          <w:sz w:val="18"/>
        </w:rPr>
      </w:pPr>
      <w:r>
        <w:rPr>
          <w:b/>
          <w:w w:val="105"/>
          <w:sz w:val="18"/>
        </w:rPr>
        <w:t>Auditorías realizadas al Estado de México del período 2008-2014</w:t>
      </w:r>
    </w:p>
    <w:p>
      <w:pPr>
        <w:pStyle w:val="BodyText"/>
        <w:spacing w:line="20" w:lineRule="exact"/>
        <w:ind w:left="1886"/>
        <w:rPr>
          <w:sz w:val="2"/>
        </w:rPr>
      </w:pPr>
      <w:r>
        <w:rPr>
          <w:sz w:val="2"/>
        </w:rPr>
        <w:pict>
          <v:group style="width:381.3pt;height:.7pt;mso-position-horizontal-relative:char;mso-position-vertical-relative:line" coordorigin="0,0" coordsize="7626,14">
            <v:shape style="position:absolute;left:7;top:7;width:7612;height:2" coordorigin="7,7" coordsize="7612,0" path="m7,7l7,7,7618,7e" filled="false" stroked="true" strokeweight=".666956pt" strokecolor="#000000">
              <v:path arrowok="t"/>
            </v:shape>
          </v:group>
        </w:pict>
      </w:r>
      <w:r>
        <w:rPr>
          <w:sz w:val="2"/>
        </w:rPr>
      </w:r>
    </w:p>
    <w:p>
      <w:pPr>
        <w:pStyle w:val="BodyText"/>
        <w:spacing w:before="11"/>
        <w:rPr>
          <w:b/>
          <w:sz w:val="17"/>
        </w:rPr>
      </w:pPr>
    </w:p>
    <w:tbl>
      <w:tblPr>
        <w:tblW w:w="0" w:type="auto"/>
        <w:jc w:val="left"/>
        <w:tblInd w:w="188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10"/>
        <w:gridCol w:w="2944"/>
        <w:gridCol w:w="2753"/>
      </w:tblGrid>
      <w:tr>
        <w:trPr>
          <w:trHeight w:val="254" w:hRule="exact"/>
        </w:trPr>
        <w:tc>
          <w:tcPr>
            <w:tcW w:w="1910" w:type="dxa"/>
            <w:tcBorders>
              <w:left w:val="single" w:sz="6" w:space="0" w:color="000000"/>
              <w:right w:val="single" w:sz="6" w:space="0" w:color="000000"/>
            </w:tcBorders>
          </w:tcPr>
          <w:p>
            <w:pPr>
              <w:pStyle w:val="TableParagraph"/>
              <w:spacing w:before="6"/>
              <w:ind w:left="722" w:right="704"/>
              <w:jc w:val="center"/>
              <w:rPr>
                <w:b/>
                <w:sz w:val="20"/>
              </w:rPr>
            </w:pPr>
            <w:r>
              <w:rPr>
                <w:b/>
                <w:w w:val="110"/>
                <w:sz w:val="20"/>
              </w:rPr>
              <w:t>Año</w:t>
            </w:r>
          </w:p>
        </w:tc>
        <w:tc>
          <w:tcPr>
            <w:tcW w:w="2944" w:type="dxa"/>
            <w:tcBorders>
              <w:left w:val="single" w:sz="6" w:space="0" w:color="000000"/>
              <w:right w:val="single" w:sz="6" w:space="0" w:color="000000"/>
            </w:tcBorders>
          </w:tcPr>
          <w:p>
            <w:pPr>
              <w:pStyle w:val="TableParagraph"/>
              <w:spacing w:before="6"/>
              <w:ind w:left="1044" w:right="1026"/>
              <w:jc w:val="center"/>
              <w:rPr>
                <w:b/>
                <w:sz w:val="20"/>
              </w:rPr>
            </w:pPr>
            <w:r>
              <w:rPr>
                <w:b/>
                <w:w w:val="110"/>
                <w:sz w:val="20"/>
              </w:rPr>
              <w:t>FISMDF</w:t>
            </w:r>
          </w:p>
        </w:tc>
        <w:tc>
          <w:tcPr>
            <w:tcW w:w="2753" w:type="dxa"/>
            <w:tcBorders>
              <w:left w:val="single" w:sz="6" w:space="0" w:color="000000"/>
              <w:right w:val="single" w:sz="6" w:space="0" w:color="000000"/>
            </w:tcBorders>
          </w:tcPr>
          <w:p>
            <w:pPr>
              <w:pStyle w:val="TableParagraph"/>
              <w:spacing w:before="6"/>
              <w:ind w:left="605"/>
              <w:rPr>
                <w:b/>
                <w:sz w:val="20"/>
              </w:rPr>
            </w:pPr>
            <w:r>
              <w:rPr>
                <w:b/>
                <w:w w:val="110"/>
                <w:sz w:val="20"/>
              </w:rPr>
              <w:t>FORTAMUNDF</w:t>
            </w:r>
          </w:p>
        </w:tc>
      </w:tr>
      <w:tr>
        <w:trPr>
          <w:trHeight w:val="230" w:hRule="exact"/>
        </w:trPr>
        <w:tc>
          <w:tcPr>
            <w:tcW w:w="1910" w:type="dxa"/>
            <w:tcBorders>
              <w:left w:val="single" w:sz="6" w:space="0" w:color="000000"/>
              <w:bottom w:val="nil"/>
              <w:right w:val="single" w:sz="6" w:space="0" w:color="000000"/>
            </w:tcBorders>
            <w:shd w:val="clear" w:color="auto" w:fill="F1DCDB"/>
          </w:tcPr>
          <w:p>
            <w:pPr/>
          </w:p>
        </w:tc>
        <w:tc>
          <w:tcPr>
            <w:tcW w:w="2944" w:type="dxa"/>
            <w:tcBorders>
              <w:left w:val="single" w:sz="6" w:space="0" w:color="000000"/>
              <w:bottom w:val="nil"/>
              <w:right w:val="single" w:sz="6" w:space="0" w:color="000000"/>
            </w:tcBorders>
            <w:shd w:val="clear" w:color="auto" w:fill="F1DCDB"/>
          </w:tcPr>
          <w:p>
            <w:pPr>
              <w:pStyle w:val="TableParagraph"/>
              <w:spacing w:line="204" w:lineRule="exact"/>
              <w:ind w:left="27"/>
              <w:rPr>
                <w:sz w:val="18"/>
              </w:rPr>
            </w:pPr>
            <w:r>
              <w:rPr>
                <w:w w:val="105"/>
                <w:sz w:val="18"/>
              </w:rPr>
              <w:t>Almoloya de Juárez</w:t>
            </w:r>
          </w:p>
        </w:tc>
        <w:tc>
          <w:tcPr>
            <w:tcW w:w="2753" w:type="dxa"/>
            <w:tcBorders>
              <w:left w:val="single" w:sz="6" w:space="0" w:color="000000"/>
              <w:bottom w:val="nil"/>
              <w:right w:val="single" w:sz="6" w:space="0" w:color="000000"/>
            </w:tcBorders>
            <w:shd w:val="clear" w:color="auto" w:fill="F1DCDB"/>
          </w:tcPr>
          <w:p>
            <w:pPr>
              <w:pStyle w:val="TableParagraph"/>
              <w:spacing w:line="204" w:lineRule="exact"/>
              <w:ind w:left="27"/>
              <w:rPr>
                <w:sz w:val="18"/>
              </w:rPr>
            </w:pPr>
            <w:r>
              <w:rPr>
                <w:w w:val="105"/>
                <w:sz w:val="18"/>
              </w:rPr>
              <w:t>Chimalhuacán</w:t>
            </w:r>
          </w:p>
        </w:tc>
      </w:tr>
      <w:tr>
        <w:trPr>
          <w:trHeight w:val="452" w:hRule="exact"/>
        </w:trPr>
        <w:tc>
          <w:tcPr>
            <w:tcW w:w="1910" w:type="dxa"/>
            <w:tcBorders>
              <w:top w:val="nil"/>
              <w:left w:val="single" w:sz="6" w:space="0" w:color="000000"/>
              <w:bottom w:val="nil"/>
              <w:right w:val="single" w:sz="6" w:space="0" w:color="000000"/>
            </w:tcBorders>
            <w:shd w:val="clear" w:color="auto" w:fill="F1DCDB"/>
          </w:tcPr>
          <w:p>
            <w:pPr>
              <w:pStyle w:val="TableParagraph"/>
              <w:spacing w:before="111"/>
              <w:ind w:left="714" w:right="705"/>
              <w:jc w:val="center"/>
              <w:rPr>
                <w:sz w:val="18"/>
              </w:rPr>
            </w:pPr>
            <w:r>
              <w:rPr>
                <w:w w:val="105"/>
                <w:sz w:val="18"/>
              </w:rPr>
              <w:t>2008</w:t>
            </w:r>
          </w:p>
        </w:tc>
        <w:tc>
          <w:tcPr>
            <w:tcW w:w="2944" w:type="dxa"/>
            <w:tcBorders>
              <w:top w:val="nil"/>
              <w:left w:val="single" w:sz="6" w:space="0" w:color="000000"/>
              <w:bottom w:val="nil"/>
              <w:right w:val="single" w:sz="6" w:space="0" w:color="000000"/>
            </w:tcBorders>
            <w:shd w:val="clear" w:color="auto" w:fill="F1DCDB"/>
          </w:tcPr>
          <w:p>
            <w:pPr>
              <w:pStyle w:val="TableParagraph"/>
              <w:spacing w:line="261" w:lineRule="auto"/>
              <w:ind w:left="27" w:right="1590"/>
              <w:rPr>
                <w:sz w:val="18"/>
              </w:rPr>
            </w:pPr>
            <w:r>
              <w:rPr>
                <w:w w:val="105"/>
                <w:sz w:val="18"/>
              </w:rPr>
              <w:t>Chimalhuacán Nezahualcóyotl</w:t>
            </w:r>
          </w:p>
        </w:tc>
        <w:tc>
          <w:tcPr>
            <w:tcW w:w="2753"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Nezahualcóyotl</w:t>
            </w:r>
          </w:p>
        </w:tc>
      </w:tr>
      <w:tr>
        <w:trPr>
          <w:trHeight w:val="221" w:hRule="exact"/>
        </w:trPr>
        <w:tc>
          <w:tcPr>
            <w:tcW w:w="1910" w:type="dxa"/>
            <w:tcBorders>
              <w:top w:val="nil"/>
              <w:left w:val="single" w:sz="6" w:space="0" w:color="000000"/>
              <w:right w:val="single" w:sz="6" w:space="0" w:color="000000"/>
            </w:tcBorders>
            <w:shd w:val="clear" w:color="auto" w:fill="F1DCDB"/>
          </w:tcPr>
          <w:p>
            <w:pPr/>
          </w:p>
        </w:tc>
        <w:tc>
          <w:tcPr>
            <w:tcW w:w="2944" w:type="dxa"/>
            <w:tcBorders>
              <w:top w:val="nil"/>
              <w:left w:val="single" w:sz="6" w:space="0" w:color="000000"/>
              <w:right w:val="single" w:sz="6" w:space="0" w:color="000000"/>
            </w:tcBorders>
            <w:shd w:val="clear" w:color="auto" w:fill="F1DCDB"/>
          </w:tcPr>
          <w:p>
            <w:pPr>
              <w:pStyle w:val="TableParagraph"/>
              <w:ind w:left="27"/>
              <w:rPr>
                <w:sz w:val="18"/>
              </w:rPr>
            </w:pPr>
            <w:r>
              <w:rPr>
                <w:w w:val="105"/>
                <w:sz w:val="18"/>
              </w:rPr>
              <w:t>San Felipe del Progreso</w:t>
            </w:r>
          </w:p>
        </w:tc>
        <w:tc>
          <w:tcPr>
            <w:tcW w:w="2753" w:type="dxa"/>
            <w:tcBorders>
              <w:top w:val="nil"/>
              <w:left w:val="single" w:sz="6" w:space="0" w:color="000000"/>
              <w:right w:val="single" w:sz="6" w:space="0" w:color="000000"/>
            </w:tcBorders>
            <w:shd w:val="clear" w:color="auto" w:fill="F1DCDB"/>
          </w:tcPr>
          <w:p>
            <w:pPr/>
          </w:p>
        </w:tc>
      </w:tr>
      <w:tr>
        <w:trPr>
          <w:trHeight w:val="230" w:hRule="exact"/>
        </w:trPr>
        <w:tc>
          <w:tcPr>
            <w:tcW w:w="1910" w:type="dxa"/>
            <w:tcBorders>
              <w:left w:val="single" w:sz="6" w:space="0" w:color="000000"/>
              <w:bottom w:val="nil"/>
              <w:right w:val="single" w:sz="6" w:space="0" w:color="000000"/>
            </w:tcBorders>
          </w:tcPr>
          <w:p>
            <w:pPr/>
          </w:p>
        </w:tc>
        <w:tc>
          <w:tcPr>
            <w:tcW w:w="2944" w:type="dxa"/>
            <w:tcBorders>
              <w:left w:val="single" w:sz="6" w:space="0" w:color="000000"/>
              <w:bottom w:val="nil"/>
              <w:right w:val="single" w:sz="6" w:space="0" w:color="000000"/>
            </w:tcBorders>
          </w:tcPr>
          <w:p>
            <w:pPr>
              <w:pStyle w:val="TableParagraph"/>
              <w:spacing w:line="204" w:lineRule="exact"/>
              <w:ind w:left="27"/>
              <w:rPr>
                <w:sz w:val="18"/>
              </w:rPr>
            </w:pPr>
            <w:r>
              <w:rPr>
                <w:w w:val="105"/>
                <w:sz w:val="18"/>
              </w:rPr>
              <w:t>Ecatepec de Morelos</w:t>
            </w:r>
          </w:p>
        </w:tc>
        <w:tc>
          <w:tcPr>
            <w:tcW w:w="2753" w:type="dxa"/>
            <w:tcBorders>
              <w:left w:val="single" w:sz="6" w:space="0" w:color="000000"/>
              <w:bottom w:val="nil"/>
              <w:right w:val="single" w:sz="6" w:space="0" w:color="000000"/>
            </w:tcBorders>
          </w:tcPr>
          <w:p>
            <w:pPr>
              <w:pStyle w:val="TableParagraph"/>
              <w:spacing w:line="204" w:lineRule="exact"/>
              <w:ind w:left="27"/>
              <w:rPr>
                <w:sz w:val="18"/>
              </w:rPr>
            </w:pPr>
            <w:r>
              <w:rPr>
                <w:w w:val="105"/>
                <w:sz w:val="18"/>
              </w:rPr>
              <w:t>Ecatepec de Morelos</w:t>
            </w:r>
          </w:p>
        </w:tc>
      </w:tr>
      <w:tr>
        <w:trPr>
          <w:trHeight w:val="226" w:hRule="exact"/>
        </w:trPr>
        <w:tc>
          <w:tcPr>
            <w:tcW w:w="1910" w:type="dxa"/>
            <w:tcBorders>
              <w:top w:val="nil"/>
              <w:left w:val="single" w:sz="6" w:space="0" w:color="000000"/>
              <w:bottom w:val="nil"/>
              <w:right w:val="single" w:sz="6" w:space="0" w:color="000000"/>
            </w:tcBorders>
          </w:tcPr>
          <w:p>
            <w:pPr/>
          </w:p>
        </w:tc>
        <w:tc>
          <w:tcPr>
            <w:tcW w:w="2944" w:type="dxa"/>
            <w:tcBorders>
              <w:top w:val="nil"/>
              <w:left w:val="single" w:sz="6" w:space="0" w:color="000000"/>
              <w:bottom w:val="nil"/>
              <w:right w:val="single" w:sz="6" w:space="0" w:color="000000"/>
            </w:tcBorders>
          </w:tcPr>
          <w:p>
            <w:pPr>
              <w:pStyle w:val="TableParagraph"/>
              <w:ind w:left="27"/>
              <w:rPr>
                <w:sz w:val="18"/>
              </w:rPr>
            </w:pPr>
            <w:r>
              <w:rPr>
                <w:w w:val="105"/>
                <w:sz w:val="18"/>
              </w:rPr>
              <w:t>Ixtlahuaca</w:t>
            </w:r>
          </w:p>
        </w:tc>
        <w:tc>
          <w:tcPr>
            <w:tcW w:w="2753" w:type="dxa"/>
            <w:tcBorders>
              <w:top w:val="nil"/>
              <w:left w:val="single" w:sz="6" w:space="0" w:color="000000"/>
              <w:bottom w:val="nil"/>
              <w:right w:val="single" w:sz="6" w:space="0" w:color="000000"/>
            </w:tcBorders>
          </w:tcPr>
          <w:p>
            <w:pPr>
              <w:pStyle w:val="TableParagraph"/>
              <w:ind w:left="27"/>
              <w:rPr>
                <w:sz w:val="18"/>
              </w:rPr>
            </w:pPr>
            <w:r>
              <w:rPr>
                <w:w w:val="105"/>
                <w:sz w:val="18"/>
              </w:rPr>
              <w:t>Nezahualcóyotl</w:t>
            </w:r>
          </w:p>
        </w:tc>
      </w:tr>
      <w:tr>
        <w:trPr>
          <w:trHeight w:val="226" w:hRule="exact"/>
        </w:trPr>
        <w:tc>
          <w:tcPr>
            <w:tcW w:w="1910" w:type="dxa"/>
            <w:tcBorders>
              <w:top w:val="nil"/>
              <w:left w:val="single" w:sz="6" w:space="0" w:color="000000"/>
              <w:bottom w:val="nil"/>
              <w:right w:val="single" w:sz="6" w:space="0" w:color="000000"/>
            </w:tcBorders>
          </w:tcPr>
          <w:p>
            <w:pPr>
              <w:pStyle w:val="TableParagraph"/>
              <w:ind w:left="714" w:right="705"/>
              <w:jc w:val="center"/>
              <w:rPr>
                <w:sz w:val="18"/>
              </w:rPr>
            </w:pPr>
            <w:r>
              <w:rPr>
                <w:w w:val="105"/>
                <w:sz w:val="18"/>
              </w:rPr>
              <w:t>2009</w:t>
            </w:r>
          </w:p>
        </w:tc>
        <w:tc>
          <w:tcPr>
            <w:tcW w:w="2944" w:type="dxa"/>
            <w:tcBorders>
              <w:top w:val="nil"/>
              <w:left w:val="single" w:sz="6" w:space="0" w:color="000000"/>
              <w:bottom w:val="nil"/>
              <w:right w:val="single" w:sz="6" w:space="0" w:color="000000"/>
            </w:tcBorders>
          </w:tcPr>
          <w:p>
            <w:pPr>
              <w:pStyle w:val="TableParagraph"/>
              <w:ind w:left="27"/>
              <w:rPr>
                <w:sz w:val="18"/>
              </w:rPr>
            </w:pPr>
            <w:r>
              <w:rPr>
                <w:w w:val="105"/>
                <w:sz w:val="18"/>
              </w:rPr>
              <w:t>San Felipe del Progreso</w:t>
            </w:r>
          </w:p>
        </w:tc>
        <w:tc>
          <w:tcPr>
            <w:tcW w:w="2753" w:type="dxa"/>
            <w:tcBorders>
              <w:top w:val="nil"/>
              <w:left w:val="single" w:sz="6" w:space="0" w:color="000000"/>
              <w:bottom w:val="nil"/>
              <w:right w:val="single" w:sz="6" w:space="0" w:color="000000"/>
            </w:tcBorders>
          </w:tcPr>
          <w:p>
            <w:pPr/>
          </w:p>
        </w:tc>
      </w:tr>
      <w:tr>
        <w:trPr>
          <w:trHeight w:val="226" w:hRule="exact"/>
        </w:trPr>
        <w:tc>
          <w:tcPr>
            <w:tcW w:w="1910" w:type="dxa"/>
            <w:tcBorders>
              <w:top w:val="nil"/>
              <w:left w:val="single" w:sz="6" w:space="0" w:color="000000"/>
              <w:bottom w:val="nil"/>
              <w:right w:val="single" w:sz="6" w:space="0" w:color="000000"/>
            </w:tcBorders>
          </w:tcPr>
          <w:p>
            <w:pPr/>
          </w:p>
        </w:tc>
        <w:tc>
          <w:tcPr>
            <w:tcW w:w="2944" w:type="dxa"/>
            <w:tcBorders>
              <w:top w:val="nil"/>
              <w:left w:val="single" w:sz="6" w:space="0" w:color="000000"/>
              <w:bottom w:val="nil"/>
              <w:right w:val="single" w:sz="6" w:space="0" w:color="000000"/>
            </w:tcBorders>
          </w:tcPr>
          <w:p>
            <w:pPr>
              <w:pStyle w:val="TableParagraph"/>
              <w:spacing w:line="206" w:lineRule="exact"/>
              <w:ind w:left="27"/>
              <w:rPr>
                <w:sz w:val="18"/>
              </w:rPr>
            </w:pPr>
            <w:r>
              <w:rPr>
                <w:w w:val="105"/>
                <w:sz w:val="18"/>
              </w:rPr>
              <w:t>San José del Rincón</w:t>
            </w:r>
          </w:p>
        </w:tc>
        <w:tc>
          <w:tcPr>
            <w:tcW w:w="2753" w:type="dxa"/>
            <w:tcBorders>
              <w:top w:val="nil"/>
              <w:left w:val="single" w:sz="6" w:space="0" w:color="000000"/>
              <w:bottom w:val="nil"/>
              <w:right w:val="single" w:sz="6" w:space="0" w:color="000000"/>
            </w:tcBorders>
          </w:tcPr>
          <w:p>
            <w:pPr/>
          </w:p>
        </w:tc>
      </w:tr>
      <w:tr>
        <w:trPr>
          <w:trHeight w:val="222" w:hRule="exact"/>
        </w:trPr>
        <w:tc>
          <w:tcPr>
            <w:tcW w:w="1910" w:type="dxa"/>
            <w:tcBorders>
              <w:top w:val="nil"/>
              <w:left w:val="single" w:sz="6" w:space="0" w:color="000000"/>
              <w:right w:val="single" w:sz="6" w:space="0" w:color="000000"/>
            </w:tcBorders>
          </w:tcPr>
          <w:p>
            <w:pPr/>
          </w:p>
        </w:tc>
        <w:tc>
          <w:tcPr>
            <w:tcW w:w="2944" w:type="dxa"/>
            <w:tcBorders>
              <w:top w:val="nil"/>
              <w:left w:val="single" w:sz="6" w:space="0" w:color="000000"/>
              <w:right w:val="single" w:sz="6" w:space="0" w:color="000000"/>
            </w:tcBorders>
          </w:tcPr>
          <w:p>
            <w:pPr>
              <w:pStyle w:val="TableParagraph"/>
              <w:ind w:left="27"/>
              <w:rPr>
                <w:sz w:val="18"/>
              </w:rPr>
            </w:pPr>
            <w:r>
              <w:rPr>
                <w:w w:val="105"/>
                <w:sz w:val="18"/>
              </w:rPr>
              <w:t>Toluca</w:t>
            </w:r>
          </w:p>
        </w:tc>
        <w:tc>
          <w:tcPr>
            <w:tcW w:w="2753" w:type="dxa"/>
            <w:tcBorders>
              <w:top w:val="nil"/>
              <w:left w:val="single" w:sz="6" w:space="0" w:color="000000"/>
              <w:right w:val="single" w:sz="6" w:space="0" w:color="000000"/>
            </w:tcBorders>
          </w:tcPr>
          <w:p>
            <w:pPr/>
          </w:p>
        </w:tc>
      </w:tr>
      <w:tr>
        <w:trPr>
          <w:trHeight w:val="230" w:hRule="exact"/>
        </w:trPr>
        <w:tc>
          <w:tcPr>
            <w:tcW w:w="1910" w:type="dxa"/>
            <w:tcBorders>
              <w:left w:val="single" w:sz="6" w:space="0" w:color="000000"/>
              <w:bottom w:val="nil"/>
              <w:right w:val="single" w:sz="6" w:space="0" w:color="000000"/>
            </w:tcBorders>
            <w:shd w:val="clear" w:color="auto" w:fill="F1DCDB"/>
          </w:tcPr>
          <w:p>
            <w:pPr/>
          </w:p>
        </w:tc>
        <w:tc>
          <w:tcPr>
            <w:tcW w:w="2944" w:type="dxa"/>
            <w:tcBorders>
              <w:left w:val="single" w:sz="6" w:space="0" w:color="000000"/>
              <w:bottom w:val="nil"/>
              <w:right w:val="single" w:sz="6" w:space="0" w:color="000000"/>
            </w:tcBorders>
            <w:shd w:val="clear" w:color="auto" w:fill="F1DCDB"/>
          </w:tcPr>
          <w:p>
            <w:pPr>
              <w:pStyle w:val="TableParagraph"/>
              <w:spacing w:line="204" w:lineRule="exact"/>
              <w:ind w:left="27"/>
              <w:rPr>
                <w:sz w:val="18"/>
              </w:rPr>
            </w:pPr>
            <w:r>
              <w:rPr>
                <w:w w:val="105"/>
                <w:sz w:val="18"/>
              </w:rPr>
              <w:t>Almoloya de Juárez</w:t>
            </w:r>
          </w:p>
        </w:tc>
        <w:tc>
          <w:tcPr>
            <w:tcW w:w="2753" w:type="dxa"/>
            <w:tcBorders>
              <w:left w:val="single" w:sz="6" w:space="0" w:color="000000"/>
              <w:bottom w:val="nil"/>
              <w:right w:val="single" w:sz="6" w:space="0" w:color="000000"/>
            </w:tcBorders>
            <w:shd w:val="clear" w:color="auto" w:fill="F1DCDB"/>
          </w:tcPr>
          <w:p>
            <w:pPr>
              <w:pStyle w:val="TableParagraph"/>
              <w:spacing w:line="204" w:lineRule="exact"/>
              <w:ind w:left="27"/>
              <w:rPr>
                <w:sz w:val="18"/>
              </w:rPr>
            </w:pPr>
            <w:r>
              <w:rPr>
                <w:w w:val="105"/>
                <w:sz w:val="18"/>
              </w:rPr>
              <w:t>Ecatepec de Morelos</w:t>
            </w: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Atizapán de Zaragoza</w:t>
            </w:r>
          </w:p>
        </w:tc>
        <w:tc>
          <w:tcPr>
            <w:tcW w:w="2753"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Naucalpan de Juárez</w:t>
            </w: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Ecatepec de Morelos</w:t>
            </w:r>
          </w:p>
        </w:tc>
        <w:tc>
          <w:tcPr>
            <w:tcW w:w="2753" w:type="dxa"/>
            <w:tcBorders>
              <w:top w:val="nil"/>
              <w:left w:val="single" w:sz="6" w:space="0" w:color="000000"/>
              <w:bottom w:val="nil"/>
              <w:right w:val="single" w:sz="6" w:space="0" w:color="000000"/>
            </w:tcBorders>
            <w:shd w:val="clear" w:color="auto" w:fill="F1DCDB"/>
          </w:tcPr>
          <w:p>
            <w:pP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Style w:val="TableParagraph"/>
              <w:spacing w:line="206" w:lineRule="exact"/>
              <w:ind w:left="714" w:right="705"/>
              <w:jc w:val="center"/>
              <w:rPr>
                <w:sz w:val="18"/>
              </w:rPr>
            </w:pPr>
            <w:r>
              <w:rPr>
                <w:w w:val="105"/>
                <w:sz w:val="18"/>
              </w:rPr>
              <w:t>2010</w:t>
            </w:r>
          </w:p>
        </w:tc>
        <w:tc>
          <w:tcPr>
            <w:tcW w:w="2944" w:type="dxa"/>
            <w:tcBorders>
              <w:top w:val="nil"/>
              <w:left w:val="single" w:sz="6" w:space="0" w:color="000000"/>
              <w:bottom w:val="nil"/>
              <w:right w:val="single" w:sz="6" w:space="0" w:color="000000"/>
            </w:tcBorders>
            <w:shd w:val="clear" w:color="auto" w:fill="F1DCDB"/>
          </w:tcPr>
          <w:p>
            <w:pPr>
              <w:pStyle w:val="TableParagraph"/>
              <w:spacing w:line="206" w:lineRule="exact"/>
              <w:ind w:left="27"/>
              <w:rPr>
                <w:sz w:val="18"/>
              </w:rPr>
            </w:pPr>
            <w:r>
              <w:rPr>
                <w:w w:val="105"/>
                <w:sz w:val="18"/>
              </w:rPr>
              <w:t>Jiquipilco</w:t>
            </w:r>
          </w:p>
        </w:tc>
        <w:tc>
          <w:tcPr>
            <w:tcW w:w="2753" w:type="dxa"/>
            <w:tcBorders>
              <w:top w:val="nil"/>
              <w:left w:val="single" w:sz="6" w:space="0" w:color="000000"/>
              <w:bottom w:val="nil"/>
              <w:right w:val="single" w:sz="6" w:space="0" w:color="000000"/>
            </w:tcBorders>
            <w:shd w:val="clear" w:color="auto" w:fill="F1DCDB"/>
          </w:tcPr>
          <w:p>
            <w:pP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Naucalpan de Juárez</w:t>
            </w:r>
          </w:p>
        </w:tc>
        <w:tc>
          <w:tcPr>
            <w:tcW w:w="2753" w:type="dxa"/>
            <w:tcBorders>
              <w:top w:val="nil"/>
              <w:left w:val="single" w:sz="6" w:space="0" w:color="000000"/>
              <w:bottom w:val="nil"/>
              <w:right w:val="single" w:sz="6" w:space="0" w:color="000000"/>
            </w:tcBorders>
            <w:shd w:val="clear" w:color="auto" w:fill="F1DCDB"/>
          </w:tcPr>
          <w:p>
            <w:pP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spacing w:line="206" w:lineRule="exact"/>
              <w:ind w:left="27"/>
              <w:rPr>
                <w:sz w:val="18"/>
              </w:rPr>
            </w:pPr>
            <w:r>
              <w:rPr>
                <w:w w:val="105"/>
                <w:sz w:val="18"/>
              </w:rPr>
              <w:t>Nezahualcóyotl</w:t>
            </w:r>
          </w:p>
        </w:tc>
        <w:tc>
          <w:tcPr>
            <w:tcW w:w="2753" w:type="dxa"/>
            <w:tcBorders>
              <w:top w:val="nil"/>
              <w:left w:val="single" w:sz="6" w:space="0" w:color="000000"/>
              <w:bottom w:val="nil"/>
              <w:right w:val="single" w:sz="6" w:space="0" w:color="000000"/>
            </w:tcBorders>
            <w:shd w:val="clear" w:color="auto" w:fill="F1DCDB"/>
          </w:tcPr>
          <w:p>
            <w:pPr/>
          </w:p>
        </w:tc>
      </w:tr>
      <w:tr>
        <w:trPr>
          <w:trHeight w:val="221" w:hRule="exact"/>
        </w:trPr>
        <w:tc>
          <w:tcPr>
            <w:tcW w:w="1910" w:type="dxa"/>
            <w:tcBorders>
              <w:top w:val="nil"/>
              <w:left w:val="single" w:sz="6" w:space="0" w:color="000000"/>
              <w:right w:val="single" w:sz="6" w:space="0" w:color="000000"/>
            </w:tcBorders>
            <w:shd w:val="clear" w:color="auto" w:fill="F1DCDB"/>
          </w:tcPr>
          <w:p>
            <w:pPr/>
          </w:p>
        </w:tc>
        <w:tc>
          <w:tcPr>
            <w:tcW w:w="2944" w:type="dxa"/>
            <w:tcBorders>
              <w:top w:val="nil"/>
              <w:left w:val="single" w:sz="6" w:space="0" w:color="000000"/>
              <w:right w:val="single" w:sz="6" w:space="0" w:color="000000"/>
            </w:tcBorders>
            <w:shd w:val="clear" w:color="auto" w:fill="F1DCDB"/>
          </w:tcPr>
          <w:p>
            <w:pPr>
              <w:pStyle w:val="TableParagraph"/>
              <w:ind w:left="27"/>
              <w:rPr>
                <w:sz w:val="18"/>
              </w:rPr>
            </w:pPr>
            <w:r>
              <w:rPr>
                <w:w w:val="105"/>
                <w:sz w:val="18"/>
              </w:rPr>
              <w:t>Toluca</w:t>
            </w:r>
          </w:p>
        </w:tc>
        <w:tc>
          <w:tcPr>
            <w:tcW w:w="2753" w:type="dxa"/>
            <w:tcBorders>
              <w:top w:val="nil"/>
              <w:left w:val="single" w:sz="6" w:space="0" w:color="000000"/>
              <w:right w:val="single" w:sz="6" w:space="0" w:color="000000"/>
            </w:tcBorders>
            <w:shd w:val="clear" w:color="auto" w:fill="F1DCDB"/>
          </w:tcPr>
          <w:p>
            <w:pPr/>
          </w:p>
        </w:tc>
      </w:tr>
      <w:tr>
        <w:trPr>
          <w:trHeight w:val="231" w:hRule="exact"/>
        </w:trPr>
        <w:tc>
          <w:tcPr>
            <w:tcW w:w="1910" w:type="dxa"/>
            <w:tcBorders>
              <w:left w:val="single" w:sz="6" w:space="0" w:color="000000"/>
              <w:bottom w:val="nil"/>
              <w:right w:val="single" w:sz="6" w:space="0" w:color="000000"/>
            </w:tcBorders>
          </w:tcPr>
          <w:p>
            <w:pPr/>
          </w:p>
        </w:tc>
        <w:tc>
          <w:tcPr>
            <w:tcW w:w="2944" w:type="dxa"/>
            <w:tcBorders>
              <w:left w:val="single" w:sz="6" w:space="0" w:color="000000"/>
              <w:bottom w:val="nil"/>
              <w:right w:val="single" w:sz="6" w:space="0" w:color="000000"/>
            </w:tcBorders>
          </w:tcPr>
          <w:p>
            <w:pPr>
              <w:pStyle w:val="TableParagraph"/>
              <w:spacing w:line="205" w:lineRule="exact"/>
              <w:ind w:left="27"/>
              <w:rPr>
                <w:sz w:val="18"/>
              </w:rPr>
            </w:pPr>
            <w:r>
              <w:rPr>
                <w:w w:val="105"/>
                <w:sz w:val="18"/>
              </w:rPr>
              <w:t>Almoloya de Alquisiras</w:t>
            </w:r>
          </w:p>
        </w:tc>
        <w:tc>
          <w:tcPr>
            <w:tcW w:w="2753" w:type="dxa"/>
            <w:tcBorders>
              <w:left w:val="single" w:sz="6" w:space="0" w:color="000000"/>
              <w:bottom w:val="nil"/>
              <w:right w:val="single" w:sz="6" w:space="0" w:color="000000"/>
            </w:tcBorders>
          </w:tcPr>
          <w:p>
            <w:pPr>
              <w:pStyle w:val="TableParagraph"/>
              <w:spacing w:line="205" w:lineRule="exact"/>
              <w:ind w:left="27"/>
              <w:rPr>
                <w:sz w:val="18"/>
              </w:rPr>
            </w:pPr>
            <w:r>
              <w:rPr>
                <w:w w:val="105"/>
                <w:sz w:val="18"/>
              </w:rPr>
              <w:t>Naucalpan de Juárez</w:t>
            </w:r>
          </w:p>
        </w:tc>
      </w:tr>
      <w:tr>
        <w:trPr>
          <w:trHeight w:val="226" w:hRule="exact"/>
        </w:trPr>
        <w:tc>
          <w:tcPr>
            <w:tcW w:w="1910" w:type="dxa"/>
            <w:tcBorders>
              <w:top w:val="nil"/>
              <w:left w:val="single" w:sz="6" w:space="0" w:color="000000"/>
              <w:bottom w:val="nil"/>
              <w:right w:val="single" w:sz="6" w:space="0" w:color="000000"/>
            </w:tcBorders>
          </w:tcPr>
          <w:p>
            <w:pPr/>
          </w:p>
        </w:tc>
        <w:tc>
          <w:tcPr>
            <w:tcW w:w="2944" w:type="dxa"/>
            <w:tcBorders>
              <w:top w:val="nil"/>
              <w:left w:val="single" w:sz="6" w:space="0" w:color="000000"/>
              <w:bottom w:val="nil"/>
              <w:right w:val="single" w:sz="6" w:space="0" w:color="000000"/>
            </w:tcBorders>
          </w:tcPr>
          <w:p>
            <w:pPr>
              <w:pStyle w:val="TableParagraph"/>
              <w:spacing w:line="206" w:lineRule="exact"/>
              <w:ind w:left="27"/>
              <w:rPr>
                <w:sz w:val="18"/>
              </w:rPr>
            </w:pPr>
            <w:r>
              <w:rPr>
                <w:w w:val="105"/>
                <w:sz w:val="18"/>
              </w:rPr>
              <w:t>Chimalhuacán</w:t>
            </w:r>
          </w:p>
        </w:tc>
        <w:tc>
          <w:tcPr>
            <w:tcW w:w="2753" w:type="dxa"/>
            <w:tcBorders>
              <w:top w:val="nil"/>
              <w:left w:val="single" w:sz="6" w:space="0" w:color="000000"/>
              <w:bottom w:val="nil"/>
              <w:right w:val="single" w:sz="6" w:space="0" w:color="000000"/>
            </w:tcBorders>
          </w:tcPr>
          <w:p>
            <w:pPr>
              <w:pStyle w:val="TableParagraph"/>
              <w:spacing w:line="206" w:lineRule="exact"/>
              <w:ind w:left="27"/>
              <w:rPr>
                <w:sz w:val="18"/>
              </w:rPr>
            </w:pPr>
            <w:r>
              <w:rPr>
                <w:w w:val="105"/>
                <w:sz w:val="18"/>
              </w:rPr>
              <w:t>Nezahualcóyotl</w:t>
            </w:r>
          </w:p>
        </w:tc>
      </w:tr>
      <w:tr>
        <w:trPr>
          <w:trHeight w:val="452" w:hRule="exact"/>
        </w:trPr>
        <w:tc>
          <w:tcPr>
            <w:tcW w:w="1910" w:type="dxa"/>
            <w:tcBorders>
              <w:top w:val="nil"/>
              <w:left w:val="single" w:sz="6" w:space="0" w:color="000000"/>
              <w:bottom w:val="nil"/>
              <w:right w:val="single" w:sz="6" w:space="0" w:color="000000"/>
            </w:tcBorders>
          </w:tcPr>
          <w:p>
            <w:pPr>
              <w:pStyle w:val="TableParagraph"/>
              <w:spacing w:before="111"/>
              <w:ind w:left="719" w:right="705"/>
              <w:jc w:val="center"/>
              <w:rPr>
                <w:sz w:val="18"/>
              </w:rPr>
            </w:pPr>
            <w:r>
              <w:rPr>
                <w:w w:val="105"/>
                <w:sz w:val="18"/>
              </w:rPr>
              <w:t>2011</w:t>
            </w:r>
          </w:p>
        </w:tc>
        <w:tc>
          <w:tcPr>
            <w:tcW w:w="2944" w:type="dxa"/>
            <w:tcBorders>
              <w:top w:val="nil"/>
              <w:left w:val="single" w:sz="6" w:space="0" w:color="000000"/>
              <w:bottom w:val="nil"/>
              <w:right w:val="single" w:sz="6" w:space="0" w:color="000000"/>
            </w:tcBorders>
          </w:tcPr>
          <w:p>
            <w:pPr>
              <w:pStyle w:val="TableParagraph"/>
              <w:spacing w:line="261" w:lineRule="auto"/>
              <w:ind w:left="27" w:right="1095"/>
              <w:rPr>
                <w:sz w:val="18"/>
              </w:rPr>
            </w:pPr>
            <w:r>
              <w:rPr>
                <w:w w:val="105"/>
                <w:sz w:val="18"/>
              </w:rPr>
              <w:t>Ixtlahuaca Naucalpan de</w:t>
            </w:r>
            <w:r>
              <w:rPr>
                <w:spacing w:val="11"/>
                <w:w w:val="105"/>
                <w:sz w:val="18"/>
              </w:rPr>
              <w:t> </w:t>
            </w:r>
            <w:r>
              <w:rPr>
                <w:w w:val="105"/>
                <w:sz w:val="18"/>
              </w:rPr>
              <w:t>Juárez</w:t>
            </w:r>
          </w:p>
        </w:tc>
        <w:tc>
          <w:tcPr>
            <w:tcW w:w="2753" w:type="dxa"/>
            <w:tcBorders>
              <w:top w:val="nil"/>
              <w:left w:val="single" w:sz="6" w:space="0" w:color="000000"/>
              <w:bottom w:val="nil"/>
              <w:right w:val="single" w:sz="6" w:space="0" w:color="000000"/>
            </w:tcBorders>
          </w:tcPr>
          <w:p>
            <w:pPr/>
          </w:p>
        </w:tc>
      </w:tr>
      <w:tr>
        <w:trPr>
          <w:trHeight w:val="226" w:hRule="exact"/>
        </w:trPr>
        <w:tc>
          <w:tcPr>
            <w:tcW w:w="1910" w:type="dxa"/>
            <w:tcBorders>
              <w:top w:val="nil"/>
              <w:left w:val="single" w:sz="6" w:space="0" w:color="000000"/>
              <w:bottom w:val="nil"/>
              <w:right w:val="single" w:sz="6" w:space="0" w:color="000000"/>
            </w:tcBorders>
          </w:tcPr>
          <w:p>
            <w:pPr/>
          </w:p>
        </w:tc>
        <w:tc>
          <w:tcPr>
            <w:tcW w:w="2944" w:type="dxa"/>
            <w:tcBorders>
              <w:top w:val="nil"/>
              <w:left w:val="single" w:sz="6" w:space="0" w:color="000000"/>
              <w:bottom w:val="nil"/>
              <w:right w:val="single" w:sz="6" w:space="0" w:color="000000"/>
            </w:tcBorders>
          </w:tcPr>
          <w:p>
            <w:pPr>
              <w:pStyle w:val="TableParagraph"/>
              <w:ind w:left="27"/>
              <w:rPr>
                <w:sz w:val="18"/>
              </w:rPr>
            </w:pPr>
            <w:r>
              <w:rPr>
                <w:w w:val="105"/>
                <w:sz w:val="18"/>
              </w:rPr>
              <w:t>Sultepec</w:t>
            </w:r>
          </w:p>
        </w:tc>
        <w:tc>
          <w:tcPr>
            <w:tcW w:w="2753" w:type="dxa"/>
            <w:tcBorders>
              <w:top w:val="nil"/>
              <w:left w:val="single" w:sz="6" w:space="0" w:color="000000"/>
              <w:bottom w:val="nil"/>
              <w:right w:val="single" w:sz="6" w:space="0" w:color="000000"/>
            </w:tcBorders>
          </w:tcPr>
          <w:p>
            <w:pPr/>
          </w:p>
        </w:tc>
      </w:tr>
      <w:tr>
        <w:trPr>
          <w:trHeight w:val="222" w:hRule="exact"/>
        </w:trPr>
        <w:tc>
          <w:tcPr>
            <w:tcW w:w="1910" w:type="dxa"/>
            <w:tcBorders>
              <w:top w:val="nil"/>
              <w:left w:val="single" w:sz="6" w:space="0" w:color="000000"/>
              <w:right w:val="single" w:sz="6" w:space="0" w:color="000000"/>
            </w:tcBorders>
          </w:tcPr>
          <w:p>
            <w:pPr/>
          </w:p>
        </w:tc>
        <w:tc>
          <w:tcPr>
            <w:tcW w:w="2944" w:type="dxa"/>
            <w:tcBorders>
              <w:top w:val="nil"/>
              <w:left w:val="single" w:sz="6" w:space="0" w:color="000000"/>
              <w:right w:val="single" w:sz="6" w:space="0" w:color="000000"/>
            </w:tcBorders>
          </w:tcPr>
          <w:p>
            <w:pPr>
              <w:pStyle w:val="TableParagraph"/>
              <w:ind w:left="27"/>
              <w:rPr>
                <w:sz w:val="18"/>
              </w:rPr>
            </w:pPr>
            <w:r>
              <w:rPr>
                <w:w w:val="105"/>
                <w:sz w:val="18"/>
              </w:rPr>
              <w:t>Zacualpan</w:t>
            </w:r>
          </w:p>
        </w:tc>
        <w:tc>
          <w:tcPr>
            <w:tcW w:w="2753" w:type="dxa"/>
            <w:tcBorders>
              <w:top w:val="nil"/>
              <w:left w:val="single" w:sz="6" w:space="0" w:color="000000"/>
              <w:right w:val="single" w:sz="6" w:space="0" w:color="000000"/>
            </w:tcBorders>
          </w:tcPr>
          <w:p>
            <w:pPr/>
          </w:p>
        </w:tc>
      </w:tr>
      <w:tr>
        <w:trPr>
          <w:trHeight w:val="230" w:hRule="exact"/>
        </w:trPr>
        <w:tc>
          <w:tcPr>
            <w:tcW w:w="1910" w:type="dxa"/>
            <w:tcBorders>
              <w:left w:val="single" w:sz="6" w:space="0" w:color="000000"/>
              <w:bottom w:val="nil"/>
              <w:right w:val="single" w:sz="6" w:space="0" w:color="000000"/>
            </w:tcBorders>
            <w:shd w:val="clear" w:color="auto" w:fill="F1DCDB"/>
          </w:tcPr>
          <w:p>
            <w:pPr/>
          </w:p>
        </w:tc>
        <w:tc>
          <w:tcPr>
            <w:tcW w:w="2944" w:type="dxa"/>
            <w:tcBorders>
              <w:left w:val="single" w:sz="6" w:space="0" w:color="000000"/>
              <w:bottom w:val="nil"/>
              <w:right w:val="single" w:sz="6" w:space="0" w:color="000000"/>
            </w:tcBorders>
            <w:shd w:val="clear" w:color="auto" w:fill="F1DCDB"/>
          </w:tcPr>
          <w:p>
            <w:pPr>
              <w:pStyle w:val="TableParagraph"/>
              <w:spacing w:line="204" w:lineRule="exact"/>
              <w:ind w:left="27"/>
              <w:rPr>
                <w:sz w:val="18"/>
              </w:rPr>
            </w:pPr>
            <w:r>
              <w:rPr>
                <w:w w:val="105"/>
                <w:sz w:val="18"/>
              </w:rPr>
              <w:t>Atizapán de Zaragoza</w:t>
            </w:r>
          </w:p>
        </w:tc>
        <w:tc>
          <w:tcPr>
            <w:tcW w:w="2753" w:type="dxa"/>
            <w:tcBorders>
              <w:left w:val="single" w:sz="6" w:space="0" w:color="000000"/>
              <w:bottom w:val="nil"/>
              <w:right w:val="single" w:sz="6" w:space="0" w:color="000000"/>
            </w:tcBorders>
            <w:shd w:val="clear" w:color="auto" w:fill="F1DCDB"/>
          </w:tcPr>
          <w:p>
            <w:pPr>
              <w:pStyle w:val="TableParagraph"/>
              <w:spacing w:line="204" w:lineRule="exact"/>
              <w:ind w:left="27"/>
              <w:rPr>
                <w:sz w:val="18"/>
              </w:rPr>
            </w:pPr>
            <w:r>
              <w:rPr>
                <w:w w:val="105"/>
                <w:sz w:val="18"/>
              </w:rPr>
              <w:t>Atizapán de Zaragoza</w:t>
            </w: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Cuautitlán Izacalli</w:t>
            </w:r>
          </w:p>
        </w:tc>
        <w:tc>
          <w:tcPr>
            <w:tcW w:w="2753"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Ecatepec de Morelos</w:t>
            </w: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spacing w:line="206" w:lineRule="exact"/>
              <w:ind w:left="27"/>
              <w:rPr>
                <w:sz w:val="18"/>
              </w:rPr>
            </w:pPr>
            <w:r>
              <w:rPr>
                <w:w w:val="105"/>
                <w:sz w:val="18"/>
              </w:rPr>
              <w:t>Ecatepec de Morelos</w:t>
            </w:r>
          </w:p>
        </w:tc>
        <w:tc>
          <w:tcPr>
            <w:tcW w:w="2753" w:type="dxa"/>
            <w:tcBorders>
              <w:top w:val="nil"/>
              <w:left w:val="single" w:sz="6" w:space="0" w:color="000000"/>
              <w:bottom w:val="nil"/>
              <w:right w:val="single" w:sz="6" w:space="0" w:color="000000"/>
            </w:tcBorders>
            <w:shd w:val="clear" w:color="auto" w:fill="F1DCDB"/>
          </w:tcPr>
          <w:p>
            <w:pPr>
              <w:pStyle w:val="TableParagraph"/>
              <w:spacing w:line="206" w:lineRule="exact"/>
              <w:ind w:left="27"/>
              <w:rPr>
                <w:sz w:val="18"/>
              </w:rPr>
            </w:pPr>
            <w:r>
              <w:rPr>
                <w:w w:val="105"/>
                <w:sz w:val="18"/>
              </w:rPr>
              <w:t>Huixquilucan</w:t>
            </w: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Huixquilucan</w:t>
            </w:r>
          </w:p>
        </w:tc>
        <w:tc>
          <w:tcPr>
            <w:tcW w:w="2753"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Naucalpan de Juárez</w:t>
            </w: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Style w:val="TableParagraph"/>
              <w:ind w:left="714" w:right="705"/>
              <w:jc w:val="center"/>
              <w:rPr>
                <w:sz w:val="18"/>
              </w:rPr>
            </w:pPr>
            <w:r>
              <w:rPr>
                <w:w w:val="105"/>
                <w:sz w:val="18"/>
              </w:rPr>
              <w:t>2012</w:t>
            </w:r>
          </w:p>
        </w:tc>
        <w:tc>
          <w:tcPr>
            <w:tcW w:w="2944"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Naucalpan de Juárez</w:t>
            </w:r>
          </w:p>
        </w:tc>
        <w:tc>
          <w:tcPr>
            <w:tcW w:w="2753"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Tlalnepantla de Baz</w:t>
            </w: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spacing w:line="206" w:lineRule="exact"/>
              <w:ind w:left="27"/>
              <w:rPr>
                <w:sz w:val="18"/>
              </w:rPr>
            </w:pPr>
            <w:r>
              <w:rPr>
                <w:w w:val="105"/>
                <w:sz w:val="18"/>
              </w:rPr>
              <w:t>San Felipe del Progreso</w:t>
            </w:r>
          </w:p>
        </w:tc>
        <w:tc>
          <w:tcPr>
            <w:tcW w:w="2753" w:type="dxa"/>
            <w:tcBorders>
              <w:top w:val="nil"/>
              <w:left w:val="single" w:sz="6" w:space="0" w:color="000000"/>
              <w:bottom w:val="nil"/>
              <w:right w:val="single" w:sz="6" w:space="0" w:color="000000"/>
            </w:tcBorders>
            <w:shd w:val="clear" w:color="auto" w:fill="F1DCDB"/>
          </w:tcPr>
          <w:p>
            <w:pP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ind w:left="27"/>
              <w:rPr>
                <w:sz w:val="18"/>
              </w:rPr>
            </w:pPr>
            <w:r>
              <w:rPr>
                <w:w w:val="105"/>
                <w:sz w:val="18"/>
              </w:rPr>
              <w:t>San José del Rincón</w:t>
            </w:r>
          </w:p>
        </w:tc>
        <w:tc>
          <w:tcPr>
            <w:tcW w:w="2753" w:type="dxa"/>
            <w:tcBorders>
              <w:top w:val="nil"/>
              <w:left w:val="single" w:sz="6" w:space="0" w:color="000000"/>
              <w:bottom w:val="nil"/>
              <w:right w:val="single" w:sz="6" w:space="0" w:color="000000"/>
            </w:tcBorders>
            <w:shd w:val="clear" w:color="auto" w:fill="F1DCDB"/>
          </w:tcPr>
          <w:p>
            <w:pPr/>
          </w:p>
        </w:tc>
      </w:tr>
      <w:tr>
        <w:trPr>
          <w:trHeight w:val="226" w:hRule="exact"/>
        </w:trPr>
        <w:tc>
          <w:tcPr>
            <w:tcW w:w="1910" w:type="dxa"/>
            <w:tcBorders>
              <w:top w:val="nil"/>
              <w:left w:val="single" w:sz="6" w:space="0" w:color="000000"/>
              <w:bottom w:val="nil"/>
              <w:right w:val="single" w:sz="6" w:space="0" w:color="000000"/>
            </w:tcBorders>
            <w:shd w:val="clear" w:color="auto" w:fill="F1DCDB"/>
          </w:tcPr>
          <w:p>
            <w:pPr/>
          </w:p>
        </w:tc>
        <w:tc>
          <w:tcPr>
            <w:tcW w:w="2944" w:type="dxa"/>
            <w:tcBorders>
              <w:top w:val="nil"/>
              <w:left w:val="single" w:sz="6" w:space="0" w:color="000000"/>
              <w:bottom w:val="nil"/>
              <w:right w:val="single" w:sz="6" w:space="0" w:color="000000"/>
            </w:tcBorders>
            <w:shd w:val="clear" w:color="auto" w:fill="F1DCDB"/>
          </w:tcPr>
          <w:p>
            <w:pPr>
              <w:pStyle w:val="TableParagraph"/>
              <w:spacing w:line="206" w:lineRule="exact"/>
              <w:ind w:left="27"/>
              <w:rPr>
                <w:sz w:val="18"/>
              </w:rPr>
            </w:pPr>
            <w:r>
              <w:rPr>
                <w:w w:val="105"/>
                <w:sz w:val="18"/>
              </w:rPr>
              <w:t>Tejupilco</w:t>
            </w:r>
          </w:p>
        </w:tc>
        <w:tc>
          <w:tcPr>
            <w:tcW w:w="2753" w:type="dxa"/>
            <w:tcBorders>
              <w:top w:val="nil"/>
              <w:left w:val="single" w:sz="6" w:space="0" w:color="000000"/>
              <w:bottom w:val="nil"/>
              <w:right w:val="single" w:sz="6" w:space="0" w:color="000000"/>
            </w:tcBorders>
            <w:shd w:val="clear" w:color="auto" w:fill="F1DCDB"/>
          </w:tcPr>
          <w:p>
            <w:pPr/>
          </w:p>
        </w:tc>
      </w:tr>
      <w:tr>
        <w:trPr>
          <w:trHeight w:val="221" w:hRule="exact"/>
        </w:trPr>
        <w:tc>
          <w:tcPr>
            <w:tcW w:w="1910" w:type="dxa"/>
            <w:tcBorders>
              <w:top w:val="nil"/>
              <w:left w:val="single" w:sz="6" w:space="0" w:color="000000"/>
              <w:right w:val="single" w:sz="6" w:space="0" w:color="000000"/>
            </w:tcBorders>
            <w:shd w:val="clear" w:color="auto" w:fill="F1DCDB"/>
          </w:tcPr>
          <w:p>
            <w:pPr/>
          </w:p>
        </w:tc>
        <w:tc>
          <w:tcPr>
            <w:tcW w:w="2944" w:type="dxa"/>
            <w:tcBorders>
              <w:top w:val="nil"/>
              <w:left w:val="single" w:sz="6" w:space="0" w:color="000000"/>
              <w:right w:val="single" w:sz="6" w:space="0" w:color="000000"/>
            </w:tcBorders>
            <w:shd w:val="clear" w:color="auto" w:fill="F1DCDB"/>
          </w:tcPr>
          <w:p>
            <w:pPr>
              <w:pStyle w:val="TableParagraph"/>
              <w:ind w:left="27"/>
              <w:rPr>
                <w:sz w:val="18"/>
              </w:rPr>
            </w:pPr>
            <w:r>
              <w:rPr>
                <w:w w:val="105"/>
                <w:sz w:val="18"/>
              </w:rPr>
              <w:t>Tlalnepantla de Baz</w:t>
            </w:r>
          </w:p>
        </w:tc>
        <w:tc>
          <w:tcPr>
            <w:tcW w:w="2753" w:type="dxa"/>
            <w:tcBorders>
              <w:top w:val="nil"/>
              <w:left w:val="single" w:sz="6" w:space="0" w:color="000000"/>
              <w:right w:val="single" w:sz="6" w:space="0" w:color="000000"/>
            </w:tcBorders>
            <w:shd w:val="clear" w:color="auto" w:fill="F1DCDB"/>
          </w:tcPr>
          <w:p>
            <w:pPr/>
          </w:p>
        </w:tc>
      </w:tr>
    </w:tbl>
    <w:p>
      <w:pPr>
        <w:spacing w:after="0"/>
        <w:sectPr>
          <w:footerReference w:type="default" r:id="rId60"/>
          <w:pgSz w:w="15840" w:h="12240" w:orient="landscape"/>
          <w:pgMar w:footer="992" w:header="0" w:top="1140" w:bottom="1180" w:left="2260" w:right="2260"/>
          <w:pgNumType w:start="200"/>
        </w:sectPr>
      </w:pPr>
    </w:p>
    <w:p>
      <w:pPr>
        <w:pStyle w:val="BodyText"/>
        <w:rPr>
          <w:b/>
          <w:sz w:val="20"/>
        </w:rPr>
      </w:pPr>
    </w:p>
    <w:p>
      <w:pPr>
        <w:pStyle w:val="BodyText"/>
        <w:spacing w:before="10"/>
        <w:rPr>
          <w:b/>
          <w:sz w:val="29"/>
        </w:rPr>
      </w:pPr>
    </w:p>
    <w:p>
      <w:pPr>
        <w:spacing w:line="127" w:lineRule="auto" w:before="162"/>
        <w:ind w:left="2002" w:right="1340" w:firstLine="0"/>
        <w:jc w:val="left"/>
        <w:rPr>
          <w:sz w:val="20"/>
        </w:rPr>
      </w:pPr>
      <w:r>
        <w:rPr>
          <w:b/>
          <w:sz w:val="20"/>
        </w:rPr>
        <w:t>Fuente</w:t>
      </w:r>
      <w:r>
        <w:rPr>
          <w:sz w:val="20"/>
        </w:rPr>
        <w:t>: Elaboración propia con base en el Informe de Resultados de la </w:t>
      </w:r>
      <w:r>
        <w:rPr>
          <w:w w:val="99"/>
          <w:sz w:val="20"/>
        </w:rPr>
        <w:t>F</w:t>
      </w:r>
      <w:r>
        <w:rPr>
          <w:spacing w:val="-1"/>
          <w:w w:val="99"/>
          <w:sz w:val="20"/>
        </w:rPr>
        <w:t>i</w:t>
      </w:r>
      <w:r>
        <w:rPr>
          <w:spacing w:val="-25"/>
          <w:w w:val="99"/>
          <w:sz w:val="20"/>
        </w:rPr>
        <w:t>s</w:t>
      </w:r>
      <w:r>
        <w:rPr>
          <w:spacing w:val="-148"/>
          <w:w w:val="99"/>
          <w:position w:val="7"/>
          <w:sz w:val="24"/>
        </w:rPr>
        <w:t>C</w:t>
      </w:r>
      <w:r>
        <w:rPr>
          <w:spacing w:val="1"/>
          <w:w w:val="99"/>
          <w:sz w:val="20"/>
        </w:rPr>
        <w:t>c</w:t>
      </w:r>
      <w:r>
        <w:rPr>
          <w:spacing w:val="-64"/>
          <w:w w:val="99"/>
          <w:sz w:val="20"/>
        </w:rPr>
        <w:t>a</w:t>
      </w:r>
      <w:r>
        <w:rPr>
          <w:spacing w:val="-70"/>
          <w:w w:val="99"/>
          <w:position w:val="7"/>
          <w:sz w:val="24"/>
        </w:rPr>
        <w:t>o</w:t>
      </w:r>
      <w:r>
        <w:rPr>
          <w:spacing w:val="-2"/>
          <w:w w:val="99"/>
          <w:sz w:val="20"/>
        </w:rPr>
        <w:t>l</w:t>
      </w:r>
      <w:r>
        <w:rPr>
          <w:spacing w:val="-18"/>
          <w:w w:val="99"/>
          <w:sz w:val="20"/>
        </w:rPr>
        <w:t>i</w:t>
      </w:r>
      <w:r>
        <w:rPr>
          <w:spacing w:val="-114"/>
          <w:w w:val="99"/>
          <w:position w:val="7"/>
          <w:sz w:val="24"/>
        </w:rPr>
        <w:t>n</w:t>
      </w:r>
      <w:r>
        <w:rPr>
          <w:spacing w:val="-2"/>
          <w:w w:val="99"/>
          <w:sz w:val="20"/>
        </w:rPr>
        <w:t>z</w:t>
      </w:r>
      <w:r>
        <w:rPr>
          <w:spacing w:val="-95"/>
          <w:w w:val="99"/>
          <w:sz w:val="20"/>
        </w:rPr>
        <w:t>a</w:t>
      </w:r>
      <w:r>
        <w:rPr>
          <w:w w:val="100"/>
          <w:position w:val="7"/>
          <w:sz w:val="24"/>
        </w:rPr>
        <w:t>t</w:t>
      </w:r>
      <w:r>
        <w:rPr>
          <w:spacing w:val="-26"/>
          <w:w w:val="99"/>
          <w:position w:val="7"/>
          <w:sz w:val="24"/>
        </w:rPr>
        <w:t>i</w:t>
      </w:r>
      <w:r>
        <w:rPr>
          <w:spacing w:val="-74"/>
          <w:w w:val="99"/>
          <w:sz w:val="20"/>
        </w:rPr>
        <w:t>c</w:t>
      </w:r>
      <w:r>
        <w:rPr>
          <w:spacing w:val="-60"/>
          <w:w w:val="99"/>
          <w:position w:val="7"/>
          <w:sz w:val="24"/>
        </w:rPr>
        <w:t>n</w:t>
      </w:r>
      <w:r>
        <w:rPr>
          <w:spacing w:val="1"/>
          <w:w w:val="99"/>
          <w:sz w:val="20"/>
        </w:rPr>
        <w:t>i</w:t>
      </w:r>
      <w:r>
        <w:rPr>
          <w:spacing w:val="-97"/>
          <w:w w:val="99"/>
          <w:sz w:val="20"/>
        </w:rPr>
        <w:t>ó</w:t>
      </w:r>
      <w:r>
        <w:rPr>
          <w:spacing w:val="-38"/>
          <w:w w:val="99"/>
          <w:position w:val="7"/>
          <w:sz w:val="24"/>
        </w:rPr>
        <w:t>u</w:t>
      </w:r>
      <w:r>
        <w:rPr>
          <w:spacing w:val="-76"/>
          <w:w w:val="99"/>
          <w:sz w:val="20"/>
        </w:rPr>
        <w:t>n</w:t>
      </w:r>
      <w:r>
        <w:rPr>
          <w:spacing w:val="-2"/>
          <w:w w:val="99"/>
          <w:position w:val="7"/>
          <w:sz w:val="24"/>
        </w:rPr>
        <w:t>a</w:t>
      </w:r>
      <w:r>
        <w:rPr>
          <w:spacing w:val="-131"/>
          <w:w w:val="99"/>
          <w:sz w:val="20"/>
        </w:rPr>
        <w:t>S</w:t>
      </w:r>
      <w:r>
        <w:rPr>
          <w:position w:val="7"/>
          <w:sz w:val="24"/>
        </w:rPr>
        <w:t>c</w:t>
      </w:r>
      <w:r>
        <w:rPr>
          <w:spacing w:val="-44"/>
          <w:w w:val="99"/>
          <w:position w:val="7"/>
          <w:sz w:val="24"/>
        </w:rPr>
        <w:t>i</w:t>
      </w:r>
      <w:r>
        <w:rPr>
          <w:spacing w:val="-68"/>
          <w:w w:val="99"/>
          <w:sz w:val="20"/>
        </w:rPr>
        <w:t>u</w:t>
      </w:r>
      <w:r>
        <w:rPr>
          <w:spacing w:val="-67"/>
          <w:w w:val="99"/>
          <w:position w:val="7"/>
          <w:sz w:val="24"/>
        </w:rPr>
        <w:t>ó</w:t>
      </w:r>
      <w:r>
        <w:rPr>
          <w:spacing w:val="-45"/>
          <w:w w:val="99"/>
          <w:sz w:val="20"/>
        </w:rPr>
        <w:t>p</w:t>
      </w:r>
      <w:r>
        <w:rPr>
          <w:spacing w:val="-88"/>
          <w:w w:val="99"/>
          <w:position w:val="7"/>
          <w:sz w:val="24"/>
        </w:rPr>
        <w:t>n</w:t>
      </w:r>
      <w:r>
        <w:rPr>
          <w:spacing w:val="-22"/>
          <w:w w:val="99"/>
          <w:sz w:val="20"/>
        </w:rPr>
        <w:t>e</w:t>
      </w:r>
      <w:r>
        <w:rPr>
          <w:spacing w:val="-45"/>
          <w:w w:val="100"/>
          <w:position w:val="7"/>
          <w:sz w:val="24"/>
        </w:rPr>
        <w:t>.</w:t>
      </w:r>
      <w:r>
        <w:rPr>
          <w:w w:val="99"/>
          <w:sz w:val="20"/>
        </w:rPr>
        <w:t>ri</w:t>
      </w:r>
      <w:r>
        <w:rPr>
          <w:spacing w:val="-1"/>
          <w:w w:val="99"/>
          <w:sz w:val="20"/>
        </w:rPr>
        <w:t>o</w:t>
      </w:r>
      <w:r>
        <w:rPr>
          <w:w w:val="99"/>
          <w:sz w:val="20"/>
        </w:rPr>
        <w:t>r</w:t>
      </w:r>
      <w:r>
        <w:rPr>
          <w:sz w:val="20"/>
        </w:rPr>
        <w:t> </w:t>
      </w:r>
      <w:r>
        <w:rPr>
          <w:w w:val="99"/>
          <w:sz w:val="20"/>
        </w:rPr>
        <w:t>de</w:t>
      </w:r>
      <w:r>
        <w:rPr>
          <w:sz w:val="20"/>
        </w:rPr>
        <w:t> </w:t>
      </w:r>
      <w:r>
        <w:rPr>
          <w:spacing w:val="-1"/>
          <w:w w:val="99"/>
          <w:sz w:val="20"/>
        </w:rPr>
        <w:t>l</w:t>
      </w:r>
      <w:r>
        <w:rPr>
          <w:spacing w:val="1"/>
          <w:w w:val="99"/>
          <w:sz w:val="20"/>
        </w:rPr>
        <w:t>a</w:t>
      </w:r>
      <w:r>
        <w:rPr>
          <w:w w:val="99"/>
          <w:sz w:val="20"/>
        </w:rPr>
        <w:t>s</w:t>
      </w:r>
      <w:r>
        <w:rPr>
          <w:sz w:val="20"/>
        </w:rPr>
        <w:t> </w:t>
      </w:r>
      <w:r>
        <w:rPr>
          <w:w w:val="99"/>
          <w:sz w:val="20"/>
        </w:rPr>
        <w:t>c</w:t>
      </w:r>
      <w:r>
        <w:rPr>
          <w:w w:val="99"/>
          <w:sz w:val="20"/>
        </w:rPr>
        <w:t>u</w:t>
      </w:r>
      <w:r>
        <w:rPr>
          <w:spacing w:val="-1"/>
          <w:w w:val="99"/>
          <w:sz w:val="20"/>
        </w:rPr>
        <w:t>e</w:t>
      </w:r>
      <w:r>
        <w:rPr>
          <w:w w:val="99"/>
          <w:sz w:val="20"/>
        </w:rPr>
        <w:t>nt</w:t>
      </w:r>
      <w:r>
        <w:rPr>
          <w:spacing w:val="-1"/>
          <w:w w:val="99"/>
          <w:sz w:val="20"/>
        </w:rPr>
        <w:t>a</w:t>
      </w:r>
      <w:r>
        <w:rPr>
          <w:w w:val="99"/>
          <w:sz w:val="20"/>
        </w:rPr>
        <w:t>s</w:t>
      </w:r>
      <w:r>
        <w:rPr>
          <w:sz w:val="20"/>
        </w:rPr>
        <w:t> </w:t>
      </w:r>
      <w:r>
        <w:rPr>
          <w:spacing w:val="1"/>
          <w:w w:val="99"/>
          <w:sz w:val="20"/>
        </w:rPr>
        <w:t>p</w:t>
      </w:r>
      <w:r>
        <w:rPr>
          <w:w w:val="99"/>
          <w:sz w:val="20"/>
        </w:rPr>
        <w:t>ú</w:t>
      </w:r>
      <w:r>
        <w:rPr>
          <w:spacing w:val="-1"/>
          <w:w w:val="99"/>
          <w:sz w:val="20"/>
        </w:rPr>
        <w:t>b</w:t>
      </w:r>
      <w:r>
        <w:rPr>
          <w:spacing w:val="1"/>
          <w:w w:val="99"/>
          <w:sz w:val="20"/>
        </w:rPr>
        <w:t>l</w:t>
      </w:r>
      <w:r>
        <w:rPr>
          <w:spacing w:val="-1"/>
          <w:w w:val="99"/>
          <w:sz w:val="20"/>
        </w:rPr>
        <w:t>i</w:t>
      </w:r>
      <w:r>
        <w:rPr>
          <w:spacing w:val="1"/>
          <w:w w:val="99"/>
          <w:sz w:val="20"/>
        </w:rPr>
        <w:t>c</w:t>
      </w:r>
      <w:r>
        <w:rPr>
          <w:w w:val="99"/>
          <w:sz w:val="20"/>
        </w:rPr>
        <w:t>as</w:t>
      </w:r>
      <w:r>
        <w:rPr>
          <w:sz w:val="20"/>
        </w:rPr>
        <w:t> </w:t>
      </w:r>
      <w:r>
        <w:rPr>
          <w:w w:val="99"/>
          <w:sz w:val="20"/>
        </w:rPr>
        <w:t>2</w:t>
      </w:r>
      <w:r>
        <w:rPr>
          <w:spacing w:val="1"/>
          <w:w w:val="99"/>
          <w:sz w:val="20"/>
        </w:rPr>
        <w:t>0</w:t>
      </w:r>
      <w:r>
        <w:rPr>
          <w:w w:val="99"/>
          <w:sz w:val="20"/>
        </w:rPr>
        <w:t>0</w:t>
      </w:r>
      <w:r>
        <w:rPr>
          <w:spacing w:val="3"/>
          <w:w w:val="99"/>
          <w:sz w:val="20"/>
        </w:rPr>
        <w:t>8</w:t>
      </w:r>
      <w:r>
        <w:rPr>
          <w:spacing w:val="1"/>
          <w:w w:val="99"/>
          <w:sz w:val="20"/>
        </w:rPr>
        <w:t>-</w:t>
      </w:r>
      <w:r>
        <w:rPr>
          <w:spacing w:val="1"/>
          <w:w w:val="99"/>
          <w:sz w:val="20"/>
        </w:rPr>
        <w:t>20</w:t>
      </w:r>
      <w:r>
        <w:rPr>
          <w:w w:val="99"/>
          <w:sz w:val="20"/>
        </w:rPr>
        <w:t>1</w:t>
      </w:r>
      <w:r>
        <w:rPr>
          <w:spacing w:val="-1"/>
          <w:w w:val="99"/>
          <w:sz w:val="20"/>
        </w:rPr>
        <w:t>4</w:t>
      </w:r>
      <w:r>
        <w:rPr>
          <w:w w:val="99"/>
          <w:sz w:val="20"/>
        </w:rPr>
        <w:t>.</w:t>
      </w:r>
    </w:p>
    <w:p>
      <w:pPr>
        <w:spacing w:line="112" w:lineRule="exact" w:before="0" w:after="8"/>
        <w:ind w:left="2675" w:right="1340" w:firstLine="0"/>
        <w:jc w:val="left"/>
        <w:rPr>
          <w:b/>
          <w:sz w:val="16"/>
        </w:rPr>
      </w:pPr>
      <w:r>
        <w:rPr>
          <w:b/>
          <w:w w:val="120"/>
          <w:sz w:val="16"/>
        </w:rPr>
        <w:t>Auditorías realizadas al Estado de México del período  2008-2014</w:t>
      </w:r>
    </w:p>
    <w:p>
      <w:pPr>
        <w:pStyle w:val="BodyText"/>
        <w:spacing w:line="20" w:lineRule="exact"/>
        <w:ind w:left="1759"/>
        <w:rPr>
          <w:sz w:val="2"/>
        </w:rPr>
      </w:pPr>
      <w:r>
        <w:rPr>
          <w:sz w:val="2"/>
        </w:rPr>
        <w:pict>
          <v:group style="width:390.85pt;height:.65pt;mso-position-horizontal-relative:char;mso-position-vertical-relative:line" coordorigin="0,0" coordsize="7817,13">
            <v:shape style="position:absolute;left:6;top:6;width:7804;height:2" coordorigin="6,6" coordsize="7804,0" path="m6,6l6,6,7810,6e" filled="false" stroked="true" strokeweight=".618836pt" strokecolor="#000000">
              <v:path arrowok="t"/>
            </v:shape>
          </v:group>
        </w:pict>
      </w:r>
      <w:r>
        <w:rPr>
          <w:sz w:val="2"/>
        </w:rPr>
      </w:r>
    </w:p>
    <w:p>
      <w:pPr>
        <w:pStyle w:val="BodyText"/>
        <w:spacing w:before="6"/>
        <w:rPr>
          <w:b/>
          <w:sz w:val="16"/>
        </w:rPr>
      </w:pPr>
    </w:p>
    <w:tbl>
      <w:tblPr>
        <w:tblW w:w="0" w:type="auto"/>
        <w:jc w:val="left"/>
        <w:tblInd w:w="175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58"/>
        <w:gridCol w:w="3019"/>
        <w:gridCol w:w="2823"/>
      </w:tblGrid>
      <w:tr>
        <w:trPr>
          <w:trHeight w:val="236" w:hRule="exact"/>
        </w:trPr>
        <w:tc>
          <w:tcPr>
            <w:tcW w:w="1958" w:type="dxa"/>
            <w:tcBorders>
              <w:left w:val="single" w:sz="6" w:space="0" w:color="000000"/>
              <w:right w:val="single" w:sz="6" w:space="0" w:color="000000"/>
            </w:tcBorders>
          </w:tcPr>
          <w:p>
            <w:pPr>
              <w:pStyle w:val="TableParagraph"/>
              <w:spacing w:before="1"/>
              <w:ind w:left="739" w:right="721"/>
              <w:jc w:val="center"/>
              <w:rPr>
                <w:b/>
                <w:sz w:val="19"/>
              </w:rPr>
            </w:pPr>
            <w:r>
              <w:rPr>
                <w:b/>
                <w:w w:val="120"/>
                <w:sz w:val="19"/>
              </w:rPr>
              <w:t>Año</w:t>
            </w:r>
          </w:p>
        </w:tc>
        <w:tc>
          <w:tcPr>
            <w:tcW w:w="3019" w:type="dxa"/>
            <w:tcBorders>
              <w:left w:val="single" w:sz="6" w:space="0" w:color="000000"/>
              <w:right w:val="single" w:sz="6" w:space="0" w:color="000000"/>
            </w:tcBorders>
          </w:tcPr>
          <w:p>
            <w:pPr>
              <w:pStyle w:val="TableParagraph"/>
              <w:spacing w:before="1"/>
              <w:ind w:left="1067" w:right="1048"/>
              <w:jc w:val="center"/>
              <w:rPr>
                <w:b/>
                <w:sz w:val="19"/>
              </w:rPr>
            </w:pPr>
            <w:r>
              <w:rPr>
                <w:b/>
                <w:w w:val="120"/>
                <w:sz w:val="19"/>
              </w:rPr>
              <w:t>FISMDF</w:t>
            </w:r>
          </w:p>
        </w:tc>
        <w:tc>
          <w:tcPr>
            <w:tcW w:w="2823" w:type="dxa"/>
            <w:tcBorders>
              <w:left w:val="single" w:sz="6" w:space="0" w:color="000000"/>
              <w:right w:val="single" w:sz="6" w:space="0" w:color="000000"/>
            </w:tcBorders>
          </w:tcPr>
          <w:p>
            <w:pPr>
              <w:pStyle w:val="TableParagraph"/>
              <w:spacing w:before="1"/>
              <w:ind w:left="620"/>
              <w:rPr>
                <w:b/>
                <w:sz w:val="19"/>
              </w:rPr>
            </w:pPr>
            <w:r>
              <w:rPr>
                <w:b/>
                <w:w w:val="120"/>
                <w:sz w:val="19"/>
              </w:rPr>
              <w:t>FORTAMUNDF</w:t>
            </w:r>
          </w:p>
        </w:tc>
      </w:tr>
      <w:tr>
        <w:trPr>
          <w:trHeight w:val="4401" w:hRule="exact"/>
        </w:trPr>
        <w:tc>
          <w:tcPr>
            <w:tcW w:w="1958" w:type="dxa"/>
            <w:tcBorders>
              <w:left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22"/>
              </w:rPr>
            </w:pPr>
          </w:p>
          <w:p>
            <w:pPr>
              <w:pStyle w:val="TableParagraph"/>
              <w:ind w:left="730" w:right="721"/>
              <w:jc w:val="center"/>
              <w:rPr>
                <w:sz w:val="16"/>
              </w:rPr>
            </w:pPr>
            <w:r>
              <w:rPr>
                <w:w w:val="120"/>
                <w:sz w:val="16"/>
              </w:rPr>
              <w:t>2013</w:t>
            </w:r>
          </w:p>
        </w:tc>
        <w:tc>
          <w:tcPr>
            <w:tcW w:w="3019" w:type="dxa"/>
            <w:tcBorders>
              <w:left w:val="single" w:sz="6" w:space="0" w:color="000000"/>
              <w:right w:val="single" w:sz="6" w:space="0" w:color="000000"/>
            </w:tcBorders>
          </w:tcPr>
          <w:p>
            <w:pPr>
              <w:pStyle w:val="TableParagraph"/>
              <w:spacing w:line="273" w:lineRule="auto" w:before="4"/>
              <w:ind w:left="27" w:right="1060"/>
              <w:rPr>
                <w:sz w:val="16"/>
              </w:rPr>
            </w:pPr>
            <w:r>
              <w:rPr>
                <w:w w:val="120"/>
                <w:sz w:val="16"/>
              </w:rPr>
              <w:t>Atizapán de Zaragoza Atlacomulco Chimalhuacán Cuautitlán Izacalli Ecatepec de Morelos Huehuetoca Ixtapaluca</w:t>
            </w:r>
          </w:p>
          <w:p>
            <w:pPr>
              <w:pStyle w:val="TableParagraph"/>
              <w:spacing w:line="273" w:lineRule="auto"/>
              <w:ind w:left="27" w:right="1577"/>
              <w:rPr>
                <w:sz w:val="16"/>
              </w:rPr>
            </w:pPr>
            <w:r>
              <w:rPr>
                <w:w w:val="120"/>
                <w:sz w:val="16"/>
              </w:rPr>
              <w:t>La  Paz Luvianos Nezahualcóyotl Nicolas Romero</w:t>
            </w:r>
          </w:p>
          <w:p>
            <w:pPr>
              <w:pStyle w:val="TableParagraph"/>
              <w:spacing w:line="273" w:lineRule="auto" w:before="1"/>
              <w:ind w:left="27" w:right="799"/>
              <w:rPr>
                <w:sz w:val="16"/>
              </w:rPr>
            </w:pPr>
            <w:r>
              <w:rPr>
                <w:w w:val="120"/>
                <w:sz w:val="16"/>
              </w:rPr>
              <w:t>San Felipe del Progreso San José del Rincón Tesmascaltepec Temoaya</w:t>
            </w:r>
          </w:p>
          <w:p>
            <w:pPr>
              <w:pStyle w:val="TableParagraph"/>
              <w:spacing w:line="273" w:lineRule="auto" w:before="1"/>
              <w:ind w:left="27" w:right="799"/>
              <w:rPr>
                <w:sz w:val="16"/>
              </w:rPr>
            </w:pPr>
            <w:r>
              <w:rPr>
                <w:w w:val="120"/>
                <w:sz w:val="16"/>
              </w:rPr>
              <w:t>Tlalnepantla de Baz Toluca</w:t>
            </w:r>
          </w:p>
          <w:p>
            <w:pPr>
              <w:pStyle w:val="TableParagraph"/>
              <w:ind w:left="27" w:right="1577"/>
              <w:rPr>
                <w:sz w:val="16"/>
              </w:rPr>
            </w:pPr>
            <w:r>
              <w:rPr>
                <w:w w:val="120"/>
                <w:sz w:val="16"/>
              </w:rPr>
              <w:t>Tultitlán</w:t>
            </w:r>
          </w:p>
          <w:p>
            <w:pPr>
              <w:pStyle w:val="TableParagraph"/>
              <w:spacing w:line="273" w:lineRule="auto" w:before="26"/>
              <w:ind w:left="27" w:right="275"/>
              <w:rPr>
                <w:sz w:val="16"/>
              </w:rPr>
            </w:pPr>
            <w:r>
              <w:rPr>
                <w:w w:val="120"/>
                <w:sz w:val="16"/>
              </w:rPr>
              <w:t>Valle de Chalco Solidaridad Villa Victoria</w:t>
            </w:r>
          </w:p>
          <w:p>
            <w:pPr>
              <w:pStyle w:val="TableParagraph"/>
              <w:spacing w:before="1"/>
              <w:ind w:left="27" w:right="1577"/>
              <w:rPr>
                <w:sz w:val="16"/>
              </w:rPr>
            </w:pPr>
            <w:r>
              <w:rPr>
                <w:w w:val="120"/>
                <w:sz w:val="16"/>
              </w:rPr>
              <w:t>Zacualpan</w:t>
            </w:r>
          </w:p>
        </w:tc>
        <w:tc>
          <w:tcPr>
            <w:tcW w:w="2823" w:type="dxa"/>
            <w:tcBorders>
              <w:left w:val="single" w:sz="6" w:space="0" w:color="000000"/>
              <w:right w:val="single" w:sz="6" w:space="0" w:color="000000"/>
            </w:tcBorders>
          </w:tcPr>
          <w:p>
            <w:pPr>
              <w:pStyle w:val="TableParagraph"/>
              <w:spacing w:before="4"/>
              <w:ind w:left="28"/>
              <w:rPr>
                <w:sz w:val="16"/>
              </w:rPr>
            </w:pPr>
            <w:r>
              <w:rPr>
                <w:w w:val="120"/>
                <w:sz w:val="16"/>
              </w:rPr>
              <w:t>Ecatepec de Morelos</w:t>
            </w:r>
          </w:p>
        </w:tc>
      </w:tr>
      <w:tr>
        <w:trPr>
          <w:trHeight w:val="2725" w:hRule="exact"/>
        </w:trPr>
        <w:tc>
          <w:tcPr>
            <w:tcW w:w="1958" w:type="dxa"/>
            <w:tcBorders>
              <w:left w:val="single" w:sz="6" w:space="0" w:color="000000"/>
              <w:right w:val="single" w:sz="6" w:space="0" w:color="000000"/>
            </w:tcBorders>
            <w:shd w:val="clear" w:color="auto" w:fill="F1DCDB"/>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
              <w:rPr>
                <w:b/>
                <w:sz w:val="13"/>
              </w:rPr>
            </w:pPr>
          </w:p>
          <w:p>
            <w:pPr>
              <w:pStyle w:val="TableParagraph"/>
              <w:ind w:left="730" w:right="721"/>
              <w:jc w:val="center"/>
              <w:rPr>
                <w:sz w:val="16"/>
              </w:rPr>
            </w:pPr>
            <w:r>
              <w:rPr>
                <w:w w:val="120"/>
                <w:sz w:val="16"/>
              </w:rPr>
              <w:t>2014</w:t>
            </w:r>
          </w:p>
        </w:tc>
        <w:tc>
          <w:tcPr>
            <w:tcW w:w="3019" w:type="dxa"/>
            <w:tcBorders>
              <w:left w:val="single" w:sz="6" w:space="0" w:color="000000"/>
              <w:right w:val="single" w:sz="6" w:space="0" w:color="000000"/>
            </w:tcBorders>
            <w:shd w:val="clear" w:color="auto" w:fill="F1DCDB"/>
          </w:tcPr>
          <w:p>
            <w:pPr>
              <w:pStyle w:val="TableParagraph"/>
              <w:spacing w:line="273" w:lineRule="auto" w:before="4"/>
              <w:ind w:left="27" w:right="1633"/>
              <w:rPr>
                <w:sz w:val="16"/>
              </w:rPr>
            </w:pPr>
            <w:r>
              <w:rPr>
                <w:w w:val="120"/>
                <w:sz w:val="16"/>
              </w:rPr>
              <w:t>Acambay Chalco Chimalhuacán Ixtapaluca Ixtlahuaca Jilotepec Metepec</w:t>
            </w:r>
          </w:p>
          <w:p>
            <w:pPr>
              <w:pStyle w:val="TableParagraph"/>
              <w:spacing w:line="271" w:lineRule="auto" w:before="1"/>
              <w:ind w:left="27" w:right="799"/>
              <w:rPr>
                <w:sz w:val="16"/>
              </w:rPr>
            </w:pPr>
            <w:r>
              <w:rPr>
                <w:w w:val="120"/>
                <w:sz w:val="16"/>
              </w:rPr>
              <w:t>Naucalpan de Juárez Nezahualcóyotl</w:t>
            </w:r>
          </w:p>
          <w:p>
            <w:pPr>
              <w:pStyle w:val="TableParagraph"/>
              <w:spacing w:line="273" w:lineRule="auto" w:before="3"/>
              <w:ind w:left="27" w:right="799"/>
              <w:rPr>
                <w:sz w:val="16"/>
              </w:rPr>
            </w:pPr>
            <w:r>
              <w:rPr>
                <w:w w:val="120"/>
                <w:sz w:val="16"/>
              </w:rPr>
              <w:t>San José del Rincón Temascalcingo</w:t>
            </w:r>
          </w:p>
          <w:p>
            <w:pPr>
              <w:pStyle w:val="TableParagraph"/>
              <w:spacing w:line="273" w:lineRule="auto"/>
              <w:ind w:left="27" w:right="1633"/>
              <w:rPr>
                <w:sz w:val="16"/>
              </w:rPr>
            </w:pPr>
            <w:r>
              <w:rPr>
                <w:w w:val="120"/>
                <w:sz w:val="16"/>
              </w:rPr>
              <w:t>Villa de Allende Villa Victoria</w:t>
            </w:r>
          </w:p>
        </w:tc>
        <w:tc>
          <w:tcPr>
            <w:tcW w:w="2823" w:type="dxa"/>
            <w:tcBorders>
              <w:left w:val="single" w:sz="6" w:space="0" w:color="000000"/>
              <w:right w:val="single" w:sz="6" w:space="0" w:color="000000"/>
            </w:tcBorders>
            <w:shd w:val="clear" w:color="auto" w:fill="F1DCDB"/>
          </w:tcPr>
          <w:p>
            <w:pPr/>
          </w:p>
        </w:tc>
      </w:tr>
    </w:tbl>
    <w:p>
      <w:pPr>
        <w:spacing w:after="0"/>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18"/>
        </w:rPr>
      </w:pPr>
    </w:p>
    <w:p>
      <w:pPr>
        <w:spacing w:before="74"/>
        <w:ind w:left="1822" w:right="1340" w:firstLine="0"/>
        <w:jc w:val="left"/>
        <w:rPr>
          <w:sz w:val="20"/>
        </w:rPr>
      </w:pPr>
      <w:r>
        <w:rPr/>
        <w:pict>
          <v:shape style="position:absolute;margin-left:198.146652pt;margin-top:14.437786pt;width:404.2pt;height:44.3pt;mso-position-horizontal-relative:page;mso-position-vertical-relative:paragraph;z-index:-681040" type="#_x0000_t202" filled="false" stroked="false">
            <v:textbox inset="0,0,0,0">
              <w:txbxContent>
                <w:p>
                  <w:pPr>
                    <w:spacing w:before="18"/>
                    <w:ind w:left="119" w:right="0" w:firstLine="0"/>
                    <w:jc w:val="left"/>
                    <w:rPr>
                      <w:sz w:val="20"/>
                    </w:rPr>
                  </w:pPr>
                  <w:r>
                    <w:rPr>
                      <w:sz w:val="20"/>
                    </w:rPr>
                    <w:t>Fiscalización Superior de las cuentas públicas 2008-2014.</w:t>
                  </w:r>
                </w:p>
              </w:txbxContent>
            </v:textbox>
            <w10:wrap type="none"/>
          </v:shape>
        </w:pict>
      </w:r>
      <w:r>
        <w:rPr/>
        <w:pict>
          <v:group style="position:absolute;margin-left:197.846649pt;margin-top:14.43778pt;width:404.8pt;height:44.3pt;mso-position-horizontal-relative:page;mso-position-vertical-relative:paragraph;z-index:-680992" coordorigin="3957,289" coordsize="8096,886">
            <v:rect style="position:absolute;left:3963;top:289;width:8083;height:886" filled="true" fillcolor="#ffffff" stroked="false">
              <v:fill type="solid"/>
            </v:rect>
            <v:shape style="position:absolute;left:3963;top:984;width:8084;height:2" coordorigin="3963,984" coordsize="8084,0" path="m3963,984l3963,984,12046,984e" filled="false" stroked="true" strokeweight=".566542pt" strokecolor="#000000">
              <v:path arrowok="t"/>
            </v:shape>
            <v:shape style="position:absolute;left:3957;top:289;width:8095;height:886" type="#_x0000_t202" filled="false" stroked="false">
              <v:textbox inset="0,0,0,0">
                <w:txbxContent>
                  <w:p>
                    <w:pPr>
                      <w:spacing w:line="270" w:lineRule="exact" w:before="57"/>
                      <w:ind w:left="305" w:right="0" w:firstLine="0"/>
                      <w:jc w:val="left"/>
                      <w:rPr>
                        <w:sz w:val="24"/>
                      </w:rPr>
                    </w:pPr>
                    <w:r>
                      <w:rPr>
                        <w:sz w:val="24"/>
                      </w:rPr>
                      <w:t>Anexo 2.</w:t>
                    </w:r>
                  </w:p>
                  <w:p>
                    <w:pPr>
                      <w:spacing w:line="261" w:lineRule="auto" w:before="0"/>
                      <w:ind w:left="1583" w:right="0" w:hanging="1452"/>
                      <w:jc w:val="left"/>
                      <w:rPr>
                        <w:b/>
                        <w:sz w:val="15"/>
                      </w:rPr>
                    </w:pPr>
                    <w:r>
                      <w:rPr>
                        <w:b/>
                        <w:w w:val="115"/>
                        <w:sz w:val="15"/>
                      </w:rPr>
                      <w:t>Número de Auditorias al Fondo para la Infraestructura Social Muncipal y de las Demarcaciones Territoriales del Distrito Federal (FISMDF) Estado de México</w:t>
                    </w:r>
                  </w:p>
                </w:txbxContent>
              </v:textbox>
              <w10:wrap type="none"/>
            </v:shape>
            <w10:wrap type="none"/>
          </v:group>
        </w:pict>
      </w:r>
      <w:r>
        <w:rPr>
          <w:b/>
          <w:sz w:val="20"/>
        </w:rPr>
        <w:t>Fuente:  </w:t>
      </w:r>
      <w:r>
        <w:rPr>
          <w:sz w:val="20"/>
        </w:rPr>
        <w:t>Elaboración  propia  con  base  en  el  Informe  de  Resultados  de   la</w:t>
      </w:r>
    </w:p>
    <w:p>
      <w:pPr>
        <w:pStyle w:val="BodyText"/>
        <w:rPr>
          <w:sz w:val="20"/>
        </w:rPr>
      </w:pPr>
    </w:p>
    <w:p>
      <w:pPr>
        <w:pStyle w:val="BodyText"/>
        <w:rPr>
          <w:sz w:val="20"/>
        </w:rPr>
      </w:pPr>
    </w:p>
    <w:p>
      <w:pPr>
        <w:pStyle w:val="BodyText"/>
        <w:rPr>
          <w:sz w:val="20"/>
        </w:rPr>
      </w:pPr>
    </w:p>
    <w:p>
      <w:pPr>
        <w:pStyle w:val="BodyText"/>
        <w:spacing w:before="11"/>
        <w:rPr>
          <w:sz w:val="14"/>
        </w:rPr>
      </w:pPr>
    </w:p>
    <w:tbl>
      <w:tblPr>
        <w:tblW w:w="0" w:type="auto"/>
        <w:jc w:val="left"/>
        <w:tblInd w:w="169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217"/>
        <w:gridCol w:w="767"/>
        <w:gridCol w:w="796"/>
        <w:gridCol w:w="521"/>
        <w:gridCol w:w="608"/>
        <w:gridCol w:w="621"/>
        <w:gridCol w:w="741"/>
        <w:gridCol w:w="754"/>
        <w:gridCol w:w="1056"/>
      </w:tblGrid>
      <w:tr>
        <w:trPr>
          <w:trHeight w:val="189" w:hRule="exact"/>
        </w:trPr>
        <w:tc>
          <w:tcPr>
            <w:tcW w:w="2217" w:type="dxa"/>
            <w:tcBorders>
              <w:left w:val="single" w:sz="5" w:space="0" w:color="000000"/>
              <w:right w:val="single" w:sz="5" w:space="0" w:color="000000"/>
            </w:tcBorders>
          </w:tcPr>
          <w:p>
            <w:pPr/>
          </w:p>
        </w:tc>
        <w:tc>
          <w:tcPr>
            <w:tcW w:w="767" w:type="dxa"/>
            <w:tcBorders>
              <w:left w:val="single" w:sz="5" w:space="0" w:color="000000"/>
              <w:right w:val="single" w:sz="5" w:space="0" w:color="000000"/>
            </w:tcBorders>
          </w:tcPr>
          <w:p>
            <w:pPr>
              <w:pStyle w:val="TableParagraph"/>
              <w:spacing w:line="170" w:lineRule="exact"/>
              <w:ind w:left="172" w:right="158"/>
              <w:jc w:val="center"/>
              <w:rPr>
                <w:b/>
                <w:sz w:val="15"/>
              </w:rPr>
            </w:pPr>
            <w:r>
              <w:rPr>
                <w:b/>
                <w:w w:val="115"/>
                <w:sz w:val="15"/>
              </w:rPr>
              <w:t>2008</w:t>
            </w:r>
          </w:p>
        </w:tc>
        <w:tc>
          <w:tcPr>
            <w:tcW w:w="796" w:type="dxa"/>
            <w:tcBorders>
              <w:left w:val="single" w:sz="5" w:space="0" w:color="000000"/>
              <w:right w:val="single" w:sz="5" w:space="0" w:color="000000"/>
            </w:tcBorders>
            <w:shd w:val="clear" w:color="auto" w:fill="F1DCDB"/>
          </w:tcPr>
          <w:p>
            <w:pPr>
              <w:pStyle w:val="TableParagraph"/>
              <w:spacing w:line="170" w:lineRule="exact"/>
              <w:ind w:left="186" w:right="173"/>
              <w:jc w:val="center"/>
              <w:rPr>
                <w:b/>
                <w:sz w:val="15"/>
              </w:rPr>
            </w:pPr>
            <w:r>
              <w:rPr>
                <w:b/>
                <w:w w:val="115"/>
                <w:sz w:val="15"/>
              </w:rPr>
              <w:t>2009</w:t>
            </w:r>
          </w:p>
        </w:tc>
        <w:tc>
          <w:tcPr>
            <w:tcW w:w="521" w:type="dxa"/>
            <w:tcBorders>
              <w:left w:val="single" w:sz="5" w:space="0" w:color="000000"/>
              <w:right w:val="single" w:sz="5" w:space="0" w:color="000000"/>
            </w:tcBorders>
          </w:tcPr>
          <w:p>
            <w:pPr>
              <w:pStyle w:val="TableParagraph"/>
              <w:spacing w:line="170" w:lineRule="exact"/>
              <w:ind w:left="47" w:right="35"/>
              <w:jc w:val="center"/>
              <w:rPr>
                <w:b/>
                <w:sz w:val="15"/>
              </w:rPr>
            </w:pPr>
            <w:r>
              <w:rPr>
                <w:b/>
                <w:w w:val="115"/>
                <w:sz w:val="15"/>
              </w:rPr>
              <w:t>2010</w:t>
            </w:r>
          </w:p>
        </w:tc>
        <w:tc>
          <w:tcPr>
            <w:tcW w:w="608" w:type="dxa"/>
            <w:tcBorders>
              <w:left w:val="single" w:sz="5" w:space="0" w:color="000000"/>
              <w:right w:val="single" w:sz="5" w:space="0" w:color="000000"/>
            </w:tcBorders>
            <w:shd w:val="clear" w:color="auto" w:fill="F1DCDB"/>
          </w:tcPr>
          <w:p>
            <w:pPr>
              <w:pStyle w:val="TableParagraph"/>
              <w:spacing w:line="170" w:lineRule="exact"/>
              <w:ind w:left="91" w:right="79"/>
              <w:jc w:val="center"/>
              <w:rPr>
                <w:b/>
                <w:sz w:val="15"/>
              </w:rPr>
            </w:pPr>
            <w:r>
              <w:rPr>
                <w:b/>
                <w:w w:val="115"/>
                <w:sz w:val="15"/>
              </w:rPr>
              <w:t>2011</w:t>
            </w:r>
          </w:p>
        </w:tc>
        <w:tc>
          <w:tcPr>
            <w:tcW w:w="621" w:type="dxa"/>
            <w:tcBorders>
              <w:left w:val="single" w:sz="5" w:space="0" w:color="000000"/>
              <w:right w:val="single" w:sz="5" w:space="0" w:color="000000"/>
            </w:tcBorders>
          </w:tcPr>
          <w:p>
            <w:pPr>
              <w:pStyle w:val="TableParagraph"/>
              <w:spacing w:line="170" w:lineRule="exact"/>
              <w:ind w:left="100" w:right="84"/>
              <w:jc w:val="center"/>
              <w:rPr>
                <w:b/>
                <w:sz w:val="15"/>
              </w:rPr>
            </w:pPr>
            <w:r>
              <w:rPr>
                <w:b/>
                <w:w w:val="115"/>
                <w:sz w:val="15"/>
              </w:rPr>
              <w:t>2012</w:t>
            </w:r>
          </w:p>
        </w:tc>
        <w:tc>
          <w:tcPr>
            <w:tcW w:w="741" w:type="dxa"/>
            <w:tcBorders>
              <w:left w:val="single" w:sz="5" w:space="0" w:color="000000"/>
              <w:right w:val="single" w:sz="5" w:space="0" w:color="000000"/>
            </w:tcBorders>
            <w:shd w:val="clear" w:color="auto" w:fill="F1DCDB"/>
          </w:tcPr>
          <w:p>
            <w:pPr>
              <w:pStyle w:val="TableParagraph"/>
              <w:spacing w:line="170" w:lineRule="exact"/>
              <w:ind w:left="158" w:right="144"/>
              <w:jc w:val="center"/>
              <w:rPr>
                <w:b/>
                <w:sz w:val="15"/>
              </w:rPr>
            </w:pPr>
            <w:r>
              <w:rPr>
                <w:b/>
                <w:w w:val="115"/>
                <w:sz w:val="15"/>
              </w:rPr>
              <w:t>2013</w:t>
            </w:r>
          </w:p>
        </w:tc>
        <w:tc>
          <w:tcPr>
            <w:tcW w:w="754" w:type="dxa"/>
            <w:tcBorders>
              <w:left w:val="single" w:sz="5" w:space="0" w:color="000000"/>
              <w:right w:val="single" w:sz="5" w:space="0" w:color="000000"/>
            </w:tcBorders>
          </w:tcPr>
          <w:p>
            <w:pPr>
              <w:pStyle w:val="TableParagraph"/>
              <w:spacing w:line="170" w:lineRule="exact"/>
              <w:ind w:left="165" w:right="150"/>
              <w:jc w:val="center"/>
              <w:rPr>
                <w:b/>
                <w:sz w:val="15"/>
              </w:rPr>
            </w:pPr>
            <w:r>
              <w:rPr>
                <w:b/>
                <w:w w:val="115"/>
                <w:sz w:val="15"/>
              </w:rPr>
              <w:t>2014</w:t>
            </w:r>
          </w:p>
        </w:tc>
        <w:tc>
          <w:tcPr>
            <w:tcW w:w="1056" w:type="dxa"/>
            <w:tcBorders>
              <w:left w:val="single" w:sz="5" w:space="0" w:color="000000"/>
              <w:right w:val="single" w:sz="5" w:space="0" w:color="000000"/>
            </w:tcBorders>
          </w:tcPr>
          <w:p>
            <w:pPr>
              <w:pStyle w:val="TableParagraph"/>
              <w:spacing w:line="170" w:lineRule="exact"/>
              <w:ind w:left="222"/>
              <w:rPr>
                <w:b/>
                <w:sz w:val="15"/>
              </w:rPr>
            </w:pPr>
            <w:r>
              <w:rPr>
                <w:b/>
                <w:w w:val="115"/>
                <w:sz w:val="15"/>
              </w:rPr>
              <w:t>TOTAL</w:t>
            </w:r>
          </w:p>
        </w:tc>
      </w:tr>
      <w:tr>
        <w:trPr>
          <w:trHeight w:val="188" w:hRule="exact"/>
        </w:trPr>
        <w:tc>
          <w:tcPr>
            <w:tcW w:w="2217" w:type="dxa"/>
            <w:tcBorders>
              <w:left w:val="single" w:sz="5" w:space="0" w:color="000000"/>
              <w:right w:val="single" w:sz="5" w:space="0" w:color="000000"/>
            </w:tcBorders>
          </w:tcPr>
          <w:p>
            <w:pPr>
              <w:pStyle w:val="TableParagraph"/>
              <w:spacing w:line="171" w:lineRule="exact"/>
              <w:ind w:left="26"/>
              <w:rPr>
                <w:sz w:val="15"/>
              </w:rPr>
            </w:pPr>
            <w:r>
              <w:rPr>
                <w:w w:val="115"/>
                <w:sz w:val="15"/>
              </w:rPr>
              <w:t>Acambay</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Style w:val="TableParagraph"/>
              <w:spacing w:line="171"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1"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Almoloya de Alquisiras</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69" w:lineRule="exact"/>
              <w:ind w:left="26"/>
              <w:rPr>
                <w:sz w:val="15"/>
              </w:rPr>
            </w:pPr>
            <w:r>
              <w:rPr>
                <w:w w:val="115"/>
                <w:sz w:val="15"/>
              </w:rPr>
              <w:t>Almoloya de Juárez</w:t>
            </w:r>
          </w:p>
        </w:tc>
        <w:tc>
          <w:tcPr>
            <w:tcW w:w="767" w:type="dxa"/>
            <w:tcBorders>
              <w:left w:val="single" w:sz="5" w:space="0" w:color="000000"/>
              <w:right w:val="single" w:sz="5" w:space="0" w:color="000000"/>
            </w:tcBorders>
          </w:tcPr>
          <w:p>
            <w:pPr>
              <w:pStyle w:val="TableParagraph"/>
              <w:spacing w:line="169" w:lineRule="exact"/>
              <w:ind w:left="9"/>
              <w:jc w:val="center"/>
              <w:rPr>
                <w:sz w:val="15"/>
              </w:rPr>
            </w:pPr>
            <w:r>
              <w:rPr>
                <w:w w:val="115"/>
                <w:sz w:val="15"/>
              </w:rPr>
              <w:t>1</w:t>
            </w: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Style w:val="TableParagraph"/>
              <w:spacing w:line="169" w:lineRule="exact"/>
              <w:ind w:left="14"/>
              <w:jc w:val="center"/>
              <w:rPr>
                <w:sz w:val="15"/>
              </w:rPr>
            </w:pPr>
            <w:r>
              <w:rPr>
                <w:w w:val="115"/>
                <w:sz w:val="15"/>
              </w:rPr>
              <w:t>1</w:t>
            </w: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69" w:lineRule="exact"/>
              <w:ind w:left="13"/>
              <w:jc w:val="center"/>
              <w:rPr>
                <w:sz w:val="15"/>
              </w:rPr>
            </w:pPr>
            <w:r>
              <w:rPr>
                <w:w w:val="115"/>
                <w:sz w:val="15"/>
              </w:rPr>
              <w:t>2</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Atizapán de Zaragoza</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Style w:val="TableParagraph"/>
              <w:spacing w:line="170" w:lineRule="exact"/>
              <w:ind w:left="14"/>
              <w:jc w:val="center"/>
              <w:rPr>
                <w:sz w:val="15"/>
              </w:rPr>
            </w:pPr>
            <w:r>
              <w:rPr>
                <w:w w:val="115"/>
                <w:sz w:val="15"/>
              </w:rPr>
              <w:t>1</w:t>
            </w: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Style w:val="TableParagraph"/>
              <w:spacing w:line="170" w:lineRule="exact"/>
              <w:ind w:left="11"/>
              <w:jc w:val="center"/>
              <w:rPr>
                <w:sz w:val="15"/>
              </w:rPr>
            </w:pPr>
            <w:r>
              <w:rPr>
                <w:w w:val="115"/>
                <w:sz w:val="15"/>
              </w:rPr>
              <w:t>1</w:t>
            </w: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3</w:t>
            </w:r>
          </w:p>
        </w:tc>
      </w:tr>
      <w:tr>
        <w:trPr>
          <w:trHeight w:val="188" w:hRule="exact"/>
        </w:trPr>
        <w:tc>
          <w:tcPr>
            <w:tcW w:w="2217" w:type="dxa"/>
            <w:tcBorders>
              <w:left w:val="single" w:sz="5" w:space="0" w:color="000000"/>
              <w:right w:val="single" w:sz="5" w:space="0" w:color="000000"/>
            </w:tcBorders>
          </w:tcPr>
          <w:p>
            <w:pPr>
              <w:pStyle w:val="TableParagraph"/>
              <w:spacing w:line="169" w:lineRule="exact"/>
              <w:ind w:left="26"/>
              <w:rPr>
                <w:sz w:val="15"/>
              </w:rPr>
            </w:pPr>
            <w:r>
              <w:rPr>
                <w:w w:val="115"/>
                <w:sz w:val="15"/>
              </w:rPr>
              <w:t>Atlacomulco</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69"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69"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71" w:lineRule="exact"/>
              <w:ind w:left="26"/>
              <w:rPr>
                <w:sz w:val="15"/>
              </w:rPr>
            </w:pPr>
            <w:r>
              <w:rPr>
                <w:w w:val="115"/>
                <w:sz w:val="15"/>
              </w:rPr>
              <w:t>Chalco</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Style w:val="TableParagraph"/>
              <w:spacing w:line="171"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1"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Chimalhuacán</w:t>
            </w:r>
          </w:p>
        </w:tc>
        <w:tc>
          <w:tcPr>
            <w:tcW w:w="767" w:type="dxa"/>
            <w:tcBorders>
              <w:left w:val="single" w:sz="5" w:space="0" w:color="000000"/>
              <w:right w:val="single" w:sz="5" w:space="0" w:color="000000"/>
            </w:tcBorders>
          </w:tcPr>
          <w:p>
            <w:pPr>
              <w:pStyle w:val="TableParagraph"/>
              <w:spacing w:line="170" w:lineRule="exact"/>
              <w:ind w:left="9"/>
              <w:jc w:val="center"/>
              <w:rPr>
                <w:sz w:val="15"/>
              </w:rPr>
            </w:pPr>
            <w:r>
              <w:rPr>
                <w:w w:val="115"/>
                <w:sz w:val="15"/>
              </w:rPr>
              <w:t>1</w:t>
            </w: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Style w:val="TableParagraph"/>
              <w:spacing w:line="170"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4</w:t>
            </w:r>
          </w:p>
        </w:tc>
      </w:tr>
      <w:tr>
        <w:trPr>
          <w:trHeight w:val="188"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Cuautitlán Izcalli</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Style w:val="TableParagraph"/>
              <w:spacing w:line="170" w:lineRule="exact"/>
              <w:ind w:left="11"/>
              <w:jc w:val="center"/>
              <w:rPr>
                <w:sz w:val="15"/>
              </w:rPr>
            </w:pPr>
            <w:r>
              <w:rPr>
                <w:w w:val="115"/>
                <w:sz w:val="15"/>
              </w:rPr>
              <w:t>1</w:t>
            </w: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2</w:t>
            </w:r>
          </w:p>
        </w:tc>
      </w:tr>
      <w:tr>
        <w:trPr>
          <w:trHeight w:val="189" w:hRule="exact"/>
        </w:trPr>
        <w:tc>
          <w:tcPr>
            <w:tcW w:w="2217" w:type="dxa"/>
            <w:tcBorders>
              <w:left w:val="single" w:sz="5" w:space="0" w:color="000000"/>
              <w:right w:val="single" w:sz="5" w:space="0" w:color="000000"/>
            </w:tcBorders>
          </w:tcPr>
          <w:p>
            <w:pPr>
              <w:pStyle w:val="TableParagraph"/>
              <w:spacing w:line="171" w:lineRule="exact"/>
              <w:ind w:left="26"/>
              <w:rPr>
                <w:sz w:val="15"/>
              </w:rPr>
            </w:pPr>
            <w:r>
              <w:rPr>
                <w:w w:val="115"/>
                <w:sz w:val="15"/>
              </w:rPr>
              <w:t>Ecatepec de Morelos</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Style w:val="TableParagraph"/>
              <w:spacing w:line="171" w:lineRule="exact"/>
              <w:ind w:left="9"/>
              <w:jc w:val="center"/>
              <w:rPr>
                <w:sz w:val="15"/>
              </w:rPr>
            </w:pPr>
            <w:r>
              <w:rPr>
                <w:w w:val="115"/>
                <w:sz w:val="15"/>
              </w:rPr>
              <w:t>1</w:t>
            </w:r>
          </w:p>
        </w:tc>
        <w:tc>
          <w:tcPr>
            <w:tcW w:w="521" w:type="dxa"/>
            <w:tcBorders>
              <w:left w:val="single" w:sz="5" w:space="0" w:color="000000"/>
              <w:right w:val="single" w:sz="5" w:space="0" w:color="000000"/>
            </w:tcBorders>
          </w:tcPr>
          <w:p>
            <w:pPr>
              <w:pStyle w:val="TableParagraph"/>
              <w:spacing w:line="171" w:lineRule="exact"/>
              <w:ind w:left="14"/>
              <w:jc w:val="center"/>
              <w:rPr>
                <w:sz w:val="15"/>
              </w:rPr>
            </w:pPr>
            <w:r>
              <w:rPr>
                <w:w w:val="115"/>
                <w:sz w:val="15"/>
              </w:rPr>
              <w:t>1</w:t>
            </w: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Style w:val="TableParagraph"/>
              <w:spacing w:line="171" w:lineRule="exact"/>
              <w:ind w:left="11"/>
              <w:jc w:val="center"/>
              <w:rPr>
                <w:sz w:val="15"/>
              </w:rPr>
            </w:pPr>
            <w:r>
              <w:rPr>
                <w:w w:val="115"/>
                <w:sz w:val="15"/>
              </w:rPr>
              <w:t>1</w:t>
            </w:r>
          </w:p>
        </w:tc>
        <w:tc>
          <w:tcPr>
            <w:tcW w:w="741" w:type="dxa"/>
            <w:tcBorders>
              <w:left w:val="single" w:sz="5" w:space="0" w:color="000000"/>
              <w:right w:val="single" w:sz="5" w:space="0" w:color="000000"/>
            </w:tcBorders>
            <w:shd w:val="clear" w:color="auto" w:fill="F1DCDB"/>
          </w:tcPr>
          <w:p>
            <w:pPr>
              <w:pStyle w:val="TableParagraph"/>
              <w:spacing w:line="171"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1" w:lineRule="exact"/>
              <w:ind w:left="13"/>
              <w:jc w:val="center"/>
              <w:rPr>
                <w:sz w:val="15"/>
              </w:rPr>
            </w:pPr>
            <w:r>
              <w:rPr>
                <w:w w:val="115"/>
                <w:sz w:val="15"/>
              </w:rPr>
              <w:t>4</w:t>
            </w:r>
          </w:p>
        </w:tc>
      </w:tr>
      <w:tr>
        <w:trPr>
          <w:trHeight w:val="188" w:hRule="exact"/>
        </w:trPr>
        <w:tc>
          <w:tcPr>
            <w:tcW w:w="2217" w:type="dxa"/>
            <w:tcBorders>
              <w:left w:val="single" w:sz="5" w:space="0" w:color="000000"/>
              <w:right w:val="single" w:sz="5" w:space="0" w:color="000000"/>
            </w:tcBorders>
          </w:tcPr>
          <w:p>
            <w:pPr>
              <w:pStyle w:val="TableParagraph"/>
              <w:spacing w:line="169" w:lineRule="exact"/>
              <w:ind w:left="26"/>
              <w:rPr>
                <w:sz w:val="15"/>
              </w:rPr>
            </w:pPr>
            <w:r>
              <w:rPr>
                <w:w w:val="115"/>
                <w:sz w:val="15"/>
              </w:rPr>
              <w:t>Huehuetoca</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69"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69"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1" w:lineRule="exact"/>
              <w:ind w:left="26"/>
              <w:rPr>
                <w:sz w:val="15"/>
              </w:rPr>
            </w:pPr>
            <w:r>
              <w:rPr>
                <w:w w:val="115"/>
                <w:sz w:val="15"/>
              </w:rPr>
              <w:t>Huixquilucan</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Style w:val="TableParagraph"/>
              <w:spacing w:line="171" w:lineRule="exact"/>
              <w:ind w:left="11"/>
              <w:jc w:val="center"/>
              <w:rPr>
                <w:sz w:val="15"/>
              </w:rPr>
            </w:pPr>
            <w:r>
              <w:rPr>
                <w:w w:val="115"/>
                <w:sz w:val="15"/>
              </w:rPr>
              <w:t>1</w:t>
            </w: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1"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69" w:lineRule="exact"/>
              <w:ind w:left="26"/>
              <w:rPr>
                <w:sz w:val="15"/>
              </w:rPr>
            </w:pPr>
            <w:r>
              <w:rPr>
                <w:w w:val="115"/>
                <w:sz w:val="15"/>
              </w:rPr>
              <w:t>Ixtapaluca</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69" w:lineRule="exact"/>
              <w:ind w:left="9"/>
              <w:jc w:val="center"/>
              <w:rPr>
                <w:sz w:val="15"/>
              </w:rPr>
            </w:pPr>
            <w:r>
              <w:rPr>
                <w:w w:val="115"/>
                <w:sz w:val="15"/>
              </w:rPr>
              <w:t>1</w:t>
            </w:r>
          </w:p>
        </w:tc>
        <w:tc>
          <w:tcPr>
            <w:tcW w:w="754" w:type="dxa"/>
            <w:tcBorders>
              <w:left w:val="single" w:sz="5" w:space="0" w:color="000000"/>
              <w:right w:val="single" w:sz="5" w:space="0" w:color="000000"/>
            </w:tcBorders>
          </w:tcPr>
          <w:p>
            <w:pPr>
              <w:pStyle w:val="TableParagraph"/>
              <w:spacing w:line="169"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69" w:lineRule="exact"/>
              <w:ind w:left="13"/>
              <w:jc w:val="center"/>
              <w:rPr>
                <w:sz w:val="15"/>
              </w:rPr>
            </w:pPr>
            <w:r>
              <w:rPr>
                <w:w w:val="115"/>
                <w:sz w:val="15"/>
              </w:rPr>
              <w:t>2</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Ixtlahuaca</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Style w:val="TableParagraph"/>
              <w:spacing w:line="170"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3</w:t>
            </w:r>
          </w:p>
        </w:tc>
      </w:tr>
      <w:tr>
        <w:trPr>
          <w:trHeight w:val="188"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Jilotepec</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Style w:val="TableParagraph"/>
              <w:spacing w:line="170" w:lineRule="exact"/>
              <w:ind w:left="14"/>
              <w:jc w:val="center"/>
              <w:rPr>
                <w:sz w:val="15"/>
              </w:rPr>
            </w:pPr>
            <w:r>
              <w:rPr>
                <w:w w:val="115"/>
                <w:sz w:val="15"/>
              </w:rPr>
              <w:t>1</w:t>
            </w: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Jiquipilco</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Style w:val="TableParagraph"/>
              <w:spacing w:line="170" w:lineRule="exact"/>
              <w:ind w:left="14"/>
              <w:jc w:val="center"/>
              <w:rPr>
                <w:sz w:val="15"/>
              </w:rPr>
            </w:pPr>
            <w:r>
              <w:rPr>
                <w:w w:val="115"/>
                <w:sz w:val="15"/>
              </w:rPr>
              <w:t>1</w:t>
            </w: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La paz</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Luvianos</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Metepec</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Style w:val="TableParagraph"/>
              <w:spacing w:line="170"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Naucalpan de Juárez</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Style w:val="TableParagraph"/>
              <w:spacing w:line="170" w:lineRule="exact"/>
              <w:ind w:left="14"/>
              <w:jc w:val="center"/>
              <w:rPr>
                <w:sz w:val="15"/>
              </w:rPr>
            </w:pPr>
            <w:r>
              <w:rPr>
                <w:w w:val="115"/>
                <w:sz w:val="15"/>
              </w:rPr>
              <w:t>1</w:t>
            </w:r>
          </w:p>
        </w:tc>
        <w:tc>
          <w:tcPr>
            <w:tcW w:w="608"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621" w:type="dxa"/>
            <w:tcBorders>
              <w:left w:val="single" w:sz="5" w:space="0" w:color="000000"/>
              <w:right w:val="single" w:sz="5" w:space="0" w:color="000000"/>
            </w:tcBorders>
          </w:tcPr>
          <w:p>
            <w:pPr>
              <w:pStyle w:val="TableParagraph"/>
              <w:spacing w:line="170" w:lineRule="exact"/>
              <w:ind w:left="11"/>
              <w:jc w:val="center"/>
              <w:rPr>
                <w:sz w:val="15"/>
              </w:rPr>
            </w:pPr>
            <w:r>
              <w:rPr>
                <w:w w:val="115"/>
                <w:sz w:val="15"/>
              </w:rPr>
              <w:t>1</w:t>
            </w: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Style w:val="TableParagraph"/>
              <w:spacing w:line="170"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4</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Nezahualcóyotl</w:t>
            </w:r>
          </w:p>
        </w:tc>
        <w:tc>
          <w:tcPr>
            <w:tcW w:w="767" w:type="dxa"/>
            <w:tcBorders>
              <w:left w:val="single" w:sz="5" w:space="0" w:color="000000"/>
              <w:right w:val="single" w:sz="5" w:space="0" w:color="000000"/>
            </w:tcBorders>
          </w:tcPr>
          <w:p>
            <w:pPr>
              <w:pStyle w:val="TableParagraph"/>
              <w:spacing w:line="170" w:lineRule="exact"/>
              <w:ind w:left="9"/>
              <w:jc w:val="center"/>
              <w:rPr>
                <w:sz w:val="15"/>
              </w:rPr>
            </w:pPr>
            <w:r>
              <w:rPr>
                <w:w w:val="115"/>
                <w:sz w:val="15"/>
              </w:rPr>
              <w:t>1</w:t>
            </w: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Style w:val="TableParagraph"/>
              <w:spacing w:line="170" w:lineRule="exact"/>
              <w:ind w:left="14"/>
              <w:jc w:val="center"/>
              <w:rPr>
                <w:sz w:val="15"/>
              </w:rPr>
            </w:pPr>
            <w:r>
              <w:rPr>
                <w:w w:val="115"/>
                <w:sz w:val="15"/>
              </w:rPr>
              <w:t>1</w:t>
            </w: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Style w:val="TableParagraph"/>
              <w:spacing w:line="170"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4</w:t>
            </w:r>
          </w:p>
        </w:tc>
      </w:tr>
      <w:tr>
        <w:trPr>
          <w:trHeight w:val="188" w:hRule="exact"/>
        </w:trPr>
        <w:tc>
          <w:tcPr>
            <w:tcW w:w="2217" w:type="dxa"/>
            <w:tcBorders>
              <w:left w:val="single" w:sz="5" w:space="0" w:color="000000"/>
              <w:right w:val="single" w:sz="5" w:space="0" w:color="000000"/>
            </w:tcBorders>
          </w:tcPr>
          <w:p>
            <w:pPr>
              <w:pStyle w:val="TableParagraph"/>
              <w:spacing w:line="169" w:lineRule="exact"/>
              <w:ind w:left="26"/>
              <w:rPr>
                <w:sz w:val="15"/>
              </w:rPr>
            </w:pPr>
            <w:r>
              <w:rPr>
                <w:w w:val="115"/>
                <w:sz w:val="15"/>
              </w:rPr>
              <w:t>Nicolas de Romero</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69"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69"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71" w:lineRule="exact"/>
              <w:ind w:left="26"/>
              <w:rPr>
                <w:sz w:val="15"/>
              </w:rPr>
            </w:pPr>
            <w:r>
              <w:rPr>
                <w:w w:val="115"/>
                <w:sz w:val="15"/>
              </w:rPr>
              <w:t>San Felipe del Progreso</w:t>
            </w:r>
          </w:p>
        </w:tc>
        <w:tc>
          <w:tcPr>
            <w:tcW w:w="767" w:type="dxa"/>
            <w:tcBorders>
              <w:left w:val="single" w:sz="5" w:space="0" w:color="000000"/>
              <w:right w:val="single" w:sz="5" w:space="0" w:color="000000"/>
            </w:tcBorders>
          </w:tcPr>
          <w:p>
            <w:pPr>
              <w:pStyle w:val="TableParagraph"/>
              <w:spacing w:line="171" w:lineRule="exact"/>
              <w:ind w:left="9"/>
              <w:jc w:val="center"/>
              <w:rPr>
                <w:sz w:val="15"/>
              </w:rPr>
            </w:pPr>
            <w:r>
              <w:rPr>
                <w:w w:val="115"/>
                <w:sz w:val="15"/>
              </w:rPr>
              <w:t>1</w:t>
            </w:r>
          </w:p>
        </w:tc>
        <w:tc>
          <w:tcPr>
            <w:tcW w:w="796" w:type="dxa"/>
            <w:tcBorders>
              <w:left w:val="single" w:sz="5" w:space="0" w:color="000000"/>
              <w:right w:val="single" w:sz="5" w:space="0" w:color="000000"/>
            </w:tcBorders>
            <w:shd w:val="clear" w:color="auto" w:fill="F1DCDB"/>
          </w:tcPr>
          <w:p>
            <w:pPr>
              <w:pStyle w:val="TableParagraph"/>
              <w:spacing w:line="171" w:lineRule="exact"/>
              <w:ind w:left="9"/>
              <w:jc w:val="center"/>
              <w:rPr>
                <w:sz w:val="15"/>
              </w:rPr>
            </w:pPr>
            <w:r>
              <w:rPr>
                <w:w w:val="115"/>
                <w:sz w:val="15"/>
              </w:rPr>
              <w:t>1</w:t>
            </w: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Style w:val="TableParagraph"/>
              <w:spacing w:line="171" w:lineRule="exact"/>
              <w:ind w:left="11"/>
              <w:jc w:val="center"/>
              <w:rPr>
                <w:sz w:val="15"/>
              </w:rPr>
            </w:pPr>
            <w:r>
              <w:rPr>
                <w:w w:val="115"/>
                <w:sz w:val="15"/>
              </w:rPr>
              <w:t>1</w:t>
            </w:r>
          </w:p>
        </w:tc>
        <w:tc>
          <w:tcPr>
            <w:tcW w:w="741" w:type="dxa"/>
            <w:tcBorders>
              <w:left w:val="single" w:sz="5" w:space="0" w:color="000000"/>
              <w:right w:val="single" w:sz="5" w:space="0" w:color="000000"/>
            </w:tcBorders>
            <w:shd w:val="clear" w:color="auto" w:fill="F1DCDB"/>
          </w:tcPr>
          <w:p>
            <w:pPr>
              <w:pStyle w:val="TableParagraph"/>
              <w:spacing w:line="171"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1" w:lineRule="exact"/>
              <w:ind w:left="13"/>
              <w:jc w:val="center"/>
              <w:rPr>
                <w:sz w:val="15"/>
              </w:rPr>
            </w:pPr>
            <w:r>
              <w:rPr>
                <w:w w:val="115"/>
                <w:sz w:val="15"/>
              </w:rPr>
              <w:t>4</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San José del Rincón</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Style w:val="TableParagraph"/>
              <w:spacing w:line="170" w:lineRule="exact"/>
              <w:ind w:left="11"/>
              <w:jc w:val="center"/>
              <w:rPr>
                <w:sz w:val="15"/>
              </w:rPr>
            </w:pPr>
            <w:r>
              <w:rPr>
                <w:w w:val="115"/>
                <w:sz w:val="15"/>
              </w:rPr>
              <w:t>1</w:t>
            </w: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Style w:val="TableParagraph"/>
              <w:spacing w:line="170"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4</w:t>
            </w:r>
          </w:p>
        </w:tc>
      </w:tr>
      <w:tr>
        <w:trPr>
          <w:trHeight w:val="188" w:hRule="exact"/>
        </w:trPr>
        <w:tc>
          <w:tcPr>
            <w:tcW w:w="2217" w:type="dxa"/>
            <w:tcBorders>
              <w:left w:val="single" w:sz="5" w:space="0" w:color="000000"/>
              <w:right w:val="single" w:sz="5" w:space="0" w:color="000000"/>
            </w:tcBorders>
          </w:tcPr>
          <w:p>
            <w:pPr>
              <w:pStyle w:val="TableParagraph"/>
              <w:spacing w:line="171" w:lineRule="exact"/>
              <w:ind w:left="26"/>
              <w:rPr>
                <w:sz w:val="15"/>
              </w:rPr>
            </w:pPr>
            <w:r>
              <w:rPr>
                <w:w w:val="115"/>
                <w:sz w:val="15"/>
              </w:rPr>
              <w:t>Sultepec</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Style w:val="TableParagraph"/>
              <w:spacing w:line="171" w:lineRule="exact"/>
              <w:ind w:left="9"/>
              <w:jc w:val="center"/>
              <w:rPr>
                <w:sz w:val="15"/>
              </w:rPr>
            </w:pPr>
            <w:r>
              <w:rPr>
                <w:w w:val="115"/>
                <w:sz w:val="15"/>
              </w:rPr>
              <w:t>1</w:t>
            </w: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1"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Tejupilco</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Style w:val="TableParagraph"/>
              <w:spacing w:line="170" w:lineRule="exact"/>
              <w:ind w:left="11"/>
              <w:jc w:val="center"/>
              <w:rPr>
                <w:sz w:val="15"/>
              </w:rPr>
            </w:pPr>
            <w:r>
              <w:rPr>
                <w:w w:val="115"/>
                <w:sz w:val="15"/>
              </w:rPr>
              <w:t>1</w:t>
            </w: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Temascalcingo</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Style w:val="TableParagraph"/>
              <w:spacing w:line="170"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1" w:lineRule="exact"/>
              <w:ind w:left="26"/>
              <w:rPr>
                <w:sz w:val="15"/>
              </w:rPr>
            </w:pPr>
            <w:r>
              <w:rPr>
                <w:w w:val="115"/>
                <w:sz w:val="15"/>
              </w:rPr>
              <w:t>Temascaltepec</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71"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1"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69" w:lineRule="exact"/>
              <w:ind w:left="26"/>
              <w:rPr>
                <w:sz w:val="15"/>
              </w:rPr>
            </w:pPr>
            <w:r>
              <w:rPr>
                <w:w w:val="115"/>
                <w:sz w:val="15"/>
              </w:rPr>
              <w:t>Temoaya</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69"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69"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Tlalnepantla de Baz</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Style w:val="TableParagraph"/>
              <w:spacing w:line="170" w:lineRule="exact"/>
              <w:ind w:left="11"/>
              <w:jc w:val="center"/>
              <w:rPr>
                <w:sz w:val="15"/>
              </w:rPr>
            </w:pPr>
            <w:r>
              <w:rPr>
                <w:w w:val="115"/>
                <w:sz w:val="15"/>
              </w:rPr>
              <w:t>1</w:t>
            </w: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2</w:t>
            </w:r>
          </w:p>
        </w:tc>
      </w:tr>
      <w:tr>
        <w:trPr>
          <w:trHeight w:val="188" w:hRule="exact"/>
        </w:trPr>
        <w:tc>
          <w:tcPr>
            <w:tcW w:w="2217" w:type="dxa"/>
            <w:tcBorders>
              <w:left w:val="single" w:sz="5" w:space="0" w:color="000000"/>
              <w:right w:val="single" w:sz="5" w:space="0" w:color="000000"/>
            </w:tcBorders>
          </w:tcPr>
          <w:p>
            <w:pPr>
              <w:pStyle w:val="TableParagraph"/>
              <w:spacing w:line="169" w:lineRule="exact"/>
              <w:ind w:left="26"/>
              <w:rPr>
                <w:sz w:val="15"/>
              </w:rPr>
            </w:pPr>
            <w:r>
              <w:rPr>
                <w:w w:val="115"/>
                <w:sz w:val="15"/>
              </w:rPr>
              <w:t>Toluca</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Style w:val="TableParagraph"/>
              <w:spacing w:line="169" w:lineRule="exact"/>
              <w:ind w:left="9"/>
              <w:jc w:val="center"/>
              <w:rPr>
                <w:sz w:val="15"/>
              </w:rPr>
            </w:pPr>
            <w:r>
              <w:rPr>
                <w:w w:val="115"/>
                <w:sz w:val="15"/>
              </w:rPr>
              <w:t>1</w:t>
            </w:r>
          </w:p>
        </w:tc>
        <w:tc>
          <w:tcPr>
            <w:tcW w:w="521" w:type="dxa"/>
            <w:tcBorders>
              <w:left w:val="single" w:sz="5" w:space="0" w:color="000000"/>
              <w:right w:val="single" w:sz="5" w:space="0" w:color="000000"/>
            </w:tcBorders>
          </w:tcPr>
          <w:p>
            <w:pPr>
              <w:pStyle w:val="TableParagraph"/>
              <w:spacing w:line="169" w:lineRule="exact"/>
              <w:ind w:left="14"/>
              <w:jc w:val="center"/>
              <w:rPr>
                <w:sz w:val="15"/>
              </w:rPr>
            </w:pPr>
            <w:r>
              <w:rPr>
                <w:w w:val="115"/>
                <w:sz w:val="15"/>
              </w:rPr>
              <w:t>1</w:t>
            </w: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69"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69" w:lineRule="exact"/>
              <w:ind w:left="13"/>
              <w:jc w:val="center"/>
              <w:rPr>
                <w:sz w:val="15"/>
              </w:rPr>
            </w:pPr>
            <w:r>
              <w:rPr>
                <w:w w:val="115"/>
                <w:sz w:val="15"/>
              </w:rPr>
              <w:t>3</w:t>
            </w:r>
          </w:p>
        </w:tc>
      </w:tr>
      <w:tr>
        <w:trPr>
          <w:trHeight w:val="188"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Tultitlán</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1" w:lineRule="exact"/>
              <w:ind w:left="26"/>
              <w:rPr>
                <w:sz w:val="15"/>
              </w:rPr>
            </w:pPr>
            <w:r>
              <w:rPr>
                <w:w w:val="115"/>
                <w:sz w:val="15"/>
              </w:rPr>
              <w:t>Valle de chalco</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71"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1" w:lineRule="exact"/>
              <w:ind w:left="13"/>
              <w:jc w:val="center"/>
              <w:rPr>
                <w:sz w:val="15"/>
              </w:rPr>
            </w:pPr>
            <w:r>
              <w:rPr>
                <w:w w:val="115"/>
                <w:sz w:val="15"/>
              </w:rPr>
              <w:t>1</w:t>
            </w:r>
          </w:p>
        </w:tc>
      </w:tr>
      <w:tr>
        <w:trPr>
          <w:trHeight w:val="188"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Villa de Allende</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Style w:val="TableParagraph"/>
              <w:spacing w:line="170"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1</w:t>
            </w:r>
          </w:p>
        </w:tc>
      </w:tr>
      <w:tr>
        <w:trPr>
          <w:trHeight w:val="189"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Villa Victoria</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Style w:val="TableParagraph"/>
              <w:spacing w:line="170" w:lineRule="exact"/>
              <w:ind w:left="10"/>
              <w:jc w:val="center"/>
              <w:rPr>
                <w:sz w:val="15"/>
              </w:rPr>
            </w:pPr>
            <w:r>
              <w:rPr>
                <w:w w:val="115"/>
                <w:sz w:val="15"/>
              </w:rPr>
              <w:t>1</w:t>
            </w: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2</w:t>
            </w:r>
          </w:p>
        </w:tc>
      </w:tr>
      <w:tr>
        <w:trPr>
          <w:trHeight w:val="188" w:hRule="exact"/>
        </w:trPr>
        <w:tc>
          <w:tcPr>
            <w:tcW w:w="2217" w:type="dxa"/>
            <w:tcBorders>
              <w:left w:val="single" w:sz="5" w:space="0" w:color="000000"/>
              <w:right w:val="single" w:sz="5" w:space="0" w:color="000000"/>
            </w:tcBorders>
          </w:tcPr>
          <w:p>
            <w:pPr>
              <w:pStyle w:val="TableParagraph"/>
              <w:spacing w:line="170" w:lineRule="exact"/>
              <w:ind w:left="26"/>
              <w:rPr>
                <w:sz w:val="15"/>
              </w:rPr>
            </w:pPr>
            <w:r>
              <w:rPr>
                <w:w w:val="115"/>
                <w:sz w:val="15"/>
              </w:rPr>
              <w:t>Zacualpan</w:t>
            </w: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Style w:val="TableParagraph"/>
              <w:spacing w:line="170" w:lineRule="exact"/>
              <w:ind w:left="9"/>
              <w:jc w:val="center"/>
              <w:rPr>
                <w:sz w:val="15"/>
              </w:rPr>
            </w:pPr>
            <w:r>
              <w:rPr>
                <w:w w:val="115"/>
                <w:sz w:val="15"/>
              </w:rPr>
              <w:t>1</w:t>
            </w: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left="13"/>
              <w:jc w:val="center"/>
              <w:rPr>
                <w:sz w:val="15"/>
              </w:rPr>
            </w:pPr>
            <w:r>
              <w:rPr>
                <w:w w:val="115"/>
                <w:sz w:val="15"/>
              </w:rPr>
              <w:t>2</w:t>
            </w:r>
          </w:p>
        </w:tc>
      </w:tr>
      <w:tr>
        <w:trPr>
          <w:trHeight w:val="189" w:hRule="exact"/>
        </w:trPr>
        <w:tc>
          <w:tcPr>
            <w:tcW w:w="2217" w:type="dxa"/>
            <w:tcBorders>
              <w:left w:val="single" w:sz="5" w:space="0" w:color="000000"/>
              <w:right w:val="single" w:sz="5" w:space="0" w:color="000000"/>
            </w:tcBorders>
          </w:tcPr>
          <w:p>
            <w:pPr/>
          </w:p>
        </w:tc>
        <w:tc>
          <w:tcPr>
            <w:tcW w:w="767" w:type="dxa"/>
            <w:tcBorders>
              <w:left w:val="single" w:sz="5" w:space="0" w:color="000000"/>
              <w:right w:val="single" w:sz="5" w:space="0" w:color="000000"/>
            </w:tcBorders>
          </w:tcPr>
          <w:p>
            <w:pPr/>
          </w:p>
        </w:tc>
        <w:tc>
          <w:tcPr>
            <w:tcW w:w="796" w:type="dxa"/>
            <w:tcBorders>
              <w:left w:val="single" w:sz="5" w:space="0" w:color="000000"/>
              <w:right w:val="single" w:sz="5" w:space="0" w:color="000000"/>
            </w:tcBorders>
            <w:shd w:val="clear" w:color="auto" w:fill="F1DCDB"/>
          </w:tcPr>
          <w:p>
            <w:pPr/>
          </w:p>
        </w:tc>
        <w:tc>
          <w:tcPr>
            <w:tcW w:w="521" w:type="dxa"/>
            <w:tcBorders>
              <w:left w:val="single" w:sz="5" w:space="0" w:color="000000"/>
              <w:right w:val="single" w:sz="5" w:space="0" w:color="000000"/>
            </w:tcBorders>
          </w:tcPr>
          <w:p>
            <w:pPr/>
          </w:p>
        </w:tc>
        <w:tc>
          <w:tcPr>
            <w:tcW w:w="608" w:type="dxa"/>
            <w:tcBorders>
              <w:left w:val="single" w:sz="5" w:space="0" w:color="000000"/>
              <w:right w:val="single" w:sz="5" w:space="0" w:color="000000"/>
            </w:tcBorders>
            <w:shd w:val="clear" w:color="auto" w:fill="F1DCDB"/>
          </w:tcPr>
          <w:p>
            <w:pPr/>
          </w:p>
        </w:tc>
        <w:tc>
          <w:tcPr>
            <w:tcW w:w="621" w:type="dxa"/>
            <w:tcBorders>
              <w:left w:val="single" w:sz="5" w:space="0" w:color="000000"/>
              <w:right w:val="single" w:sz="5" w:space="0" w:color="000000"/>
            </w:tcBorders>
          </w:tcPr>
          <w:p>
            <w:pPr/>
          </w:p>
        </w:tc>
        <w:tc>
          <w:tcPr>
            <w:tcW w:w="741" w:type="dxa"/>
            <w:tcBorders>
              <w:left w:val="single" w:sz="5" w:space="0" w:color="000000"/>
              <w:right w:val="single" w:sz="5" w:space="0" w:color="000000"/>
            </w:tcBorders>
            <w:shd w:val="clear" w:color="auto" w:fill="F1DCDB"/>
          </w:tcPr>
          <w:p>
            <w:pPr/>
          </w:p>
        </w:tc>
        <w:tc>
          <w:tcPr>
            <w:tcW w:w="754" w:type="dxa"/>
            <w:tcBorders>
              <w:left w:val="single" w:sz="5" w:space="0" w:color="000000"/>
              <w:right w:val="single" w:sz="5" w:space="0" w:color="000000"/>
            </w:tcBorders>
          </w:tcPr>
          <w:p>
            <w:pPr/>
          </w:p>
        </w:tc>
        <w:tc>
          <w:tcPr>
            <w:tcW w:w="1056" w:type="dxa"/>
            <w:tcBorders>
              <w:left w:val="single" w:sz="5" w:space="0" w:color="000000"/>
              <w:right w:val="single" w:sz="5" w:space="0" w:color="000000"/>
            </w:tcBorders>
          </w:tcPr>
          <w:p>
            <w:pPr>
              <w:pStyle w:val="TableParagraph"/>
              <w:spacing w:line="170" w:lineRule="exact"/>
              <w:ind w:right="24"/>
              <w:jc w:val="right"/>
              <w:rPr>
                <w:b/>
                <w:sz w:val="15"/>
              </w:rPr>
            </w:pPr>
            <w:r>
              <w:rPr>
                <w:b/>
                <w:w w:val="115"/>
                <w:sz w:val="15"/>
              </w:rPr>
              <w:t>65</w:t>
            </w:r>
          </w:p>
        </w:tc>
      </w:tr>
    </w:tbl>
    <w:p>
      <w:pPr>
        <w:spacing w:after="0" w:line="170" w:lineRule="exact"/>
        <w:jc w:val="right"/>
        <w:rPr>
          <w:sz w:val="15"/>
        </w:rPr>
        <w:sectPr>
          <w:pgSz w:w="15840" w:h="12240" w:orient="landscape"/>
          <w:pgMar w:header="0" w:footer="992" w:top="1140" w:bottom="1180" w:left="2260" w:right="2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spacing w:line="141" w:lineRule="auto" w:before="0"/>
        <w:ind w:left="1642" w:right="1340" w:firstLine="0"/>
        <w:jc w:val="left"/>
        <w:rPr>
          <w:sz w:val="20"/>
        </w:rPr>
      </w:pPr>
      <w:r>
        <w:rPr>
          <w:b/>
          <w:sz w:val="20"/>
        </w:rPr>
        <w:t>Fuente</w:t>
      </w:r>
      <w:r>
        <w:rPr>
          <w:sz w:val="20"/>
        </w:rPr>
        <w:t>: Elaboración propia con base en el Informe de Resultados de la Fiscalización </w:t>
      </w:r>
      <w:r>
        <w:rPr>
          <w:spacing w:val="-1"/>
          <w:w w:val="99"/>
          <w:sz w:val="20"/>
        </w:rPr>
        <w:t>S</w:t>
      </w:r>
      <w:r>
        <w:rPr>
          <w:spacing w:val="-63"/>
          <w:w w:val="99"/>
          <w:sz w:val="20"/>
        </w:rPr>
        <w:t>u</w:t>
      </w:r>
      <w:r>
        <w:rPr>
          <w:spacing w:val="-98"/>
          <w:w w:val="100"/>
          <w:position w:val="6"/>
          <w:sz w:val="24"/>
        </w:rPr>
        <w:t>A</w:t>
      </w:r>
      <w:r>
        <w:rPr>
          <w:spacing w:val="-14"/>
          <w:w w:val="99"/>
          <w:sz w:val="20"/>
        </w:rPr>
        <w:t>p</w:t>
      </w:r>
      <w:r>
        <w:rPr>
          <w:spacing w:val="-120"/>
          <w:w w:val="99"/>
          <w:position w:val="6"/>
          <w:sz w:val="24"/>
        </w:rPr>
        <w:t>n</w:t>
      </w:r>
      <w:r>
        <w:rPr>
          <w:w w:val="99"/>
          <w:sz w:val="20"/>
        </w:rPr>
        <w:t>e</w:t>
      </w:r>
      <w:r>
        <w:rPr>
          <w:spacing w:val="-58"/>
          <w:w w:val="99"/>
          <w:sz w:val="20"/>
        </w:rPr>
        <w:t>r</w:t>
      </w:r>
      <w:r>
        <w:rPr>
          <w:spacing w:val="-77"/>
          <w:w w:val="99"/>
          <w:position w:val="6"/>
          <w:sz w:val="24"/>
        </w:rPr>
        <w:t>e</w:t>
      </w:r>
      <w:r>
        <w:rPr>
          <w:w w:val="99"/>
          <w:sz w:val="20"/>
        </w:rPr>
        <w:t>i</w:t>
      </w:r>
      <w:r>
        <w:rPr>
          <w:spacing w:val="-79"/>
          <w:w w:val="99"/>
          <w:sz w:val="20"/>
        </w:rPr>
        <w:t>o</w:t>
      </w:r>
      <w:r>
        <w:rPr>
          <w:spacing w:val="-43"/>
          <w:position w:val="6"/>
          <w:sz w:val="24"/>
        </w:rPr>
        <w:t>x</w:t>
      </w:r>
      <w:r>
        <w:rPr>
          <w:spacing w:val="-27"/>
          <w:w w:val="99"/>
          <w:sz w:val="20"/>
        </w:rPr>
        <w:t>r</w:t>
      </w:r>
      <w:r>
        <w:rPr>
          <w:spacing w:val="-50"/>
          <w:w w:val="99"/>
          <w:position w:val="6"/>
          <w:sz w:val="24"/>
        </w:rPr>
        <w:t>o</w:t>
      </w:r>
      <w:r>
        <w:rPr>
          <w:w w:val="99"/>
          <w:sz w:val="20"/>
        </w:rPr>
        <w:t>d</w:t>
      </w:r>
      <w:r>
        <w:rPr>
          <w:spacing w:val="-105"/>
          <w:w w:val="99"/>
          <w:sz w:val="20"/>
        </w:rPr>
        <w:t>e</w:t>
      </w:r>
      <w:r>
        <w:rPr>
          <w:spacing w:val="1"/>
          <w:w w:val="99"/>
          <w:position w:val="6"/>
          <w:sz w:val="24"/>
        </w:rPr>
        <w:t>3</w:t>
      </w:r>
      <w:r>
        <w:rPr>
          <w:spacing w:val="-41"/>
          <w:w w:val="100"/>
          <w:position w:val="6"/>
          <w:sz w:val="24"/>
        </w:rPr>
        <w:t>.</w:t>
      </w:r>
      <w:r>
        <w:rPr>
          <w:spacing w:val="-1"/>
          <w:w w:val="99"/>
          <w:sz w:val="20"/>
        </w:rPr>
        <w:t>l</w:t>
      </w:r>
      <w:r>
        <w:rPr>
          <w:w w:val="99"/>
          <w:sz w:val="20"/>
        </w:rPr>
        <w:t>as</w:t>
      </w:r>
      <w:r>
        <w:rPr>
          <w:sz w:val="20"/>
        </w:rPr>
        <w:t> </w:t>
      </w:r>
      <w:r>
        <w:rPr>
          <w:w w:val="99"/>
          <w:sz w:val="20"/>
        </w:rPr>
        <w:t>c</w:t>
      </w:r>
      <w:r>
        <w:rPr>
          <w:w w:val="99"/>
          <w:sz w:val="20"/>
        </w:rPr>
        <w:t>u</w:t>
      </w:r>
      <w:r>
        <w:rPr>
          <w:spacing w:val="-1"/>
          <w:w w:val="99"/>
          <w:sz w:val="20"/>
        </w:rPr>
        <w:t>e</w:t>
      </w:r>
      <w:r>
        <w:rPr>
          <w:spacing w:val="1"/>
          <w:w w:val="99"/>
          <w:sz w:val="20"/>
        </w:rPr>
        <w:t>n</w:t>
      </w:r>
      <w:r>
        <w:rPr>
          <w:w w:val="99"/>
          <w:sz w:val="20"/>
        </w:rPr>
        <w:t>tas</w:t>
      </w:r>
      <w:r>
        <w:rPr>
          <w:sz w:val="20"/>
        </w:rPr>
        <w:t> </w:t>
      </w:r>
      <w:r>
        <w:rPr>
          <w:w w:val="99"/>
          <w:sz w:val="20"/>
        </w:rPr>
        <w:t>p</w:t>
      </w:r>
      <w:r>
        <w:rPr>
          <w:spacing w:val="1"/>
          <w:w w:val="99"/>
          <w:sz w:val="20"/>
        </w:rPr>
        <w:t>ú</w:t>
      </w:r>
      <w:r>
        <w:rPr>
          <w:w w:val="99"/>
          <w:sz w:val="20"/>
        </w:rPr>
        <w:t>b</w:t>
      </w:r>
      <w:r>
        <w:rPr>
          <w:spacing w:val="-2"/>
          <w:w w:val="99"/>
          <w:sz w:val="20"/>
        </w:rPr>
        <w:t>l</w:t>
      </w:r>
      <w:r>
        <w:rPr>
          <w:spacing w:val="-1"/>
          <w:w w:val="99"/>
          <w:sz w:val="20"/>
        </w:rPr>
        <w:t>i</w:t>
      </w:r>
      <w:r>
        <w:rPr>
          <w:spacing w:val="1"/>
          <w:w w:val="99"/>
          <w:sz w:val="20"/>
        </w:rPr>
        <w:t>c</w:t>
      </w:r>
      <w:r>
        <w:rPr>
          <w:w w:val="99"/>
          <w:sz w:val="20"/>
        </w:rPr>
        <w:t>as</w:t>
      </w:r>
      <w:r>
        <w:rPr>
          <w:sz w:val="20"/>
        </w:rPr>
        <w:t> </w:t>
      </w:r>
      <w:r>
        <w:rPr>
          <w:w w:val="99"/>
          <w:sz w:val="20"/>
        </w:rPr>
        <w:t>2</w:t>
      </w:r>
      <w:r>
        <w:rPr>
          <w:spacing w:val="-1"/>
          <w:w w:val="99"/>
          <w:sz w:val="20"/>
        </w:rPr>
        <w:t>0</w:t>
      </w:r>
      <w:r>
        <w:rPr>
          <w:spacing w:val="1"/>
          <w:w w:val="99"/>
          <w:sz w:val="20"/>
        </w:rPr>
        <w:t>0</w:t>
      </w:r>
      <w:r>
        <w:rPr>
          <w:spacing w:val="3"/>
          <w:w w:val="99"/>
          <w:sz w:val="20"/>
        </w:rPr>
        <w:t>8</w:t>
      </w:r>
      <w:r>
        <w:rPr>
          <w:w w:val="99"/>
          <w:sz w:val="20"/>
        </w:rPr>
        <w:t>-</w:t>
      </w:r>
      <w:r>
        <w:rPr>
          <w:w w:val="99"/>
          <w:sz w:val="20"/>
        </w:rPr>
        <w:t>2</w:t>
      </w:r>
      <w:r>
        <w:rPr>
          <w:spacing w:val="-1"/>
          <w:w w:val="99"/>
          <w:sz w:val="20"/>
        </w:rPr>
        <w:t>0</w:t>
      </w:r>
      <w:r>
        <w:rPr>
          <w:spacing w:val="1"/>
          <w:w w:val="99"/>
          <w:sz w:val="20"/>
        </w:rPr>
        <w:t>1</w:t>
      </w:r>
      <w:r>
        <w:rPr>
          <w:w w:val="99"/>
          <w:sz w:val="20"/>
        </w:rPr>
        <w:t>4</w:t>
      </w:r>
      <w:r>
        <w:rPr>
          <w:w w:val="99"/>
          <w:sz w:val="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71" w:lineRule="auto" w:before="211"/>
        <w:ind w:left="1317" w:right="1340" w:firstLine="321"/>
        <w:jc w:val="left"/>
        <w:rPr>
          <w:b/>
          <w:sz w:val="23"/>
        </w:rPr>
      </w:pPr>
      <w:r>
        <w:rPr/>
        <w:pict>
          <v:shape style="position:absolute;margin-left:175.043137pt;margin-top:39.809059pt;width:434.3pt;height:.1pt;mso-position-horizontal-relative:page;mso-position-vertical-relative:paragraph;z-index:-680968" coordorigin="3501,796" coordsize="8686,0" path="m3501,796l3501,796,12186,796e" filled="false" stroked="true" strokeweight=".882793pt" strokecolor="#000000">
            <v:path arrowok="t"/>
            <w10:wrap type="none"/>
          </v:shape>
        </w:pict>
      </w:r>
      <w:r>
        <w:rPr>
          <w:b/>
          <w:sz w:val="23"/>
        </w:rPr>
        <w:t>Número</w:t>
      </w:r>
      <w:r>
        <w:rPr>
          <w:b/>
          <w:spacing w:val="-45"/>
          <w:sz w:val="23"/>
        </w:rPr>
        <w:t> </w:t>
      </w:r>
      <w:r>
        <w:rPr>
          <w:b/>
          <w:sz w:val="23"/>
        </w:rPr>
        <w:t>de</w:t>
      </w:r>
      <w:r>
        <w:rPr>
          <w:b/>
          <w:spacing w:val="-47"/>
          <w:sz w:val="23"/>
        </w:rPr>
        <w:t> </w:t>
      </w:r>
      <w:r>
        <w:rPr>
          <w:b/>
          <w:sz w:val="23"/>
        </w:rPr>
        <w:t>Auditorias</w:t>
      </w:r>
      <w:r>
        <w:rPr>
          <w:b/>
          <w:spacing w:val="-45"/>
          <w:sz w:val="23"/>
        </w:rPr>
        <w:t> </w:t>
      </w:r>
      <w:r>
        <w:rPr>
          <w:b/>
          <w:sz w:val="23"/>
        </w:rPr>
        <w:t>al</w:t>
      </w:r>
      <w:r>
        <w:rPr>
          <w:b/>
          <w:spacing w:val="-45"/>
          <w:sz w:val="23"/>
        </w:rPr>
        <w:t> </w:t>
      </w:r>
      <w:r>
        <w:rPr>
          <w:b/>
          <w:sz w:val="23"/>
        </w:rPr>
        <w:t>Fondo</w:t>
      </w:r>
      <w:r>
        <w:rPr>
          <w:b/>
          <w:spacing w:val="-45"/>
          <w:sz w:val="23"/>
        </w:rPr>
        <w:t> </w:t>
      </w:r>
      <w:r>
        <w:rPr>
          <w:b/>
          <w:sz w:val="23"/>
        </w:rPr>
        <w:t>de</w:t>
      </w:r>
      <w:r>
        <w:rPr>
          <w:b/>
          <w:spacing w:val="-48"/>
          <w:sz w:val="23"/>
        </w:rPr>
        <w:t> </w:t>
      </w:r>
      <w:r>
        <w:rPr>
          <w:b/>
          <w:sz w:val="23"/>
        </w:rPr>
        <w:t>Aportaciones</w:t>
      </w:r>
      <w:r>
        <w:rPr>
          <w:b/>
          <w:spacing w:val="-45"/>
          <w:sz w:val="23"/>
        </w:rPr>
        <w:t> </w:t>
      </w:r>
      <w:r>
        <w:rPr>
          <w:b/>
          <w:sz w:val="23"/>
        </w:rPr>
        <w:t>para</w:t>
      </w:r>
      <w:r>
        <w:rPr>
          <w:b/>
          <w:spacing w:val="-45"/>
          <w:sz w:val="23"/>
        </w:rPr>
        <w:t> </w:t>
      </w:r>
      <w:r>
        <w:rPr>
          <w:b/>
          <w:sz w:val="23"/>
        </w:rPr>
        <w:t>el</w:t>
      </w:r>
      <w:r>
        <w:rPr>
          <w:b/>
          <w:spacing w:val="-45"/>
          <w:sz w:val="23"/>
        </w:rPr>
        <w:t> </w:t>
      </w:r>
      <w:r>
        <w:rPr>
          <w:b/>
          <w:sz w:val="23"/>
        </w:rPr>
        <w:t>Fortalecimiento</w:t>
      </w:r>
      <w:r>
        <w:rPr>
          <w:b/>
          <w:spacing w:val="-45"/>
          <w:sz w:val="23"/>
        </w:rPr>
        <w:t> </w:t>
      </w:r>
      <w:r>
        <w:rPr>
          <w:b/>
          <w:sz w:val="23"/>
        </w:rPr>
        <w:t>de</w:t>
      </w:r>
      <w:r>
        <w:rPr>
          <w:b/>
          <w:spacing w:val="-44"/>
          <w:sz w:val="23"/>
        </w:rPr>
        <w:t> </w:t>
      </w:r>
      <w:r>
        <w:rPr>
          <w:b/>
          <w:sz w:val="23"/>
        </w:rPr>
        <w:t>los </w:t>
      </w:r>
      <w:r>
        <w:rPr>
          <w:b/>
          <w:w w:val="95"/>
          <w:sz w:val="23"/>
        </w:rPr>
        <w:t>Municipios</w:t>
      </w:r>
      <w:r>
        <w:rPr>
          <w:b/>
          <w:spacing w:val="-34"/>
          <w:w w:val="95"/>
          <w:sz w:val="23"/>
        </w:rPr>
        <w:t> </w:t>
      </w:r>
      <w:r>
        <w:rPr>
          <w:b/>
          <w:w w:val="95"/>
          <w:sz w:val="23"/>
        </w:rPr>
        <w:t>y</w:t>
      </w:r>
      <w:r>
        <w:rPr>
          <w:b/>
          <w:spacing w:val="-34"/>
          <w:w w:val="95"/>
          <w:sz w:val="23"/>
        </w:rPr>
        <w:t> </w:t>
      </w:r>
      <w:r>
        <w:rPr>
          <w:b/>
          <w:w w:val="95"/>
          <w:sz w:val="23"/>
        </w:rPr>
        <w:t>de</w:t>
      </w:r>
      <w:r>
        <w:rPr>
          <w:b/>
          <w:spacing w:val="-34"/>
          <w:w w:val="95"/>
          <w:sz w:val="23"/>
        </w:rPr>
        <w:t> </w:t>
      </w:r>
      <w:r>
        <w:rPr>
          <w:b/>
          <w:w w:val="95"/>
          <w:sz w:val="23"/>
        </w:rPr>
        <w:t>las</w:t>
      </w:r>
      <w:r>
        <w:rPr>
          <w:b/>
          <w:spacing w:val="-7"/>
          <w:w w:val="95"/>
          <w:sz w:val="23"/>
        </w:rPr>
        <w:t> </w:t>
      </w:r>
      <w:r>
        <w:rPr>
          <w:b/>
          <w:w w:val="95"/>
          <w:sz w:val="23"/>
        </w:rPr>
        <w:t>Demarcaciones</w:t>
      </w:r>
      <w:r>
        <w:rPr>
          <w:b/>
          <w:spacing w:val="-34"/>
          <w:w w:val="95"/>
          <w:sz w:val="23"/>
        </w:rPr>
        <w:t> </w:t>
      </w:r>
      <w:r>
        <w:rPr>
          <w:b/>
          <w:w w:val="95"/>
          <w:sz w:val="23"/>
        </w:rPr>
        <w:t>Territoriales</w:t>
      </w:r>
      <w:r>
        <w:rPr>
          <w:b/>
          <w:spacing w:val="-34"/>
          <w:w w:val="95"/>
          <w:sz w:val="23"/>
        </w:rPr>
        <w:t> </w:t>
      </w:r>
      <w:r>
        <w:rPr>
          <w:b/>
          <w:w w:val="95"/>
          <w:sz w:val="23"/>
        </w:rPr>
        <w:t>del</w:t>
      </w:r>
      <w:r>
        <w:rPr>
          <w:b/>
          <w:spacing w:val="-34"/>
          <w:w w:val="95"/>
          <w:sz w:val="23"/>
        </w:rPr>
        <w:t> </w:t>
      </w:r>
      <w:r>
        <w:rPr>
          <w:b/>
          <w:w w:val="95"/>
          <w:sz w:val="23"/>
        </w:rPr>
        <w:t>Distrito</w:t>
      </w:r>
      <w:r>
        <w:rPr>
          <w:b/>
          <w:spacing w:val="-33"/>
          <w:w w:val="95"/>
          <w:sz w:val="23"/>
        </w:rPr>
        <w:t> </w:t>
      </w:r>
      <w:r>
        <w:rPr>
          <w:b/>
          <w:w w:val="95"/>
          <w:sz w:val="23"/>
        </w:rPr>
        <w:t>Federal</w:t>
      </w:r>
      <w:r>
        <w:rPr>
          <w:b/>
          <w:spacing w:val="-34"/>
          <w:w w:val="95"/>
          <w:sz w:val="23"/>
        </w:rPr>
        <w:t> </w:t>
      </w:r>
      <w:r>
        <w:rPr>
          <w:b/>
          <w:w w:val="95"/>
          <w:sz w:val="23"/>
        </w:rPr>
        <w:t>(FORTAMUNDF)</w:t>
      </w:r>
    </w:p>
    <w:p>
      <w:pPr>
        <w:pStyle w:val="BodyText"/>
        <w:spacing w:before="2"/>
        <w:rPr>
          <w:b/>
        </w:rPr>
      </w:pPr>
    </w:p>
    <w:tbl>
      <w:tblPr>
        <w:tblW w:w="0" w:type="auto"/>
        <w:jc w:val="left"/>
        <w:tblInd w:w="1232"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295"/>
        <w:gridCol w:w="774"/>
        <w:gridCol w:w="863"/>
        <w:gridCol w:w="635"/>
        <w:gridCol w:w="600"/>
        <w:gridCol w:w="602"/>
        <w:gridCol w:w="668"/>
        <w:gridCol w:w="691"/>
        <w:gridCol w:w="1553"/>
      </w:tblGrid>
      <w:tr>
        <w:trPr>
          <w:trHeight w:val="300" w:hRule="exact"/>
        </w:trPr>
        <w:tc>
          <w:tcPr>
            <w:tcW w:w="2295" w:type="dxa"/>
            <w:tcBorders>
              <w:left w:val="single" w:sz="6" w:space="0" w:color="000000"/>
              <w:right w:val="single" w:sz="6" w:space="0" w:color="000000"/>
            </w:tcBorders>
          </w:tcPr>
          <w:p>
            <w:pPr/>
          </w:p>
        </w:tc>
        <w:tc>
          <w:tcPr>
            <w:tcW w:w="774" w:type="dxa"/>
            <w:tcBorders>
              <w:left w:val="single" w:sz="6" w:space="0" w:color="000000"/>
              <w:right w:val="single" w:sz="6" w:space="0" w:color="000000"/>
            </w:tcBorders>
          </w:tcPr>
          <w:p>
            <w:pPr>
              <w:pStyle w:val="TableParagraph"/>
              <w:spacing w:before="4"/>
              <w:ind w:left="259" w:right="-7"/>
              <w:rPr>
                <w:b/>
                <w:sz w:val="23"/>
              </w:rPr>
            </w:pPr>
            <w:r>
              <w:rPr>
                <w:b/>
                <w:w w:val="95"/>
                <w:sz w:val="23"/>
              </w:rPr>
              <w:t>2008</w:t>
            </w:r>
          </w:p>
        </w:tc>
        <w:tc>
          <w:tcPr>
            <w:tcW w:w="863" w:type="dxa"/>
            <w:tcBorders>
              <w:left w:val="single" w:sz="6" w:space="0" w:color="000000"/>
              <w:right w:val="single" w:sz="6" w:space="0" w:color="000000"/>
            </w:tcBorders>
            <w:shd w:val="clear" w:color="auto" w:fill="F1DCDB"/>
          </w:tcPr>
          <w:p>
            <w:pPr>
              <w:pStyle w:val="TableParagraph"/>
              <w:spacing w:before="4"/>
              <w:ind w:left="347" w:right="-6"/>
              <w:rPr>
                <w:b/>
                <w:sz w:val="23"/>
              </w:rPr>
            </w:pPr>
            <w:r>
              <w:rPr>
                <w:b/>
                <w:w w:val="95"/>
                <w:sz w:val="23"/>
              </w:rPr>
              <w:t>2009</w:t>
            </w:r>
          </w:p>
        </w:tc>
        <w:tc>
          <w:tcPr>
            <w:tcW w:w="635" w:type="dxa"/>
            <w:tcBorders>
              <w:left w:val="single" w:sz="6" w:space="0" w:color="000000"/>
              <w:right w:val="single" w:sz="6" w:space="0" w:color="000000"/>
            </w:tcBorders>
          </w:tcPr>
          <w:p>
            <w:pPr>
              <w:pStyle w:val="TableParagraph"/>
              <w:spacing w:before="4"/>
              <w:ind w:left="88" w:right="4"/>
              <w:jc w:val="center"/>
              <w:rPr>
                <w:b/>
                <w:sz w:val="23"/>
              </w:rPr>
            </w:pPr>
            <w:r>
              <w:rPr>
                <w:b/>
                <w:w w:val="95"/>
                <w:sz w:val="23"/>
              </w:rPr>
              <w:t>2010</w:t>
            </w:r>
          </w:p>
        </w:tc>
        <w:tc>
          <w:tcPr>
            <w:tcW w:w="600" w:type="dxa"/>
            <w:tcBorders>
              <w:left w:val="single" w:sz="6" w:space="0" w:color="000000"/>
              <w:right w:val="single" w:sz="6" w:space="0" w:color="000000"/>
            </w:tcBorders>
            <w:shd w:val="clear" w:color="auto" w:fill="F1DCDB"/>
          </w:tcPr>
          <w:p>
            <w:pPr>
              <w:pStyle w:val="TableParagraph"/>
              <w:spacing w:before="4"/>
              <w:ind w:left="62"/>
              <w:jc w:val="center"/>
              <w:rPr>
                <w:b/>
                <w:sz w:val="23"/>
              </w:rPr>
            </w:pPr>
            <w:r>
              <w:rPr>
                <w:b/>
                <w:w w:val="95"/>
                <w:sz w:val="23"/>
              </w:rPr>
              <w:t>2011</w:t>
            </w:r>
          </w:p>
        </w:tc>
        <w:tc>
          <w:tcPr>
            <w:tcW w:w="602" w:type="dxa"/>
            <w:tcBorders>
              <w:left w:val="single" w:sz="6" w:space="0" w:color="000000"/>
              <w:right w:val="single" w:sz="6" w:space="0" w:color="000000"/>
            </w:tcBorders>
          </w:tcPr>
          <w:p>
            <w:pPr>
              <w:pStyle w:val="TableParagraph"/>
              <w:spacing w:before="4"/>
              <w:ind w:left="55" w:right="4"/>
              <w:jc w:val="center"/>
              <w:rPr>
                <w:b/>
                <w:sz w:val="23"/>
              </w:rPr>
            </w:pPr>
            <w:r>
              <w:rPr>
                <w:b/>
                <w:w w:val="95"/>
                <w:sz w:val="23"/>
              </w:rPr>
              <w:t>2012</w:t>
            </w:r>
          </w:p>
        </w:tc>
        <w:tc>
          <w:tcPr>
            <w:tcW w:w="668" w:type="dxa"/>
            <w:tcBorders>
              <w:left w:val="single" w:sz="6" w:space="0" w:color="000000"/>
              <w:right w:val="single" w:sz="6" w:space="0" w:color="000000"/>
            </w:tcBorders>
            <w:shd w:val="clear" w:color="auto" w:fill="F1DCDB"/>
          </w:tcPr>
          <w:p>
            <w:pPr>
              <w:pStyle w:val="TableParagraph"/>
              <w:spacing w:before="4"/>
              <w:ind w:left="135" w:right="15"/>
              <w:jc w:val="center"/>
              <w:rPr>
                <w:b/>
                <w:sz w:val="23"/>
              </w:rPr>
            </w:pPr>
            <w:r>
              <w:rPr>
                <w:b/>
                <w:w w:val="90"/>
                <w:sz w:val="23"/>
              </w:rPr>
              <w:t>2013</w:t>
            </w:r>
          </w:p>
        </w:tc>
        <w:tc>
          <w:tcPr>
            <w:tcW w:w="691" w:type="dxa"/>
            <w:tcBorders>
              <w:left w:val="single" w:sz="6" w:space="0" w:color="000000"/>
              <w:right w:val="single" w:sz="6" w:space="0" w:color="000000"/>
            </w:tcBorders>
          </w:tcPr>
          <w:p>
            <w:pPr>
              <w:pStyle w:val="TableParagraph"/>
              <w:spacing w:before="4"/>
              <w:ind w:left="174" w:right="-6"/>
              <w:rPr>
                <w:b/>
                <w:sz w:val="23"/>
              </w:rPr>
            </w:pPr>
            <w:r>
              <w:rPr>
                <w:b/>
                <w:w w:val="95"/>
                <w:sz w:val="23"/>
              </w:rPr>
              <w:t>2014</w:t>
            </w:r>
          </w:p>
        </w:tc>
        <w:tc>
          <w:tcPr>
            <w:tcW w:w="1553" w:type="dxa"/>
            <w:tcBorders>
              <w:left w:val="single" w:sz="6" w:space="0" w:color="000000"/>
              <w:right w:val="single" w:sz="6" w:space="0" w:color="000000"/>
            </w:tcBorders>
          </w:tcPr>
          <w:p>
            <w:pPr>
              <w:pStyle w:val="TableParagraph"/>
              <w:spacing w:before="4"/>
              <w:ind w:left="30"/>
              <w:rPr>
                <w:b/>
                <w:sz w:val="23"/>
              </w:rPr>
            </w:pPr>
            <w:r>
              <w:rPr>
                <w:b/>
                <w:sz w:val="23"/>
              </w:rPr>
              <w:t>TOTAL</w:t>
            </w:r>
          </w:p>
        </w:tc>
      </w:tr>
      <w:tr>
        <w:trPr>
          <w:trHeight w:val="298" w:hRule="exact"/>
        </w:trPr>
        <w:tc>
          <w:tcPr>
            <w:tcW w:w="2295" w:type="dxa"/>
            <w:tcBorders>
              <w:left w:val="single" w:sz="6" w:space="0" w:color="000000"/>
              <w:right w:val="single" w:sz="6" w:space="0" w:color="000000"/>
            </w:tcBorders>
          </w:tcPr>
          <w:p>
            <w:pPr>
              <w:pStyle w:val="TableParagraph"/>
              <w:spacing w:before="4"/>
              <w:ind w:left="30"/>
              <w:rPr>
                <w:sz w:val="23"/>
              </w:rPr>
            </w:pPr>
            <w:r>
              <w:rPr>
                <w:w w:val="95"/>
                <w:sz w:val="23"/>
              </w:rPr>
              <w:t>Atizapán de Zaragoza</w:t>
            </w:r>
          </w:p>
        </w:tc>
        <w:tc>
          <w:tcPr>
            <w:tcW w:w="774" w:type="dxa"/>
            <w:tcBorders>
              <w:left w:val="single" w:sz="6" w:space="0" w:color="000000"/>
              <w:right w:val="single" w:sz="6" w:space="0" w:color="000000"/>
            </w:tcBorders>
          </w:tcPr>
          <w:p>
            <w:pPr/>
          </w:p>
        </w:tc>
        <w:tc>
          <w:tcPr>
            <w:tcW w:w="863" w:type="dxa"/>
            <w:tcBorders>
              <w:left w:val="single" w:sz="6" w:space="0" w:color="000000"/>
              <w:right w:val="single" w:sz="6" w:space="0" w:color="000000"/>
            </w:tcBorders>
            <w:shd w:val="clear" w:color="auto" w:fill="F1DCDB"/>
          </w:tcPr>
          <w:p>
            <w:pPr/>
          </w:p>
        </w:tc>
        <w:tc>
          <w:tcPr>
            <w:tcW w:w="635" w:type="dxa"/>
            <w:tcBorders>
              <w:left w:val="single" w:sz="6" w:space="0" w:color="000000"/>
              <w:right w:val="single" w:sz="6" w:space="0" w:color="000000"/>
            </w:tcBorders>
          </w:tcPr>
          <w:p>
            <w:pPr/>
          </w:p>
        </w:tc>
        <w:tc>
          <w:tcPr>
            <w:tcW w:w="600" w:type="dxa"/>
            <w:tcBorders>
              <w:left w:val="single" w:sz="6" w:space="0" w:color="000000"/>
              <w:right w:val="single" w:sz="6" w:space="0" w:color="000000"/>
            </w:tcBorders>
            <w:shd w:val="clear" w:color="auto" w:fill="F1DCDB"/>
          </w:tcPr>
          <w:p>
            <w:pPr/>
          </w:p>
        </w:tc>
        <w:tc>
          <w:tcPr>
            <w:tcW w:w="602" w:type="dxa"/>
            <w:tcBorders>
              <w:left w:val="single" w:sz="6" w:space="0" w:color="000000"/>
              <w:right w:val="single" w:sz="6" w:space="0" w:color="000000"/>
            </w:tcBorders>
          </w:tcPr>
          <w:p>
            <w:pPr>
              <w:pStyle w:val="TableParagraph"/>
              <w:spacing w:before="4"/>
              <w:ind w:left="19"/>
              <w:jc w:val="center"/>
              <w:rPr>
                <w:sz w:val="23"/>
              </w:rPr>
            </w:pPr>
            <w:r>
              <w:rPr>
                <w:w w:val="92"/>
                <w:sz w:val="23"/>
              </w:rPr>
              <w:t>1</w:t>
            </w:r>
          </w:p>
        </w:tc>
        <w:tc>
          <w:tcPr>
            <w:tcW w:w="668" w:type="dxa"/>
            <w:tcBorders>
              <w:left w:val="single" w:sz="6" w:space="0" w:color="000000"/>
              <w:right w:val="single" w:sz="6" w:space="0" w:color="000000"/>
            </w:tcBorders>
            <w:shd w:val="clear" w:color="auto" w:fill="F1DCDB"/>
          </w:tcPr>
          <w:p>
            <w:pPr/>
          </w:p>
        </w:tc>
        <w:tc>
          <w:tcPr>
            <w:tcW w:w="691" w:type="dxa"/>
            <w:tcBorders>
              <w:left w:val="single" w:sz="6" w:space="0" w:color="000000"/>
              <w:right w:val="single" w:sz="6" w:space="0" w:color="000000"/>
            </w:tcBorders>
          </w:tcPr>
          <w:p>
            <w:pPr/>
          </w:p>
        </w:tc>
        <w:tc>
          <w:tcPr>
            <w:tcW w:w="1553" w:type="dxa"/>
            <w:tcBorders>
              <w:left w:val="single" w:sz="6" w:space="0" w:color="000000"/>
              <w:right w:val="single" w:sz="6" w:space="0" w:color="000000"/>
            </w:tcBorders>
          </w:tcPr>
          <w:p>
            <w:pPr>
              <w:pStyle w:val="TableParagraph"/>
              <w:spacing w:before="4"/>
              <w:ind w:left="14"/>
              <w:jc w:val="center"/>
              <w:rPr>
                <w:sz w:val="23"/>
              </w:rPr>
            </w:pPr>
            <w:r>
              <w:rPr>
                <w:w w:val="92"/>
                <w:sz w:val="23"/>
              </w:rPr>
              <w:t>1</w:t>
            </w:r>
          </w:p>
        </w:tc>
      </w:tr>
      <w:tr>
        <w:trPr>
          <w:trHeight w:val="300" w:hRule="exact"/>
        </w:trPr>
        <w:tc>
          <w:tcPr>
            <w:tcW w:w="2295" w:type="dxa"/>
            <w:tcBorders>
              <w:left w:val="single" w:sz="6" w:space="0" w:color="000000"/>
              <w:right w:val="single" w:sz="6" w:space="0" w:color="000000"/>
            </w:tcBorders>
          </w:tcPr>
          <w:p>
            <w:pPr>
              <w:pStyle w:val="TableParagraph"/>
              <w:spacing w:before="4"/>
              <w:ind w:left="30"/>
              <w:rPr>
                <w:sz w:val="23"/>
              </w:rPr>
            </w:pPr>
            <w:r>
              <w:rPr>
                <w:sz w:val="23"/>
              </w:rPr>
              <w:t>Chimalhuacán</w:t>
            </w:r>
          </w:p>
        </w:tc>
        <w:tc>
          <w:tcPr>
            <w:tcW w:w="774" w:type="dxa"/>
            <w:tcBorders>
              <w:left w:val="single" w:sz="6" w:space="0" w:color="000000"/>
              <w:right w:val="single" w:sz="6" w:space="0" w:color="000000"/>
            </w:tcBorders>
          </w:tcPr>
          <w:p>
            <w:pPr>
              <w:pStyle w:val="TableParagraph"/>
              <w:spacing w:before="4"/>
              <w:ind w:left="13"/>
              <w:jc w:val="center"/>
              <w:rPr>
                <w:sz w:val="23"/>
              </w:rPr>
            </w:pPr>
            <w:r>
              <w:rPr>
                <w:w w:val="92"/>
                <w:sz w:val="23"/>
              </w:rPr>
              <w:t>1</w:t>
            </w:r>
          </w:p>
        </w:tc>
        <w:tc>
          <w:tcPr>
            <w:tcW w:w="863" w:type="dxa"/>
            <w:tcBorders>
              <w:left w:val="single" w:sz="6" w:space="0" w:color="000000"/>
              <w:right w:val="single" w:sz="6" w:space="0" w:color="000000"/>
            </w:tcBorders>
            <w:shd w:val="clear" w:color="auto" w:fill="F1DCDB"/>
          </w:tcPr>
          <w:p>
            <w:pPr/>
          </w:p>
        </w:tc>
        <w:tc>
          <w:tcPr>
            <w:tcW w:w="635" w:type="dxa"/>
            <w:tcBorders>
              <w:left w:val="single" w:sz="6" w:space="0" w:color="000000"/>
              <w:right w:val="single" w:sz="6" w:space="0" w:color="000000"/>
            </w:tcBorders>
          </w:tcPr>
          <w:p>
            <w:pPr/>
          </w:p>
        </w:tc>
        <w:tc>
          <w:tcPr>
            <w:tcW w:w="600" w:type="dxa"/>
            <w:tcBorders>
              <w:left w:val="single" w:sz="6" w:space="0" w:color="000000"/>
              <w:right w:val="single" w:sz="6" w:space="0" w:color="000000"/>
            </w:tcBorders>
            <w:shd w:val="clear" w:color="auto" w:fill="F1DCDB"/>
          </w:tcPr>
          <w:p>
            <w:pPr/>
          </w:p>
        </w:tc>
        <w:tc>
          <w:tcPr>
            <w:tcW w:w="602" w:type="dxa"/>
            <w:tcBorders>
              <w:left w:val="single" w:sz="6" w:space="0" w:color="000000"/>
              <w:right w:val="single" w:sz="6" w:space="0" w:color="000000"/>
            </w:tcBorders>
          </w:tcPr>
          <w:p>
            <w:pPr/>
          </w:p>
        </w:tc>
        <w:tc>
          <w:tcPr>
            <w:tcW w:w="668" w:type="dxa"/>
            <w:tcBorders>
              <w:left w:val="single" w:sz="6" w:space="0" w:color="000000"/>
              <w:right w:val="single" w:sz="6" w:space="0" w:color="000000"/>
            </w:tcBorders>
            <w:shd w:val="clear" w:color="auto" w:fill="F1DCDB"/>
          </w:tcPr>
          <w:p>
            <w:pPr/>
          </w:p>
        </w:tc>
        <w:tc>
          <w:tcPr>
            <w:tcW w:w="691" w:type="dxa"/>
            <w:tcBorders>
              <w:left w:val="single" w:sz="6" w:space="0" w:color="000000"/>
              <w:right w:val="single" w:sz="6" w:space="0" w:color="000000"/>
            </w:tcBorders>
          </w:tcPr>
          <w:p>
            <w:pPr/>
          </w:p>
        </w:tc>
        <w:tc>
          <w:tcPr>
            <w:tcW w:w="1553" w:type="dxa"/>
            <w:tcBorders>
              <w:left w:val="single" w:sz="6" w:space="0" w:color="000000"/>
              <w:right w:val="single" w:sz="6" w:space="0" w:color="000000"/>
            </w:tcBorders>
          </w:tcPr>
          <w:p>
            <w:pPr>
              <w:pStyle w:val="TableParagraph"/>
              <w:spacing w:before="4"/>
              <w:ind w:left="14"/>
              <w:jc w:val="center"/>
              <w:rPr>
                <w:sz w:val="23"/>
              </w:rPr>
            </w:pPr>
            <w:r>
              <w:rPr>
                <w:w w:val="92"/>
                <w:sz w:val="23"/>
              </w:rPr>
              <w:t>1</w:t>
            </w:r>
          </w:p>
        </w:tc>
      </w:tr>
      <w:tr>
        <w:trPr>
          <w:trHeight w:val="298" w:hRule="exact"/>
        </w:trPr>
        <w:tc>
          <w:tcPr>
            <w:tcW w:w="2295" w:type="dxa"/>
            <w:tcBorders>
              <w:left w:val="single" w:sz="6" w:space="0" w:color="000000"/>
              <w:right w:val="single" w:sz="6" w:space="0" w:color="000000"/>
            </w:tcBorders>
          </w:tcPr>
          <w:p>
            <w:pPr>
              <w:pStyle w:val="TableParagraph"/>
              <w:spacing w:before="4"/>
              <w:ind w:left="30"/>
              <w:rPr>
                <w:sz w:val="23"/>
              </w:rPr>
            </w:pPr>
            <w:r>
              <w:rPr>
                <w:w w:val="95"/>
                <w:sz w:val="23"/>
              </w:rPr>
              <w:t>Ecatepec de Morelos</w:t>
            </w:r>
          </w:p>
        </w:tc>
        <w:tc>
          <w:tcPr>
            <w:tcW w:w="774" w:type="dxa"/>
            <w:tcBorders>
              <w:left w:val="single" w:sz="6" w:space="0" w:color="000000"/>
              <w:right w:val="single" w:sz="6" w:space="0" w:color="000000"/>
            </w:tcBorders>
          </w:tcPr>
          <w:p>
            <w:pPr/>
          </w:p>
        </w:tc>
        <w:tc>
          <w:tcPr>
            <w:tcW w:w="863" w:type="dxa"/>
            <w:tcBorders>
              <w:left w:val="single" w:sz="6" w:space="0" w:color="000000"/>
              <w:right w:val="single" w:sz="6" w:space="0" w:color="000000"/>
            </w:tcBorders>
            <w:shd w:val="clear" w:color="auto" w:fill="F1DCDB"/>
          </w:tcPr>
          <w:p>
            <w:pPr>
              <w:pStyle w:val="TableParagraph"/>
              <w:spacing w:before="4"/>
              <w:ind w:left="374"/>
              <w:rPr>
                <w:sz w:val="23"/>
              </w:rPr>
            </w:pPr>
            <w:r>
              <w:rPr>
                <w:w w:val="92"/>
                <w:sz w:val="23"/>
              </w:rPr>
              <w:t>1</w:t>
            </w:r>
          </w:p>
        </w:tc>
        <w:tc>
          <w:tcPr>
            <w:tcW w:w="635" w:type="dxa"/>
            <w:tcBorders>
              <w:left w:val="single" w:sz="6" w:space="0" w:color="000000"/>
              <w:right w:val="single" w:sz="6" w:space="0" w:color="000000"/>
            </w:tcBorders>
          </w:tcPr>
          <w:p>
            <w:pPr>
              <w:pStyle w:val="TableParagraph"/>
              <w:spacing w:before="4"/>
              <w:ind w:left="17"/>
              <w:jc w:val="center"/>
              <w:rPr>
                <w:sz w:val="23"/>
              </w:rPr>
            </w:pPr>
            <w:r>
              <w:rPr>
                <w:w w:val="92"/>
                <w:sz w:val="23"/>
              </w:rPr>
              <w:t>1</w:t>
            </w:r>
          </w:p>
        </w:tc>
        <w:tc>
          <w:tcPr>
            <w:tcW w:w="600" w:type="dxa"/>
            <w:tcBorders>
              <w:left w:val="single" w:sz="6" w:space="0" w:color="000000"/>
              <w:right w:val="single" w:sz="6" w:space="0" w:color="000000"/>
            </w:tcBorders>
            <w:shd w:val="clear" w:color="auto" w:fill="F1DCDB"/>
          </w:tcPr>
          <w:p>
            <w:pPr/>
          </w:p>
        </w:tc>
        <w:tc>
          <w:tcPr>
            <w:tcW w:w="602" w:type="dxa"/>
            <w:tcBorders>
              <w:left w:val="single" w:sz="6" w:space="0" w:color="000000"/>
              <w:right w:val="single" w:sz="6" w:space="0" w:color="000000"/>
            </w:tcBorders>
          </w:tcPr>
          <w:p>
            <w:pPr>
              <w:pStyle w:val="TableParagraph"/>
              <w:spacing w:before="4"/>
              <w:ind w:left="19"/>
              <w:jc w:val="center"/>
              <w:rPr>
                <w:sz w:val="23"/>
              </w:rPr>
            </w:pPr>
            <w:r>
              <w:rPr>
                <w:w w:val="92"/>
                <w:sz w:val="23"/>
              </w:rPr>
              <w:t>1</w:t>
            </w:r>
          </w:p>
        </w:tc>
        <w:tc>
          <w:tcPr>
            <w:tcW w:w="668" w:type="dxa"/>
            <w:tcBorders>
              <w:left w:val="single" w:sz="6" w:space="0" w:color="000000"/>
              <w:right w:val="single" w:sz="6" w:space="0" w:color="000000"/>
            </w:tcBorders>
            <w:shd w:val="clear" w:color="auto" w:fill="F1DCDB"/>
          </w:tcPr>
          <w:p>
            <w:pPr>
              <w:pStyle w:val="TableParagraph"/>
              <w:spacing w:before="4"/>
              <w:ind w:left="18"/>
              <w:jc w:val="center"/>
              <w:rPr>
                <w:sz w:val="23"/>
              </w:rPr>
            </w:pPr>
            <w:r>
              <w:rPr>
                <w:w w:val="92"/>
                <w:sz w:val="23"/>
              </w:rPr>
              <w:t>1</w:t>
            </w:r>
          </w:p>
        </w:tc>
        <w:tc>
          <w:tcPr>
            <w:tcW w:w="691" w:type="dxa"/>
            <w:tcBorders>
              <w:left w:val="single" w:sz="6" w:space="0" w:color="000000"/>
              <w:right w:val="single" w:sz="6" w:space="0" w:color="000000"/>
            </w:tcBorders>
          </w:tcPr>
          <w:p>
            <w:pPr/>
          </w:p>
        </w:tc>
        <w:tc>
          <w:tcPr>
            <w:tcW w:w="1553" w:type="dxa"/>
            <w:tcBorders>
              <w:left w:val="single" w:sz="6" w:space="0" w:color="000000"/>
              <w:right w:val="single" w:sz="6" w:space="0" w:color="000000"/>
            </w:tcBorders>
          </w:tcPr>
          <w:p>
            <w:pPr>
              <w:pStyle w:val="TableParagraph"/>
              <w:spacing w:before="4"/>
              <w:ind w:left="14"/>
              <w:jc w:val="center"/>
              <w:rPr>
                <w:sz w:val="23"/>
              </w:rPr>
            </w:pPr>
            <w:r>
              <w:rPr>
                <w:w w:val="92"/>
                <w:sz w:val="23"/>
              </w:rPr>
              <w:t>4</w:t>
            </w:r>
          </w:p>
        </w:tc>
      </w:tr>
      <w:tr>
        <w:trPr>
          <w:trHeight w:val="300" w:hRule="exact"/>
        </w:trPr>
        <w:tc>
          <w:tcPr>
            <w:tcW w:w="2295" w:type="dxa"/>
            <w:tcBorders>
              <w:left w:val="single" w:sz="6" w:space="0" w:color="000000"/>
              <w:right w:val="single" w:sz="6" w:space="0" w:color="000000"/>
            </w:tcBorders>
          </w:tcPr>
          <w:p>
            <w:pPr>
              <w:pStyle w:val="TableParagraph"/>
              <w:spacing w:before="5"/>
              <w:ind w:left="30"/>
              <w:rPr>
                <w:sz w:val="23"/>
              </w:rPr>
            </w:pPr>
            <w:r>
              <w:rPr>
                <w:sz w:val="23"/>
              </w:rPr>
              <w:t>Huixquilucan</w:t>
            </w:r>
          </w:p>
        </w:tc>
        <w:tc>
          <w:tcPr>
            <w:tcW w:w="774" w:type="dxa"/>
            <w:tcBorders>
              <w:left w:val="single" w:sz="6" w:space="0" w:color="000000"/>
              <w:right w:val="single" w:sz="6" w:space="0" w:color="000000"/>
            </w:tcBorders>
          </w:tcPr>
          <w:p>
            <w:pPr/>
          </w:p>
        </w:tc>
        <w:tc>
          <w:tcPr>
            <w:tcW w:w="863" w:type="dxa"/>
            <w:tcBorders>
              <w:left w:val="single" w:sz="6" w:space="0" w:color="000000"/>
              <w:right w:val="single" w:sz="6" w:space="0" w:color="000000"/>
            </w:tcBorders>
            <w:shd w:val="clear" w:color="auto" w:fill="F1DCDB"/>
          </w:tcPr>
          <w:p>
            <w:pPr/>
          </w:p>
        </w:tc>
        <w:tc>
          <w:tcPr>
            <w:tcW w:w="635" w:type="dxa"/>
            <w:tcBorders>
              <w:left w:val="single" w:sz="6" w:space="0" w:color="000000"/>
              <w:right w:val="single" w:sz="6" w:space="0" w:color="000000"/>
            </w:tcBorders>
          </w:tcPr>
          <w:p>
            <w:pPr/>
          </w:p>
        </w:tc>
        <w:tc>
          <w:tcPr>
            <w:tcW w:w="600" w:type="dxa"/>
            <w:tcBorders>
              <w:left w:val="single" w:sz="6" w:space="0" w:color="000000"/>
              <w:right w:val="single" w:sz="6" w:space="0" w:color="000000"/>
            </w:tcBorders>
            <w:shd w:val="clear" w:color="auto" w:fill="F1DCDB"/>
          </w:tcPr>
          <w:p>
            <w:pPr/>
          </w:p>
        </w:tc>
        <w:tc>
          <w:tcPr>
            <w:tcW w:w="602" w:type="dxa"/>
            <w:tcBorders>
              <w:left w:val="single" w:sz="6" w:space="0" w:color="000000"/>
              <w:right w:val="single" w:sz="6" w:space="0" w:color="000000"/>
            </w:tcBorders>
          </w:tcPr>
          <w:p>
            <w:pPr>
              <w:pStyle w:val="TableParagraph"/>
              <w:spacing w:before="5"/>
              <w:ind w:left="19"/>
              <w:jc w:val="center"/>
              <w:rPr>
                <w:sz w:val="23"/>
              </w:rPr>
            </w:pPr>
            <w:r>
              <w:rPr>
                <w:w w:val="92"/>
                <w:sz w:val="23"/>
              </w:rPr>
              <w:t>1</w:t>
            </w:r>
          </w:p>
        </w:tc>
        <w:tc>
          <w:tcPr>
            <w:tcW w:w="668" w:type="dxa"/>
            <w:tcBorders>
              <w:left w:val="single" w:sz="6" w:space="0" w:color="000000"/>
              <w:right w:val="single" w:sz="6" w:space="0" w:color="000000"/>
            </w:tcBorders>
            <w:shd w:val="clear" w:color="auto" w:fill="F1DCDB"/>
          </w:tcPr>
          <w:p>
            <w:pPr/>
          </w:p>
        </w:tc>
        <w:tc>
          <w:tcPr>
            <w:tcW w:w="691" w:type="dxa"/>
            <w:tcBorders>
              <w:left w:val="single" w:sz="6" w:space="0" w:color="000000"/>
              <w:right w:val="single" w:sz="6" w:space="0" w:color="000000"/>
            </w:tcBorders>
          </w:tcPr>
          <w:p>
            <w:pPr/>
          </w:p>
        </w:tc>
        <w:tc>
          <w:tcPr>
            <w:tcW w:w="1553" w:type="dxa"/>
            <w:tcBorders>
              <w:left w:val="single" w:sz="6" w:space="0" w:color="000000"/>
              <w:right w:val="single" w:sz="6" w:space="0" w:color="000000"/>
            </w:tcBorders>
          </w:tcPr>
          <w:p>
            <w:pPr>
              <w:pStyle w:val="TableParagraph"/>
              <w:spacing w:before="5"/>
              <w:ind w:left="14"/>
              <w:jc w:val="center"/>
              <w:rPr>
                <w:sz w:val="23"/>
              </w:rPr>
            </w:pPr>
            <w:r>
              <w:rPr>
                <w:w w:val="92"/>
                <w:sz w:val="23"/>
              </w:rPr>
              <w:t>1</w:t>
            </w:r>
          </w:p>
        </w:tc>
      </w:tr>
      <w:tr>
        <w:trPr>
          <w:trHeight w:val="300" w:hRule="exact"/>
        </w:trPr>
        <w:tc>
          <w:tcPr>
            <w:tcW w:w="2295" w:type="dxa"/>
            <w:tcBorders>
              <w:left w:val="single" w:sz="6" w:space="0" w:color="000000"/>
              <w:right w:val="single" w:sz="6" w:space="0" w:color="000000"/>
            </w:tcBorders>
          </w:tcPr>
          <w:p>
            <w:pPr>
              <w:pStyle w:val="TableParagraph"/>
              <w:spacing w:before="4"/>
              <w:ind w:left="30"/>
              <w:rPr>
                <w:sz w:val="23"/>
              </w:rPr>
            </w:pPr>
            <w:r>
              <w:rPr>
                <w:w w:val="95"/>
                <w:sz w:val="23"/>
              </w:rPr>
              <w:t>Naucalpan de Juárez</w:t>
            </w:r>
          </w:p>
        </w:tc>
        <w:tc>
          <w:tcPr>
            <w:tcW w:w="774" w:type="dxa"/>
            <w:tcBorders>
              <w:left w:val="single" w:sz="6" w:space="0" w:color="000000"/>
              <w:right w:val="single" w:sz="6" w:space="0" w:color="000000"/>
            </w:tcBorders>
          </w:tcPr>
          <w:p>
            <w:pPr/>
          </w:p>
        </w:tc>
        <w:tc>
          <w:tcPr>
            <w:tcW w:w="863" w:type="dxa"/>
            <w:tcBorders>
              <w:left w:val="single" w:sz="6" w:space="0" w:color="000000"/>
              <w:right w:val="single" w:sz="6" w:space="0" w:color="000000"/>
            </w:tcBorders>
            <w:shd w:val="clear" w:color="auto" w:fill="F1DCDB"/>
          </w:tcPr>
          <w:p>
            <w:pPr/>
          </w:p>
        </w:tc>
        <w:tc>
          <w:tcPr>
            <w:tcW w:w="635" w:type="dxa"/>
            <w:tcBorders>
              <w:left w:val="single" w:sz="6" w:space="0" w:color="000000"/>
              <w:right w:val="single" w:sz="6" w:space="0" w:color="000000"/>
            </w:tcBorders>
          </w:tcPr>
          <w:p>
            <w:pPr>
              <w:pStyle w:val="TableParagraph"/>
              <w:spacing w:before="4"/>
              <w:ind w:left="17"/>
              <w:jc w:val="center"/>
              <w:rPr>
                <w:sz w:val="23"/>
              </w:rPr>
            </w:pPr>
            <w:r>
              <w:rPr>
                <w:w w:val="92"/>
                <w:sz w:val="23"/>
              </w:rPr>
              <w:t>1</w:t>
            </w:r>
          </w:p>
        </w:tc>
        <w:tc>
          <w:tcPr>
            <w:tcW w:w="600" w:type="dxa"/>
            <w:tcBorders>
              <w:left w:val="single" w:sz="6" w:space="0" w:color="000000"/>
              <w:right w:val="single" w:sz="6" w:space="0" w:color="000000"/>
            </w:tcBorders>
            <w:shd w:val="clear" w:color="auto" w:fill="F1DCDB"/>
          </w:tcPr>
          <w:p>
            <w:pPr>
              <w:pStyle w:val="TableParagraph"/>
              <w:spacing w:before="4"/>
              <w:ind w:left="17"/>
              <w:jc w:val="center"/>
              <w:rPr>
                <w:sz w:val="23"/>
              </w:rPr>
            </w:pPr>
            <w:r>
              <w:rPr>
                <w:w w:val="92"/>
                <w:sz w:val="23"/>
              </w:rPr>
              <w:t>1</w:t>
            </w:r>
          </w:p>
        </w:tc>
        <w:tc>
          <w:tcPr>
            <w:tcW w:w="602" w:type="dxa"/>
            <w:tcBorders>
              <w:left w:val="single" w:sz="6" w:space="0" w:color="000000"/>
              <w:right w:val="single" w:sz="6" w:space="0" w:color="000000"/>
            </w:tcBorders>
          </w:tcPr>
          <w:p>
            <w:pPr>
              <w:pStyle w:val="TableParagraph"/>
              <w:spacing w:before="4"/>
              <w:ind w:left="19"/>
              <w:jc w:val="center"/>
              <w:rPr>
                <w:sz w:val="23"/>
              </w:rPr>
            </w:pPr>
            <w:r>
              <w:rPr>
                <w:w w:val="92"/>
                <w:sz w:val="23"/>
              </w:rPr>
              <w:t>1</w:t>
            </w:r>
          </w:p>
        </w:tc>
        <w:tc>
          <w:tcPr>
            <w:tcW w:w="668" w:type="dxa"/>
            <w:tcBorders>
              <w:left w:val="single" w:sz="6" w:space="0" w:color="000000"/>
              <w:right w:val="single" w:sz="6" w:space="0" w:color="000000"/>
            </w:tcBorders>
            <w:shd w:val="clear" w:color="auto" w:fill="F1DCDB"/>
          </w:tcPr>
          <w:p>
            <w:pPr/>
          </w:p>
        </w:tc>
        <w:tc>
          <w:tcPr>
            <w:tcW w:w="691" w:type="dxa"/>
            <w:tcBorders>
              <w:left w:val="single" w:sz="6" w:space="0" w:color="000000"/>
              <w:right w:val="single" w:sz="6" w:space="0" w:color="000000"/>
            </w:tcBorders>
          </w:tcPr>
          <w:p>
            <w:pPr/>
          </w:p>
        </w:tc>
        <w:tc>
          <w:tcPr>
            <w:tcW w:w="1553" w:type="dxa"/>
            <w:tcBorders>
              <w:left w:val="single" w:sz="6" w:space="0" w:color="000000"/>
              <w:right w:val="single" w:sz="6" w:space="0" w:color="000000"/>
            </w:tcBorders>
          </w:tcPr>
          <w:p>
            <w:pPr>
              <w:pStyle w:val="TableParagraph"/>
              <w:spacing w:before="4"/>
              <w:ind w:left="14"/>
              <w:jc w:val="center"/>
              <w:rPr>
                <w:sz w:val="23"/>
              </w:rPr>
            </w:pPr>
            <w:r>
              <w:rPr>
                <w:w w:val="92"/>
                <w:sz w:val="23"/>
              </w:rPr>
              <w:t>3</w:t>
            </w:r>
          </w:p>
        </w:tc>
      </w:tr>
      <w:tr>
        <w:trPr>
          <w:trHeight w:val="298" w:hRule="exact"/>
        </w:trPr>
        <w:tc>
          <w:tcPr>
            <w:tcW w:w="2295" w:type="dxa"/>
            <w:tcBorders>
              <w:left w:val="single" w:sz="6" w:space="0" w:color="000000"/>
              <w:right w:val="single" w:sz="6" w:space="0" w:color="000000"/>
            </w:tcBorders>
          </w:tcPr>
          <w:p>
            <w:pPr>
              <w:pStyle w:val="TableParagraph"/>
              <w:spacing w:before="3"/>
              <w:ind w:left="30"/>
              <w:rPr>
                <w:sz w:val="23"/>
              </w:rPr>
            </w:pPr>
            <w:r>
              <w:rPr>
                <w:sz w:val="23"/>
              </w:rPr>
              <w:t>Nezahualcóyotl</w:t>
            </w:r>
          </w:p>
        </w:tc>
        <w:tc>
          <w:tcPr>
            <w:tcW w:w="774" w:type="dxa"/>
            <w:tcBorders>
              <w:left w:val="single" w:sz="6" w:space="0" w:color="000000"/>
              <w:right w:val="single" w:sz="6" w:space="0" w:color="000000"/>
            </w:tcBorders>
          </w:tcPr>
          <w:p>
            <w:pPr>
              <w:pStyle w:val="TableParagraph"/>
              <w:spacing w:before="3"/>
              <w:ind w:left="13"/>
              <w:jc w:val="center"/>
              <w:rPr>
                <w:sz w:val="23"/>
              </w:rPr>
            </w:pPr>
            <w:r>
              <w:rPr>
                <w:w w:val="92"/>
                <w:sz w:val="23"/>
              </w:rPr>
              <w:t>1</w:t>
            </w:r>
          </w:p>
        </w:tc>
        <w:tc>
          <w:tcPr>
            <w:tcW w:w="863" w:type="dxa"/>
            <w:tcBorders>
              <w:left w:val="single" w:sz="6" w:space="0" w:color="000000"/>
              <w:right w:val="single" w:sz="6" w:space="0" w:color="000000"/>
            </w:tcBorders>
            <w:shd w:val="clear" w:color="auto" w:fill="F1DCDB"/>
          </w:tcPr>
          <w:p>
            <w:pPr>
              <w:pStyle w:val="TableParagraph"/>
              <w:spacing w:before="3"/>
              <w:ind w:left="374"/>
              <w:rPr>
                <w:sz w:val="23"/>
              </w:rPr>
            </w:pPr>
            <w:r>
              <w:rPr>
                <w:w w:val="92"/>
                <w:sz w:val="23"/>
              </w:rPr>
              <w:t>1</w:t>
            </w:r>
          </w:p>
        </w:tc>
        <w:tc>
          <w:tcPr>
            <w:tcW w:w="635" w:type="dxa"/>
            <w:tcBorders>
              <w:left w:val="single" w:sz="6" w:space="0" w:color="000000"/>
              <w:right w:val="single" w:sz="6" w:space="0" w:color="000000"/>
            </w:tcBorders>
          </w:tcPr>
          <w:p>
            <w:pPr/>
          </w:p>
        </w:tc>
        <w:tc>
          <w:tcPr>
            <w:tcW w:w="600" w:type="dxa"/>
            <w:tcBorders>
              <w:left w:val="single" w:sz="6" w:space="0" w:color="000000"/>
              <w:right w:val="single" w:sz="6" w:space="0" w:color="000000"/>
            </w:tcBorders>
            <w:shd w:val="clear" w:color="auto" w:fill="F1DCDB"/>
          </w:tcPr>
          <w:p>
            <w:pPr>
              <w:pStyle w:val="TableParagraph"/>
              <w:spacing w:before="3"/>
              <w:ind w:left="17"/>
              <w:jc w:val="center"/>
              <w:rPr>
                <w:sz w:val="23"/>
              </w:rPr>
            </w:pPr>
            <w:r>
              <w:rPr>
                <w:w w:val="92"/>
                <w:sz w:val="23"/>
              </w:rPr>
              <w:t>1</w:t>
            </w:r>
          </w:p>
        </w:tc>
        <w:tc>
          <w:tcPr>
            <w:tcW w:w="602" w:type="dxa"/>
            <w:tcBorders>
              <w:left w:val="single" w:sz="6" w:space="0" w:color="000000"/>
              <w:right w:val="single" w:sz="6" w:space="0" w:color="000000"/>
            </w:tcBorders>
          </w:tcPr>
          <w:p>
            <w:pPr/>
          </w:p>
        </w:tc>
        <w:tc>
          <w:tcPr>
            <w:tcW w:w="668" w:type="dxa"/>
            <w:tcBorders>
              <w:left w:val="single" w:sz="6" w:space="0" w:color="000000"/>
              <w:right w:val="single" w:sz="6" w:space="0" w:color="000000"/>
            </w:tcBorders>
            <w:shd w:val="clear" w:color="auto" w:fill="F1DCDB"/>
          </w:tcPr>
          <w:p>
            <w:pPr/>
          </w:p>
        </w:tc>
        <w:tc>
          <w:tcPr>
            <w:tcW w:w="691" w:type="dxa"/>
            <w:tcBorders>
              <w:left w:val="single" w:sz="6" w:space="0" w:color="000000"/>
              <w:right w:val="single" w:sz="6" w:space="0" w:color="000000"/>
            </w:tcBorders>
          </w:tcPr>
          <w:p>
            <w:pPr/>
          </w:p>
        </w:tc>
        <w:tc>
          <w:tcPr>
            <w:tcW w:w="1553" w:type="dxa"/>
            <w:tcBorders>
              <w:left w:val="single" w:sz="6" w:space="0" w:color="000000"/>
              <w:right w:val="single" w:sz="6" w:space="0" w:color="000000"/>
            </w:tcBorders>
          </w:tcPr>
          <w:p>
            <w:pPr>
              <w:pStyle w:val="TableParagraph"/>
              <w:spacing w:before="3"/>
              <w:ind w:left="14"/>
              <w:jc w:val="center"/>
              <w:rPr>
                <w:sz w:val="23"/>
              </w:rPr>
            </w:pPr>
            <w:r>
              <w:rPr>
                <w:w w:val="92"/>
                <w:sz w:val="23"/>
              </w:rPr>
              <w:t>3</w:t>
            </w:r>
          </w:p>
        </w:tc>
      </w:tr>
      <w:tr>
        <w:trPr>
          <w:trHeight w:val="300" w:hRule="exact"/>
        </w:trPr>
        <w:tc>
          <w:tcPr>
            <w:tcW w:w="2295" w:type="dxa"/>
            <w:tcBorders>
              <w:left w:val="single" w:sz="6" w:space="0" w:color="000000"/>
              <w:right w:val="single" w:sz="6" w:space="0" w:color="000000"/>
            </w:tcBorders>
          </w:tcPr>
          <w:p>
            <w:pPr>
              <w:pStyle w:val="TableParagraph"/>
              <w:spacing w:before="4"/>
              <w:ind w:left="30"/>
              <w:rPr>
                <w:sz w:val="23"/>
              </w:rPr>
            </w:pPr>
            <w:r>
              <w:rPr>
                <w:w w:val="95"/>
                <w:sz w:val="23"/>
              </w:rPr>
              <w:t>Tlalnepantla de Baz</w:t>
            </w:r>
          </w:p>
        </w:tc>
        <w:tc>
          <w:tcPr>
            <w:tcW w:w="774" w:type="dxa"/>
            <w:tcBorders>
              <w:left w:val="single" w:sz="6" w:space="0" w:color="000000"/>
              <w:right w:val="single" w:sz="6" w:space="0" w:color="000000"/>
            </w:tcBorders>
          </w:tcPr>
          <w:p>
            <w:pPr/>
          </w:p>
        </w:tc>
        <w:tc>
          <w:tcPr>
            <w:tcW w:w="863" w:type="dxa"/>
            <w:tcBorders>
              <w:left w:val="single" w:sz="6" w:space="0" w:color="000000"/>
              <w:right w:val="single" w:sz="6" w:space="0" w:color="000000"/>
            </w:tcBorders>
            <w:shd w:val="clear" w:color="auto" w:fill="F1DCDB"/>
          </w:tcPr>
          <w:p>
            <w:pPr/>
          </w:p>
        </w:tc>
        <w:tc>
          <w:tcPr>
            <w:tcW w:w="635" w:type="dxa"/>
            <w:tcBorders>
              <w:left w:val="single" w:sz="6" w:space="0" w:color="000000"/>
              <w:right w:val="single" w:sz="6" w:space="0" w:color="000000"/>
            </w:tcBorders>
          </w:tcPr>
          <w:p>
            <w:pPr/>
          </w:p>
        </w:tc>
        <w:tc>
          <w:tcPr>
            <w:tcW w:w="600" w:type="dxa"/>
            <w:tcBorders>
              <w:left w:val="single" w:sz="6" w:space="0" w:color="000000"/>
              <w:right w:val="single" w:sz="6" w:space="0" w:color="000000"/>
            </w:tcBorders>
            <w:shd w:val="clear" w:color="auto" w:fill="F1DCDB"/>
          </w:tcPr>
          <w:p>
            <w:pPr/>
          </w:p>
        </w:tc>
        <w:tc>
          <w:tcPr>
            <w:tcW w:w="602" w:type="dxa"/>
            <w:tcBorders>
              <w:left w:val="single" w:sz="6" w:space="0" w:color="000000"/>
              <w:right w:val="single" w:sz="6" w:space="0" w:color="000000"/>
            </w:tcBorders>
          </w:tcPr>
          <w:p>
            <w:pPr>
              <w:pStyle w:val="TableParagraph"/>
              <w:spacing w:before="4"/>
              <w:ind w:left="19"/>
              <w:jc w:val="center"/>
              <w:rPr>
                <w:sz w:val="23"/>
              </w:rPr>
            </w:pPr>
            <w:r>
              <w:rPr>
                <w:w w:val="92"/>
                <w:sz w:val="23"/>
              </w:rPr>
              <w:t>1</w:t>
            </w:r>
          </w:p>
        </w:tc>
        <w:tc>
          <w:tcPr>
            <w:tcW w:w="668" w:type="dxa"/>
            <w:tcBorders>
              <w:left w:val="single" w:sz="6" w:space="0" w:color="000000"/>
              <w:right w:val="single" w:sz="6" w:space="0" w:color="000000"/>
            </w:tcBorders>
            <w:shd w:val="clear" w:color="auto" w:fill="F1DCDB"/>
          </w:tcPr>
          <w:p>
            <w:pPr/>
          </w:p>
        </w:tc>
        <w:tc>
          <w:tcPr>
            <w:tcW w:w="691" w:type="dxa"/>
            <w:tcBorders>
              <w:left w:val="single" w:sz="6" w:space="0" w:color="000000"/>
              <w:right w:val="single" w:sz="6" w:space="0" w:color="000000"/>
            </w:tcBorders>
          </w:tcPr>
          <w:p>
            <w:pPr/>
          </w:p>
        </w:tc>
        <w:tc>
          <w:tcPr>
            <w:tcW w:w="1553" w:type="dxa"/>
            <w:tcBorders>
              <w:left w:val="single" w:sz="6" w:space="0" w:color="000000"/>
              <w:right w:val="single" w:sz="6" w:space="0" w:color="000000"/>
            </w:tcBorders>
          </w:tcPr>
          <w:p>
            <w:pPr>
              <w:pStyle w:val="TableParagraph"/>
              <w:spacing w:before="4"/>
              <w:ind w:left="14"/>
              <w:jc w:val="center"/>
              <w:rPr>
                <w:sz w:val="23"/>
              </w:rPr>
            </w:pPr>
            <w:r>
              <w:rPr>
                <w:w w:val="92"/>
                <w:sz w:val="23"/>
              </w:rPr>
              <w:t>1</w:t>
            </w:r>
          </w:p>
        </w:tc>
      </w:tr>
      <w:tr>
        <w:trPr>
          <w:trHeight w:val="298" w:hRule="exact"/>
        </w:trPr>
        <w:tc>
          <w:tcPr>
            <w:tcW w:w="2295" w:type="dxa"/>
            <w:tcBorders>
              <w:left w:val="single" w:sz="6" w:space="0" w:color="000000"/>
              <w:right w:val="single" w:sz="6" w:space="0" w:color="000000"/>
            </w:tcBorders>
          </w:tcPr>
          <w:p>
            <w:pPr/>
          </w:p>
        </w:tc>
        <w:tc>
          <w:tcPr>
            <w:tcW w:w="774" w:type="dxa"/>
            <w:tcBorders>
              <w:left w:val="single" w:sz="6" w:space="0" w:color="000000"/>
              <w:right w:val="single" w:sz="6" w:space="0" w:color="000000"/>
            </w:tcBorders>
          </w:tcPr>
          <w:p>
            <w:pPr/>
          </w:p>
        </w:tc>
        <w:tc>
          <w:tcPr>
            <w:tcW w:w="863" w:type="dxa"/>
            <w:tcBorders>
              <w:left w:val="single" w:sz="6" w:space="0" w:color="000000"/>
              <w:right w:val="single" w:sz="6" w:space="0" w:color="000000"/>
            </w:tcBorders>
            <w:shd w:val="clear" w:color="auto" w:fill="F1DCDB"/>
          </w:tcPr>
          <w:p>
            <w:pPr/>
          </w:p>
        </w:tc>
        <w:tc>
          <w:tcPr>
            <w:tcW w:w="635" w:type="dxa"/>
            <w:tcBorders>
              <w:left w:val="single" w:sz="6" w:space="0" w:color="000000"/>
              <w:right w:val="single" w:sz="6" w:space="0" w:color="000000"/>
            </w:tcBorders>
          </w:tcPr>
          <w:p>
            <w:pPr/>
          </w:p>
        </w:tc>
        <w:tc>
          <w:tcPr>
            <w:tcW w:w="600" w:type="dxa"/>
            <w:tcBorders>
              <w:left w:val="single" w:sz="6" w:space="0" w:color="000000"/>
              <w:right w:val="single" w:sz="6" w:space="0" w:color="000000"/>
            </w:tcBorders>
            <w:shd w:val="clear" w:color="auto" w:fill="F1DCDB"/>
          </w:tcPr>
          <w:p>
            <w:pPr/>
          </w:p>
        </w:tc>
        <w:tc>
          <w:tcPr>
            <w:tcW w:w="602" w:type="dxa"/>
            <w:tcBorders>
              <w:left w:val="single" w:sz="6" w:space="0" w:color="000000"/>
              <w:right w:val="single" w:sz="6" w:space="0" w:color="000000"/>
            </w:tcBorders>
          </w:tcPr>
          <w:p>
            <w:pPr/>
          </w:p>
        </w:tc>
        <w:tc>
          <w:tcPr>
            <w:tcW w:w="668" w:type="dxa"/>
            <w:tcBorders>
              <w:left w:val="single" w:sz="6" w:space="0" w:color="000000"/>
              <w:right w:val="single" w:sz="6" w:space="0" w:color="000000"/>
            </w:tcBorders>
            <w:shd w:val="clear" w:color="auto" w:fill="F1DCDB"/>
          </w:tcPr>
          <w:p>
            <w:pPr/>
          </w:p>
        </w:tc>
        <w:tc>
          <w:tcPr>
            <w:tcW w:w="691" w:type="dxa"/>
            <w:tcBorders>
              <w:left w:val="single" w:sz="6" w:space="0" w:color="000000"/>
              <w:right w:val="single" w:sz="6" w:space="0" w:color="000000"/>
            </w:tcBorders>
          </w:tcPr>
          <w:p>
            <w:pPr/>
          </w:p>
        </w:tc>
        <w:tc>
          <w:tcPr>
            <w:tcW w:w="1553" w:type="dxa"/>
            <w:tcBorders>
              <w:left w:val="single" w:sz="6" w:space="0" w:color="000000"/>
              <w:right w:val="single" w:sz="6" w:space="0" w:color="000000"/>
            </w:tcBorders>
          </w:tcPr>
          <w:p>
            <w:pPr>
              <w:pStyle w:val="TableParagraph"/>
              <w:spacing w:before="4"/>
              <w:ind w:left="625" w:right="615"/>
              <w:jc w:val="center"/>
              <w:rPr>
                <w:b/>
                <w:sz w:val="23"/>
              </w:rPr>
            </w:pPr>
            <w:r>
              <w:rPr>
                <w:b/>
                <w:sz w:val="23"/>
              </w:rPr>
              <w:t>14</w:t>
            </w:r>
          </w:p>
        </w:tc>
      </w:tr>
    </w:tbl>
    <w:p>
      <w:pPr>
        <w:pStyle w:val="BodyText"/>
        <w:rPr>
          <w:b/>
          <w:sz w:val="20"/>
        </w:rPr>
      </w:pPr>
    </w:p>
    <w:p>
      <w:pPr>
        <w:pStyle w:val="BodyText"/>
        <w:spacing w:before="11"/>
        <w:rPr>
          <w:b/>
          <w:sz w:val="23"/>
        </w:rPr>
      </w:pPr>
    </w:p>
    <w:p>
      <w:pPr>
        <w:spacing w:line="242" w:lineRule="auto" w:before="74"/>
        <w:ind w:left="1282" w:right="1515" w:firstLine="0"/>
        <w:jc w:val="left"/>
        <w:rPr>
          <w:sz w:val="20"/>
        </w:rPr>
      </w:pPr>
      <w:r>
        <w:rPr>
          <w:b/>
          <w:sz w:val="20"/>
        </w:rPr>
        <w:t>Fuente</w:t>
      </w:r>
      <w:r>
        <w:rPr>
          <w:sz w:val="20"/>
        </w:rPr>
        <w:t>: Elaboración propia con base en el Informe de Resultados de la Fiscalización Superior de las cuentas públicas 2008-2014.</w:t>
      </w:r>
    </w:p>
    <w:p>
      <w:pPr>
        <w:spacing w:after="0" w:line="242" w:lineRule="auto"/>
        <w:jc w:val="left"/>
        <w:rPr>
          <w:sz w:val="20"/>
        </w:rPr>
        <w:sectPr>
          <w:pgSz w:w="15840" w:h="12240" w:orient="landscape"/>
          <w:pgMar w:header="0" w:footer="992" w:top="1140" w:bottom="1180" w:left="2260" w:right="2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BodyText"/>
        <w:spacing w:before="70"/>
        <w:ind w:left="2062" w:right="1340"/>
      </w:pPr>
      <w:r>
        <w:rPr/>
        <w:t>Anexo 4.</w:t>
      </w:r>
    </w:p>
    <w:p>
      <w:pPr>
        <w:pStyle w:val="BodyText"/>
        <w:rPr>
          <w:sz w:val="20"/>
        </w:rPr>
      </w:pPr>
    </w:p>
    <w:p>
      <w:pPr>
        <w:pStyle w:val="BodyText"/>
        <w:rPr>
          <w:sz w:val="20"/>
        </w:rPr>
      </w:pPr>
    </w:p>
    <w:p>
      <w:pPr>
        <w:pStyle w:val="BodyText"/>
        <w:rPr>
          <w:sz w:val="20"/>
        </w:rPr>
      </w:pPr>
    </w:p>
    <w:p>
      <w:pPr>
        <w:pStyle w:val="BodyText"/>
        <w:spacing w:before="8"/>
        <w:rPr>
          <w:sz w:val="21"/>
        </w:rPr>
      </w:pPr>
    </w:p>
    <w:p>
      <w:pPr>
        <w:spacing w:before="83" w:after="10"/>
        <w:ind w:left="3016" w:right="1340" w:firstLine="0"/>
        <w:jc w:val="left"/>
        <w:rPr>
          <w:b/>
          <w:sz w:val="18"/>
        </w:rPr>
      </w:pPr>
      <w:r>
        <w:rPr>
          <w:b/>
          <w:w w:val="105"/>
          <w:sz w:val="18"/>
        </w:rPr>
        <w:t>Rezago Social. Municipios del Estado de México en Grado Alto</w:t>
      </w:r>
    </w:p>
    <w:p>
      <w:pPr>
        <w:pStyle w:val="BodyText"/>
        <w:spacing w:line="20" w:lineRule="exact"/>
        <w:ind w:left="1111"/>
        <w:rPr>
          <w:sz w:val="2"/>
        </w:rPr>
      </w:pPr>
      <w:r>
        <w:rPr>
          <w:sz w:val="2"/>
        </w:rPr>
        <w:pict>
          <v:group style="width:469.75pt;height:.7pt;mso-position-horizontal-relative:char;mso-position-vertical-relative:line" coordorigin="0,0" coordsize="9395,14">
            <v:shape style="position:absolute;left:7;top:7;width:9381;height:2" coordorigin="7,7" coordsize="9381,0" path="m7,7l7,7,9387,7e" filled="false" stroked="true" strokeweight=".697442pt" strokecolor="#000000">
              <v:path arrowok="t"/>
            </v:shape>
          </v:group>
        </w:pict>
      </w:r>
      <w:r>
        <w:rPr>
          <w:sz w:val="2"/>
        </w:rPr>
      </w:r>
    </w:p>
    <w:p>
      <w:pPr>
        <w:pStyle w:val="BodyText"/>
        <w:rPr>
          <w:b/>
          <w:sz w:val="20"/>
        </w:rPr>
      </w:pPr>
    </w:p>
    <w:p>
      <w:pPr>
        <w:pStyle w:val="BodyText"/>
        <w:spacing w:before="7"/>
        <w:rPr>
          <w:b/>
          <w:sz w:val="22"/>
        </w:rPr>
      </w:pPr>
    </w:p>
    <w:tbl>
      <w:tblPr>
        <w:tblW w:w="0" w:type="auto"/>
        <w:jc w:val="left"/>
        <w:tblInd w:w="111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16"/>
        <w:gridCol w:w="1017"/>
        <w:gridCol w:w="1016"/>
        <w:gridCol w:w="2264"/>
        <w:gridCol w:w="1017"/>
        <w:gridCol w:w="1016"/>
        <w:gridCol w:w="1016"/>
        <w:gridCol w:w="1016"/>
      </w:tblGrid>
      <w:tr>
        <w:trPr>
          <w:trHeight w:val="1606" w:hRule="exact"/>
        </w:trPr>
        <w:tc>
          <w:tcPr>
            <w:tcW w:w="1016" w:type="dxa"/>
            <w:vMerge w:val="restart"/>
          </w:tcPr>
          <w:p>
            <w:pPr>
              <w:pStyle w:val="TableParagraph"/>
              <w:rPr>
                <w:b/>
                <w:sz w:val="18"/>
              </w:rPr>
            </w:pPr>
          </w:p>
          <w:p>
            <w:pPr>
              <w:pStyle w:val="TableParagraph"/>
              <w:rPr>
                <w:b/>
                <w:sz w:val="18"/>
              </w:rPr>
            </w:pPr>
          </w:p>
          <w:p>
            <w:pPr>
              <w:pStyle w:val="TableParagraph"/>
              <w:spacing w:before="9"/>
              <w:rPr>
                <w:b/>
                <w:sz w:val="23"/>
              </w:rPr>
            </w:pPr>
          </w:p>
          <w:p>
            <w:pPr>
              <w:pStyle w:val="TableParagraph"/>
              <w:spacing w:line="273" w:lineRule="auto"/>
              <w:ind w:left="67" w:firstLine="53"/>
              <w:rPr>
                <w:b/>
                <w:sz w:val="18"/>
              </w:rPr>
            </w:pPr>
            <w:r>
              <w:rPr>
                <w:b/>
                <w:w w:val="105"/>
                <w:sz w:val="18"/>
              </w:rPr>
              <w:t>Clave de la entidad</w:t>
            </w:r>
          </w:p>
        </w:tc>
        <w:tc>
          <w:tcPr>
            <w:tcW w:w="1017" w:type="dxa"/>
            <w:vMerge w:val="restart"/>
          </w:tcPr>
          <w:p>
            <w:pPr>
              <w:pStyle w:val="TableParagraph"/>
              <w:rPr>
                <w:b/>
                <w:sz w:val="18"/>
              </w:rPr>
            </w:pPr>
          </w:p>
          <w:p>
            <w:pPr>
              <w:pStyle w:val="TableParagraph"/>
              <w:rPr>
                <w:b/>
                <w:sz w:val="18"/>
              </w:rPr>
            </w:pPr>
          </w:p>
          <w:p>
            <w:pPr>
              <w:pStyle w:val="TableParagraph"/>
              <w:spacing w:before="9"/>
              <w:rPr>
                <w:b/>
                <w:sz w:val="23"/>
              </w:rPr>
            </w:pPr>
          </w:p>
          <w:p>
            <w:pPr>
              <w:pStyle w:val="TableParagraph"/>
              <w:spacing w:line="273" w:lineRule="auto"/>
              <w:ind w:left="62" w:firstLine="100"/>
              <w:rPr>
                <w:b/>
                <w:sz w:val="18"/>
              </w:rPr>
            </w:pPr>
            <w:r>
              <w:rPr>
                <w:b/>
                <w:w w:val="105"/>
                <w:sz w:val="18"/>
              </w:rPr>
              <w:t>Entidad </w:t>
            </w:r>
            <w:r>
              <w:rPr>
                <w:b/>
                <w:sz w:val="18"/>
              </w:rPr>
              <w:t>federativa</w:t>
            </w:r>
          </w:p>
        </w:tc>
        <w:tc>
          <w:tcPr>
            <w:tcW w:w="1016" w:type="dxa"/>
            <w:vMerge w:val="restart"/>
          </w:tcPr>
          <w:p>
            <w:pPr>
              <w:pStyle w:val="TableParagraph"/>
              <w:rPr>
                <w:b/>
                <w:sz w:val="18"/>
              </w:rPr>
            </w:pPr>
          </w:p>
          <w:p>
            <w:pPr>
              <w:pStyle w:val="TableParagraph"/>
              <w:rPr>
                <w:b/>
                <w:sz w:val="18"/>
              </w:rPr>
            </w:pPr>
          </w:p>
          <w:p>
            <w:pPr>
              <w:pStyle w:val="TableParagraph"/>
              <w:spacing w:before="9"/>
              <w:rPr>
                <w:b/>
                <w:sz w:val="23"/>
              </w:rPr>
            </w:pPr>
          </w:p>
          <w:p>
            <w:pPr>
              <w:pStyle w:val="TableParagraph"/>
              <w:spacing w:line="273" w:lineRule="auto"/>
              <w:ind w:left="62" w:firstLine="31"/>
              <w:rPr>
                <w:b/>
                <w:sz w:val="18"/>
              </w:rPr>
            </w:pPr>
            <w:r>
              <w:rPr>
                <w:b/>
                <w:w w:val="105"/>
                <w:sz w:val="18"/>
              </w:rPr>
              <w:t>Clave del </w:t>
            </w:r>
            <w:r>
              <w:rPr>
                <w:b/>
                <w:sz w:val="18"/>
              </w:rPr>
              <w:t>municipio</w:t>
            </w:r>
          </w:p>
        </w:tc>
        <w:tc>
          <w:tcPr>
            <w:tcW w:w="2264" w:type="dxa"/>
            <w:vMerge w:val="restart"/>
          </w:tcPr>
          <w:p>
            <w:pPr>
              <w:pStyle w:val="TableParagraph"/>
              <w:rPr>
                <w:b/>
                <w:sz w:val="18"/>
              </w:rPr>
            </w:pPr>
          </w:p>
          <w:p>
            <w:pPr>
              <w:pStyle w:val="TableParagraph"/>
              <w:rPr>
                <w:b/>
                <w:sz w:val="18"/>
              </w:rPr>
            </w:pPr>
          </w:p>
          <w:p>
            <w:pPr>
              <w:pStyle w:val="TableParagraph"/>
              <w:rPr>
                <w:b/>
                <w:sz w:val="18"/>
              </w:rPr>
            </w:pPr>
          </w:p>
          <w:p>
            <w:pPr>
              <w:pStyle w:val="TableParagraph"/>
              <w:spacing w:before="2"/>
              <w:rPr>
                <w:b/>
                <w:sz w:val="16"/>
              </w:rPr>
            </w:pPr>
          </w:p>
          <w:p>
            <w:pPr>
              <w:pStyle w:val="TableParagraph"/>
              <w:ind w:left="690"/>
              <w:rPr>
                <w:b/>
                <w:sz w:val="18"/>
              </w:rPr>
            </w:pPr>
            <w:r>
              <w:rPr>
                <w:b/>
                <w:w w:val="105"/>
                <w:sz w:val="18"/>
              </w:rPr>
              <w:t>Municipio</w:t>
            </w:r>
          </w:p>
        </w:tc>
        <w:tc>
          <w:tcPr>
            <w:tcW w:w="1017" w:type="dxa"/>
          </w:tcPr>
          <w:p>
            <w:pPr>
              <w:pStyle w:val="TableParagraph"/>
              <w:rPr>
                <w:b/>
                <w:sz w:val="18"/>
              </w:rPr>
            </w:pPr>
          </w:p>
          <w:p>
            <w:pPr>
              <w:pStyle w:val="TableParagraph"/>
              <w:rPr>
                <w:b/>
                <w:sz w:val="18"/>
              </w:rPr>
            </w:pPr>
          </w:p>
          <w:p>
            <w:pPr>
              <w:pStyle w:val="TableParagraph"/>
              <w:spacing w:line="273" w:lineRule="auto" w:before="158"/>
              <w:ind w:left="308" w:hanging="252"/>
              <w:rPr>
                <w:b/>
                <w:sz w:val="18"/>
              </w:rPr>
            </w:pPr>
            <w:r>
              <w:rPr>
                <w:b/>
                <w:sz w:val="18"/>
              </w:rPr>
              <w:t>Población </w:t>
            </w:r>
            <w:r>
              <w:rPr>
                <w:b/>
                <w:w w:val="105"/>
                <w:sz w:val="18"/>
              </w:rPr>
              <w:t>total</w:t>
            </w:r>
          </w:p>
        </w:tc>
        <w:tc>
          <w:tcPr>
            <w:tcW w:w="1016" w:type="dxa"/>
          </w:tcPr>
          <w:p>
            <w:pPr>
              <w:pStyle w:val="TableParagraph"/>
              <w:rPr>
                <w:b/>
                <w:sz w:val="18"/>
              </w:rPr>
            </w:pPr>
          </w:p>
          <w:p>
            <w:pPr>
              <w:pStyle w:val="TableParagraph"/>
              <w:spacing w:before="2"/>
              <w:rPr>
                <w:b/>
                <w:sz w:val="21"/>
              </w:rPr>
            </w:pPr>
          </w:p>
          <w:p>
            <w:pPr>
              <w:pStyle w:val="TableParagraph"/>
              <w:spacing w:line="273" w:lineRule="auto"/>
              <w:ind w:left="36" w:right="33"/>
              <w:jc w:val="center"/>
              <w:rPr>
                <w:b/>
                <w:sz w:val="18"/>
              </w:rPr>
            </w:pPr>
            <w:r>
              <w:rPr>
                <w:b/>
                <w:w w:val="105"/>
                <w:sz w:val="18"/>
              </w:rPr>
              <w:t>Índice de rezago social</w:t>
            </w:r>
          </w:p>
        </w:tc>
        <w:tc>
          <w:tcPr>
            <w:tcW w:w="1016" w:type="dxa"/>
          </w:tcPr>
          <w:p>
            <w:pPr>
              <w:pStyle w:val="TableParagraph"/>
              <w:rPr>
                <w:b/>
                <w:sz w:val="18"/>
              </w:rPr>
            </w:pPr>
          </w:p>
          <w:p>
            <w:pPr>
              <w:pStyle w:val="TableParagraph"/>
              <w:spacing w:before="2"/>
              <w:rPr>
                <w:b/>
                <w:sz w:val="21"/>
              </w:rPr>
            </w:pPr>
          </w:p>
          <w:p>
            <w:pPr>
              <w:pStyle w:val="TableParagraph"/>
              <w:spacing w:line="273" w:lineRule="auto"/>
              <w:ind w:left="39" w:right="32"/>
              <w:jc w:val="center"/>
              <w:rPr>
                <w:b/>
                <w:sz w:val="18"/>
              </w:rPr>
            </w:pPr>
            <w:r>
              <w:rPr>
                <w:b/>
                <w:w w:val="105"/>
                <w:sz w:val="18"/>
              </w:rPr>
              <w:t>Grado de rezago social</w:t>
            </w:r>
          </w:p>
        </w:tc>
        <w:tc>
          <w:tcPr>
            <w:tcW w:w="1016" w:type="dxa"/>
          </w:tcPr>
          <w:p>
            <w:pPr>
              <w:pStyle w:val="TableParagraph"/>
              <w:spacing w:before="8"/>
              <w:rPr>
                <w:b/>
                <w:sz w:val="18"/>
              </w:rPr>
            </w:pPr>
          </w:p>
          <w:p>
            <w:pPr>
              <w:pStyle w:val="TableParagraph"/>
              <w:spacing w:line="273" w:lineRule="auto"/>
              <w:ind w:left="39" w:right="33"/>
              <w:jc w:val="center"/>
              <w:rPr>
                <w:b/>
                <w:sz w:val="18"/>
              </w:rPr>
            </w:pPr>
            <w:r>
              <w:rPr>
                <w:b/>
                <w:w w:val="105"/>
                <w:sz w:val="18"/>
              </w:rPr>
              <w:t>Lugar que ocupa en el     contexto nacional</w:t>
            </w:r>
          </w:p>
        </w:tc>
      </w:tr>
      <w:tr>
        <w:trPr>
          <w:trHeight w:val="236" w:hRule="exact"/>
        </w:trPr>
        <w:tc>
          <w:tcPr>
            <w:tcW w:w="1016" w:type="dxa"/>
            <w:vMerge/>
          </w:tcPr>
          <w:p>
            <w:pPr/>
          </w:p>
        </w:tc>
        <w:tc>
          <w:tcPr>
            <w:tcW w:w="1017" w:type="dxa"/>
            <w:vMerge/>
          </w:tcPr>
          <w:p>
            <w:pPr/>
          </w:p>
        </w:tc>
        <w:tc>
          <w:tcPr>
            <w:tcW w:w="1016" w:type="dxa"/>
            <w:vMerge/>
          </w:tcPr>
          <w:p>
            <w:pPr/>
          </w:p>
        </w:tc>
        <w:tc>
          <w:tcPr>
            <w:tcW w:w="2264" w:type="dxa"/>
            <w:vMerge/>
          </w:tcPr>
          <w:p>
            <w:pPr/>
          </w:p>
        </w:tc>
        <w:tc>
          <w:tcPr>
            <w:tcW w:w="1017" w:type="dxa"/>
          </w:tcPr>
          <w:p>
            <w:pPr>
              <w:pStyle w:val="TableParagraph"/>
              <w:spacing w:before="4"/>
              <w:ind w:left="297"/>
              <w:rPr>
                <w:b/>
                <w:sz w:val="18"/>
              </w:rPr>
            </w:pPr>
            <w:r>
              <w:rPr>
                <w:b/>
                <w:w w:val="105"/>
                <w:sz w:val="18"/>
              </w:rPr>
              <w:t>2010</w:t>
            </w:r>
          </w:p>
        </w:tc>
        <w:tc>
          <w:tcPr>
            <w:tcW w:w="1016" w:type="dxa"/>
          </w:tcPr>
          <w:p>
            <w:pPr>
              <w:pStyle w:val="TableParagraph"/>
              <w:spacing w:before="4"/>
              <w:ind w:left="36" w:right="33"/>
              <w:jc w:val="center"/>
              <w:rPr>
                <w:b/>
                <w:sz w:val="18"/>
              </w:rPr>
            </w:pPr>
            <w:r>
              <w:rPr>
                <w:b/>
                <w:w w:val="105"/>
                <w:sz w:val="18"/>
              </w:rPr>
              <w:t>2010</w:t>
            </w:r>
          </w:p>
        </w:tc>
        <w:tc>
          <w:tcPr>
            <w:tcW w:w="1016" w:type="dxa"/>
          </w:tcPr>
          <w:p>
            <w:pPr>
              <w:pStyle w:val="TableParagraph"/>
              <w:spacing w:before="4"/>
              <w:ind w:left="38" w:right="33"/>
              <w:jc w:val="center"/>
              <w:rPr>
                <w:b/>
                <w:sz w:val="18"/>
              </w:rPr>
            </w:pPr>
            <w:r>
              <w:rPr>
                <w:b/>
                <w:w w:val="105"/>
                <w:sz w:val="18"/>
              </w:rPr>
              <w:t>2010</w:t>
            </w:r>
          </w:p>
        </w:tc>
        <w:tc>
          <w:tcPr>
            <w:tcW w:w="1016" w:type="dxa"/>
          </w:tcPr>
          <w:p>
            <w:pPr>
              <w:pStyle w:val="TableParagraph"/>
              <w:spacing w:before="4"/>
              <w:ind w:left="297"/>
              <w:rPr>
                <w:b/>
                <w:sz w:val="18"/>
              </w:rPr>
            </w:pPr>
            <w:r>
              <w:rPr>
                <w:b/>
                <w:w w:val="105"/>
                <w:sz w:val="18"/>
              </w:rPr>
              <w:t>2010</w:t>
            </w:r>
          </w:p>
        </w:tc>
      </w:tr>
      <w:tr>
        <w:trPr>
          <w:trHeight w:val="237" w:hRule="exact"/>
        </w:trPr>
        <w:tc>
          <w:tcPr>
            <w:tcW w:w="1016" w:type="dxa"/>
            <w:shd w:val="clear" w:color="auto" w:fill="F1DCDB"/>
          </w:tcPr>
          <w:p>
            <w:pPr>
              <w:pStyle w:val="TableParagraph"/>
              <w:spacing w:before="6"/>
              <w:ind w:left="39" w:right="31"/>
              <w:jc w:val="center"/>
              <w:rPr>
                <w:sz w:val="18"/>
              </w:rPr>
            </w:pPr>
            <w:r>
              <w:rPr>
                <w:w w:val="105"/>
                <w:sz w:val="18"/>
              </w:rPr>
              <w:t>15</w:t>
            </w:r>
          </w:p>
        </w:tc>
        <w:tc>
          <w:tcPr>
            <w:tcW w:w="1017" w:type="dxa"/>
            <w:shd w:val="clear" w:color="auto" w:fill="F1DCDB"/>
          </w:tcPr>
          <w:p>
            <w:pPr>
              <w:pStyle w:val="TableParagraph"/>
              <w:spacing w:before="6"/>
              <w:ind w:left="197"/>
              <w:rPr>
                <w:sz w:val="18"/>
              </w:rPr>
            </w:pPr>
            <w:r>
              <w:rPr>
                <w:w w:val="105"/>
                <w:sz w:val="18"/>
              </w:rPr>
              <w:t>México</w:t>
            </w:r>
          </w:p>
        </w:tc>
        <w:tc>
          <w:tcPr>
            <w:tcW w:w="1016" w:type="dxa"/>
            <w:shd w:val="clear" w:color="auto" w:fill="F1DCDB"/>
          </w:tcPr>
          <w:p>
            <w:pPr>
              <w:pStyle w:val="TableParagraph"/>
              <w:spacing w:before="6"/>
              <w:ind w:left="39" w:right="28"/>
              <w:jc w:val="center"/>
              <w:rPr>
                <w:sz w:val="18"/>
              </w:rPr>
            </w:pPr>
            <w:r>
              <w:rPr>
                <w:w w:val="105"/>
                <w:sz w:val="18"/>
              </w:rPr>
              <w:t>15032</w:t>
            </w:r>
          </w:p>
        </w:tc>
        <w:tc>
          <w:tcPr>
            <w:tcW w:w="2264" w:type="dxa"/>
            <w:shd w:val="clear" w:color="auto" w:fill="F1DCDB"/>
          </w:tcPr>
          <w:p>
            <w:pPr>
              <w:pStyle w:val="TableParagraph"/>
              <w:spacing w:before="6"/>
              <w:ind w:left="196"/>
              <w:rPr>
                <w:sz w:val="18"/>
              </w:rPr>
            </w:pPr>
            <w:r>
              <w:rPr>
                <w:w w:val="105"/>
                <w:sz w:val="18"/>
              </w:rPr>
              <w:t>Donato Guerra</w:t>
            </w:r>
          </w:p>
        </w:tc>
        <w:tc>
          <w:tcPr>
            <w:tcW w:w="1017" w:type="dxa"/>
            <w:shd w:val="clear" w:color="auto" w:fill="F1DCDB"/>
          </w:tcPr>
          <w:p>
            <w:pPr>
              <w:pStyle w:val="TableParagraph"/>
              <w:spacing w:before="6"/>
              <w:ind w:right="187"/>
              <w:jc w:val="right"/>
              <w:rPr>
                <w:sz w:val="18"/>
              </w:rPr>
            </w:pPr>
            <w:r>
              <w:rPr>
                <w:sz w:val="18"/>
              </w:rPr>
              <w:t>33,455</w:t>
            </w:r>
          </w:p>
        </w:tc>
        <w:tc>
          <w:tcPr>
            <w:tcW w:w="1016" w:type="dxa"/>
            <w:shd w:val="clear" w:color="auto" w:fill="F1DCDB"/>
          </w:tcPr>
          <w:p>
            <w:pPr>
              <w:pStyle w:val="TableParagraph"/>
              <w:spacing w:before="6"/>
              <w:ind w:left="39" w:right="30"/>
              <w:jc w:val="center"/>
              <w:rPr>
                <w:sz w:val="18"/>
              </w:rPr>
            </w:pPr>
            <w:r>
              <w:rPr>
                <w:w w:val="105"/>
                <w:sz w:val="18"/>
              </w:rPr>
              <w:t>1.10993</w:t>
            </w:r>
          </w:p>
        </w:tc>
        <w:tc>
          <w:tcPr>
            <w:tcW w:w="1016" w:type="dxa"/>
            <w:shd w:val="clear" w:color="auto" w:fill="F1DCDB"/>
          </w:tcPr>
          <w:p>
            <w:pPr>
              <w:pStyle w:val="TableParagraph"/>
              <w:spacing w:before="6"/>
              <w:ind w:left="39" w:right="27"/>
              <w:jc w:val="center"/>
              <w:rPr>
                <w:sz w:val="18"/>
              </w:rPr>
            </w:pPr>
            <w:r>
              <w:rPr>
                <w:w w:val="105"/>
                <w:sz w:val="18"/>
              </w:rPr>
              <w:t>Alto</w:t>
            </w:r>
          </w:p>
        </w:tc>
        <w:tc>
          <w:tcPr>
            <w:tcW w:w="1016" w:type="dxa"/>
            <w:shd w:val="clear" w:color="auto" w:fill="F1DCDB"/>
          </w:tcPr>
          <w:p>
            <w:pPr>
              <w:pStyle w:val="TableParagraph"/>
              <w:spacing w:before="6"/>
              <w:ind w:left="323"/>
              <w:rPr>
                <w:sz w:val="18"/>
              </w:rPr>
            </w:pPr>
            <w:r>
              <w:rPr>
                <w:w w:val="105"/>
                <w:sz w:val="18"/>
              </w:rPr>
              <w:t>367</w:t>
            </w:r>
          </w:p>
        </w:tc>
      </w:tr>
      <w:tr>
        <w:trPr>
          <w:trHeight w:val="237" w:hRule="exact"/>
        </w:trPr>
        <w:tc>
          <w:tcPr>
            <w:tcW w:w="1016" w:type="dxa"/>
          </w:tcPr>
          <w:p>
            <w:pPr>
              <w:pStyle w:val="TableParagraph"/>
              <w:spacing w:before="4"/>
              <w:ind w:left="39" w:right="31"/>
              <w:jc w:val="center"/>
              <w:rPr>
                <w:sz w:val="18"/>
              </w:rPr>
            </w:pPr>
            <w:r>
              <w:rPr>
                <w:w w:val="105"/>
                <w:sz w:val="18"/>
              </w:rPr>
              <w:t>15</w:t>
            </w:r>
          </w:p>
        </w:tc>
        <w:tc>
          <w:tcPr>
            <w:tcW w:w="1017" w:type="dxa"/>
          </w:tcPr>
          <w:p>
            <w:pPr>
              <w:pStyle w:val="TableParagraph"/>
              <w:spacing w:before="4"/>
              <w:ind w:left="197"/>
              <w:rPr>
                <w:sz w:val="18"/>
              </w:rPr>
            </w:pPr>
            <w:r>
              <w:rPr>
                <w:w w:val="105"/>
                <w:sz w:val="18"/>
              </w:rPr>
              <w:t>México</w:t>
            </w:r>
          </w:p>
        </w:tc>
        <w:tc>
          <w:tcPr>
            <w:tcW w:w="1016" w:type="dxa"/>
          </w:tcPr>
          <w:p>
            <w:pPr>
              <w:pStyle w:val="TableParagraph"/>
              <w:spacing w:before="4"/>
              <w:ind w:left="39" w:right="28"/>
              <w:jc w:val="center"/>
              <w:rPr>
                <w:sz w:val="18"/>
              </w:rPr>
            </w:pPr>
            <w:r>
              <w:rPr>
                <w:w w:val="105"/>
                <w:sz w:val="18"/>
              </w:rPr>
              <w:t>15074</w:t>
            </w:r>
          </w:p>
        </w:tc>
        <w:tc>
          <w:tcPr>
            <w:tcW w:w="2264" w:type="dxa"/>
          </w:tcPr>
          <w:p>
            <w:pPr>
              <w:pStyle w:val="TableParagraph"/>
              <w:spacing w:before="4"/>
              <w:ind w:left="196"/>
              <w:rPr>
                <w:sz w:val="18"/>
              </w:rPr>
            </w:pPr>
            <w:r>
              <w:rPr>
                <w:w w:val="105"/>
                <w:sz w:val="18"/>
              </w:rPr>
              <w:t>San Felipe del Progreso</w:t>
            </w:r>
          </w:p>
        </w:tc>
        <w:tc>
          <w:tcPr>
            <w:tcW w:w="1017" w:type="dxa"/>
          </w:tcPr>
          <w:p>
            <w:pPr>
              <w:pStyle w:val="TableParagraph"/>
              <w:spacing w:before="4"/>
              <w:ind w:right="190"/>
              <w:jc w:val="right"/>
              <w:rPr>
                <w:sz w:val="18"/>
              </w:rPr>
            </w:pPr>
            <w:r>
              <w:rPr>
                <w:sz w:val="18"/>
              </w:rPr>
              <w:t>121,396</w:t>
            </w:r>
          </w:p>
        </w:tc>
        <w:tc>
          <w:tcPr>
            <w:tcW w:w="1016" w:type="dxa"/>
          </w:tcPr>
          <w:p>
            <w:pPr>
              <w:pStyle w:val="TableParagraph"/>
              <w:spacing w:before="4"/>
              <w:ind w:left="39" w:right="30"/>
              <w:jc w:val="center"/>
              <w:rPr>
                <w:sz w:val="18"/>
              </w:rPr>
            </w:pPr>
            <w:r>
              <w:rPr>
                <w:w w:val="105"/>
                <w:sz w:val="18"/>
              </w:rPr>
              <w:t>1.00620</w:t>
            </w:r>
          </w:p>
        </w:tc>
        <w:tc>
          <w:tcPr>
            <w:tcW w:w="1016" w:type="dxa"/>
          </w:tcPr>
          <w:p>
            <w:pPr>
              <w:pStyle w:val="TableParagraph"/>
              <w:spacing w:before="4"/>
              <w:ind w:left="39" w:right="27"/>
              <w:jc w:val="center"/>
              <w:rPr>
                <w:sz w:val="18"/>
              </w:rPr>
            </w:pPr>
            <w:r>
              <w:rPr>
                <w:w w:val="105"/>
                <w:sz w:val="18"/>
              </w:rPr>
              <w:t>Alto</w:t>
            </w:r>
          </w:p>
        </w:tc>
        <w:tc>
          <w:tcPr>
            <w:tcW w:w="1016" w:type="dxa"/>
          </w:tcPr>
          <w:p>
            <w:pPr>
              <w:pStyle w:val="TableParagraph"/>
              <w:spacing w:before="4"/>
              <w:ind w:left="323"/>
              <w:rPr>
                <w:sz w:val="18"/>
              </w:rPr>
            </w:pPr>
            <w:r>
              <w:rPr>
                <w:w w:val="105"/>
                <w:sz w:val="18"/>
              </w:rPr>
              <w:t>412</w:t>
            </w:r>
          </w:p>
        </w:tc>
      </w:tr>
      <w:tr>
        <w:trPr>
          <w:trHeight w:val="236" w:hRule="exact"/>
        </w:trPr>
        <w:tc>
          <w:tcPr>
            <w:tcW w:w="1016" w:type="dxa"/>
            <w:shd w:val="clear" w:color="auto" w:fill="F1DCDB"/>
          </w:tcPr>
          <w:p>
            <w:pPr>
              <w:pStyle w:val="TableParagraph"/>
              <w:spacing w:before="4"/>
              <w:ind w:left="39" w:right="31"/>
              <w:jc w:val="center"/>
              <w:rPr>
                <w:sz w:val="18"/>
              </w:rPr>
            </w:pPr>
            <w:r>
              <w:rPr>
                <w:w w:val="105"/>
                <w:sz w:val="18"/>
              </w:rPr>
              <w:t>15</w:t>
            </w:r>
          </w:p>
        </w:tc>
        <w:tc>
          <w:tcPr>
            <w:tcW w:w="1017" w:type="dxa"/>
            <w:shd w:val="clear" w:color="auto" w:fill="F1DCDB"/>
          </w:tcPr>
          <w:p>
            <w:pPr>
              <w:pStyle w:val="TableParagraph"/>
              <w:spacing w:before="4"/>
              <w:ind w:left="197"/>
              <w:rPr>
                <w:sz w:val="18"/>
              </w:rPr>
            </w:pPr>
            <w:r>
              <w:rPr>
                <w:w w:val="105"/>
                <w:sz w:val="18"/>
              </w:rPr>
              <w:t>México</w:t>
            </w:r>
          </w:p>
        </w:tc>
        <w:tc>
          <w:tcPr>
            <w:tcW w:w="1016" w:type="dxa"/>
            <w:shd w:val="clear" w:color="auto" w:fill="F1DCDB"/>
          </w:tcPr>
          <w:p>
            <w:pPr>
              <w:pStyle w:val="TableParagraph"/>
              <w:spacing w:before="4"/>
              <w:ind w:left="39" w:right="28"/>
              <w:jc w:val="center"/>
              <w:rPr>
                <w:sz w:val="18"/>
              </w:rPr>
            </w:pPr>
            <w:r>
              <w:rPr>
                <w:w w:val="105"/>
                <w:sz w:val="18"/>
              </w:rPr>
              <w:t>15080</w:t>
            </w:r>
          </w:p>
        </w:tc>
        <w:tc>
          <w:tcPr>
            <w:tcW w:w="2264" w:type="dxa"/>
            <w:shd w:val="clear" w:color="auto" w:fill="F1DCDB"/>
          </w:tcPr>
          <w:p>
            <w:pPr>
              <w:pStyle w:val="TableParagraph"/>
              <w:spacing w:before="4"/>
              <w:ind w:left="196"/>
              <w:rPr>
                <w:sz w:val="18"/>
              </w:rPr>
            </w:pPr>
            <w:r>
              <w:rPr>
                <w:w w:val="105"/>
                <w:sz w:val="18"/>
              </w:rPr>
              <w:t>Sultepec</w:t>
            </w:r>
          </w:p>
        </w:tc>
        <w:tc>
          <w:tcPr>
            <w:tcW w:w="1017" w:type="dxa"/>
            <w:shd w:val="clear" w:color="auto" w:fill="F1DCDB"/>
          </w:tcPr>
          <w:p>
            <w:pPr>
              <w:pStyle w:val="TableParagraph"/>
              <w:spacing w:before="4"/>
              <w:ind w:right="187"/>
              <w:jc w:val="right"/>
              <w:rPr>
                <w:sz w:val="18"/>
              </w:rPr>
            </w:pPr>
            <w:r>
              <w:rPr>
                <w:sz w:val="18"/>
              </w:rPr>
              <w:t>25,809</w:t>
            </w:r>
          </w:p>
        </w:tc>
        <w:tc>
          <w:tcPr>
            <w:tcW w:w="1016" w:type="dxa"/>
            <w:shd w:val="clear" w:color="auto" w:fill="F1DCDB"/>
          </w:tcPr>
          <w:p>
            <w:pPr>
              <w:pStyle w:val="TableParagraph"/>
              <w:spacing w:before="4"/>
              <w:ind w:left="39" w:right="30"/>
              <w:jc w:val="center"/>
              <w:rPr>
                <w:sz w:val="18"/>
              </w:rPr>
            </w:pPr>
            <w:r>
              <w:rPr>
                <w:w w:val="105"/>
                <w:sz w:val="18"/>
              </w:rPr>
              <w:t>0.81364</w:t>
            </w:r>
          </w:p>
        </w:tc>
        <w:tc>
          <w:tcPr>
            <w:tcW w:w="1016" w:type="dxa"/>
            <w:shd w:val="clear" w:color="auto" w:fill="F1DCDB"/>
          </w:tcPr>
          <w:p>
            <w:pPr>
              <w:pStyle w:val="TableParagraph"/>
              <w:spacing w:before="4"/>
              <w:ind w:left="39" w:right="27"/>
              <w:jc w:val="center"/>
              <w:rPr>
                <w:sz w:val="18"/>
              </w:rPr>
            </w:pPr>
            <w:r>
              <w:rPr>
                <w:w w:val="105"/>
                <w:sz w:val="18"/>
              </w:rPr>
              <w:t>Alto</w:t>
            </w:r>
          </w:p>
        </w:tc>
        <w:tc>
          <w:tcPr>
            <w:tcW w:w="1016" w:type="dxa"/>
            <w:shd w:val="clear" w:color="auto" w:fill="F1DCDB"/>
          </w:tcPr>
          <w:p>
            <w:pPr>
              <w:pStyle w:val="TableParagraph"/>
              <w:spacing w:before="4"/>
              <w:ind w:left="323"/>
              <w:rPr>
                <w:sz w:val="18"/>
              </w:rPr>
            </w:pPr>
            <w:r>
              <w:rPr>
                <w:w w:val="105"/>
                <w:sz w:val="18"/>
              </w:rPr>
              <w:t>507</w:t>
            </w:r>
          </w:p>
        </w:tc>
      </w:tr>
      <w:tr>
        <w:trPr>
          <w:trHeight w:val="237" w:hRule="exact"/>
        </w:trPr>
        <w:tc>
          <w:tcPr>
            <w:tcW w:w="1016" w:type="dxa"/>
          </w:tcPr>
          <w:p>
            <w:pPr>
              <w:pStyle w:val="TableParagraph"/>
              <w:spacing w:before="4"/>
              <w:ind w:left="39" w:right="31"/>
              <w:jc w:val="center"/>
              <w:rPr>
                <w:sz w:val="18"/>
              </w:rPr>
            </w:pPr>
            <w:r>
              <w:rPr>
                <w:w w:val="105"/>
                <w:sz w:val="18"/>
              </w:rPr>
              <w:t>15</w:t>
            </w:r>
          </w:p>
        </w:tc>
        <w:tc>
          <w:tcPr>
            <w:tcW w:w="1017" w:type="dxa"/>
          </w:tcPr>
          <w:p>
            <w:pPr>
              <w:pStyle w:val="TableParagraph"/>
              <w:spacing w:before="4"/>
              <w:ind w:left="197"/>
              <w:rPr>
                <w:sz w:val="18"/>
              </w:rPr>
            </w:pPr>
            <w:r>
              <w:rPr>
                <w:w w:val="105"/>
                <w:sz w:val="18"/>
              </w:rPr>
              <w:t>México</w:t>
            </w:r>
          </w:p>
        </w:tc>
        <w:tc>
          <w:tcPr>
            <w:tcW w:w="1016" w:type="dxa"/>
          </w:tcPr>
          <w:p>
            <w:pPr>
              <w:pStyle w:val="TableParagraph"/>
              <w:spacing w:before="4"/>
              <w:ind w:left="39" w:right="30"/>
              <w:jc w:val="center"/>
              <w:rPr>
                <w:sz w:val="18"/>
              </w:rPr>
            </w:pPr>
            <w:r>
              <w:rPr>
                <w:w w:val="105"/>
                <w:sz w:val="18"/>
              </w:rPr>
              <w:t>15111</w:t>
            </w:r>
          </w:p>
        </w:tc>
        <w:tc>
          <w:tcPr>
            <w:tcW w:w="2264" w:type="dxa"/>
          </w:tcPr>
          <w:p>
            <w:pPr>
              <w:pStyle w:val="TableParagraph"/>
              <w:spacing w:before="4"/>
              <w:ind w:left="196"/>
              <w:rPr>
                <w:sz w:val="18"/>
              </w:rPr>
            </w:pPr>
            <w:r>
              <w:rPr>
                <w:w w:val="105"/>
                <w:sz w:val="18"/>
              </w:rPr>
              <w:t>Villa de Allende</w:t>
            </w:r>
          </w:p>
        </w:tc>
        <w:tc>
          <w:tcPr>
            <w:tcW w:w="1017" w:type="dxa"/>
          </w:tcPr>
          <w:p>
            <w:pPr>
              <w:pStyle w:val="TableParagraph"/>
              <w:spacing w:before="4"/>
              <w:ind w:right="187"/>
              <w:jc w:val="right"/>
              <w:rPr>
                <w:sz w:val="18"/>
              </w:rPr>
            </w:pPr>
            <w:r>
              <w:rPr>
                <w:sz w:val="18"/>
              </w:rPr>
              <w:t>47,709</w:t>
            </w:r>
          </w:p>
        </w:tc>
        <w:tc>
          <w:tcPr>
            <w:tcW w:w="1016" w:type="dxa"/>
          </w:tcPr>
          <w:p>
            <w:pPr>
              <w:pStyle w:val="TableParagraph"/>
              <w:spacing w:before="4"/>
              <w:ind w:left="39" w:right="30"/>
              <w:jc w:val="center"/>
              <w:rPr>
                <w:sz w:val="18"/>
              </w:rPr>
            </w:pPr>
            <w:r>
              <w:rPr>
                <w:w w:val="105"/>
                <w:sz w:val="18"/>
              </w:rPr>
              <w:t>0.85600</w:t>
            </w:r>
          </w:p>
        </w:tc>
        <w:tc>
          <w:tcPr>
            <w:tcW w:w="1016" w:type="dxa"/>
          </w:tcPr>
          <w:p>
            <w:pPr>
              <w:pStyle w:val="TableParagraph"/>
              <w:spacing w:before="4"/>
              <w:ind w:left="39" w:right="27"/>
              <w:jc w:val="center"/>
              <w:rPr>
                <w:sz w:val="18"/>
              </w:rPr>
            </w:pPr>
            <w:r>
              <w:rPr>
                <w:w w:val="105"/>
                <w:sz w:val="18"/>
              </w:rPr>
              <w:t>Alto</w:t>
            </w:r>
          </w:p>
        </w:tc>
        <w:tc>
          <w:tcPr>
            <w:tcW w:w="1016" w:type="dxa"/>
          </w:tcPr>
          <w:p>
            <w:pPr>
              <w:pStyle w:val="TableParagraph"/>
              <w:spacing w:before="4"/>
              <w:ind w:left="323"/>
              <w:rPr>
                <w:sz w:val="18"/>
              </w:rPr>
            </w:pPr>
            <w:r>
              <w:rPr>
                <w:w w:val="105"/>
                <w:sz w:val="18"/>
              </w:rPr>
              <w:t>481</w:t>
            </w:r>
          </w:p>
        </w:tc>
      </w:tr>
      <w:tr>
        <w:trPr>
          <w:trHeight w:val="236" w:hRule="exact"/>
        </w:trPr>
        <w:tc>
          <w:tcPr>
            <w:tcW w:w="1016" w:type="dxa"/>
            <w:shd w:val="clear" w:color="auto" w:fill="F1DCDB"/>
          </w:tcPr>
          <w:p>
            <w:pPr>
              <w:pStyle w:val="TableParagraph"/>
              <w:spacing w:before="4"/>
              <w:ind w:left="39" w:right="31"/>
              <w:jc w:val="center"/>
              <w:rPr>
                <w:sz w:val="18"/>
              </w:rPr>
            </w:pPr>
            <w:r>
              <w:rPr>
                <w:w w:val="105"/>
                <w:sz w:val="18"/>
              </w:rPr>
              <w:t>15</w:t>
            </w:r>
          </w:p>
        </w:tc>
        <w:tc>
          <w:tcPr>
            <w:tcW w:w="1017" w:type="dxa"/>
            <w:shd w:val="clear" w:color="auto" w:fill="F1DCDB"/>
          </w:tcPr>
          <w:p>
            <w:pPr>
              <w:pStyle w:val="TableParagraph"/>
              <w:spacing w:before="4"/>
              <w:ind w:left="197"/>
              <w:rPr>
                <w:sz w:val="18"/>
              </w:rPr>
            </w:pPr>
            <w:r>
              <w:rPr>
                <w:w w:val="105"/>
                <w:sz w:val="18"/>
              </w:rPr>
              <w:t>México</w:t>
            </w:r>
          </w:p>
        </w:tc>
        <w:tc>
          <w:tcPr>
            <w:tcW w:w="1016" w:type="dxa"/>
            <w:shd w:val="clear" w:color="auto" w:fill="F1DCDB"/>
          </w:tcPr>
          <w:p>
            <w:pPr>
              <w:pStyle w:val="TableParagraph"/>
              <w:spacing w:before="4"/>
              <w:ind w:left="39" w:right="32"/>
              <w:jc w:val="center"/>
              <w:rPr>
                <w:sz w:val="18"/>
              </w:rPr>
            </w:pPr>
            <w:r>
              <w:rPr>
                <w:w w:val="105"/>
                <w:sz w:val="18"/>
              </w:rPr>
              <w:t>15114</w:t>
            </w:r>
          </w:p>
        </w:tc>
        <w:tc>
          <w:tcPr>
            <w:tcW w:w="2264" w:type="dxa"/>
            <w:shd w:val="clear" w:color="auto" w:fill="F1DCDB"/>
          </w:tcPr>
          <w:p>
            <w:pPr>
              <w:pStyle w:val="TableParagraph"/>
              <w:spacing w:before="4"/>
              <w:ind w:left="196"/>
              <w:rPr>
                <w:sz w:val="18"/>
              </w:rPr>
            </w:pPr>
            <w:r>
              <w:rPr>
                <w:w w:val="105"/>
                <w:sz w:val="18"/>
              </w:rPr>
              <w:t>Villa Victoria</w:t>
            </w:r>
          </w:p>
        </w:tc>
        <w:tc>
          <w:tcPr>
            <w:tcW w:w="1017" w:type="dxa"/>
            <w:shd w:val="clear" w:color="auto" w:fill="F1DCDB"/>
          </w:tcPr>
          <w:p>
            <w:pPr>
              <w:pStyle w:val="TableParagraph"/>
              <w:spacing w:before="4"/>
              <w:ind w:right="187"/>
              <w:jc w:val="right"/>
              <w:rPr>
                <w:sz w:val="18"/>
              </w:rPr>
            </w:pPr>
            <w:r>
              <w:rPr>
                <w:sz w:val="18"/>
              </w:rPr>
              <w:t>94,369</w:t>
            </w:r>
          </w:p>
        </w:tc>
        <w:tc>
          <w:tcPr>
            <w:tcW w:w="1016" w:type="dxa"/>
            <w:shd w:val="clear" w:color="auto" w:fill="F1DCDB"/>
          </w:tcPr>
          <w:p>
            <w:pPr>
              <w:pStyle w:val="TableParagraph"/>
              <w:spacing w:before="4"/>
              <w:ind w:left="39" w:right="30"/>
              <w:jc w:val="center"/>
              <w:rPr>
                <w:sz w:val="18"/>
              </w:rPr>
            </w:pPr>
            <w:r>
              <w:rPr>
                <w:w w:val="105"/>
                <w:sz w:val="18"/>
              </w:rPr>
              <w:t>1.28379</w:t>
            </w:r>
          </w:p>
        </w:tc>
        <w:tc>
          <w:tcPr>
            <w:tcW w:w="1016" w:type="dxa"/>
            <w:shd w:val="clear" w:color="auto" w:fill="F1DCDB"/>
          </w:tcPr>
          <w:p>
            <w:pPr>
              <w:pStyle w:val="TableParagraph"/>
              <w:spacing w:before="4"/>
              <w:ind w:left="39" w:right="27"/>
              <w:jc w:val="center"/>
              <w:rPr>
                <w:sz w:val="18"/>
              </w:rPr>
            </w:pPr>
            <w:r>
              <w:rPr>
                <w:w w:val="105"/>
                <w:sz w:val="18"/>
              </w:rPr>
              <w:t>Alto</w:t>
            </w:r>
          </w:p>
        </w:tc>
        <w:tc>
          <w:tcPr>
            <w:tcW w:w="1016" w:type="dxa"/>
            <w:shd w:val="clear" w:color="auto" w:fill="F1DCDB"/>
          </w:tcPr>
          <w:p>
            <w:pPr>
              <w:pStyle w:val="TableParagraph"/>
              <w:spacing w:before="4"/>
              <w:ind w:left="323"/>
              <w:rPr>
                <w:sz w:val="18"/>
              </w:rPr>
            </w:pPr>
            <w:r>
              <w:rPr>
                <w:w w:val="105"/>
                <w:sz w:val="18"/>
              </w:rPr>
              <w:t>290</w:t>
            </w:r>
          </w:p>
        </w:tc>
      </w:tr>
      <w:tr>
        <w:trPr>
          <w:trHeight w:val="237" w:hRule="exact"/>
        </w:trPr>
        <w:tc>
          <w:tcPr>
            <w:tcW w:w="1016" w:type="dxa"/>
          </w:tcPr>
          <w:p>
            <w:pPr>
              <w:pStyle w:val="TableParagraph"/>
              <w:spacing w:before="6"/>
              <w:ind w:left="39" w:right="31"/>
              <w:jc w:val="center"/>
              <w:rPr>
                <w:sz w:val="18"/>
              </w:rPr>
            </w:pPr>
            <w:r>
              <w:rPr>
                <w:w w:val="105"/>
                <w:sz w:val="18"/>
              </w:rPr>
              <w:t>15</w:t>
            </w:r>
          </w:p>
        </w:tc>
        <w:tc>
          <w:tcPr>
            <w:tcW w:w="1017" w:type="dxa"/>
          </w:tcPr>
          <w:p>
            <w:pPr>
              <w:pStyle w:val="TableParagraph"/>
              <w:spacing w:before="6"/>
              <w:ind w:left="197"/>
              <w:rPr>
                <w:sz w:val="18"/>
              </w:rPr>
            </w:pPr>
            <w:r>
              <w:rPr>
                <w:w w:val="105"/>
                <w:sz w:val="18"/>
              </w:rPr>
              <w:t>México</w:t>
            </w:r>
          </w:p>
        </w:tc>
        <w:tc>
          <w:tcPr>
            <w:tcW w:w="1016" w:type="dxa"/>
          </w:tcPr>
          <w:p>
            <w:pPr>
              <w:pStyle w:val="TableParagraph"/>
              <w:spacing w:before="6"/>
              <w:ind w:left="39" w:right="32"/>
              <w:jc w:val="center"/>
              <w:rPr>
                <w:sz w:val="18"/>
              </w:rPr>
            </w:pPr>
            <w:r>
              <w:rPr>
                <w:w w:val="105"/>
                <w:sz w:val="18"/>
              </w:rPr>
              <w:t>15117</w:t>
            </w:r>
          </w:p>
        </w:tc>
        <w:tc>
          <w:tcPr>
            <w:tcW w:w="2264" w:type="dxa"/>
          </w:tcPr>
          <w:p>
            <w:pPr>
              <w:pStyle w:val="TableParagraph"/>
              <w:spacing w:before="6"/>
              <w:ind w:left="196"/>
              <w:rPr>
                <w:sz w:val="18"/>
              </w:rPr>
            </w:pPr>
            <w:r>
              <w:rPr>
                <w:w w:val="105"/>
                <w:sz w:val="18"/>
              </w:rPr>
              <w:t>Zacualpan</w:t>
            </w:r>
          </w:p>
        </w:tc>
        <w:tc>
          <w:tcPr>
            <w:tcW w:w="1017" w:type="dxa"/>
          </w:tcPr>
          <w:p>
            <w:pPr>
              <w:pStyle w:val="TableParagraph"/>
              <w:spacing w:before="6"/>
              <w:ind w:right="187"/>
              <w:jc w:val="right"/>
              <w:rPr>
                <w:sz w:val="18"/>
              </w:rPr>
            </w:pPr>
            <w:r>
              <w:rPr>
                <w:sz w:val="18"/>
              </w:rPr>
              <w:t>15,121</w:t>
            </w:r>
          </w:p>
        </w:tc>
        <w:tc>
          <w:tcPr>
            <w:tcW w:w="1016" w:type="dxa"/>
          </w:tcPr>
          <w:p>
            <w:pPr>
              <w:pStyle w:val="TableParagraph"/>
              <w:spacing w:before="6"/>
              <w:ind w:left="39" w:right="30"/>
              <w:jc w:val="center"/>
              <w:rPr>
                <w:sz w:val="18"/>
              </w:rPr>
            </w:pPr>
            <w:r>
              <w:rPr>
                <w:w w:val="105"/>
                <w:sz w:val="18"/>
              </w:rPr>
              <w:t>0.69397</w:t>
            </w:r>
          </w:p>
        </w:tc>
        <w:tc>
          <w:tcPr>
            <w:tcW w:w="1016" w:type="dxa"/>
          </w:tcPr>
          <w:p>
            <w:pPr>
              <w:pStyle w:val="TableParagraph"/>
              <w:spacing w:before="6"/>
              <w:ind w:left="39" w:right="27"/>
              <w:jc w:val="center"/>
              <w:rPr>
                <w:sz w:val="18"/>
              </w:rPr>
            </w:pPr>
            <w:r>
              <w:rPr>
                <w:w w:val="105"/>
                <w:sz w:val="18"/>
              </w:rPr>
              <w:t>Alto</w:t>
            </w:r>
          </w:p>
        </w:tc>
        <w:tc>
          <w:tcPr>
            <w:tcW w:w="1016" w:type="dxa"/>
          </w:tcPr>
          <w:p>
            <w:pPr>
              <w:pStyle w:val="TableParagraph"/>
              <w:spacing w:before="6"/>
              <w:ind w:left="323"/>
              <w:rPr>
                <w:sz w:val="18"/>
              </w:rPr>
            </w:pPr>
            <w:r>
              <w:rPr>
                <w:w w:val="105"/>
                <w:sz w:val="18"/>
              </w:rPr>
              <w:t>571</w:t>
            </w:r>
          </w:p>
        </w:tc>
      </w:tr>
      <w:tr>
        <w:trPr>
          <w:trHeight w:val="237" w:hRule="exact"/>
        </w:trPr>
        <w:tc>
          <w:tcPr>
            <w:tcW w:w="1016" w:type="dxa"/>
            <w:shd w:val="clear" w:color="auto" w:fill="F1DCDB"/>
          </w:tcPr>
          <w:p>
            <w:pPr>
              <w:pStyle w:val="TableParagraph"/>
              <w:spacing w:before="4"/>
              <w:ind w:left="39" w:right="31"/>
              <w:jc w:val="center"/>
              <w:rPr>
                <w:sz w:val="18"/>
              </w:rPr>
            </w:pPr>
            <w:r>
              <w:rPr>
                <w:w w:val="105"/>
                <w:sz w:val="18"/>
              </w:rPr>
              <w:t>15</w:t>
            </w:r>
          </w:p>
        </w:tc>
        <w:tc>
          <w:tcPr>
            <w:tcW w:w="1017" w:type="dxa"/>
            <w:shd w:val="clear" w:color="auto" w:fill="F1DCDB"/>
          </w:tcPr>
          <w:p>
            <w:pPr>
              <w:pStyle w:val="TableParagraph"/>
              <w:spacing w:before="4"/>
              <w:ind w:left="197"/>
              <w:rPr>
                <w:sz w:val="18"/>
              </w:rPr>
            </w:pPr>
            <w:r>
              <w:rPr>
                <w:w w:val="105"/>
                <w:sz w:val="18"/>
              </w:rPr>
              <w:t>México</w:t>
            </w:r>
          </w:p>
        </w:tc>
        <w:tc>
          <w:tcPr>
            <w:tcW w:w="1016" w:type="dxa"/>
            <w:shd w:val="clear" w:color="auto" w:fill="F1DCDB"/>
          </w:tcPr>
          <w:p>
            <w:pPr>
              <w:pStyle w:val="TableParagraph"/>
              <w:spacing w:before="4"/>
              <w:ind w:left="39" w:right="28"/>
              <w:jc w:val="center"/>
              <w:rPr>
                <w:sz w:val="18"/>
              </w:rPr>
            </w:pPr>
            <w:r>
              <w:rPr>
                <w:w w:val="105"/>
                <w:sz w:val="18"/>
              </w:rPr>
              <w:t>15124</w:t>
            </w:r>
          </w:p>
        </w:tc>
        <w:tc>
          <w:tcPr>
            <w:tcW w:w="2264" w:type="dxa"/>
            <w:shd w:val="clear" w:color="auto" w:fill="F1DCDB"/>
          </w:tcPr>
          <w:p>
            <w:pPr>
              <w:pStyle w:val="TableParagraph"/>
              <w:spacing w:before="4"/>
              <w:ind w:left="196"/>
              <w:rPr>
                <w:sz w:val="18"/>
              </w:rPr>
            </w:pPr>
            <w:r>
              <w:rPr>
                <w:w w:val="105"/>
                <w:sz w:val="18"/>
              </w:rPr>
              <w:t>San José del Rincón</w:t>
            </w:r>
          </w:p>
        </w:tc>
        <w:tc>
          <w:tcPr>
            <w:tcW w:w="1017" w:type="dxa"/>
            <w:shd w:val="clear" w:color="auto" w:fill="F1DCDB"/>
          </w:tcPr>
          <w:p>
            <w:pPr>
              <w:pStyle w:val="TableParagraph"/>
              <w:spacing w:before="4"/>
              <w:ind w:right="187"/>
              <w:jc w:val="right"/>
              <w:rPr>
                <w:sz w:val="18"/>
              </w:rPr>
            </w:pPr>
            <w:r>
              <w:rPr>
                <w:sz w:val="18"/>
              </w:rPr>
              <w:t>91,345</w:t>
            </w:r>
          </w:p>
        </w:tc>
        <w:tc>
          <w:tcPr>
            <w:tcW w:w="1016" w:type="dxa"/>
            <w:shd w:val="clear" w:color="auto" w:fill="F1DCDB"/>
          </w:tcPr>
          <w:p>
            <w:pPr>
              <w:pStyle w:val="TableParagraph"/>
              <w:spacing w:before="4"/>
              <w:ind w:left="39" w:right="30"/>
              <w:jc w:val="center"/>
              <w:rPr>
                <w:sz w:val="18"/>
              </w:rPr>
            </w:pPr>
            <w:r>
              <w:rPr>
                <w:w w:val="105"/>
                <w:sz w:val="18"/>
              </w:rPr>
              <w:t>1.35630</w:t>
            </w:r>
          </w:p>
        </w:tc>
        <w:tc>
          <w:tcPr>
            <w:tcW w:w="1016" w:type="dxa"/>
            <w:shd w:val="clear" w:color="auto" w:fill="F1DCDB"/>
          </w:tcPr>
          <w:p>
            <w:pPr>
              <w:pStyle w:val="TableParagraph"/>
              <w:spacing w:before="4"/>
              <w:ind w:left="39" w:right="27"/>
              <w:jc w:val="center"/>
              <w:rPr>
                <w:sz w:val="18"/>
              </w:rPr>
            </w:pPr>
            <w:r>
              <w:rPr>
                <w:w w:val="105"/>
                <w:sz w:val="18"/>
              </w:rPr>
              <w:t>Alto</w:t>
            </w:r>
          </w:p>
        </w:tc>
        <w:tc>
          <w:tcPr>
            <w:tcW w:w="1016" w:type="dxa"/>
            <w:shd w:val="clear" w:color="auto" w:fill="F1DCDB"/>
          </w:tcPr>
          <w:p>
            <w:pPr>
              <w:pStyle w:val="TableParagraph"/>
              <w:spacing w:before="4"/>
              <w:ind w:left="323"/>
              <w:rPr>
                <w:sz w:val="18"/>
              </w:rPr>
            </w:pPr>
            <w:r>
              <w:rPr>
                <w:w w:val="105"/>
                <w:sz w:val="18"/>
              </w:rPr>
              <w:t>269</w:t>
            </w:r>
          </w:p>
        </w:tc>
      </w:tr>
    </w:tbl>
    <w:p>
      <w:pPr>
        <w:pStyle w:val="BodyText"/>
        <w:rPr>
          <w:b/>
          <w:sz w:val="20"/>
        </w:rPr>
      </w:pPr>
    </w:p>
    <w:p>
      <w:pPr>
        <w:pStyle w:val="BodyText"/>
        <w:rPr>
          <w:b/>
          <w:sz w:val="20"/>
        </w:rPr>
      </w:pPr>
    </w:p>
    <w:p>
      <w:pPr>
        <w:pStyle w:val="BodyText"/>
        <w:spacing w:before="7"/>
        <w:rPr>
          <w:b/>
          <w:sz w:val="20"/>
        </w:rPr>
      </w:pPr>
    </w:p>
    <w:p>
      <w:pPr>
        <w:spacing w:before="74"/>
        <w:ind w:left="1282" w:right="1340" w:firstLine="0"/>
        <w:jc w:val="left"/>
        <w:rPr>
          <w:sz w:val="20"/>
        </w:rPr>
      </w:pPr>
      <w:r>
        <w:rPr>
          <w:b/>
          <w:sz w:val="20"/>
        </w:rPr>
        <w:t>Fuente</w:t>
      </w:r>
      <w:r>
        <w:rPr>
          <w:sz w:val="20"/>
        </w:rPr>
        <w:t>: Estimaciones del CONEVAL con base en el Censo de Población y Vivienda 2010.</w:t>
      </w:r>
    </w:p>
    <w:p>
      <w:pPr>
        <w:spacing w:after="0"/>
        <w:jc w:val="left"/>
        <w:rPr>
          <w:sz w:val="20"/>
        </w:rPr>
        <w:sectPr>
          <w:pgSz w:w="15840" w:h="12240" w:orient="landscape"/>
          <w:pgMar w:header="0" w:footer="992" w:top="1140" w:bottom="1180" w:left="2260" w:right="2260"/>
        </w:sectPr>
      </w:pPr>
    </w:p>
    <w:p>
      <w:pPr>
        <w:pStyle w:val="BodyText"/>
        <w:rPr>
          <w:sz w:val="20"/>
        </w:rPr>
      </w:pPr>
    </w:p>
    <w:p>
      <w:pPr>
        <w:pStyle w:val="BodyText"/>
        <w:rPr>
          <w:sz w:val="20"/>
        </w:rPr>
      </w:pPr>
    </w:p>
    <w:p>
      <w:pPr>
        <w:pStyle w:val="BodyText"/>
        <w:rPr>
          <w:sz w:val="20"/>
        </w:rPr>
      </w:pPr>
    </w:p>
    <w:p>
      <w:pPr>
        <w:spacing w:after="0"/>
        <w:rPr>
          <w:sz w:val="20"/>
        </w:rPr>
        <w:sectPr>
          <w:pgSz w:w="15840" w:h="12240" w:orient="landscape"/>
          <w:pgMar w:header="0" w:footer="992" w:top="1140" w:bottom="1180" w:left="2260" w:right="2260"/>
        </w:sectPr>
      </w:pPr>
    </w:p>
    <w:p>
      <w:pPr>
        <w:pStyle w:val="BodyText"/>
        <w:spacing w:before="203"/>
        <w:ind w:left="1642" w:right="-18"/>
      </w:pPr>
      <w:r>
        <w:rPr/>
        <w:t>Anexo 5.</w:t>
      </w:r>
    </w:p>
    <w:p>
      <w:pPr>
        <w:pStyle w:val="BodyText"/>
        <w:spacing w:before="2"/>
        <w:rPr>
          <w:sz w:val="23"/>
        </w:rPr>
      </w:pPr>
      <w:r>
        <w:rPr/>
        <w:br w:type="column"/>
      </w:r>
      <w:r>
        <w:rPr>
          <w:sz w:val="23"/>
        </w:rPr>
      </w:r>
    </w:p>
    <w:p>
      <w:pPr>
        <w:spacing w:before="1"/>
        <w:ind w:left="626" w:right="0" w:firstLine="0"/>
        <w:jc w:val="left"/>
        <w:rPr>
          <w:b/>
          <w:sz w:val="17"/>
        </w:rPr>
      </w:pPr>
      <w:r>
        <w:rPr>
          <w:b/>
          <w:sz w:val="17"/>
        </w:rPr>
        <w:t>Rezago Social. Municipios del Estado de México en Grado Bajo</w:t>
      </w:r>
    </w:p>
    <w:p>
      <w:pPr>
        <w:spacing w:after="0"/>
        <w:jc w:val="left"/>
        <w:rPr>
          <w:sz w:val="17"/>
        </w:rPr>
        <w:sectPr>
          <w:type w:val="continuous"/>
          <w:pgSz w:w="15840" w:h="12240" w:orient="landscape"/>
          <w:pgMar w:top="0" w:bottom="280" w:left="2260" w:right="2260"/>
          <w:cols w:num="2" w:equalWidth="0">
            <w:col w:w="2592" w:space="40"/>
            <w:col w:w="8688"/>
          </w:cols>
        </w:sectPr>
      </w:pPr>
    </w:p>
    <w:p>
      <w:pPr>
        <w:pStyle w:val="BodyText"/>
        <w:spacing w:line="20" w:lineRule="exact"/>
        <w:ind w:left="1397"/>
        <w:rPr>
          <w:sz w:val="2"/>
        </w:rPr>
      </w:pPr>
      <w:r>
        <w:rPr>
          <w:sz w:val="2"/>
        </w:rPr>
        <w:pict>
          <v:group style="width:441.35pt;height:.7pt;mso-position-horizontal-relative:char;mso-position-vertical-relative:line" coordorigin="0,0" coordsize="8827,14">
            <v:shape style="position:absolute;left:7;top:7;width:8813;height:2" coordorigin="7,7" coordsize="8813,0" path="m7,7l7,7,8820,7e" filled="false" stroked="true" strokeweight=".658714pt" strokecolor="#000000">
              <v:path arrowok="t"/>
            </v:shape>
          </v:group>
        </w:pict>
      </w:r>
      <w:r>
        <w:rPr>
          <w:sz w:val="2"/>
        </w:rPr>
      </w:r>
    </w:p>
    <w:p>
      <w:pPr>
        <w:pStyle w:val="BodyText"/>
        <w:rPr>
          <w:b/>
          <w:sz w:val="20"/>
        </w:rPr>
      </w:pPr>
    </w:p>
    <w:p>
      <w:pPr>
        <w:pStyle w:val="BodyText"/>
        <w:spacing w:before="8" w:after="1"/>
        <w:rPr>
          <w:b/>
          <w:sz w:val="14"/>
        </w:rPr>
      </w:pPr>
    </w:p>
    <w:tbl>
      <w:tblPr>
        <w:tblW w:w="0" w:type="auto"/>
        <w:jc w:val="left"/>
        <w:tblInd w:w="139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21"/>
        <w:gridCol w:w="919"/>
        <w:gridCol w:w="921"/>
        <w:gridCol w:w="2365"/>
        <w:gridCol w:w="921"/>
        <w:gridCol w:w="920"/>
        <w:gridCol w:w="921"/>
        <w:gridCol w:w="921"/>
      </w:tblGrid>
      <w:tr>
        <w:trPr>
          <w:trHeight w:val="1454" w:hRule="exact"/>
        </w:trPr>
        <w:tc>
          <w:tcPr>
            <w:tcW w:w="921" w:type="dxa"/>
            <w:vMerge w:val="restart"/>
          </w:tcPr>
          <w:p>
            <w:pPr>
              <w:pStyle w:val="TableParagraph"/>
              <w:rPr>
                <w:b/>
                <w:sz w:val="16"/>
              </w:rPr>
            </w:pPr>
          </w:p>
          <w:p>
            <w:pPr>
              <w:pStyle w:val="TableParagraph"/>
              <w:rPr>
                <w:b/>
                <w:sz w:val="16"/>
              </w:rPr>
            </w:pPr>
          </w:p>
          <w:p>
            <w:pPr>
              <w:pStyle w:val="TableParagraph"/>
              <w:spacing w:before="6"/>
              <w:rPr>
                <w:b/>
                <w:sz w:val="21"/>
              </w:rPr>
            </w:pPr>
          </w:p>
          <w:p>
            <w:pPr>
              <w:pStyle w:val="TableParagraph"/>
              <w:spacing w:line="261" w:lineRule="auto"/>
              <w:ind w:left="60" w:right="34" w:firstLine="49"/>
              <w:rPr>
                <w:b/>
                <w:sz w:val="17"/>
              </w:rPr>
            </w:pPr>
            <w:r>
              <w:rPr>
                <w:b/>
                <w:sz w:val="17"/>
              </w:rPr>
              <w:t>Clave de la entidad</w:t>
            </w:r>
          </w:p>
        </w:tc>
        <w:tc>
          <w:tcPr>
            <w:tcW w:w="919" w:type="dxa"/>
            <w:vMerge w:val="restart"/>
          </w:tcPr>
          <w:p>
            <w:pPr>
              <w:pStyle w:val="TableParagraph"/>
              <w:rPr>
                <w:b/>
                <w:sz w:val="16"/>
              </w:rPr>
            </w:pPr>
          </w:p>
          <w:p>
            <w:pPr>
              <w:pStyle w:val="TableParagraph"/>
              <w:rPr>
                <w:b/>
                <w:sz w:val="16"/>
              </w:rPr>
            </w:pPr>
          </w:p>
          <w:p>
            <w:pPr>
              <w:pStyle w:val="TableParagraph"/>
              <w:spacing w:before="6"/>
              <w:rPr>
                <w:b/>
                <w:sz w:val="21"/>
              </w:rPr>
            </w:pPr>
          </w:p>
          <w:p>
            <w:pPr>
              <w:pStyle w:val="TableParagraph"/>
              <w:spacing w:line="261" w:lineRule="auto"/>
              <w:ind w:left="55" w:firstLine="90"/>
              <w:rPr>
                <w:b/>
                <w:sz w:val="17"/>
              </w:rPr>
            </w:pPr>
            <w:r>
              <w:rPr>
                <w:b/>
                <w:sz w:val="17"/>
              </w:rPr>
              <w:t>Entidad </w:t>
            </w:r>
            <w:r>
              <w:rPr>
                <w:b/>
                <w:w w:val="95"/>
                <w:sz w:val="17"/>
              </w:rPr>
              <w:t>federativa</w:t>
            </w:r>
          </w:p>
        </w:tc>
        <w:tc>
          <w:tcPr>
            <w:tcW w:w="921" w:type="dxa"/>
            <w:vMerge w:val="restart"/>
          </w:tcPr>
          <w:p>
            <w:pPr>
              <w:pStyle w:val="TableParagraph"/>
              <w:rPr>
                <w:b/>
                <w:sz w:val="16"/>
              </w:rPr>
            </w:pPr>
          </w:p>
          <w:p>
            <w:pPr>
              <w:pStyle w:val="TableParagraph"/>
              <w:rPr>
                <w:b/>
                <w:sz w:val="16"/>
              </w:rPr>
            </w:pPr>
          </w:p>
          <w:p>
            <w:pPr>
              <w:pStyle w:val="TableParagraph"/>
              <w:spacing w:before="6"/>
              <w:rPr>
                <w:b/>
                <w:sz w:val="21"/>
              </w:rPr>
            </w:pPr>
          </w:p>
          <w:p>
            <w:pPr>
              <w:pStyle w:val="TableParagraph"/>
              <w:spacing w:line="261" w:lineRule="auto"/>
              <w:ind w:left="57" w:firstLine="28"/>
              <w:rPr>
                <w:b/>
                <w:sz w:val="17"/>
              </w:rPr>
            </w:pPr>
            <w:r>
              <w:rPr>
                <w:b/>
                <w:sz w:val="17"/>
              </w:rPr>
              <w:t>Clave del municipio</w:t>
            </w:r>
          </w:p>
        </w:tc>
        <w:tc>
          <w:tcPr>
            <w:tcW w:w="2365"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5"/>
              </w:rPr>
            </w:pPr>
          </w:p>
          <w:p>
            <w:pPr>
              <w:pStyle w:val="TableParagraph"/>
              <w:ind w:left="782"/>
              <w:rPr>
                <w:b/>
                <w:sz w:val="17"/>
              </w:rPr>
            </w:pPr>
            <w:r>
              <w:rPr>
                <w:b/>
                <w:sz w:val="17"/>
              </w:rPr>
              <w:t>Municipio</w:t>
            </w:r>
          </w:p>
        </w:tc>
        <w:tc>
          <w:tcPr>
            <w:tcW w:w="921" w:type="dxa"/>
          </w:tcPr>
          <w:p>
            <w:pPr>
              <w:pStyle w:val="TableParagraph"/>
              <w:rPr>
                <w:b/>
                <w:sz w:val="16"/>
              </w:rPr>
            </w:pPr>
          </w:p>
          <w:p>
            <w:pPr>
              <w:pStyle w:val="TableParagraph"/>
              <w:rPr>
                <w:b/>
                <w:sz w:val="16"/>
              </w:rPr>
            </w:pPr>
          </w:p>
          <w:p>
            <w:pPr>
              <w:pStyle w:val="TableParagraph"/>
              <w:spacing w:line="261" w:lineRule="auto" w:before="143"/>
              <w:ind w:left="278" w:hanging="227"/>
              <w:rPr>
                <w:b/>
                <w:sz w:val="17"/>
              </w:rPr>
            </w:pPr>
            <w:r>
              <w:rPr>
                <w:b/>
                <w:w w:val="95"/>
                <w:sz w:val="17"/>
              </w:rPr>
              <w:t>Población </w:t>
            </w:r>
            <w:r>
              <w:rPr>
                <w:b/>
                <w:sz w:val="17"/>
              </w:rPr>
              <w:t>total</w:t>
            </w:r>
          </w:p>
        </w:tc>
        <w:tc>
          <w:tcPr>
            <w:tcW w:w="920" w:type="dxa"/>
          </w:tcPr>
          <w:p>
            <w:pPr>
              <w:pStyle w:val="TableParagraph"/>
              <w:rPr>
                <w:b/>
                <w:sz w:val="16"/>
              </w:rPr>
            </w:pPr>
          </w:p>
          <w:p>
            <w:pPr>
              <w:pStyle w:val="TableParagraph"/>
              <w:spacing w:before="11"/>
              <w:rPr>
                <w:b/>
                <w:sz w:val="18"/>
              </w:rPr>
            </w:pPr>
          </w:p>
          <w:p>
            <w:pPr>
              <w:pStyle w:val="TableParagraph"/>
              <w:spacing w:line="261" w:lineRule="auto"/>
              <w:ind w:left="68" w:right="61"/>
              <w:jc w:val="center"/>
              <w:rPr>
                <w:b/>
                <w:sz w:val="17"/>
              </w:rPr>
            </w:pPr>
            <w:r>
              <w:rPr>
                <w:b/>
                <w:sz w:val="17"/>
              </w:rPr>
              <w:t>Índice de</w:t>
            </w:r>
            <w:r>
              <w:rPr>
                <w:b/>
                <w:w w:val="99"/>
                <w:sz w:val="17"/>
              </w:rPr>
              <w:t> </w:t>
            </w:r>
            <w:r>
              <w:rPr>
                <w:b/>
                <w:sz w:val="17"/>
              </w:rPr>
              <w:t>rezago social</w:t>
            </w:r>
          </w:p>
        </w:tc>
        <w:tc>
          <w:tcPr>
            <w:tcW w:w="921" w:type="dxa"/>
          </w:tcPr>
          <w:p>
            <w:pPr>
              <w:pStyle w:val="TableParagraph"/>
              <w:rPr>
                <w:b/>
                <w:sz w:val="16"/>
              </w:rPr>
            </w:pPr>
          </w:p>
          <w:p>
            <w:pPr>
              <w:pStyle w:val="TableParagraph"/>
              <w:spacing w:before="11"/>
              <w:rPr>
                <w:b/>
                <w:sz w:val="18"/>
              </w:rPr>
            </w:pPr>
          </w:p>
          <w:p>
            <w:pPr>
              <w:pStyle w:val="TableParagraph"/>
              <w:spacing w:line="261" w:lineRule="auto"/>
              <w:ind w:left="65" w:right="55"/>
              <w:jc w:val="center"/>
              <w:rPr>
                <w:b/>
                <w:sz w:val="17"/>
              </w:rPr>
            </w:pPr>
            <w:r>
              <w:rPr>
                <w:b/>
                <w:sz w:val="17"/>
              </w:rPr>
              <w:t>Grado de</w:t>
            </w:r>
            <w:r>
              <w:rPr>
                <w:b/>
                <w:w w:val="99"/>
                <w:sz w:val="17"/>
              </w:rPr>
              <w:t> </w:t>
            </w:r>
            <w:r>
              <w:rPr>
                <w:b/>
                <w:sz w:val="17"/>
              </w:rPr>
              <w:t>rezago social</w:t>
            </w:r>
          </w:p>
        </w:tc>
        <w:tc>
          <w:tcPr>
            <w:tcW w:w="921" w:type="dxa"/>
          </w:tcPr>
          <w:p>
            <w:pPr>
              <w:pStyle w:val="TableParagraph"/>
              <w:spacing w:before="3"/>
              <w:rPr>
                <w:b/>
                <w:sz w:val="16"/>
              </w:rPr>
            </w:pPr>
          </w:p>
          <w:p>
            <w:pPr>
              <w:pStyle w:val="TableParagraph"/>
              <w:spacing w:line="264" w:lineRule="auto"/>
              <w:ind w:left="41" w:right="30"/>
              <w:jc w:val="center"/>
              <w:rPr>
                <w:b/>
                <w:sz w:val="17"/>
              </w:rPr>
            </w:pPr>
            <w:r>
              <w:rPr>
                <w:b/>
                <w:sz w:val="17"/>
              </w:rPr>
              <w:t>Lugar que</w:t>
            </w:r>
            <w:r>
              <w:rPr>
                <w:b/>
                <w:w w:val="99"/>
                <w:sz w:val="17"/>
              </w:rPr>
              <w:t> </w:t>
            </w:r>
            <w:r>
              <w:rPr>
                <w:b/>
                <w:sz w:val="17"/>
              </w:rPr>
              <w:t>ocupa en el     contexto nacional</w:t>
            </w:r>
          </w:p>
        </w:tc>
      </w:tr>
      <w:tr>
        <w:trPr>
          <w:trHeight w:val="215" w:hRule="exact"/>
        </w:trPr>
        <w:tc>
          <w:tcPr>
            <w:tcW w:w="921" w:type="dxa"/>
            <w:vMerge/>
          </w:tcPr>
          <w:p>
            <w:pPr/>
          </w:p>
        </w:tc>
        <w:tc>
          <w:tcPr>
            <w:tcW w:w="919" w:type="dxa"/>
            <w:vMerge/>
          </w:tcPr>
          <w:p>
            <w:pPr/>
          </w:p>
        </w:tc>
        <w:tc>
          <w:tcPr>
            <w:tcW w:w="921" w:type="dxa"/>
            <w:vMerge/>
          </w:tcPr>
          <w:p>
            <w:pPr/>
          </w:p>
        </w:tc>
        <w:tc>
          <w:tcPr>
            <w:tcW w:w="2365" w:type="dxa"/>
            <w:vMerge/>
          </w:tcPr>
          <w:p>
            <w:pPr/>
          </w:p>
        </w:tc>
        <w:tc>
          <w:tcPr>
            <w:tcW w:w="921" w:type="dxa"/>
          </w:tcPr>
          <w:p>
            <w:pPr>
              <w:pStyle w:val="TableParagraph"/>
              <w:spacing w:line="194" w:lineRule="exact"/>
              <w:ind w:left="269"/>
              <w:rPr>
                <w:b/>
                <w:sz w:val="17"/>
              </w:rPr>
            </w:pPr>
            <w:r>
              <w:rPr>
                <w:b/>
                <w:sz w:val="17"/>
              </w:rPr>
              <w:t>2010</w:t>
            </w:r>
          </w:p>
        </w:tc>
        <w:tc>
          <w:tcPr>
            <w:tcW w:w="920" w:type="dxa"/>
          </w:tcPr>
          <w:p>
            <w:pPr>
              <w:pStyle w:val="TableParagraph"/>
              <w:spacing w:line="194" w:lineRule="exact"/>
              <w:ind w:left="68" w:right="58"/>
              <w:jc w:val="center"/>
              <w:rPr>
                <w:b/>
                <w:sz w:val="17"/>
              </w:rPr>
            </w:pPr>
            <w:r>
              <w:rPr>
                <w:b/>
                <w:sz w:val="17"/>
              </w:rPr>
              <w:t>2010</w:t>
            </w:r>
          </w:p>
        </w:tc>
        <w:tc>
          <w:tcPr>
            <w:tcW w:w="921" w:type="dxa"/>
          </w:tcPr>
          <w:p>
            <w:pPr>
              <w:pStyle w:val="TableParagraph"/>
              <w:spacing w:line="194" w:lineRule="exact"/>
              <w:ind w:left="63" w:right="55"/>
              <w:jc w:val="center"/>
              <w:rPr>
                <w:b/>
                <w:sz w:val="17"/>
              </w:rPr>
            </w:pPr>
            <w:r>
              <w:rPr>
                <w:b/>
                <w:sz w:val="17"/>
              </w:rPr>
              <w:t>2010</w:t>
            </w:r>
          </w:p>
        </w:tc>
        <w:tc>
          <w:tcPr>
            <w:tcW w:w="921" w:type="dxa"/>
          </w:tcPr>
          <w:p>
            <w:pPr>
              <w:pStyle w:val="TableParagraph"/>
              <w:spacing w:line="194" w:lineRule="exact"/>
              <w:ind w:left="269"/>
              <w:rPr>
                <w:b/>
                <w:sz w:val="17"/>
              </w:rPr>
            </w:pPr>
            <w:r>
              <w:rPr>
                <w:b/>
                <w:sz w:val="17"/>
              </w:rPr>
              <w:t>2010</w:t>
            </w:r>
          </w:p>
        </w:tc>
      </w:tr>
      <w:tr>
        <w:trPr>
          <w:trHeight w:val="214" w:hRule="exact"/>
        </w:trPr>
        <w:tc>
          <w:tcPr>
            <w:tcW w:w="921" w:type="dxa"/>
            <w:shd w:val="clear" w:color="auto" w:fill="F1DCDB"/>
          </w:tcPr>
          <w:p>
            <w:pPr>
              <w:pStyle w:val="TableParagraph"/>
              <w:spacing w:line="193" w:lineRule="exact"/>
              <w:ind w:left="342" w:right="335"/>
              <w:jc w:val="center"/>
              <w:rPr>
                <w:sz w:val="17"/>
              </w:rPr>
            </w:pPr>
            <w:r>
              <w:rPr>
                <w:sz w:val="17"/>
              </w:rPr>
              <w:t>15</w:t>
            </w:r>
          </w:p>
        </w:tc>
        <w:tc>
          <w:tcPr>
            <w:tcW w:w="919" w:type="dxa"/>
            <w:shd w:val="clear" w:color="auto" w:fill="F1DCDB"/>
          </w:tcPr>
          <w:p>
            <w:pPr>
              <w:pStyle w:val="TableParagraph"/>
              <w:spacing w:line="193" w:lineRule="exact"/>
              <w:ind w:left="156" w:right="170"/>
              <w:jc w:val="center"/>
              <w:rPr>
                <w:sz w:val="17"/>
              </w:rPr>
            </w:pPr>
            <w:r>
              <w:rPr>
                <w:sz w:val="17"/>
              </w:rPr>
              <w:t>México</w:t>
            </w:r>
          </w:p>
        </w:tc>
        <w:tc>
          <w:tcPr>
            <w:tcW w:w="921" w:type="dxa"/>
            <w:shd w:val="clear" w:color="auto" w:fill="F1DCDB"/>
          </w:tcPr>
          <w:p>
            <w:pPr>
              <w:pStyle w:val="TableParagraph"/>
              <w:spacing w:line="193" w:lineRule="exact"/>
              <w:ind w:right="208"/>
              <w:jc w:val="right"/>
              <w:rPr>
                <w:sz w:val="17"/>
              </w:rPr>
            </w:pPr>
            <w:r>
              <w:rPr>
                <w:sz w:val="17"/>
              </w:rPr>
              <w:t>15004</w:t>
            </w:r>
          </w:p>
        </w:tc>
        <w:tc>
          <w:tcPr>
            <w:tcW w:w="2365" w:type="dxa"/>
            <w:shd w:val="clear" w:color="auto" w:fill="F1DCDB"/>
          </w:tcPr>
          <w:p>
            <w:pPr>
              <w:pStyle w:val="TableParagraph"/>
              <w:spacing w:line="193" w:lineRule="exact"/>
              <w:ind w:left="177"/>
              <w:rPr>
                <w:sz w:val="17"/>
              </w:rPr>
            </w:pPr>
            <w:r>
              <w:rPr>
                <w:sz w:val="17"/>
              </w:rPr>
              <w:t>Almoloya de Alquisiras</w:t>
            </w:r>
          </w:p>
        </w:tc>
        <w:tc>
          <w:tcPr>
            <w:tcW w:w="921" w:type="dxa"/>
            <w:shd w:val="clear" w:color="auto" w:fill="F1DCDB"/>
          </w:tcPr>
          <w:p>
            <w:pPr>
              <w:pStyle w:val="TableParagraph"/>
              <w:spacing w:line="193" w:lineRule="exact"/>
              <w:ind w:right="165"/>
              <w:jc w:val="right"/>
              <w:rPr>
                <w:sz w:val="17"/>
              </w:rPr>
            </w:pPr>
            <w:r>
              <w:rPr>
                <w:sz w:val="17"/>
              </w:rPr>
              <w:t>14,856</w:t>
            </w:r>
          </w:p>
        </w:tc>
        <w:tc>
          <w:tcPr>
            <w:tcW w:w="920" w:type="dxa"/>
            <w:shd w:val="clear" w:color="auto" w:fill="F1DCDB"/>
          </w:tcPr>
          <w:p>
            <w:pPr>
              <w:pStyle w:val="TableParagraph"/>
              <w:spacing w:line="193" w:lineRule="exact"/>
              <w:ind w:left="68" w:right="59"/>
              <w:jc w:val="center"/>
              <w:rPr>
                <w:sz w:val="17"/>
              </w:rPr>
            </w:pPr>
            <w:r>
              <w:rPr>
                <w:sz w:val="17"/>
              </w:rPr>
              <w:t>-0.00909</w:t>
            </w:r>
          </w:p>
        </w:tc>
        <w:tc>
          <w:tcPr>
            <w:tcW w:w="921" w:type="dxa"/>
            <w:shd w:val="clear" w:color="auto" w:fill="F1DCDB"/>
          </w:tcPr>
          <w:p>
            <w:pPr>
              <w:pStyle w:val="TableParagraph"/>
              <w:spacing w:line="193" w:lineRule="exact"/>
              <w:ind w:left="65" w:right="52"/>
              <w:jc w:val="center"/>
              <w:rPr>
                <w:sz w:val="17"/>
              </w:rPr>
            </w:pPr>
            <w:r>
              <w:rPr>
                <w:sz w:val="17"/>
              </w:rPr>
              <w:t>Bajo</w:t>
            </w:r>
          </w:p>
        </w:tc>
        <w:tc>
          <w:tcPr>
            <w:tcW w:w="921" w:type="dxa"/>
            <w:shd w:val="clear" w:color="auto" w:fill="F1DCDB"/>
          </w:tcPr>
          <w:p>
            <w:pPr>
              <w:pStyle w:val="TableParagraph"/>
              <w:spacing w:line="193" w:lineRule="exact"/>
              <w:ind w:left="225"/>
              <w:rPr>
                <w:sz w:val="17"/>
              </w:rPr>
            </w:pPr>
            <w:r>
              <w:rPr>
                <w:sz w:val="17"/>
              </w:rPr>
              <w:t>1116</w:t>
            </w:r>
          </w:p>
        </w:tc>
      </w:tr>
      <w:tr>
        <w:trPr>
          <w:trHeight w:val="214" w:hRule="exact"/>
        </w:trPr>
        <w:tc>
          <w:tcPr>
            <w:tcW w:w="921" w:type="dxa"/>
          </w:tcPr>
          <w:p>
            <w:pPr>
              <w:pStyle w:val="TableParagraph"/>
              <w:spacing w:line="193" w:lineRule="exact"/>
              <w:ind w:left="342" w:right="335"/>
              <w:jc w:val="center"/>
              <w:rPr>
                <w:sz w:val="17"/>
              </w:rPr>
            </w:pPr>
            <w:r>
              <w:rPr>
                <w:sz w:val="17"/>
              </w:rPr>
              <w:t>15</w:t>
            </w:r>
          </w:p>
        </w:tc>
        <w:tc>
          <w:tcPr>
            <w:tcW w:w="919" w:type="dxa"/>
          </w:tcPr>
          <w:p>
            <w:pPr>
              <w:pStyle w:val="TableParagraph"/>
              <w:spacing w:line="193" w:lineRule="exact"/>
              <w:ind w:left="156" w:right="170"/>
              <w:jc w:val="center"/>
              <w:rPr>
                <w:sz w:val="17"/>
              </w:rPr>
            </w:pPr>
            <w:r>
              <w:rPr>
                <w:sz w:val="17"/>
              </w:rPr>
              <w:t>México</w:t>
            </w:r>
          </w:p>
        </w:tc>
        <w:tc>
          <w:tcPr>
            <w:tcW w:w="921" w:type="dxa"/>
          </w:tcPr>
          <w:p>
            <w:pPr>
              <w:pStyle w:val="TableParagraph"/>
              <w:spacing w:line="193" w:lineRule="exact"/>
              <w:ind w:right="208"/>
              <w:jc w:val="right"/>
              <w:rPr>
                <w:sz w:val="17"/>
              </w:rPr>
            </w:pPr>
            <w:r>
              <w:rPr>
                <w:sz w:val="17"/>
              </w:rPr>
              <w:t>15014</w:t>
            </w:r>
          </w:p>
        </w:tc>
        <w:tc>
          <w:tcPr>
            <w:tcW w:w="2365" w:type="dxa"/>
          </w:tcPr>
          <w:p>
            <w:pPr>
              <w:pStyle w:val="TableParagraph"/>
              <w:spacing w:line="193" w:lineRule="exact"/>
              <w:ind w:left="177"/>
              <w:rPr>
                <w:sz w:val="17"/>
              </w:rPr>
            </w:pPr>
            <w:r>
              <w:rPr>
                <w:sz w:val="17"/>
              </w:rPr>
              <w:t>Atlacomulco</w:t>
            </w:r>
          </w:p>
        </w:tc>
        <w:tc>
          <w:tcPr>
            <w:tcW w:w="921" w:type="dxa"/>
          </w:tcPr>
          <w:p>
            <w:pPr>
              <w:pStyle w:val="TableParagraph"/>
              <w:spacing w:line="193" w:lineRule="exact"/>
              <w:ind w:right="165"/>
              <w:jc w:val="right"/>
              <w:rPr>
                <w:sz w:val="17"/>
              </w:rPr>
            </w:pPr>
            <w:r>
              <w:rPr>
                <w:sz w:val="17"/>
              </w:rPr>
              <w:t>93,718</w:t>
            </w:r>
          </w:p>
        </w:tc>
        <w:tc>
          <w:tcPr>
            <w:tcW w:w="920" w:type="dxa"/>
          </w:tcPr>
          <w:p>
            <w:pPr>
              <w:pStyle w:val="TableParagraph"/>
              <w:spacing w:line="193" w:lineRule="exact"/>
              <w:ind w:left="68" w:right="59"/>
              <w:jc w:val="center"/>
              <w:rPr>
                <w:sz w:val="17"/>
              </w:rPr>
            </w:pPr>
            <w:r>
              <w:rPr>
                <w:sz w:val="17"/>
              </w:rPr>
              <w:t>-0.48033</w:t>
            </w:r>
          </w:p>
        </w:tc>
        <w:tc>
          <w:tcPr>
            <w:tcW w:w="921" w:type="dxa"/>
          </w:tcPr>
          <w:p>
            <w:pPr>
              <w:pStyle w:val="TableParagraph"/>
              <w:spacing w:line="193" w:lineRule="exact"/>
              <w:ind w:left="65" w:right="52"/>
              <w:jc w:val="center"/>
              <w:rPr>
                <w:sz w:val="17"/>
              </w:rPr>
            </w:pPr>
            <w:r>
              <w:rPr>
                <w:sz w:val="17"/>
              </w:rPr>
              <w:t>Bajo</w:t>
            </w:r>
          </w:p>
        </w:tc>
        <w:tc>
          <w:tcPr>
            <w:tcW w:w="921" w:type="dxa"/>
          </w:tcPr>
          <w:p>
            <w:pPr>
              <w:pStyle w:val="TableParagraph"/>
              <w:spacing w:line="193" w:lineRule="exact"/>
              <w:ind w:left="201"/>
              <w:rPr>
                <w:sz w:val="17"/>
              </w:rPr>
            </w:pPr>
            <w:r>
              <w:rPr>
                <w:sz w:val="17"/>
              </w:rPr>
              <w:t>1540</w:t>
            </w:r>
          </w:p>
        </w:tc>
      </w:tr>
      <w:tr>
        <w:trPr>
          <w:trHeight w:val="214" w:hRule="exact"/>
        </w:trPr>
        <w:tc>
          <w:tcPr>
            <w:tcW w:w="921" w:type="dxa"/>
            <w:shd w:val="clear" w:color="auto" w:fill="F1DCDB"/>
          </w:tcPr>
          <w:p>
            <w:pPr>
              <w:pStyle w:val="TableParagraph"/>
              <w:spacing w:line="194" w:lineRule="exact"/>
              <w:ind w:left="342" w:right="335"/>
              <w:jc w:val="center"/>
              <w:rPr>
                <w:sz w:val="17"/>
              </w:rPr>
            </w:pPr>
            <w:r>
              <w:rPr>
                <w:sz w:val="17"/>
              </w:rPr>
              <w:t>15</w:t>
            </w:r>
          </w:p>
        </w:tc>
        <w:tc>
          <w:tcPr>
            <w:tcW w:w="919" w:type="dxa"/>
            <w:shd w:val="clear" w:color="auto" w:fill="F1DCDB"/>
          </w:tcPr>
          <w:p>
            <w:pPr>
              <w:pStyle w:val="TableParagraph"/>
              <w:spacing w:line="194" w:lineRule="exact"/>
              <w:ind w:left="156" w:right="170"/>
              <w:jc w:val="center"/>
              <w:rPr>
                <w:sz w:val="17"/>
              </w:rPr>
            </w:pPr>
            <w:r>
              <w:rPr>
                <w:sz w:val="17"/>
              </w:rPr>
              <w:t>México</w:t>
            </w:r>
          </w:p>
        </w:tc>
        <w:tc>
          <w:tcPr>
            <w:tcW w:w="921" w:type="dxa"/>
            <w:shd w:val="clear" w:color="auto" w:fill="F1DCDB"/>
          </w:tcPr>
          <w:p>
            <w:pPr>
              <w:pStyle w:val="TableParagraph"/>
              <w:spacing w:line="194" w:lineRule="exact"/>
              <w:ind w:right="208"/>
              <w:jc w:val="right"/>
              <w:rPr>
                <w:sz w:val="17"/>
              </w:rPr>
            </w:pPr>
            <w:r>
              <w:rPr>
                <w:sz w:val="17"/>
              </w:rPr>
              <w:t>15015</w:t>
            </w:r>
          </w:p>
        </w:tc>
        <w:tc>
          <w:tcPr>
            <w:tcW w:w="2365" w:type="dxa"/>
            <w:shd w:val="clear" w:color="auto" w:fill="F1DCDB"/>
          </w:tcPr>
          <w:p>
            <w:pPr>
              <w:pStyle w:val="TableParagraph"/>
              <w:spacing w:line="194" w:lineRule="exact"/>
              <w:ind w:left="177"/>
              <w:rPr>
                <w:sz w:val="17"/>
              </w:rPr>
            </w:pPr>
            <w:r>
              <w:rPr>
                <w:sz w:val="17"/>
              </w:rPr>
              <w:t>Atlautla</w:t>
            </w:r>
          </w:p>
        </w:tc>
        <w:tc>
          <w:tcPr>
            <w:tcW w:w="921" w:type="dxa"/>
            <w:shd w:val="clear" w:color="auto" w:fill="F1DCDB"/>
          </w:tcPr>
          <w:p>
            <w:pPr>
              <w:pStyle w:val="TableParagraph"/>
              <w:spacing w:line="194" w:lineRule="exact"/>
              <w:ind w:right="165"/>
              <w:jc w:val="right"/>
              <w:rPr>
                <w:sz w:val="17"/>
              </w:rPr>
            </w:pPr>
            <w:r>
              <w:rPr>
                <w:sz w:val="17"/>
              </w:rPr>
              <w:t>27,663</w:t>
            </w:r>
          </w:p>
        </w:tc>
        <w:tc>
          <w:tcPr>
            <w:tcW w:w="920" w:type="dxa"/>
            <w:shd w:val="clear" w:color="auto" w:fill="F1DCDB"/>
          </w:tcPr>
          <w:p>
            <w:pPr>
              <w:pStyle w:val="TableParagraph"/>
              <w:spacing w:line="194" w:lineRule="exact"/>
              <w:ind w:left="68" w:right="59"/>
              <w:jc w:val="center"/>
              <w:rPr>
                <w:sz w:val="17"/>
              </w:rPr>
            </w:pPr>
            <w:r>
              <w:rPr>
                <w:sz w:val="17"/>
              </w:rPr>
              <w:t>-0.34851</w:t>
            </w:r>
          </w:p>
        </w:tc>
        <w:tc>
          <w:tcPr>
            <w:tcW w:w="921" w:type="dxa"/>
            <w:shd w:val="clear" w:color="auto" w:fill="F1DCDB"/>
          </w:tcPr>
          <w:p>
            <w:pPr>
              <w:pStyle w:val="TableParagraph"/>
              <w:spacing w:line="194" w:lineRule="exact"/>
              <w:ind w:left="65" w:right="52"/>
              <w:jc w:val="center"/>
              <w:rPr>
                <w:sz w:val="17"/>
              </w:rPr>
            </w:pPr>
            <w:r>
              <w:rPr>
                <w:sz w:val="17"/>
              </w:rPr>
              <w:t>Bajo</w:t>
            </w:r>
          </w:p>
        </w:tc>
        <w:tc>
          <w:tcPr>
            <w:tcW w:w="921" w:type="dxa"/>
            <w:shd w:val="clear" w:color="auto" w:fill="F1DCDB"/>
          </w:tcPr>
          <w:p>
            <w:pPr>
              <w:pStyle w:val="TableParagraph"/>
              <w:spacing w:line="194" w:lineRule="exact"/>
              <w:ind w:left="201"/>
              <w:rPr>
                <w:sz w:val="17"/>
              </w:rPr>
            </w:pPr>
            <w:r>
              <w:rPr>
                <w:sz w:val="17"/>
              </w:rPr>
              <w:t>1417</w:t>
            </w:r>
          </w:p>
        </w:tc>
      </w:tr>
      <w:tr>
        <w:trPr>
          <w:trHeight w:val="215" w:hRule="exact"/>
        </w:trPr>
        <w:tc>
          <w:tcPr>
            <w:tcW w:w="921" w:type="dxa"/>
          </w:tcPr>
          <w:p>
            <w:pPr>
              <w:pStyle w:val="TableParagraph"/>
              <w:spacing w:line="194" w:lineRule="exact"/>
              <w:ind w:left="342" w:right="335"/>
              <w:jc w:val="center"/>
              <w:rPr>
                <w:sz w:val="17"/>
              </w:rPr>
            </w:pPr>
            <w:r>
              <w:rPr>
                <w:sz w:val="17"/>
              </w:rPr>
              <w:t>15</w:t>
            </w:r>
          </w:p>
        </w:tc>
        <w:tc>
          <w:tcPr>
            <w:tcW w:w="919" w:type="dxa"/>
          </w:tcPr>
          <w:p>
            <w:pPr>
              <w:pStyle w:val="TableParagraph"/>
              <w:spacing w:line="194" w:lineRule="exact"/>
              <w:ind w:left="156" w:right="170"/>
              <w:jc w:val="center"/>
              <w:rPr>
                <w:sz w:val="17"/>
              </w:rPr>
            </w:pPr>
            <w:r>
              <w:rPr>
                <w:sz w:val="17"/>
              </w:rPr>
              <w:t>México</w:t>
            </w:r>
          </w:p>
        </w:tc>
        <w:tc>
          <w:tcPr>
            <w:tcW w:w="921" w:type="dxa"/>
          </w:tcPr>
          <w:p>
            <w:pPr>
              <w:pStyle w:val="TableParagraph"/>
              <w:spacing w:line="194" w:lineRule="exact"/>
              <w:ind w:right="208"/>
              <w:jc w:val="right"/>
              <w:rPr>
                <w:sz w:val="17"/>
              </w:rPr>
            </w:pPr>
            <w:r>
              <w:rPr>
                <w:sz w:val="17"/>
              </w:rPr>
              <w:t>15016</w:t>
            </w:r>
          </w:p>
        </w:tc>
        <w:tc>
          <w:tcPr>
            <w:tcW w:w="2365" w:type="dxa"/>
          </w:tcPr>
          <w:p>
            <w:pPr>
              <w:pStyle w:val="TableParagraph"/>
              <w:spacing w:line="194" w:lineRule="exact"/>
              <w:ind w:left="177"/>
              <w:rPr>
                <w:sz w:val="17"/>
              </w:rPr>
            </w:pPr>
            <w:r>
              <w:rPr>
                <w:sz w:val="17"/>
              </w:rPr>
              <w:t>Axapusco</w:t>
            </w:r>
          </w:p>
        </w:tc>
        <w:tc>
          <w:tcPr>
            <w:tcW w:w="921" w:type="dxa"/>
          </w:tcPr>
          <w:p>
            <w:pPr>
              <w:pStyle w:val="TableParagraph"/>
              <w:spacing w:line="194" w:lineRule="exact"/>
              <w:ind w:right="165"/>
              <w:jc w:val="right"/>
              <w:rPr>
                <w:sz w:val="17"/>
              </w:rPr>
            </w:pPr>
            <w:r>
              <w:rPr>
                <w:sz w:val="17"/>
              </w:rPr>
              <w:t>25,559</w:t>
            </w:r>
          </w:p>
        </w:tc>
        <w:tc>
          <w:tcPr>
            <w:tcW w:w="920" w:type="dxa"/>
          </w:tcPr>
          <w:p>
            <w:pPr>
              <w:pStyle w:val="TableParagraph"/>
              <w:spacing w:line="194" w:lineRule="exact"/>
              <w:ind w:left="68" w:right="59"/>
              <w:jc w:val="center"/>
              <w:rPr>
                <w:sz w:val="17"/>
              </w:rPr>
            </w:pPr>
            <w:r>
              <w:rPr>
                <w:sz w:val="17"/>
              </w:rPr>
              <w:t>-0.59501</w:t>
            </w:r>
          </w:p>
        </w:tc>
        <w:tc>
          <w:tcPr>
            <w:tcW w:w="921" w:type="dxa"/>
          </w:tcPr>
          <w:p>
            <w:pPr>
              <w:pStyle w:val="TableParagraph"/>
              <w:spacing w:line="194" w:lineRule="exact"/>
              <w:ind w:left="65" w:right="52"/>
              <w:jc w:val="center"/>
              <w:rPr>
                <w:sz w:val="17"/>
              </w:rPr>
            </w:pPr>
            <w:r>
              <w:rPr>
                <w:sz w:val="17"/>
              </w:rPr>
              <w:t>Bajo</w:t>
            </w:r>
          </w:p>
        </w:tc>
        <w:tc>
          <w:tcPr>
            <w:tcW w:w="921" w:type="dxa"/>
          </w:tcPr>
          <w:p>
            <w:pPr>
              <w:pStyle w:val="TableParagraph"/>
              <w:spacing w:line="194" w:lineRule="exact"/>
              <w:ind w:left="201"/>
              <w:rPr>
                <w:sz w:val="17"/>
              </w:rPr>
            </w:pPr>
            <w:r>
              <w:rPr>
                <w:sz w:val="17"/>
              </w:rPr>
              <w:t>1655</w:t>
            </w:r>
          </w:p>
        </w:tc>
      </w:tr>
      <w:tr>
        <w:trPr>
          <w:trHeight w:val="214" w:hRule="exact"/>
        </w:trPr>
        <w:tc>
          <w:tcPr>
            <w:tcW w:w="921" w:type="dxa"/>
            <w:shd w:val="clear" w:color="auto" w:fill="F1DCDB"/>
          </w:tcPr>
          <w:p>
            <w:pPr>
              <w:pStyle w:val="TableParagraph"/>
              <w:spacing w:line="193" w:lineRule="exact"/>
              <w:ind w:left="342" w:right="335"/>
              <w:jc w:val="center"/>
              <w:rPr>
                <w:sz w:val="17"/>
              </w:rPr>
            </w:pPr>
            <w:r>
              <w:rPr>
                <w:sz w:val="17"/>
              </w:rPr>
              <w:t>15</w:t>
            </w:r>
          </w:p>
        </w:tc>
        <w:tc>
          <w:tcPr>
            <w:tcW w:w="919" w:type="dxa"/>
            <w:shd w:val="clear" w:color="auto" w:fill="F1DCDB"/>
          </w:tcPr>
          <w:p>
            <w:pPr>
              <w:pStyle w:val="TableParagraph"/>
              <w:spacing w:line="193" w:lineRule="exact"/>
              <w:ind w:left="156" w:right="170"/>
              <w:jc w:val="center"/>
              <w:rPr>
                <w:sz w:val="17"/>
              </w:rPr>
            </w:pPr>
            <w:r>
              <w:rPr>
                <w:sz w:val="17"/>
              </w:rPr>
              <w:t>México</w:t>
            </w:r>
          </w:p>
        </w:tc>
        <w:tc>
          <w:tcPr>
            <w:tcW w:w="921" w:type="dxa"/>
            <w:shd w:val="clear" w:color="auto" w:fill="F1DCDB"/>
          </w:tcPr>
          <w:p>
            <w:pPr>
              <w:pStyle w:val="TableParagraph"/>
              <w:spacing w:line="193" w:lineRule="exact"/>
              <w:ind w:right="208"/>
              <w:jc w:val="right"/>
              <w:rPr>
                <w:sz w:val="17"/>
              </w:rPr>
            </w:pPr>
            <w:r>
              <w:rPr>
                <w:sz w:val="17"/>
              </w:rPr>
              <w:t>15034</w:t>
            </w:r>
          </w:p>
        </w:tc>
        <w:tc>
          <w:tcPr>
            <w:tcW w:w="2365" w:type="dxa"/>
            <w:shd w:val="clear" w:color="auto" w:fill="F1DCDB"/>
          </w:tcPr>
          <w:p>
            <w:pPr>
              <w:pStyle w:val="TableParagraph"/>
              <w:spacing w:line="193" w:lineRule="exact"/>
              <w:ind w:left="177"/>
              <w:rPr>
                <w:sz w:val="17"/>
              </w:rPr>
            </w:pPr>
            <w:r>
              <w:rPr>
                <w:sz w:val="17"/>
              </w:rPr>
              <w:t>Ecatzingo</w:t>
            </w:r>
          </w:p>
        </w:tc>
        <w:tc>
          <w:tcPr>
            <w:tcW w:w="921" w:type="dxa"/>
            <w:shd w:val="clear" w:color="auto" w:fill="F1DCDB"/>
          </w:tcPr>
          <w:p>
            <w:pPr>
              <w:pStyle w:val="TableParagraph"/>
              <w:spacing w:line="193" w:lineRule="exact"/>
              <w:ind w:right="164"/>
              <w:jc w:val="right"/>
              <w:rPr>
                <w:sz w:val="17"/>
              </w:rPr>
            </w:pPr>
            <w:r>
              <w:rPr>
                <w:sz w:val="17"/>
              </w:rPr>
              <w:t>9,369</w:t>
            </w:r>
          </w:p>
        </w:tc>
        <w:tc>
          <w:tcPr>
            <w:tcW w:w="920" w:type="dxa"/>
            <w:shd w:val="clear" w:color="auto" w:fill="F1DCDB"/>
          </w:tcPr>
          <w:p>
            <w:pPr>
              <w:pStyle w:val="TableParagraph"/>
              <w:spacing w:line="193" w:lineRule="exact"/>
              <w:ind w:left="68" w:right="59"/>
              <w:jc w:val="center"/>
              <w:rPr>
                <w:sz w:val="17"/>
              </w:rPr>
            </w:pPr>
            <w:r>
              <w:rPr>
                <w:sz w:val="17"/>
              </w:rPr>
              <w:t>-0.03563</w:t>
            </w:r>
          </w:p>
        </w:tc>
        <w:tc>
          <w:tcPr>
            <w:tcW w:w="921" w:type="dxa"/>
            <w:shd w:val="clear" w:color="auto" w:fill="F1DCDB"/>
          </w:tcPr>
          <w:p>
            <w:pPr>
              <w:pStyle w:val="TableParagraph"/>
              <w:spacing w:line="193" w:lineRule="exact"/>
              <w:ind w:left="65" w:right="52"/>
              <w:jc w:val="center"/>
              <w:rPr>
                <w:sz w:val="17"/>
              </w:rPr>
            </w:pPr>
            <w:r>
              <w:rPr>
                <w:sz w:val="17"/>
              </w:rPr>
              <w:t>Bajo</w:t>
            </w:r>
          </w:p>
        </w:tc>
        <w:tc>
          <w:tcPr>
            <w:tcW w:w="921" w:type="dxa"/>
            <w:shd w:val="clear" w:color="auto" w:fill="F1DCDB"/>
          </w:tcPr>
          <w:p>
            <w:pPr>
              <w:pStyle w:val="TableParagraph"/>
              <w:spacing w:line="193" w:lineRule="exact"/>
              <w:ind w:left="212"/>
              <w:rPr>
                <w:sz w:val="17"/>
              </w:rPr>
            </w:pPr>
            <w:r>
              <w:rPr>
                <w:sz w:val="17"/>
              </w:rPr>
              <w:t>1147</w:t>
            </w:r>
          </w:p>
        </w:tc>
      </w:tr>
      <w:tr>
        <w:trPr>
          <w:trHeight w:val="214" w:hRule="exact"/>
        </w:trPr>
        <w:tc>
          <w:tcPr>
            <w:tcW w:w="921" w:type="dxa"/>
          </w:tcPr>
          <w:p>
            <w:pPr>
              <w:pStyle w:val="TableParagraph"/>
              <w:spacing w:line="193" w:lineRule="exact"/>
              <w:ind w:left="342" w:right="335"/>
              <w:jc w:val="center"/>
              <w:rPr>
                <w:sz w:val="17"/>
              </w:rPr>
            </w:pPr>
            <w:r>
              <w:rPr>
                <w:sz w:val="17"/>
              </w:rPr>
              <w:t>15</w:t>
            </w:r>
          </w:p>
        </w:tc>
        <w:tc>
          <w:tcPr>
            <w:tcW w:w="919" w:type="dxa"/>
          </w:tcPr>
          <w:p>
            <w:pPr>
              <w:pStyle w:val="TableParagraph"/>
              <w:spacing w:line="193" w:lineRule="exact"/>
              <w:ind w:left="156" w:right="170"/>
              <w:jc w:val="center"/>
              <w:rPr>
                <w:sz w:val="17"/>
              </w:rPr>
            </w:pPr>
            <w:r>
              <w:rPr>
                <w:sz w:val="17"/>
              </w:rPr>
              <w:t>México</w:t>
            </w:r>
          </w:p>
        </w:tc>
        <w:tc>
          <w:tcPr>
            <w:tcW w:w="921" w:type="dxa"/>
          </w:tcPr>
          <w:p>
            <w:pPr>
              <w:pStyle w:val="TableParagraph"/>
              <w:spacing w:line="193" w:lineRule="exact"/>
              <w:ind w:right="208"/>
              <w:jc w:val="right"/>
              <w:rPr>
                <w:sz w:val="17"/>
              </w:rPr>
            </w:pPr>
            <w:r>
              <w:rPr>
                <w:sz w:val="17"/>
              </w:rPr>
              <w:t>15036</w:t>
            </w:r>
          </w:p>
        </w:tc>
        <w:tc>
          <w:tcPr>
            <w:tcW w:w="2365" w:type="dxa"/>
          </w:tcPr>
          <w:p>
            <w:pPr>
              <w:pStyle w:val="TableParagraph"/>
              <w:spacing w:line="193" w:lineRule="exact"/>
              <w:ind w:left="177"/>
              <w:rPr>
                <w:sz w:val="17"/>
              </w:rPr>
            </w:pPr>
            <w:r>
              <w:rPr>
                <w:sz w:val="17"/>
              </w:rPr>
              <w:t>Hueypoxtla</w:t>
            </w:r>
          </w:p>
        </w:tc>
        <w:tc>
          <w:tcPr>
            <w:tcW w:w="921" w:type="dxa"/>
          </w:tcPr>
          <w:p>
            <w:pPr>
              <w:pStyle w:val="TableParagraph"/>
              <w:spacing w:line="193" w:lineRule="exact"/>
              <w:ind w:right="165"/>
              <w:jc w:val="right"/>
              <w:rPr>
                <w:sz w:val="17"/>
              </w:rPr>
            </w:pPr>
            <w:r>
              <w:rPr>
                <w:sz w:val="17"/>
              </w:rPr>
              <w:t>39,864</w:t>
            </w:r>
          </w:p>
        </w:tc>
        <w:tc>
          <w:tcPr>
            <w:tcW w:w="920" w:type="dxa"/>
          </w:tcPr>
          <w:p>
            <w:pPr>
              <w:pStyle w:val="TableParagraph"/>
              <w:spacing w:line="193" w:lineRule="exact"/>
              <w:ind w:left="68" w:right="59"/>
              <w:jc w:val="center"/>
              <w:rPr>
                <w:sz w:val="17"/>
              </w:rPr>
            </w:pPr>
            <w:r>
              <w:rPr>
                <w:sz w:val="17"/>
              </w:rPr>
              <w:t>-0.52064</w:t>
            </w:r>
          </w:p>
        </w:tc>
        <w:tc>
          <w:tcPr>
            <w:tcW w:w="921" w:type="dxa"/>
          </w:tcPr>
          <w:p>
            <w:pPr>
              <w:pStyle w:val="TableParagraph"/>
              <w:spacing w:line="193" w:lineRule="exact"/>
              <w:ind w:left="65" w:right="52"/>
              <w:jc w:val="center"/>
              <w:rPr>
                <w:sz w:val="17"/>
              </w:rPr>
            </w:pPr>
            <w:r>
              <w:rPr>
                <w:sz w:val="17"/>
              </w:rPr>
              <w:t>Bajo</w:t>
            </w:r>
          </w:p>
        </w:tc>
        <w:tc>
          <w:tcPr>
            <w:tcW w:w="921" w:type="dxa"/>
          </w:tcPr>
          <w:p>
            <w:pPr>
              <w:pStyle w:val="TableParagraph"/>
              <w:spacing w:line="193" w:lineRule="exact"/>
              <w:ind w:left="201"/>
              <w:rPr>
                <w:sz w:val="17"/>
              </w:rPr>
            </w:pPr>
            <w:r>
              <w:rPr>
                <w:sz w:val="17"/>
              </w:rPr>
              <w:t>1582</w:t>
            </w:r>
          </w:p>
        </w:tc>
      </w:tr>
      <w:tr>
        <w:trPr>
          <w:trHeight w:val="215" w:hRule="exact"/>
        </w:trPr>
        <w:tc>
          <w:tcPr>
            <w:tcW w:w="921" w:type="dxa"/>
            <w:shd w:val="clear" w:color="auto" w:fill="F1DCDB"/>
          </w:tcPr>
          <w:p>
            <w:pPr>
              <w:pStyle w:val="TableParagraph"/>
              <w:spacing w:line="194" w:lineRule="exact"/>
              <w:ind w:left="342" w:right="335"/>
              <w:jc w:val="center"/>
              <w:rPr>
                <w:sz w:val="17"/>
              </w:rPr>
            </w:pPr>
            <w:r>
              <w:rPr>
                <w:sz w:val="17"/>
              </w:rPr>
              <w:t>15</w:t>
            </w:r>
          </w:p>
        </w:tc>
        <w:tc>
          <w:tcPr>
            <w:tcW w:w="919" w:type="dxa"/>
            <w:shd w:val="clear" w:color="auto" w:fill="F1DCDB"/>
          </w:tcPr>
          <w:p>
            <w:pPr>
              <w:pStyle w:val="TableParagraph"/>
              <w:spacing w:line="194" w:lineRule="exact"/>
              <w:ind w:left="156" w:right="170"/>
              <w:jc w:val="center"/>
              <w:rPr>
                <w:sz w:val="17"/>
              </w:rPr>
            </w:pPr>
            <w:r>
              <w:rPr>
                <w:sz w:val="17"/>
              </w:rPr>
              <w:t>México</w:t>
            </w:r>
          </w:p>
        </w:tc>
        <w:tc>
          <w:tcPr>
            <w:tcW w:w="921" w:type="dxa"/>
            <w:shd w:val="clear" w:color="auto" w:fill="F1DCDB"/>
          </w:tcPr>
          <w:p>
            <w:pPr>
              <w:pStyle w:val="TableParagraph"/>
              <w:spacing w:line="194" w:lineRule="exact"/>
              <w:ind w:right="208"/>
              <w:jc w:val="right"/>
              <w:rPr>
                <w:sz w:val="17"/>
              </w:rPr>
            </w:pPr>
            <w:r>
              <w:rPr>
                <w:sz w:val="17"/>
              </w:rPr>
              <w:t>15038</w:t>
            </w:r>
          </w:p>
        </w:tc>
        <w:tc>
          <w:tcPr>
            <w:tcW w:w="2365" w:type="dxa"/>
            <w:shd w:val="clear" w:color="auto" w:fill="F1DCDB"/>
          </w:tcPr>
          <w:p>
            <w:pPr>
              <w:pStyle w:val="TableParagraph"/>
              <w:spacing w:line="194" w:lineRule="exact"/>
              <w:ind w:left="177"/>
              <w:rPr>
                <w:sz w:val="17"/>
              </w:rPr>
            </w:pPr>
            <w:r>
              <w:rPr>
                <w:sz w:val="17"/>
              </w:rPr>
              <w:t>Isidro Fabela</w:t>
            </w:r>
          </w:p>
        </w:tc>
        <w:tc>
          <w:tcPr>
            <w:tcW w:w="921" w:type="dxa"/>
            <w:shd w:val="clear" w:color="auto" w:fill="F1DCDB"/>
          </w:tcPr>
          <w:p>
            <w:pPr>
              <w:pStyle w:val="TableParagraph"/>
              <w:spacing w:line="194" w:lineRule="exact"/>
              <w:ind w:right="165"/>
              <w:jc w:val="right"/>
              <w:rPr>
                <w:sz w:val="17"/>
              </w:rPr>
            </w:pPr>
            <w:r>
              <w:rPr>
                <w:sz w:val="17"/>
              </w:rPr>
              <w:t>10,308</w:t>
            </w:r>
          </w:p>
        </w:tc>
        <w:tc>
          <w:tcPr>
            <w:tcW w:w="920" w:type="dxa"/>
            <w:shd w:val="clear" w:color="auto" w:fill="F1DCDB"/>
          </w:tcPr>
          <w:p>
            <w:pPr>
              <w:pStyle w:val="TableParagraph"/>
              <w:spacing w:line="194" w:lineRule="exact"/>
              <w:ind w:left="68" w:right="59"/>
              <w:jc w:val="center"/>
              <w:rPr>
                <w:sz w:val="17"/>
              </w:rPr>
            </w:pPr>
            <w:r>
              <w:rPr>
                <w:sz w:val="17"/>
              </w:rPr>
              <w:t>-0.55844</w:t>
            </w:r>
          </w:p>
        </w:tc>
        <w:tc>
          <w:tcPr>
            <w:tcW w:w="921" w:type="dxa"/>
            <w:shd w:val="clear" w:color="auto" w:fill="F1DCDB"/>
          </w:tcPr>
          <w:p>
            <w:pPr>
              <w:pStyle w:val="TableParagraph"/>
              <w:spacing w:line="194" w:lineRule="exact"/>
              <w:ind w:left="65" w:right="52"/>
              <w:jc w:val="center"/>
              <w:rPr>
                <w:sz w:val="17"/>
              </w:rPr>
            </w:pPr>
            <w:r>
              <w:rPr>
                <w:sz w:val="17"/>
              </w:rPr>
              <w:t>Bajo</w:t>
            </w:r>
          </w:p>
        </w:tc>
        <w:tc>
          <w:tcPr>
            <w:tcW w:w="921" w:type="dxa"/>
            <w:shd w:val="clear" w:color="auto" w:fill="F1DCDB"/>
          </w:tcPr>
          <w:p>
            <w:pPr>
              <w:pStyle w:val="TableParagraph"/>
              <w:spacing w:line="194" w:lineRule="exact"/>
              <w:ind w:left="201"/>
              <w:rPr>
                <w:sz w:val="17"/>
              </w:rPr>
            </w:pPr>
            <w:r>
              <w:rPr>
                <w:sz w:val="17"/>
              </w:rPr>
              <w:t>1620</w:t>
            </w:r>
          </w:p>
        </w:tc>
      </w:tr>
      <w:tr>
        <w:trPr>
          <w:trHeight w:val="213" w:hRule="exact"/>
        </w:trPr>
        <w:tc>
          <w:tcPr>
            <w:tcW w:w="921" w:type="dxa"/>
          </w:tcPr>
          <w:p>
            <w:pPr>
              <w:pStyle w:val="TableParagraph"/>
              <w:spacing w:line="193" w:lineRule="exact"/>
              <w:ind w:left="342" w:right="335"/>
              <w:jc w:val="center"/>
              <w:rPr>
                <w:sz w:val="17"/>
              </w:rPr>
            </w:pPr>
            <w:r>
              <w:rPr>
                <w:sz w:val="17"/>
              </w:rPr>
              <w:t>15</w:t>
            </w:r>
          </w:p>
        </w:tc>
        <w:tc>
          <w:tcPr>
            <w:tcW w:w="919" w:type="dxa"/>
          </w:tcPr>
          <w:p>
            <w:pPr>
              <w:pStyle w:val="TableParagraph"/>
              <w:spacing w:line="193" w:lineRule="exact"/>
              <w:ind w:left="156" w:right="170"/>
              <w:jc w:val="center"/>
              <w:rPr>
                <w:sz w:val="17"/>
              </w:rPr>
            </w:pPr>
            <w:r>
              <w:rPr>
                <w:sz w:val="17"/>
              </w:rPr>
              <w:t>México</w:t>
            </w:r>
          </w:p>
        </w:tc>
        <w:tc>
          <w:tcPr>
            <w:tcW w:w="921" w:type="dxa"/>
          </w:tcPr>
          <w:p>
            <w:pPr>
              <w:pStyle w:val="TableParagraph"/>
              <w:spacing w:line="193" w:lineRule="exact"/>
              <w:ind w:right="208"/>
              <w:jc w:val="right"/>
              <w:rPr>
                <w:sz w:val="17"/>
              </w:rPr>
            </w:pPr>
            <w:r>
              <w:rPr>
                <w:sz w:val="17"/>
              </w:rPr>
              <w:t>15040</w:t>
            </w:r>
          </w:p>
        </w:tc>
        <w:tc>
          <w:tcPr>
            <w:tcW w:w="2365" w:type="dxa"/>
          </w:tcPr>
          <w:p>
            <w:pPr>
              <w:pStyle w:val="TableParagraph"/>
              <w:spacing w:line="193" w:lineRule="exact"/>
              <w:ind w:left="177"/>
              <w:rPr>
                <w:sz w:val="17"/>
              </w:rPr>
            </w:pPr>
            <w:r>
              <w:rPr>
                <w:sz w:val="17"/>
              </w:rPr>
              <w:t>Ixtapan de la Sal</w:t>
            </w:r>
          </w:p>
        </w:tc>
        <w:tc>
          <w:tcPr>
            <w:tcW w:w="921" w:type="dxa"/>
          </w:tcPr>
          <w:p>
            <w:pPr>
              <w:pStyle w:val="TableParagraph"/>
              <w:spacing w:line="193" w:lineRule="exact"/>
              <w:ind w:right="165"/>
              <w:jc w:val="right"/>
              <w:rPr>
                <w:sz w:val="17"/>
              </w:rPr>
            </w:pPr>
            <w:r>
              <w:rPr>
                <w:sz w:val="17"/>
              </w:rPr>
              <w:t>33,541</w:t>
            </w:r>
          </w:p>
        </w:tc>
        <w:tc>
          <w:tcPr>
            <w:tcW w:w="920" w:type="dxa"/>
          </w:tcPr>
          <w:p>
            <w:pPr>
              <w:pStyle w:val="TableParagraph"/>
              <w:spacing w:line="193" w:lineRule="exact"/>
              <w:ind w:left="68" w:right="59"/>
              <w:jc w:val="center"/>
              <w:rPr>
                <w:sz w:val="17"/>
              </w:rPr>
            </w:pPr>
            <w:r>
              <w:rPr>
                <w:sz w:val="17"/>
              </w:rPr>
              <w:t>-0.41990</w:t>
            </w:r>
          </w:p>
        </w:tc>
        <w:tc>
          <w:tcPr>
            <w:tcW w:w="921" w:type="dxa"/>
          </w:tcPr>
          <w:p>
            <w:pPr>
              <w:pStyle w:val="TableParagraph"/>
              <w:spacing w:line="193" w:lineRule="exact"/>
              <w:ind w:left="65" w:right="52"/>
              <w:jc w:val="center"/>
              <w:rPr>
                <w:sz w:val="17"/>
              </w:rPr>
            </w:pPr>
            <w:r>
              <w:rPr>
                <w:sz w:val="17"/>
              </w:rPr>
              <w:t>Bajo</w:t>
            </w:r>
          </w:p>
        </w:tc>
        <w:tc>
          <w:tcPr>
            <w:tcW w:w="921" w:type="dxa"/>
          </w:tcPr>
          <w:p>
            <w:pPr>
              <w:pStyle w:val="TableParagraph"/>
              <w:spacing w:line="193" w:lineRule="exact"/>
              <w:ind w:left="201"/>
              <w:rPr>
                <w:sz w:val="17"/>
              </w:rPr>
            </w:pPr>
            <w:r>
              <w:rPr>
                <w:sz w:val="17"/>
              </w:rPr>
              <w:t>1475</w:t>
            </w:r>
          </w:p>
        </w:tc>
      </w:tr>
      <w:tr>
        <w:trPr>
          <w:trHeight w:val="214" w:hRule="exact"/>
        </w:trPr>
        <w:tc>
          <w:tcPr>
            <w:tcW w:w="921" w:type="dxa"/>
            <w:shd w:val="clear" w:color="auto" w:fill="F1DCDB"/>
          </w:tcPr>
          <w:p>
            <w:pPr>
              <w:pStyle w:val="TableParagraph"/>
              <w:spacing w:line="193" w:lineRule="exact"/>
              <w:ind w:left="342" w:right="335"/>
              <w:jc w:val="center"/>
              <w:rPr>
                <w:sz w:val="17"/>
              </w:rPr>
            </w:pPr>
            <w:r>
              <w:rPr>
                <w:sz w:val="17"/>
              </w:rPr>
              <w:t>15</w:t>
            </w:r>
          </w:p>
        </w:tc>
        <w:tc>
          <w:tcPr>
            <w:tcW w:w="919" w:type="dxa"/>
            <w:shd w:val="clear" w:color="auto" w:fill="F1DCDB"/>
          </w:tcPr>
          <w:p>
            <w:pPr>
              <w:pStyle w:val="TableParagraph"/>
              <w:spacing w:line="193" w:lineRule="exact"/>
              <w:ind w:left="156" w:right="170"/>
              <w:jc w:val="center"/>
              <w:rPr>
                <w:sz w:val="17"/>
              </w:rPr>
            </w:pPr>
            <w:r>
              <w:rPr>
                <w:sz w:val="17"/>
              </w:rPr>
              <w:t>México</w:t>
            </w:r>
          </w:p>
        </w:tc>
        <w:tc>
          <w:tcPr>
            <w:tcW w:w="921" w:type="dxa"/>
            <w:shd w:val="clear" w:color="auto" w:fill="F1DCDB"/>
          </w:tcPr>
          <w:p>
            <w:pPr>
              <w:pStyle w:val="TableParagraph"/>
              <w:spacing w:line="193" w:lineRule="exact"/>
              <w:ind w:right="208"/>
              <w:jc w:val="right"/>
              <w:rPr>
                <w:sz w:val="17"/>
              </w:rPr>
            </w:pPr>
            <w:r>
              <w:rPr>
                <w:sz w:val="17"/>
              </w:rPr>
              <w:t>15043</w:t>
            </w:r>
          </w:p>
        </w:tc>
        <w:tc>
          <w:tcPr>
            <w:tcW w:w="2365" w:type="dxa"/>
            <w:shd w:val="clear" w:color="auto" w:fill="F1DCDB"/>
          </w:tcPr>
          <w:p>
            <w:pPr>
              <w:pStyle w:val="TableParagraph"/>
              <w:spacing w:line="193" w:lineRule="exact"/>
              <w:ind w:left="177"/>
              <w:rPr>
                <w:sz w:val="17"/>
              </w:rPr>
            </w:pPr>
            <w:r>
              <w:rPr>
                <w:sz w:val="17"/>
              </w:rPr>
              <w:t>Xalatlaco</w:t>
            </w:r>
          </w:p>
        </w:tc>
        <w:tc>
          <w:tcPr>
            <w:tcW w:w="921" w:type="dxa"/>
            <w:shd w:val="clear" w:color="auto" w:fill="F1DCDB"/>
          </w:tcPr>
          <w:p>
            <w:pPr>
              <w:pStyle w:val="TableParagraph"/>
              <w:spacing w:line="193" w:lineRule="exact"/>
              <w:ind w:right="165"/>
              <w:jc w:val="right"/>
              <w:rPr>
                <w:sz w:val="17"/>
              </w:rPr>
            </w:pPr>
            <w:r>
              <w:rPr>
                <w:sz w:val="17"/>
              </w:rPr>
              <w:t>26,865</w:t>
            </w:r>
          </w:p>
        </w:tc>
        <w:tc>
          <w:tcPr>
            <w:tcW w:w="920" w:type="dxa"/>
            <w:shd w:val="clear" w:color="auto" w:fill="F1DCDB"/>
          </w:tcPr>
          <w:p>
            <w:pPr>
              <w:pStyle w:val="TableParagraph"/>
              <w:spacing w:line="193" w:lineRule="exact"/>
              <w:ind w:left="68" w:right="59"/>
              <w:jc w:val="center"/>
              <w:rPr>
                <w:sz w:val="17"/>
              </w:rPr>
            </w:pPr>
            <w:r>
              <w:rPr>
                <w:sz w:val="17"/>
              </w:rPr>
              <w:t>-0.43100</w:t>
            </w:r>
          </w:p>
        </w:tc>
        <w:tc>
          <w:tcPr>
            <w:tcW w:w="921" w:type="dxa"/>
            <w:shd w:val="clear" w:color="auto" w:fill="F1DCDB"/>
          </w:tcPr>
          <w:p>
            <w:pPr>
              <w:pStyle w:val="TableParagraph"/>
              <w:spacing w:line="193" w:lineRule="exact"/>
              <w:ind w:left="65" w:right="52"/>
              <w:jc w:val="center"/>
              <w:rPr>
                <w:sz w:val="17"/>
              </w:rPr>
            </w:pPr>
            <w:r>
              <w:rPr>
                <w:sz w:val="17"/>
              </w:rPr>
              <w:t>Bajo</w:t>
            </w:r>
          </w:p>
        </w:tc>
        <w:tc>
          <w:tcPr>
            <w:tcW w:w="921" w:type="dxa"/>
            <w:shd w:val="clear" w:color="auto" w:fill="F1DCDB"/>
          </w:tcPr>
          <w:p>
            <w:pPr>
              <w:pStyle w:val="TableParagraph"/>
              <w:spacing w:line="193" w:lineRule="exact"/>
              <w:ind w:left="201"/>
              <w:rPr>
                <w:sz w:val="17"/>
              </w:rPr>
            </w:pPr>
            <w:r>
              <w:rPr>
                <w:sz w:val="17"/>
              </w:rPr>
              <w:t>1494</w:t>
            </w:r>
          </w:p>
        </w:tc>
      </w:tr>
      <w:tr>
        <w:trPr>
          <w:trHeight w:val="214" w:hRule="exact"/>
        </w:trPr>
        <w:tc>
          <w:tcPr>
            <w:tcW w:w="921" w:type="dxa"/>
          </w:tcPr>
          <w:p>
            <w:pPr>
              <w:pStyle w:val="TableParagraph"/>
              <w:spacing w:line="194" w:lineRule="exact"/>
              <w:ind w:left="342" w:right="335"/>
              <w:jc w:val="center"/>
              <w:rPr>
                <w:sz w:val="17"/>
              </w:rPr>
            </w:pPr>
            <w:r>
              <w:rPr>
                <w:sz w:val="17"/>
              </w:rPr>
              <w:t>15</w:t>
            </w:r>
          </w:p>
        </w:tc>
        <w:tc>
          <w:tcPr>
            <w:tcW w:w="919" w:type="dxa"/>
          </w:tcPr>
          <w:p>
            <w:pPr>
              <w:pStyle w:val="TableParagraph"/>
              <w:spacing w:line="194" w:lineRule="exact"/>
              <w:ind w:left="156" w:right="170"/>
              <w:jc w:val="center"/>
              <w:rPr>
                <w:sz w:val="17"/>
              </w:rPr>
            </w:pPr>
            <w:r>
              <w:rPr>
                <w:sz w:val="17"/>
              </w:rPr>
              <w:t>México</w:t>
            </w:r>
          </w:p>
        </w:tc>
        <w:tc>
          <w:tcPr>
            <w:tcW w:w="921" w:type="dxa"/>
          </w:tcPr>
          <w:p>
            <w:pPr>
              <w:pStyle w:val="TableParagraph"/>
              <w:spacing w:line="194" w:lineRule="exact"/>
              <w:ind w:right="208"/>
              <w:jc w:val="right"/>
              <w:rPr>
                <w:sz w:val="17"/>
              </w:rPr>
            </w:pPr>
            <w:r>
              <w:rPr>
                <w:sz w:val="17"/>
              </w:rPr>
              <w:t>15045</w:t>
            </w:r>
          </w:p>
        </w:tc>
        <w:tc>
          <w:tcPr>
            <w:tcW w:w="2365" w:type="dxa"/>
          </w:tcPr>
          <w:p>
            <w:pPr>
              <w:pStyle w:val="TableParagraph"/>
              <w:spacing w:line="194" w:lineRule="exact"/>
              <w:ind w:left="177"/>
              <w:rPr>
                <w:sz w:val="17"/>
              </w:rPr>
            </w:pPr>
            <w:r>
              <w:rPr>
                <w:sz w:val="17"/>
              </w:rPr>
              <w:t>Jilotepec</w:t>
            </w:r>
          </w:p>
        </w:tc>
        <w:tc>
          <w:tcPr>
            <w:tcW w:w="921" w:type="dxa"/>
          </w:tcPr>
          <w:p>
            <w:pPr>
              <w:pStyle w:val="TableParagraph"/>
              <w:spacing w:line="194" w:lineRule="exact"/>
              <w:ind w:right="165"/>
              <w:jc w:val="right"/>
              <w:rPr>
                <w:sz w:val="17"/>
              </w:rPr>
            </w:pPr>
            <w:r>
              <w:rPr>
                <w:sz w:val="17"/>
              </w:rPr>
              <w:t>83,755</w:t>
            </w:r>
          </w:p>
        </w:tc>
        <w:tc>
          <w:tcPr>
            <w:tcW w:w="920" w:type="dxa"/>
          </w:tcPr>
          <w:p>
            <w:pPr>
              <w:pStyle w:val="TableParagraph"/>
              <w:spacing w:line="194" w:lineRule="exact"/>
              <w:ind w:left="68" w:right="59"/>
              <w:jc w:val="center"/>
              <w:rPr>
                <w:sz w:val="17"/>
              </w:rPr>
            </w:pPr>
            <w:r>
              <w:rPr>
                <w:sz w:val="17"/>
              </w:rPr>
              <w:t>-0.29937</w:t>
            </w:r>
          </w:p>
        </w:tc>
        <w:tc>
          <w:tcPr>
            <w:tcW w:w="921" w:type="dxa"/>
          </w:tcPr>
          <w:p>
            <w:pPr>
              <w:pStyle w:val="TableParagraph"/>
              <w:spacing w:line="194" w:lineRule="exact"/>
              <w:ind w:left="65" w:right="52"/>
              <w:jc w:val="center"/>
              <w:rPr>
                <w:sz w:val="17"/>
              </w:rPr>
            </w:pPr>
            <w:r>
              <w:rPr>
                <w:sz w:val="17"/>
              </w:rPr>
              <w:t>Bajo</w:t>
            </w:r>
          </w:p>
        </w:tc>
        <w:tc>
          <w:tcPr>
            <w:tcW w:w="921" w:type="dxa"/>
          </w:tcPr>
          <w:p>
            <w:pPr>
              <w:pStyle w:val="TableParagraph"/>
              <w:spacing w:line="194" w:lineRule="exact"/>
              <w:ind w:left="201"/>
              <w:rPr>
                <w:sz w:val="17"/>
              </w:rPr>
            </w:pPr>
            <w:r>
              <w:rPr>
                <w:sz w:val="17"/>
              </w:rPr>
              <w:t>1376</w:t>
            </w:r>
          </w:p>
        </w:tc>
      </w:tr>
      <w:tr>
        <w:trPr>
          <w:trHeight w:val="215" w:hRule="exact"/>
        </w:trPr>
        <w:tc>
          <w:tcPr>
            <w:tcW w:w="921" w:type="dxa"/>
            <w:shd w:val="clear" w:color="auto" w:fill="F1DCDB"/>
          </w:tcPr>
          <w:p>
            <w:pPr>
              <w:pStyle w:val="TableParagraph"/>
              <w:spacing w:line="194" w:lineRule="exact"/>
              <w:ind w:left="342" w:right="335"/>
              <w:jc w:val="center"/>
              <w:rPr>
                <w:sz w:val="17"/>
              </w:rPr>
            </w:pPr>
            <w:r>
              <w:rPr>
                <w:sz w:val="17"/>
              </w:rPr>
              <w:t>15</w:t>
            </w:r>
          </w:p>
        </w:tc>
        <w:tc>
          <w:tcPr>
            <w:tcW w:w="919" w:type="dxa"/>
            <w:shd w:val="clear" w:color="auto" w:fill="F1DCDB"/>
          </w:tcPr>
          <w:p>
            <w:pPr>
              <w:pStyle w:val="TableParagraph"/>
              <w:spacing w:line="194" w:lineRule="exact"/>
              <w:ind w:left="156" w:right="170"/>
              <w:jc w:val="center"/>
              <w:rPr>
                <w:sz w:val="17"/>
              </w:rPr>
            </w:pPr>
            <w:r>
              <w:rPr>
                <w:sz w:val="17"/>
              </w:rPr>
              <w:t>México</w:t>
            </w:r>
          </w:p>
        </w:tc>
        <w:tc>
          <w:tcPr>
            <w:tcW w:w="921" w:type="dxa"/>
            <w:shd w:val="clear" w:color="auto" w:fill="F1DCDB"/>
          </w:tcPr>
          <w:p>
            <w:pPr>
              <w:pStyle w:val="TableParagraph"/>
              <w:spacing w:line="194" w:lineRule="exact"/>
              <w:ind w:right="208"/>
              <w:jc w:val="right"/>
              <w:rPr>
                <w:sz w:val="17"/>
              </w:rPr>
            </w:pPr>
            <w:r>
              <w:rPr>
                <w:sz w:val="17"/>
              </w:rPr>
              <w:t>15048</w:t>
            </w:r>
          </w:p>
        </w:tc>
        <w:tc>
          <w:tcPr>
            <w:tcW w:w="2365" w:type="dxa"/>
            <w:shd w:val="clear" w:color="auto" w:fill="F1DCDB"/>
          </w:tcPr>
          <w:p>
            <w:pPr>
              <w:pStyle w:val="TableParagraph"/>
              <w:spacing w:line="194" w:lineRule="exact"/>
              <w:ind w:left="177"/>
              <w:rPr>
                <w:sz w:val="17"/>
              </w:rPr>
            </w:pPr>
            <w:r>
              <w:rPr>
                <w:sz w:val="17"/>
              </w:rPr>
              <w:t>Jocotitlán</w:t>
            </w:r>
          </w:p>
        </w:tc>
        <w:tc>
          <w:tcPr>
            <w:tcW w:w="921" w:type="dxa"/>
            <w:shd w:val="clear" w:color="auto" w:fill="F1DCDB"/>
          </w:tcPr>
          <w:p>
            <w:pPr>
              <w:pStyle w:val="TableParagraph"/>
              <w:spacing w:line="194" w:lineRule="exact"/>
              <w:ind w:right="165"/>
              <w:jc w:val="right"/>
              <w:rPr>
                <w:sz w:val="17"/>
              </w:rPr>
            </w:pPr>
            <w:r>
              <w:rPr>
                <w:sz w:val="17"/>
              </w:rPr>
              <w:t>61,204</w:t>
            </w:r>
          </w:p>
        </w:tc>
        <w:tc>
          <w:tcPr>
            <w:tcW w:w="920" w:type="dxa"/>
            <w:shd w:val="clear" w:color="auto" w:fill="F1DCDB"/>
          </w:tcPr>
          <w:p>
            <w:pPr>
              <w:pStyle w:val="TableParagraph"/>
              <w:spacing w:line="194" w:lineRule="exact"/>
              <w:ind w:left="68" w:right="57"/>
              <w:jc w:val="center"/>
              <w:rPr>
                <w:sz w:val="17"/>
              </w:rPr>
            </w:pPr>
            <w:r>
              <w:rPr>
                <w:sz w:val="17"/>
              </w:rPr>
              <w:t>-0.40119</w:t>
            </w:r>
          </w:p>
        </w:tc>
        <w:tc>
          <w:tcPr>
            <w:tcW w:w="921" w:type="dxa"/>
            <w:shd w:val="clear" w:color="auto" w:fill="F1DCDB"/>
          </w:tcPr>
          <w:p>
            <w:pPr>
              <w:pStyle w:val="TableParagraph"/>
              <w:spacing w:line="194" w:lineRule="exact"/>
              <w:ind w:left="65" w:right="52"/>
              <w:jc w:val="center"/>
              <w:rPr>
                <w:sz w:val="17"/>
              </w:rPr>
            </w:pPr>
            <w:r>
              <w:rPr>
                <w:sz w:val="17"/>
              </w:rPr>
              <w:t>Bajo</w:t>
            </w:r>
          </w:p>
        </w:tc>
        <w:tc>
          <w:tcPr>
            <w:tcW w:w="921" w:type="dxa"/>
            <w:shd w:val="clear" w:color="auto" w:fill="F1DCDB"/>
          </w:tcPr>
          <w:p>
            <w:pPr>
              <w:pStyle w:val="TableParagraph"/>
              <w:spacing w:line="194" w:lineRule="exact"/>
              <w:ind w:left="201"/>
              <w:rPr>
                <w:sz w:val="17"/>
              </w:rPr>
            </w:pPr>
            <w:r>
              <w:rPr>
                <w:sz w:val="17"/>
              </w:rPr>
              <w:t>1453</w:t>
            </w:r>
          </w:p>
        </w:tc>
      </w:tr>
      <w:tr>
        <w:trPr>
          <w:trHeight w:val="214" w:hRule="exact"/>
        </w:trPr>
        <w:tc>
          <w:tcPr>
            <w:tcW w:w="921" w:type="dxa"/>
          </w:tcPr>
          <w:p>
            <w:pPr>
              <w:pStyle w:val="TableParagraph"/>
              <w:spacing w:line="193" w:lineRule="exact"/>
              <w:ind w:left="342" w:right="335"/>
              <w:jc w:val="center"/>
              <w:rPr>
                <w:sz w:val="17"/>
              </w:rPr>
            </w:pPr>
            <w:r>
              <w:rPr>
                <w:sz w:val="17"/>
              </w:rPr>
              <w:t>15</w:t>
            </w:r>
          </w:p>
        </w:tc>
        <w:tc>
          <w:tcPr>
            <w:tcW w:w="919" w:type="dxa"/>
          </w:tcPr>
          <w:p>
            <w:pPr>
              <w:pStyle w:val="TableParagraph"/>
              <w:spacing w:line="193" w:lineRule="exact"/>
              <w:ind w:left="156" w:right="170"/>
              <w:jc w:val="center"/>
              <w:rPr>
                <w:sz w:val="17"/>
              </w:rPr>
            </w:pPr>
            <w:r>
              <w:rPr>
                <w:sz w:val="17"/>
              </w:rPr>
              <w:t>México</w:t>
            </w:r>
          </w:p>
        </w:tc>
        <w:tc>
          <w:tcPr>
            <w:tcW w:w="921" w:type="dxa"/>
          </w:tcPr>
          <w:p>
            <w:pPr>
              <w:pStyle w:val="TableParagraph"/>
              <w:spacing w:line="193" w:lineRule="exact"/>
              <w:ind w:right="208"/>
              <w:jc w:val="right"/>
              <w:rPr>
                <w:sz w:val="17"/>
              </w:rPr>
            </w:pPr>
            <w:r>
              <w:rPr>
                <w:sz w:val="17"/>
              </w:rPr>
              <w:t>15049</w:t>
            </w:r>
          </w:p>
        </w:tc>
        <w:tc>
          <w:tcPr>
            <w:tcW w:w="2365" w:type="dxa"/>
          </w:tcPr>
          <w:p>
            <w:pPr>
              <w:pStyle w:val="TableParagraph"/>
              <w:spacing w:line="193" w:lineRule="exact"/>
              <w:ind w:left="177"/>
              <w:rPr>
                <w:sz w:val="17"/>
              </w:rPr>
            </w:pPr>
            <w:r>
              <w:rPr>
                <w:sz w:val="17"/>
              </w:rPr>
              <w:t>Joquicingo</w:t>
            </w:r>
          </w:p>
        </w:tc>
        <w:tc>
          <w:tcPr>
            <w:tcW w:w="921" w:type="dxa"/>
          </w:tcPr>
          <w:p>
            <w:pPr>
              <w:pStyle w:val="TableParagraph"/>
              <w:spacing w:line="193" w:lineRule="exact"/>
              <w:ind w:right="165"/>
              <w:jc w:val="right"/>
              <w:rPr>
                <w:sz w:val="17"/>
              </w:rPr>
            </w:pPr>
            <w:r>
              <w:rPr>
                <w:sz w:val="17"/>
              </w:rPr>
              <w:t>12,840</w:t>
            </w:r>
          </w:p>
        </w:tc>
        <w:tc>
          <w:tcPr>
            <w:tcW w:w="920" w:type="dxa"/>
          </w:tcPr>
          <w:p>
            <w:pPr>
              <w:pStyle w:val="TableParagraph"/>
              <w:spacing w:line="193" w:lineRule="exact"/>
              <w:ind w:left="68" w:right="59"/>
              <w:jc w:val="center"/>
              <w:rPr>
                <w:sz w:val="17"/>
              </w:rPr>
            </w:pPr>
            <w:r>
              <w:rPr>
                <w:sz w:val="17"/>
              </w:rPr>
              <w:t>-0.38544</w:t>
            </w:r>
          </w:p>
        </w:tc>
        <w:tc>
          <w:tcPr>
            <w:tcW w:w="921" w:type="dxa"/>
          </w:tcPr>
          <w:p>
            <w:pPr>
              <w:pStyle w:val="TableParagraph"/>
              <w:spacing w:line="193" w:lineRule="exact"/>
              <w:ind w:left="65" w:right="52"/>
              <w:jc w:val="center"/>
              <w:rPr>
                <w:sz w:val="17"/>
              </w:rPr>
            </w:pPr>
            <w:r>
              <w:rPr>
                <w:sz w:val="17"/>
              </w:rPr>
              <w:t>Bajo</w:t>
            </w:r>
          </w:p>
        </w:tc>
        <w:tc>
          <w:tcPr>
            <w:tcW w:w="921" w:type="dxa"/>
          </w:tcPr>
          <w:p>
            <w:pPr>
              <w:pStyle w:val="TableParagraph"/>
              <w:spacing w:line="193" w:lineRule="exact"/>
              <w:ind w:left="201"/>
              <w:rPr>
                <w:sz w:val="17"/>
              </w:rPr>
            </w:pPr>
            <w:r>
              <w:rPr>
                <w:sz w:val="17"/>
              </w:rPr>
              <w:t>1444</w:t>
            </w:r>
          </w:p>
        </w:tc>
      </w:tr>
      <w:tr>
        <w:trPr>
          <w:trHeight w:val="214" w:hRule="exact"/>
        </w:trPr>
        <w:tc>
          <w:tcPr>
            <w:tcW w:w="921" w:type="dxa"/>
            <w:shd w:val="clear" w:color="auto" w:fill="F1DCDB"/>
          </w:tcPr>
          <w:p>
            <w:pPr>
              <w:pStyle w:val="TableParagraph"/>
              <w:spacing w:line="193" w:lineRule="exact"/>
              <w:ind w:left="342" w:right="335"/>
              <w:jc w:val="center"/>
              <w:rPr>
                <w:sz w:val="17"/>
              </w:rPr>
            </w:pPr>
            <w:r>
              <w:rPr>
                <w:sz w:val="17"/>
              </w:rPr>
              <w:t>15</w:t>
            </w:r>
          </w:p>
        </w:tc>
        <w:tc>
          <w:tcPr>
            <w:tcW w:w="919" w:type="dxa"/>
            <w:shd w:val="clear" w:color="auto" w:fill="F1DCDB"/>
          </w:tcPr>
          <w:p>
            <w:pPr>
              <w:pStyle w:val="TableParagraph"/>
              <w:spacing w:line="193" w:lineRule="exact"/>
              <w:ind w:left="156" w:right="170"/>
              <w:jc w:val="center"/>
              <w:rPr>
                <w:sz w:val="17"/>
              </w:rPr>
            </w:pPr>
            <w:r>
              <w:rPr>
                <w:sz w:val="17"/>
              </w:rPr>
              <w:t>México</w:t>
            </w:r>
          </w:p>
        </w:tc>
        <w:tc>
          <w:tcPr>
            <w:tcW w:w="921" w:type="dxa"/>
            <w:shd w:val="clear" w:color="auto" w:fill="F1DCDB"/>
          </w:tcPr>
          <w:p>
            <w:pPr>
              <w:pStyle w:val="TableParagraph"/>
              <w:spacing w:line="193" w:lineRule="exact"/>
              <w:ind w:right="208"/>
              <w:jc w:val="right"/>
              <w:rPr>
                <w:sz w:val="17"/>
              </w:rPr>
            </w:pPr>
            <w:r>
              <w:rPr>
                <w:sz w:val="17"/>
              </w:rPr>
              <w:t>15050</w:t>
            </w:r>
          </w:p>
        </w:tc>
        <w:tc>
          <w:tcPr>
            <w:tcW w:w="2365" w:type="dxa"/>
            <w:shd w:val="clear" w:color="auto" w:fill="F1DCDB"/>
          </w:tcPr>
          <w:p>
            <w:pPr>
              <w:pStyle w:val="TableParagraph"/>
              <w:spacing w:line="193" w:lineRule="exact"/>
              <w:ind w:left="177"/>
              <w:rPr>
                <w:sz w:val="17"/>
              </w:rPr>
            </w:pPr>
            <w:r>
              <w:rPr>
                <w:sz w:val="17"/>
              </w:rPr>
              <w:t>Juchitepec</w:t>
            </w:r>
          </w:p>
        </w:tc>
        <w:tc>
          <w:tcPr>
            <w:tcW w:w="921" w:type="dxa"/>
            <w:shd w:val="clear" w:color="auto" w:fill="F1DCDB"/>
          </w:tcPr>
          <w:p>
            <w:pPr>
              <w:pStyle w:val="TableParagraph"/>
              <w:spacing w:line="193" w:lineRule="exact"/>
              <w:ind w:right="165"/>
              <w:jc w:val="right"/>
              <w:rPr>
                <w:sz w:val="17"/>
              </w:rPr>
            </w:pPr>
            <w:r>
              <w:rPr>
                <w:sz w:val="17"/>
              </w:rPr>
              <w:t>23,497</w:t>
            </w:r>
          </w:p>
        </w:tc>
        <w:tc>
          <w:tcPr>
            <w:tcW w:w="920" w:type="dxa"/>
            <w:shd w:val="clear" w:color="auto" w:fill="F1DCDB"/>
          </w:tcPr>
          <w:p>
            <w:pPr>
              <w:pStyle w:val="TableParagraph"/>
              <w:spacing w:line="193" w:lineRule="exact"/>
              <w:ind w:left="68" w:right="59"/>
              <w:jc w:val="center"/>
              <w:rPr>
                <w:sz w:val="17"/>
              </w:rPr>
            </w:pPr>
            <w:r>
              <w:rPr>
                <w:sz w:val="17"/>
              </w:rPr>
              <w:t>-0.58628</w:t>
            </w:r>
          </w:p>
        </w:tc>
        <w:tc>
          <w:tcPr>
            <w:tcW w:w="921" w:type="dxa"/>
            <w:shd w:val="clear" w:color="auto" w:fill="F1DCDB"/>
          </w:tcPr>
          <w:p>
            <w:pPr>
              <w:pStyle w:val="TableParagraph"/>
              <w:spacing w:line="193" w:lineRule="exact"/>
              <w:ind w:left="65" w:right="52"/>
              <w:jc w:val="center"/>
              <w:rPr>
                <w:sz w:val="17"/>
              </w:rPr>
            </w:pPr>
            <w:r>
              <w:rPr>
                <w:sz w:val="17"/>
              </w:rPr>
              <w:t>Bajo</w:t>
            </w:r>
          </w:p>
        </w:tc>
        <w:tc>
          <w:tcPr>
            <w:tcW w:w="921" w:type="dxa"/>
            <w:shd w:val="clear" w:color="auto" w:fill="F1DCDB"/>
          </w:tcPr>
          <w:p>
            <w:pPr>
              <w:pStyle w:val="TableParagraph"/>
              <w:spacing w:line="193" w:lineRule="exact"/>
              <w:ind w:left="201"/>
              <w:rPr>
                <w:sz w:val="17"/>
              </w:rPr>
            </w:pPr>
            <w:r>
              <w:rPr>
                <w:sz w:val="17"/>
              </w:rPr>
              <w:t>1646</w:t>
            </w:r>
          </w:p>
        </w:tc>
      </w:tr>
      <w:tr>
        <w:trPr>
          <w:trHeight w:val="215" w:hRule="exact"/>
        </w:trPr>
        <w:tc>
          <w:tcPr>
            <w:tcW w:w="921" w:type="dxa"/>
          </w:tcPr>
          <w:p>
            <w:pPr>
              <w:pStyle w:val="TableParagraph"/>
              <w:spacing w:line="194" w:lineRule="exact"/>
              <w:ind w:left="342" w:right="335"/>
              <w:jc w:val="center"/>
              <w:rPr>
                <w:sz w:val="17"/>
              </w:rPr>
            </w:pPr>
            <w:r>
              <w:rPr>
                <w:sz w:val="17"/>
              </w:rPr>
              <w:t>15</w:t>
            </w:r>
          </w:p>
        </w:tc>
        <w:tc>
          <w:tcPr>
            <w:tcW w:w="919" w:type="dxa"/>
          </w:tcPr>
          <w:p>
            <w:pPr>
              <w:pStyle w:val="TableParagraph"/>
              <w:spacing w:line="194" w:lineRule="exact"/>
              <w:ind w:left="156" w:right="170"/>
              <w:jc w:val="center"/>
              <w:rPr>
                <w:sz w:val="17"/>
              </w:rPr>
            </w:pPr>
            <w:r>
              <w:rPr>
                <w:sz w:val="17"/>
              </w:rPr>
              <w:t>México</w:t>
            </w:r>
          </w:p>
        </w:tc>
        <w:tc>
          <w:tcPr>
            <w:tcW w:w="921" w:type="dxa"/>
          </w:tcPr>
          <w:p>
            <w:pPr>
              <w:pStyle w:val="TableParagraph"/>
              <w:spacing w:line="194" w:lineRule="exact"/>
              <w:ind w:right="208"/>
              <w:jc w:val="right"/>
              <w:rPr>
                <w:sz w:val="17"/>
              </w:rPr>
            </w:pPr>
            <w:r>
              <w:rPr>
                <w:sz w:val="17"/>
              </w:rPr>
              <w:t>15052</w:t>
            </w:r>
          </w:p>
        </w:tc>
        <w:tc>
          <w:tcPr>
            <w:tcW w:w="2365" w:type="dxa"/>
          </w:tcPr>
          <w:p>
            <w:pPr>
              <w:pStyle w:val="TableParagraph"/>
              <w:spacing w:line="194" w:lineRule="exact"/>
              <w:ind w:left="177"/>
              <w:rPr>
                <w:sz w:val="17"/>
              </w:rPr>
            </w:pPr>
            <w:r>
              <w:rPr>
                <w:sz w:val="17"/>
              </w:rPr>
              <w:t>Malinalco</w:t>
            </w:r>
          </w:p>
        </w:tc>
        <w:tc>
          <w:tcPr>
            <w:tcW w:w="921" w:type="dxa"/>
          </w:tcPr>
          <w:p>
            <w:pPr>
              <w:pStyle w:val="TableParagraph"/>
              <w:spacing w:line="194" w:lineRule="exact"/>
              <w:ind w:right="165"/>
              <w:jc w:val="right"/>
              <w:rPr>
                <w:sz w:val="17"/>
              </w:rPr>
            </w:pPr>
            <w:r>
              <w:rPr>
                <w:sz w:val="17"/>
              </w:rPr>
              <w:t>25,624</w:t>
            </w:r>
          </w:p>
        </w:tc>
        <w:tc>
          <w:tcPr>
            <w:tcW w:w="920" w:type="dxa"/>
          </w:tcPr>
          <w:p>
            <w:pPr>
              <w:pStyle w:val="TableParagraph"/>
              <w:spacing w:line="194" w:lineRule="exact"/>
              <w:ind w:left="68" w:right="59"/>
              <w:jc w:val="center"/>
              <w:rPr>
                <w:sz w:val="17"/>
              </w:rPr>
            </w:pPr>
            <w:r>
              <w:rPr>
                <w:sz w:val="17"/>
              </w:rPr>
              <w:t>-0.09264</w:t>
            </w:r>
          </w:p>
        </w:tc>
        <w:tc>
          <w:tcPr>
            <w:tcW w:w="921" w:type="dxa"/>
          </w:tcPr>
          <w:p>
            <w:pPr>
              <w:pStyle w:val="TableParagraph"/>
              <w:spacing w:line="194" w:lineRule="exact"/>
              <w:ind w:left="65" w:right="52"/>
              <w:jc w:val="center"/>
              <w:rPr>
                <w:sz w:val="17"/>
              </w:rPr>
            </w:pPr>
            <w:r>
              <w:rPr>
                <w:sz w:val="17"/>
              </w:rPr>
              <w:t>Bajo</w:t>
            </w:r>
          </w:p>
        </w:tc>
        <w:tc>
          <w:tcPr>
            <w:tcW w:w="921" w:type="dxa"/>
          </w:tcPr>
          <w:p>
            <w:pPr>
              <w:pStyle w:val="TableParagraph"/>
              <w:spacing w:line="194" w:lineRule="exact"/>
              <w:ind w:left="212"/>
              <w:rPr>
                <w:sz w:val="17"/>
              </w:rPr>
            </w:pPr>
            <w:r>
              <w:rPr>
                <w:sz w:val="17"/>
              </w:rPr>
              <w:t>1193</w:t>
            </w:r>
          </w:p>
        </w:tc>
      </w:tr>
      <w:tr>
        <w:trPr>
          <w:trHeight w:val="214" w:hRule="exact"/>
        </w:trPr>
        <w:tc>
          <w:tcPr>
            <w:tcW w:w="921" w:type="dxa"/>
            <w:shd w:val="clear" w:color="auto" w:fill="F1DCDB"/>
          </w:tcPr>
          <w:p>
            <w:pPr>
              <w:pStyle w:val="TableParagraph"/>
              <w:spacing w:line="193" w:lineRule="exact"/>
              <w:ind w:left="342" w:right="335"/>
              <w:jc w:val="center"/>
              <w:rPr>
                <w:sz w:val="17"/>
              </w:rPr>
            </w:pPr>
            <w:r>
              <w:rPr>
                <w:sz w:val="17"/>
              </w:rPr>
              <w:t>15</w:t>
            </w:r>
          </w:p>
        </w:tc>
        <w:tc>
          <w:tcPr>
            <w:tcW w:w="919" w:type="dxa"/>
            <w:shd w:val="clear" w:color="auto" w:fill="F1DCDB"/>
          </w:tcPr>
          <w:p>
            <w:pPr>
              <w:pStyle w:val="TableParagraph"/>
              <w:spacing w:line="193" w:lineRule="exact"/>
              <w:ind w:left="156" w:right="170"/>
              <w:jc w:val="center"/>
              <w:rPr>
                <w:sz w:val="17"/>
              </w:rPr>
            </w:pPr>
            <w:r>
              <w:rPr>
                <w:sz w:val="17"/>
              </w:rPr>
              <w:t>México</w:t>
            </w:r>
          </w:p>
        </w:tc>
        <w:tc>
          <w:tcPr>
            <w:tcW w:w="921" w:type="dxa"/>
            <w:shd w:val="clear" w:color="auto" w:fill="F1DCDB"/>
          </w:tcPr>
          <w:p>
            <w:pPr>
              <w:pStyle w:val="TableParagraph"/>
              <w:spacing w:line="193" w:lineRule="exact"/>
              <w:ind w:right="208"/>
              <w:jc w:val="right"/>
              <w:rPr>
                <w:sz w:val="17"/>
              </w:rPr>
            </w:pPr>
            <w:r>
              <w:rPr>
                <w:sz w:val="17"/>
              </w:rPr>
              <w:t>15063</w:t>
            </w:r>
          </w:p>
        </w:tc>
        <w:tc>
          <w:tcPr>
            <w:tcW w:w="2365" w:type="dxa"/>
            <w:shd w:val="clear" w:color="auto" w:fill="F1DCDB"/>
          </w:tcPr>
          <w:p>
            <w:pPr>
              <w:pStyle w:val="TableParagraph"/>
              <w:spacing w:line="193" w:lineRule="exact"/>
              <w:ind w:left="177"/>
              <w:rPr>
                <w:sz w:val="17"/>
              </w:rPr>
            </w:pPr>
            <w:r>
              <w:rPr>
                <w:sz w:val="17"/>
              </w:rPr>
              <w:t>Ocuilan</w:t>
            </w:r>
          </w:p>
        </w:tc>
        <w:tc>
          <w:tcPr>
            <w:tcW w:w="921" w:type="dxa"/>
            <w:shd w:val="clear" w:color="auto" w:fill="F1DCDB"/>
          </w:tcPr>
          <w:p>
            <w:pPr>
              <w:pStyle w:val="TableParagraph"/>
              <w:spacing w:line="193" w:lineRule="exact"/>
              <w:ind w:right="165"/>
              <w:jc w:val="right"/>
              <w:rPr>
                <w:sz w:val="17"/>
              </w:rPr>
            </w:pPr>
            <w:r>
              <w:rPr>
                <w:sz w:val="17"/>
              </w:rPr>
              <w:t>31,803</w:t>
            </w:r>
          </w:p>
        </w:tc>
        <w:tc>
          <w:tcPr>
            <w:tcW w:w="920" w:type="dxa"/>
            <w:shd w:val="clear" w:color="auto" w:fill="F1DCDB"/>
          </w:tcPr>
          <w:p>
            <w:pPr>
              <w:pStyle w:val="TableParagraph"/>
              <w:spacing w:line="193" w:lineRule="exact"/>
              <w:ind w:left="68" w:right="59"/>
              <w:jc w:val="center"/>
              <w:rPr>
                <w:sz w:val="17"/>
              </w:rPr>
            </w:pPr>
            <w:r>
              <w:rPr>
                <w:sz w:val="17"/>
              </w:rPr>
              <w:t>-0.07308</w:t>
            </w:r>
          </w:p>
        </w:tc>
        <w:tc>
          <w:tcPr>
            <w:tcW w:w="921" w:type="dxa"/>
            <w:shd w:val="clear" w:color="auto" w:fill="F1DCDB"/>
          </w:tcPr>
          <w:p>
            <w:pPr>
              <w:pStyle w:val="TableParagraph"/>
              <w:spacing w:line="193" w:lineRule="exact"/>
              <w:ind w:left="65" w:right="52"/>
              <w:jc w:val="center"/>
              <w:rPr>
                <w:sz w:val="17"/>
              </w:rPr>
            </w:pPr>
            <w:r>
              <w:rPr>
                <w:sz w:val="17"/>
              </w:rPr>
              <w:t>Bajo</w:t>
            </w:r>
          </w:p>
        </w:tc>
        <w:tc>
          <w:tcPr>
            <w:tcW w:w="921" w:type="dxa"/>
            <w:shd w:val="clear" w:color="auto" w:fill="F1DCDB"/>
          </w:tcPr>
          <w:p>
            <w:pPr>
              <w:pStyle w:val="TableParagraph"/>
              <w:spacing w:line="193" w:lineRule="exact"/>
              <w:ind w:left="212"/>
              <w:rPr>
                <w:sz w:val="17"/>
              </w:rPr>
            </w:pPr>
            <w:r>
              <w:rPr>
                <w:sz w:val="17"/>
              </w:rPr>
              <w:t>1182</w:t>
            </w:r>
          </w:p>
        </w:tc>
      </w:tr>
      <w:tr>
        <w:trPr>
          <w:trHeight w:val="214" w:hRule="exact"/>
        </w:trPr>
        <w:tc>
          <w:tcPr>
            <w:tcW w:w="921" w:type="dxa"/>
          </w:tcPr>
          <w:p>
            <w:pPr>
              <w:pStyle w:val="TableParagraph"/>
              <w:spacing w:line="193" w:lineRule="exact"/>
              <w:ind w:left="342" w:right="335"/>
              <w:jc w:val="center"/>
              <w:rPr>
                <w:sz w:val="17"/>
              </w:rPr>
            </w:pPr>
            <w:r>
              <w:rPr>
                <w:sz w:val="17"/>
              </w:rPr>
              <w:t>15</w:t>
            </w:r>
          </w:p>
        </w:tc>
        <w:tc>
          <w:tcPr>
            <w:tcW w:w="919" w:type="dxa"/>
          </w:tcPr>
          <w:p>
            <w:pPr>
              <w:pStyle w:val="TableParagraph"/>
              <w:spacing w:line="193" w:lineRule="exact"/>
              <w:ind w:left="156" w:right="170"/>
              <w:jc w:val="center"/>
              <w:rPr>
                <w:sz w:val="17"/>
              </w:rPr>
            </w:pPr>
            <w:r>
              <w:rPr>
                <w:sz w:val="17"/>
              </w:rPr>
              <w:t>México</w:t>
            </w:r>
          </w:p>
        </w:tc>
        <w:tc>
          <w:tcPr>
            <w:tcW w:w="921" w:type="dxa"/>
          </w:tcPr>
          <w:p>
            <w:pPr>
              <w:pStyle w:val="TableParagraph"/>
              <w:spacing w:line="193" w:lineRule="exact"/>
              <w:ind w:right="208"/>
              <w:jc w:val="right"/>
              <w:rPr>
                <w:sz w:val="17"/>
              </w:rPr>
            </w:pPr>
            <w:r>
              <w:rPr>
                <w:sz w:val="17"/>
              </w:rPr>
              <w:t>15064</w:t>
            </w:r>
          </w:p>
        </w:tc>
        <w:tc>
          <w:tcPr>
            <w:tcW w:w="2365" w:type="dxa"/>
          </w:tcPr>
          <w:p>
            <w:pPr>
              <w:pStyle w:val="TableParagraph"/>
              <w:spacing w:line="193" w:lineRule="exact"/>
              <w:ind w:left="177"/>
              <w:rPr>
                <w:sz w:val="17"/>
              </w:rPr>
            </w:pPr>
            <w:r>
              <w:rPr>
                <w:sz w:val="17"/>
              </w:rPr>
              <w:t>El Oro</w:t>
            </w:r>
          </w:p>
        </w:tc>
        <w:tc>
          <w:tcPr>
            <w:tcW w:w="921" w:type="dxa"/>
          </w:tcPr>
          <w:p>
            <w:pPr>
              <w:pStyle w:val="TableParagraph"/>
              <w:spacing w:line="193" w:lineRule="exact"/>
              <w:ind w:right="165"/>
              <w:jc w:val="right"/>
              <w:rPr>
                <w:sz w:val="17"/>
              </w:rPr>
            </w:pPr>
            <w:r>
              <w:rPr>
                <w:sz w:val="17"/>
              </w:rPr>
              <w:t>34,446</w:t>
            </w:r>
          </w:p>
        </w:tc>
        <w:tc>
          <w:tcPr>
            <w:tcW w:w="920" w:type="dxa"/>
          </w:tcPr>
          <w:p>
            <w:pPr>
              <w:pStyle w:val="TableParagraph"/>
              <w:spacing w:line="193" w:lineRule="exact"/>
              <w:ind w:left="68" w:right="59"/>
              <w:jc w:val="center"/>
              <w:rPr>
                <w:sz w:val="17"/>
              </w:rPr>
            </w:pPr>
            <w:r>
              <w:rPr>
                <w:sz w:val="17"/>
              </w:rPr>
              <w:t>-0.00731</w:t>
            </w:r>
          </w:p>
        </w:tc>
        <w:tc>
          <w:tcPr>
            <w:tcW w:w="921" w:type="dxa"/>
          </w:tcPr>
          <w:p>
            <w:pPr>
              <w:pStyle w:val="TableParagraph"/>
              <w:spacing w:line="193" w:lineRule="exact"/>
              <w:ind w:left="65" w:right="52"/>
              <w:jc w:val="center"/>
              <w:rPr>
                <w:sz w:val="17"/>
              </w:rPr>
            </w:pPr>
            <w:r>
              <w:rPr>
                <w:sz w:val="17"/>
              </w:rPr>
              <w:t>Bajo</w:t>
            </w:r>
          </w:p>
        </w:tc>
        <w:tc>
          <w:tcPr>
            <w:tcW w:w="921" w:type="dxa"/>
          </w:tcPr>
          <w:p>
            <w:pPr>
              <w:pStyle w:val="TableParagraph"/>
              <w:spacing w:line="193" w:lineRule="exact"/>
              <w:ind w:left="225"/>
              <w:rPr>
                <w:sz w:val="17"/>
              </w:rPr>
            </w:pPr>
            <w:r>
              <w:rPr>
                <w:sz w:val="17"/>
              </w:rPr>
              <w:t>1114</w:t>
            </w:r>
          </w:p>
        </w:tc>
      </w:tr>
      <w:tr>
        <w:trPr>
          <w:trHeight w:val="214" w:hRule="exact"/>
        </w:trPr>
        <w:tc>
          <w:tcPr>
            <w:tcW w:w="921" w:type="dxa"/>
            <w:shd w:val="clear" w:color="auto" w:fill="F1DCDB"/>
          </w:tcPr>
          <w:p>
            <w:pPr>
              <w:pStyle w:val="TableParagraph"/>
              <w:spacing w:line="193" w:lineRule="exact"/>
              <w:ind w:left="342" w:right="335"/>
              <w:jc w:val="center"/>
              <w:rPr>
                <w:sz w:val="17"/>
              </w:rPr>
            </w:pPr>
            <w:r>
              <w:rPr>
                <w:sz w:val="17"/>
              </w:rPr>
              <w:t>15</w:t>
            </w:r>
          </w:p>
        </w:tc>
        <w:tc>
          <w:tcPr>
            <w:tcW w:w="919" w:type="dxa"/>
            <w:shd w:val="clear" w:color="auto" w:fill="F1DCDB"/>
          </w:tcPr>
          <w:p>
            <w:pPr>
              <w:pStyle w:val="TableParagraph"/>
              <w:spacing w:line="193" w:lineRule="exact"/>
              <w:ind w:left="156" w:right="170"/>
              <w:jc w:val="center"/>
              <w:rPr>
                <w:sz w:val="17"/>
              </w:rPr>
            </w:pPr>
            <w:r>
              <w:rPr>
                <w:sz w:val="17"/>
              </w:rPr>
              <w:t>México</w:t>
            </w:r>
          </w:p>
        </w:tc>
        <w:tc>
          <w:tcPr>
            <w:tcW w:w="921" w:type="dxa"/>
            <w:shd w:val="clear" w:color="auto" w:fill="F1DCDB"/>
          </w:tcPr>
          <w:p>
            <w:pPr>
              <w:pStyle w:val="TableParagraph"/>
              <w:spacing w:line="193" w:lineRule="exact"/>
              <w:ind w:right="208"/>
              <w:jc w:val="right"/>
              <w:rPr>
                <w:sz w:val="17"/>
              </w:rPr>
            </w:pPr>
            <w:r>
              <w:rPr>
                <w:sz w:val="17"/>
              </w:rPr>
              <w:t>15066</w:t>
            </w:r>
          </w:p>
        </w:tc>
        <w:tc>
          <w:tcPr>
            <w:tcW w:w="2365" w:type="dxa"/>
            <w:shd w:val="clear" w:color="auto" w:fill="F1DCDB"/>
          </w:tcPr>
          <w:p>
            <w:pPr>
              <w:pStyle w:val="TableParagraph"/>
              <w:spacing w:line="193" w:lineRule="exact"/>
              <w:ind w:left="177"/>
              <w:rPr>
                <w:sz w:val="17"/>
              </w:rPr>
            </w:pPr>
            <w:r>
              <w:rPr>
                <w:sz w:val="17"/>
              </w:rPr>
              <w:t>Otzoloapan</w:t>
            </w:r>
          </w:p>
        </w:tc>
        <w:tc>
          <w:tcPr>
            <w:tcW w:w="921" w:type="dxa"/>
            <w:shd w:val="clear" w:color="auto" w:fill="F1DCDB"/>
          </w:tcPr>
          <w:p>
            <w:pPr>
              <w:pStyle w:val="TableParagraph"/>
              <w:spacing w:line="193" w:lineRule="exact"/>
              <w:ind w:right="164"/>
              <w:jc w:val="right"/>
              <w:rPr>
                <w:sz w:val="17"/>
              </w:rPr>
            </w:pPr>
            <w:r>
              <w:rPr>
                <w:sz w:val="17"/>
              </w:rPr>
              <w:t>4,864</w:t>
            </w:r>
          </w:p>
        </w:tc>
        <w:tc>
          <w:tcPr>
            <w:tcW w:w="920" w:type="dxa"/>
            <w:shd w:val="clear" w:color="auto" w:fill="F1DCDB"/>
          </w:tcPr>
          <w:p>
            <w:pPr>
              <w:pStyle w:val="TableParagraph"/>
              <w:spacing w:line="193" w:lineRule="exact"/>
              <w:ind w:left="68" w:right="57"/>
              <w:jc w:val="center"/>
              <w:rPr>
                <w:sz w:val="17"/>
              </w:rPr>
            </w:pPr>
            <w:r>
              <w:rPr>
                <w:sz w:val="17"/>
              </w:rPr>
              <w:t>-0.11020</w:t>
            </w:r>
          </w:p>
        </w:tc>
        <w:tc>
          <w:tcPr>
            <w:tcW w:w="921" w:type="dxa"/>
            <w:shd w:val="clear" w:color="auto" w:fill="F1DCDB"/>
          </w:tcPr>
          <w:p>
            <w:pPr>
              <w:pStyle w:val="TableParagraph"/>
              <w:spacing w:line="193" w:lineRule="exact"/>
              <w:ind w:left="65" w:right="52"/>
              <w:jc w:val="center"/>
              <w:rPr>
                <w:sz w:val="17"/>
              </w:rPr>
            </w:pPr>
            <w:r>
              <w:rPr>
                <w:sz w:val="17"/>
              </w:rPr>
              <w:t>Bajo</w:t>
            </w:r>
          </w:p>
        </w:tc>
        <w:tc>
          <w:tcPr>
            <w:tcW w:w="921" w:type="dxa"/>
            <w:shd w:val="clear" w:color="auto" w:fill="F1DCDB"/>
          </w:tcPr>
          <w:p>
            <w:pPr>
              <w:pStyle w:val="TableParagraph"/>
              <w:spacing w:line="193" w:lineRule="exact"/>
              <w:ind w:left="201"/>
              <w:rPr>
                <w:sz w:val="17"/>
              </w:rPr>
            </w:pPr>
            <w:r>
              <w:rPr>
                <w:sz w:val="17"/>
              </w:rPr>
              <w:t>1207</w:t>
            </w:r>
          </w:p>
        </w:tc>
      </w:tr>
      <w:tr>
        <w:trPr>
          <w:trHeight w:val="215" w:hRule="exact"/>
        </w:trPr>
        <w:tc>
          <w:tcPr>
            <w:tcW w:w="921" w:type="dxa"/>
          </w:tcPr>
          <w:p>
            <w:pPr>
              <w:pStyle w:val="TableParagraph"/>
              <w:spacing w:line="194" w:lineRule="exact"/>
              <w:ind w:left="342" w:right="335"/>
              <w:jc w:val="center"/>
              <w:rPr>
                <w:sz w:val="17"/>
              </w:rPr>
            </w:pPr>
            <w:r>
              <w:rPr>
                <w:sz w:val="17"/>
              </w:rPr>
              <w:t>15</w:t>
            </w:r>
          </w:p>
        </w:tc>
        <w:tc>
          <w:tcPr>
            <w:tcW w:w="919" w:type="dxa"/>
          </w:tcPr>
          <w:p>
            <w:pPr>
              <w:pStyle w:val="TableParagraph"/>
              <w:spacing w:line="194" w:lineRule="exact"/>
              <w:ind w:left="156" w:right="170"/>
              <w:jc w:val="center"/>
              <w:rPr>
                <w:sz w:val="17"/>
              </w:rPr>
            </w:pPr>
            <w:r>
              <w:rPr>
                <w:sz w:val="17"/>
              </w:rPr>
              <w:t>México</w:t>
            </w:r>
          </w:p>
        </w:tc>
        <w:tc>
          <w:tcPr>
            <w:tcW w:w="921" w:type="dxa"/>
          </w:tcPr>
          <w:p>
            <w:pPr>
              <w:pStyle w:val="TableParagraph"/>
              <w:spacing w:line="194" w:lineRule="exact"/>
              <w:ind w:right="208"/>
              <w:jc w:val="right"/>
              <w:rPr>
                <w:sz w:val="17"/>
              </w:rPr>
            </w:pPr>
            <w:r>
              <w:rPr>
                <w:sz w:val="17"/>
              </w:rPr>
              <w:t>15067</w:t>
            </w:r>
          </w:p>
        </w:tc>
        <w:tc>
          <w:tcPr>
            <w:tcW w:w="2365" w:type="dxa"/>
          </w:tcPr>
          <w:p>
            <w:pPr>
              <w:pStyle w:val="TableParagraph"/>
              <w:spacing w:line="194" w:lineRule="exact"/>
              <w:ind w:left="177"/>
              <w:rPr>
                <w:sz w:val="17"/>
              </w:rPr>
            </w:pPr>
            <w:r>
              <w:rPr>
                <w:sz w:val="17"/>
              </w:rPr>
              <w:t>Otzolotepec</w:t>
            </w:r>
          </w:p>
        </w:tc>
        <w:tc>
          <w:tcPr>
            <w:tcW w:w="921" w:type="dxa"/>
          </w:tcPr>
          <w:p>
            <w:pPr>
              <w:pStyle w:val="TableParagraph"/>
              <w:spacing w:line="194" w:lineRule="exact"/>
              <w:ind w:right="165"/>
              <w:jc w:val="right"/>
              <w:rPr>
                <w:sz w:val="17"/>
              </w:rPr>
            </w:pPr>
            <w:r>
              <w:rPr>
                <w:sz w:val="17"/>
              </w:rPr>
              <w:t>78,146</w:t>
            </w:r>
          </w:p>
        </w:tc>
        <w:tc>
          <w:tcPr>
            <w:tcW w:w="920" w:type="dxa"/>
          </w:tcPr>
          <w:p>
            <w:pPr>
              <w:pStyle w:val="TableParagraph"/>
              <w:spacing w:line="194" w:lineRule="exact"/>
              <w:ind w:left="68" w:right="59"/>
              <w:jc w:val="center"/>
              <w:rPr>
                <w:sz w:val="17"/>
              </w:rPr>
            </w:pPr>
            <w:r>
              <w:rPr>
                <w:sz w:val="17"/>
              </w:rPr>
              <w:t>-0.29824</w:t>
            </w:r>
          </w:p>
        </w:tc>
        <w:tc>
          <w:tcPr>
            <w:tcW w:w="921" w:type="dxa"/>
          </w:tcPr>
          <w:p>
            <w:pPr>
              <w:pStyle w:val="TableParagraph"/>
              <w:spacing w:line="194" w:lineRule="exact"/>
              <w:ind w:left="65" w:right="52"/>
              <w:jc w:val="center"/>
              <w:rPr>
                <w:sz w:val="17"/>
              </w:rPr>
            </w:pPr>
            <w:r>
              <w:rPr>
                <w:sz w:val="17"/>
              </w:rPr>
              <w:t>Bajo</w:t>
            </w:r>
          </w:p>
        </w:tc>
        <w:tc>
          <w:tcPr>
            <w:tcW w:w="921" w:type="dxa"/>
          </w:tcPr>
          <w:p>
            <w:pPr>
              <w:pStyle w:val="TableParagraph"/>
              <w:spacing w:line="194" w:lineRule="exact"/>
              <w:ind w:left="201"/>
              <w:rPr>
                <w:sz w:val="17"/>
              </w:rPr>
            </w:pPr>
            <w:r>
              <w:rPr>
                <w:sz w:val="17"/>
              </w:rPr>
              <w:t>1374</w:t>
            </w:r>
          </w:p>
        </w:tc>
      </w:tr>
      <w:tr>
        <w:trPr>
          <w:trHeight w:val="214" w:hRule="exact"/>
        </w:trPr>
        <w:tc>
          <w:tcPr>
            <w:tcW w:w="921" w:type="dxa"/>
            <w:shd w:val="clear" w:color="auto" w:fill="F1DCDB"/>
          </w:tcPr>
          <w:p>
            <w:pPr>
              <w:pStyle w:val="TableParagraph"/>
              <w:spacing w:line="193" w:lineRule="exact"/>
              <w:ind w:left="342" w:right="335"/>
              <w:jc w:val="center"/>
              <w:rPr>
                <w:sz w:val="17"/>
              </w:rPr>
            </w:pPr>
            <w:r>
              <w:rPr>
                <w:sz w:val="17"/>
              </w:rPr>
              <w:t>15</w:t>
            </w:r>
          </w:p>
        </w:tc>
        <w:tc>
          <w:tcPr>
            <w:tcW w:w="919" w:type="dxa"/>
            <w:shd w:val="clear" w:color="auto" w:fill="F1DCDB"/>
          </w:tcPr>
          <w:p>
            <w:pPr>
              <w:pStyle w:val="TableParagraph"/>
              <w:spacing w:line="193" w:lineRule="exact"/>
              <w:ind w:left="156" w:right="170"/>
              <w:jc w:val="center"/>
              <w:rPr>
                <w:sz w:val="17"/>
              </w:rPr>
            </w:pPr>
            <w:r>
              <w:rPr>
                <w:sz w:val="17"/>
              </w:rPr>
              <w:t>México</w:t>
            </w:r>
          </w:p>
        </w:tc>
        <w:tc>
          <w:tcPr>
            <w:tcW w:w="921" w:type="dxa"/>
            <w:shd w:val="clear" w:color="auto" w:fill="F1DCDB"/>
          </w:tcPr>
          <w:p>
            <w:pPr>
              <w:pStyle w:val="TableParagraph"/>
              <w:spacing w:line="193" w:lineRule="exact"/>
              <w:ind w:right="208"/>
              <w:jc w:val="right"/>
              <w:rPr>
                <w:sz w:val="17"/>
              </w:rPr>
            </w:pPr>
            <w:r>
              <w:rPr>
                <w:sz w:val="17"/>
              </w:rPr>
              <w:t>15068</w:t>
            </w:r>
          </w:p>
        </w:tc>
        <w:tc>
          <w:tcPr>
            <w:tcW w:w="2365" w:type="dxa"/>
            <w:shd w:val="clear" w:color="auto" w:fill="F1DCDB"/>
          </w:tcPr>
          <w:p>
            <w:pPr>
              <w:pStyle w:val="TableParagraph"/>
              <w:spacing w:line="193" w:lineRule="exact"/>
              <w:ind w:left="177"/>
              <w:rPr>
                <w:sz w:val="17"/>
              </w:rPr>
            </w:pPr>
            <w:r>
              <w:rPr>
                <w:sz w:val="17"/>
              </w:rPr>
              <w:t>Ozumba</w:t>
            </w:r>
          </w:p>
        </w:tc>
        <w:tc>
          <w:tcPr>
            <w:tcW w:w="921" w:type="dxa"/>
            <w:shd w:val="clear" w:color="auto" w:fill="F1DCDB"/>
          </w:tcPr>
          <w:p>
            <w:pPr>
              <w:pStyle w:val="TableParagraph"/>
              <w:spacing w:line="193" w:lineRule="exact"/>
              <w:ind w:right="165"/>
              <w:jc w:val="right"/>
              <w:rPr>
                <w:sz w:val="17"/>
              </w:rPr>
            </w:pPr>
            <w:r>
              <w:rPr>
                <w:sz w:val="17"/>
              </w:rPr>
              <w:t>27,207</w:t>
            </w:r>
          </w:p>
        </w:tc>
        <w:tc>
          <w:tcPr>
            <w:tcW w:w="920" w:type="dxa"/>
            <w:shd w:val="clear" w:color="auto" w:fill="F1DCDB"/>
          </w:tcPr>
          <w:p>
            <w:pPr>
              <w:pStyle w:val="TableParagraph"/>
              <w:spacing w:line="193" w:lineRule="exact"/>
              <w:ind w:left="68" w:right="59"/>
              <w:jc w:val="center"/>
              <w:rPr>
                <w:sz w:val="17"/>
              </w:rPr>
            </w:pPr>
            <w:r>
              <w:rPr>
                <w:sz w:val="17"/>
              </w:rPr>
              <w:t>-0.59929</w:t>
            </w:r>
          </w:p>
        </w:tc>
        <w:tc>
          <w:tcPr>
            <w:tcW w:w="921" w:type="dxa"/>
            <w:shd w:val="clear" w:color="auto" w:fill="F1DCDB"/>
          </w:tcPr>
          <w:p>
            <w:pPr>
              <w:pStyle w:val="TableParagraph"/>
              <w:spacing w:line="193" w:lineRule="exact"/>
              <w:ind w:left="65" w:right="52"/>
              <w:jc w:val="center"/>
              <w:rPr>
                <w:sz w:val="17"/>
              </w:rPr>
            </w:pPr>
            <w:r>
              <w:rPr>
                <w:sz w:val="17"/>
              </w:rPr>
              <w:t>Bajo</w:t>
            </w:r>
          </w:p>
        </w:tc>
        <w:tc>
          <w:tcPr>
            <w:tcW w:w="921" w:type="dxa"/>
            <w:shd w:val="clear" w:color="auto" w:fill="F1DCDB"/>
          </w:tcPr>
          <w:p>
            <w:pPr>
              <w:pStyle w:val="TableParagraph"/>
              <w:spacing w:line="193" w:lineRule="exact"/>
              <w:ind w:left="201"/>
              <w:rPr>
                <w:sz w:val="17"/>
              </w:rPr>
            </w:pPr>
            <w:r>
              <w:rPr>
                <w:sz w:val="17"/>
              </w:rPr>
              <w:t>1659</w:t>
            </w:r>
          </w:p>
        </w:tc>
      </w:tr>
      <w:tr>
        <w:trPr>
          <w:trHeight w:val="214" w:hRule="exact"/>
        </w:trPr>
        <w:tc>
          <w:tcPr>
            <w:tcW w:w="921" w:type="dxa"/>
          </w:tcPr>
          <w:p>
            <w:pPr>
              <w:pStyle w:val="TableParagraph"/>
              <w:spacing w:line="193" w:lineRule="exact"/>
              <w:ind w:left="342" w:right="335"/>
              <w:jc w:val="center"/>
              <w:rPr>
                <w:sz w:val="17"/>
              </w:rPr>
            </w:pPr>
            <w:r>
              <w:rPr>
                <w:sz w:val="17"/>
              </w:rPr>
              <w:t>15</w:t>
            </w:r>
          </w:p>
        </w:tc>
        <w:tc>
          <w:tcPr>
            <w:tcW w:w="919" w:type="dxa"/>
          </w:tcPr>
          <w:p>
            <w:pPr>
              <w:pStyle w:val="TableParagraph"/>
              <w:spacing w:line="193" w:lineRule="exact"/>
              <w:ind w:left="156" w:right="170"/>
              <w:jc w:val="center"/>
              <w:rPr>
                <w:sz w:val="17"/>
              </w:rPr>
            </w:pPr>
            <w:r>
              <w:rPr>
                <w:sz w:val="17"/>
              </w:rPr>
              <w:t>México</w:t>
            </w:r>
          </w:p>
        </w:tc>
        <w:tc>
          <w:tcPr>
            <w:tcW w:w="921" w:type="dxa"/>
          </w:tcPr>
          <w:p>
            <w:pPr>
              <w:pStyle w:val="TableParagraph"/>
              <w:spacing w:line="193" w:lineRule="exact"/>
              <w:ind w:right="208"/>
              <w:jc w:val="right"/>
              <w:rPr>
                <w:sz w:val="17"/>
              </w:rPr>
            </w:pPr>
            <w:r>
              <w:rPr>
                <w:sz w:val="17"/>
              </w:rPr>
              <w:t>15077</w:t>
            </w:r>
          </w:p>
        </w:tc>
        <w:tc>
          <w:tcPr>
            <w:tcW w:w="2365" w:type="dxa"/>
          </w:tcPr>
          <w:p>
            <w:pPr>
              <w:pStyle w:val="TableParagraph"/>
              <w:spacing w:line="193" w:lineRule="exact"/>
              <w:ind w:left="177"/>
              <w:rPr>
                <w:sz w:val="17"/>
              </w:rPr>
            </w:pPr>
            <w:r>
              <w:rPr>
                <w:sz w:val="17"/>
              </w:rPr>
              <w:t>San Simón de Guerrero</w:t>
            </w:r>
          </w:p>
        </w:tc>
        <w:tc>
          <w:tcPr>
            <w:tcW w:w="921" w:type="dxa"/>
          </w:tcPr>
          <w:p>
            <w:pPr>
              <w:pStyle w:val="TableParagraph"/>
              <w:spacing w:line="193" w:lineRule="exact"/>
              <w:ind w:right="164"/>
              <w:jc w:val="right"/>
              <w:rPr>
                <w:sz w:val="17"/>
              </w:rPr>
            </w:pPr>
            <w:r>
              <w:rPr>
                <w:sz w:val="17"/>
              </w:rPr>
              <w:t>6,272</w:t>
            </w:r>
          </w:p>
        </w:tc>
        <w:tc>
          <w:tcPr>
            <w:tcW w:w="920" w:type="dxa"/>
          </w:tcPr>
          <w:p>
            <w:pPr>
              <w:pStyle w:val="TableParagraph"/>
              <w:spacing w:line="193" w:lineRule="exact"/>
              <w:ind w:left="68" w:right="59"/>
              <w:jc w:val="center"/>
              <w:rPr>
                <w:sz w:val="17"/>
              </w:rPr>
            </w:pPr>
            <w:r>
              <w:rPr>
                <w:sz w:val="17"/>
              </w:rPr>
              <w:t>-0.18784</w:t>
            </w:r>
          </w:p>
        </w:tc>
        <w:tc>
          <w:tcPr>
            <w:tcW w:w="921" w:type="dxa"/>
          </w:tcPr>
          <w:p>
            <w:pPr>
              <w:pStyle w:val="TableParagraph"/>
              <w:spacing w:line="193" w:lineRule="exact"/>
              <w:ind w:left="65" w:right="52"/>
              <w:jc w:val="center"/>
              <w:rPr>
                <w:sz w:val="17"/>
              </w:rPr>
            </w:pPr>
            <w:r>
              <w:rPr>
                <w:sz w:val="17"/>
              </w:rPr>
              <w:t>Bajo</w:t>
            </w:r>
          </w:p>
        </w:tc>
        <w:tc>
          <w:tcPr>
            <w:tcW w:w="921" w:type="dxa"/>
          </w:tcPr>
          <w:p>
            <w:pPr>
              <w:pStyle w:val="TableParagraph"/>
              <w:spacing w:line="193" w:lineRule="exact"/>
              <w:ind w:left="201"/>
              <w:rPr>
                <w:sz w:val="17"/>
              </w:rPr>
            </w:pPr>
            <w:r>
              <w:rPr>
                <w:sz w:val="17"/>
              </w:rPr>
              <w:t>1275</w:t>
            </w:r>
          </w:p>
        </w:tc>
      </w:tr>
      <w:tr>
        <w:trPr>
          <w:trHeight w:val="214" w:hRule="exact"/>
        </w:trPr>
        <w:tc>
          <w:tcPr>
            <w:tcW w:w="921" w:type="dxa"/>
            <w:shd w:val="clear" w:color="auto" w:fill="F1DCDB"/>
          </w:tcPr>
          <w:p>
            <w:pPr>
              <w:pStyle w:val="TableParagraph"/>
              <w:spacing w:line="194" w:lineRule="exact"/>
              <w:ind w:left="342" w:right="335"/>
              <w:jc w:val="center"/>
              <w:rPr>
                <w:sz w:val="17"/>
              </w:rPr>
            </w:pPr>
            <w:r>
              <w:rPr>
                <w:sz w:val="17"/>
              </w:rPr>
              <w:t>15</w:t>
            </w:r>
          </w:p>
        </w:tc>
        <w:tc>
          <w:tcPr>
            <w:tcW w:w="919" w:type="dxa"/>
            <w:shd w:val="clear" w:color="auto" w:fill="F1DCDB"/>
          </w:tcPr>
          <w:p>
            <w:pPr>
              <w:pStyle w:val="TableParagraph"/>
              <w:spacing w:line="194" w:lineRule="exact"/>
              <w:ind w:left="156" w:right="170"/>
              <w:jc w:val="center"/>
              <w:rPr>
                <w:sz w:val="17"/>
              </w:rPr>
            </w:pPr>
            <w:r>
              <w:rPr>
                <w:sz w:val="17"/>
              </w:rPr>
              <w:t>México</w:t>
            </w:r>
          </w:p>
        </w:tc>
        <w:tc>
          <w:tcPr>
            <w:tcW w:w="921" w:type="dxa"/>
            <w:shd w:val="clear" w:color="auto" w:fill="F1DCDB"/>
          </w:tcPr>
          <w:p>
            <w:pPr>
              <w:pStyle w:val="TableParagraph"/>
              <w:spacing w:line="194" w:lineRule="exact"/>
              <w:ind w:right="208"/>
              <w:jc w:val="right"/>
              <w:rPr>
                <w:sz w:val="17"/>
              </w:rPr>
            </w:pPr>
            <w:r>
              <w:rPr>
                <w:sz w:val="17"/>
              </w:rPr>
              <w:t>15078</w:t>
            </w:r>
          </w:p>
        </w:tc>
        <w:tc>
          <w:tcPr>
            <w:tcW w:w="2365" w:type="dxa"/>
            <w:shd w:val="clear" w:color="auto" w:fill="F1DCDB"/>
          </w:tcPr>
          <w:p>
            <w:pPr>
              <w:pStyle w:val="TableParagraph"/>
              <w:spacing w:line="194" w:lineRule="exact"/>
              <w:ind w:left="177"/>
              <w:rPr>
                <w:sz w:val="17"/>
              </w:rPr>
            </w:pPr>
            <w:r>
              <w:rPr>
                <w:sz w:val="17"/>
              </w:rPr>
              <w:t>Santo Tomás</w:t>
            </w:r>
          </w:p>
        </w:tc>
        <w:tc>
          <w:tcPr>
            <w:tcW w:w="921" w:type="dxa"/>
            <w:shd w:val="clear" w:color="auto" w:fill="F1DCDB"/>
          </w:tcPr>
          <w:p>
            <w:pPr>
              <w:pStyle w:val="TableParagraph"/>
              <w:spacing w:line="194" w:lineRule="exact"/>
              <w:ind w:right="162"/>
              <w:jc w:val="right"/>
              <w:rPr>
                <w:sz w:val="17"/>
              </w:rPr>
            </w:pPr>
            <w:r>
              <w:rPr>
                <w:sz w:val="17"/>
              </w:rPr>
              <w:t>9,111</w:t>
            </w:r>
          </w:p>
        </w:tc>
        <w:tc>
          <w:tcPr>
            <w:tcW w:w="920" w:type="dxa"/>
            <w:shd w:val="clear" w:color="auto" w:fill="F1DCDB"/>
          </w:tcPr>
          <w:p>
            <w:pPr>
              <w:pStyle w:val="TableParagraph"/>
              <w:spacing w:line="194" w:lineRule="exact"/>
              <w:ind w:left="68" w:right="59"/>
              <w:jc w:val="center"/>
              <w:rPr>
                <w:sz w:val="17"/>
              </w:rPr>
            </w:pPr>
            <w:r>
              <w:rPr>
                <w:sz w:val="17"/>
              </w:rPr>
              <w:t>-0.49883</w:t>
            </w:r>
          </w:p>
        </w:tc>
        <w:tc>
          <w:tcPr>
            <w:tcW w:w="921" w:type="dxa"/>
            <w:shd w:val="clear" w:color="auto" w:fill="F1DCDB"/>
          </w:tcPr>
          <w:p>
            <w:pPr>
              <w:pStyle w:val="TableParagraph"/>
              <w:spacing w:line="194" w:lineRule="exact"/>
              <w:ind w:left="65" w:right="52"/>
              <w:jc w:val="center"/>
              <w:rPr>
                <w:sz w:val="17"/>
              </w:rPr>
            </w:pPr>
            <w:r>
              <w:rPr>
                <w:sz w:val="17"/>
              </w:rPr>
              <w:t>Bajo</w:t>
            </w:r>
          </w:p>
        </w:tc>
        <w:tc>
          <w:tcPr>
            <w:tcW w:w="921" w:type="dxa"/>
            <w:shd w:val="clear" w:color="auto" w:fill="F1DCDB"/>
          </w:tcPr>
          <w:p>
            <w:pPr>
              <w:pStyle w:val="TableParagraph"/>
              <w:spacing w:line="194" w:lineRule="exact"/>
              <w:ind w:left="201"/>
              <w:rPr>
                <w:sz w:val="17"/>
              </w:rPr>
            </w:pPr>
            <w:r>
              <w:rPr>
                <w:sz w:val="17"/>
              </w:rPr>
              <w:t>1562</w:t>
            </w:r>
          </w:p>
        </w:tc>
      </w:tr>
      <w:tr>
        <w:trPr>
          <w:trHeight w:val="215" w:hRule="exact"/>
        </w:trPr>
        <w:tc>
          <w:tcPr>
            <w:tcW w:w="921" w:type="dxa"/>
          </w:tcPr>
          <w:p>
            <w:pPr>
              <w:pStyle w:val="TableParagraph"/>
              <w:spacing w:line="194" w:lineRule="exact"/>
              <w:ind w:left="342" w:right="335"/>
              <w:jc w:val="center"/>
              <w:rPr>
                <w:sz w:val="17"/>
              </w:rPr>
            </w:pPr>
            <w:r>
              <w:rPr>
                <w:sz w:val="17"/>
              </w:rPr>
              <w:t>15</w:t>
            </w:r>
          </w:p>
        </w:tc>
        <w:tc>
          <w:tcPr>
            <w:tcW w:w="919" w:type="dxa"/>
          </w:tcPr>
          <w:p>
            <w:pPr>
              <w:pStyle w:val="TableParagraph"/>
              <w:spacing w:line="194" w:lineRule="exact"/>
              <w:ind w:left="156" w:right="170"/>
              <w:jc w:val="center"/>
              <w:rPr>
                <w:sz w:val="17"/>
              </w:rPr>
            </w:pPr>
            <w:r>
              <w:rPr>
                <w:sz w:val="17"/>
              </w:rPr>
              <w:t>México</w:t>
            </w:r>
          </w:p>
        </w:tc>
        <w:tc>
          <w:tcPr>
            <w:tcW w:w="921" w:type="dxa"/>
          </w:tcPr>
          <w:p>
            <w:pPr>
              <w:pStyle w:val="TableParagraph"/>
              <w:spacing w:line="194" w:lineRule="exact"/>
              <w:ind w:right="208"/>
              <w:jc w:val="right"/>
              <w:rPr>
                <w:sz w:val="17"/>
              </w:rPr>
            </w:pPr>
            <w:r>
              <w:rPr>
                <w:sz w:val="17"/>
              </w:rPr>
              <w:t>15079</w:t>
            </w:r>
          </w:p>
        </w:tc>
        <w:tc>
          <w:tcPr>
            <w:tcW w:w="2365" w:type="dxa"/>
          </w:tcPr>
          <w:p>
            <w:pPr>
              <w:pStyle w:val="TableParagraph"/>
              <w:spacing w:line="194" w:lineRule="exact"/>
              <w:ind w:left="177"/>
              <w:rPr>
                <w:sz w:val="17"/>
              </w:rPr>
            </w:pPr>
            <w:r>
              <w:rPr>
                <w:sz w:val="17"/>
              </w:rPr>
              <w:t>Soyaniquilpan de Juárez</w:t>
            </w:r>
          </w:p>
        </w:tc>
        <w:tc>
          <w:tcPr>
            <w:tcW w:w="921" w:type="dxa"/>
          </w:tcPr>
          <w:p>
            <w:pPr>
              <w:pStyle w:val="TableParagraph"/>
              <w:spacing w:line="194" w:lineRule="exact"/>
              <w:ind w:right="163"/>
              <w:jc w:val="right"/>
              <w:rPr>
                <w:sz w:val="17"/>
              </w:rPr>
            </w:pPr>
            <w:r>
              <w:rPr>
                <w:sz w:val="17"/>
              </w:rPr>
              <w:t>11,798</w:t>
            </w:r>
          </w:p>
        </w:tc>
        <w:tc>
          <w:tcPr>
            <w:tcW w:w="920" w:type="dxa"/>
          </w:tcPr>
          <w:p>
            <w:pPr>
              <w:pStyle w:val="TableParagraph"/>
              <w:spacing w:line="194" w:lineRule="exact"/>
              <w:ind w:left="68" w:right="59"/>
              <w:jc w:val="center"/>
              <w:rPr>
                <w:sz w:val="17"/>
              </w:rPr>
            </w:pPr>
            <w:r>
              <w:rPr>
                <w:sz w:val="17"/>
              </w:rPr>
              <w:t>-0.44928</w:t>
            </w:r>
          </w:p>
        </w:tc>
        <w:tc>
          <w:tcPr>
            <w:tcW w:w="921" w:type="dxa"/>
          </w:tcPr>
          <w:p>
            <w:pPr>
              <w:pStyle w:val="TableParagraph"/>
              <w:spacing w:line="194" w:lineRule="exact"/>
              <w:ind w:left="65" w:right="52"/>
              <w:jc w:val="center"/>
              <w:rPr>
                <w:sz w:val="17"/>
              </w:rPr>
            </w:pPr>
            <w:r>
              <w:rPr>
                <w:sz w:val="17"/>
              </w:rPr>
              <w:t>Bajo</w:t>
            </w:r>
          </w:p>
        </w:tc>
        <w:tc>
          <w:tcPr>
            <w:tcW w:w="921" w:type="dxa"/>
          </w:tcPr>
          <w:p>
            <w:pPr>
              <w:pStyle w:val="TableParagraph"/>
              <w:spacing w:line="194" w:lineRule="exact"/>
              <w:ind w:left="201"/>
              <w:rPr>
                <w:sz w:val="17"/>
              </w:rPr>
            </w:pPr>
            <w:r>
              <w:rPr>
                <w:sz w:val="17"/>
              </w:rPr>
              <w:t>1512</w:t>
            </w:r>
          </w:p>
        </w:tc>
      </w:tr>
      <w:tr>
        <w:trPr>
          <w:trHeight w:val="214" w:hRule="exact"/>
        </w:trPr>
        <w:tc>
          <w:tcPr>
            <w:tcW w:w="921" w:type="dxa"/>
            <w:shd w:val="clear" w:color="auto" w:fill="F1DCDB"/>
          </w:tcPr>
          <w:p>
            <w:pPr>
              <w:pStyle w:val="TableParagraph"/>
              <w:spacing w:line="193" w:lineRule="exact"/>
              <w:ind w:left="342" w:right="335"/>
              <w:jc w:val="center"/>
              <w:rPr>
                <w:sz w:val="17"/>
              </w:rPr>
            </w:pPr>
            <w:r>
              <w:rPr>
                <w:sz w:val="17"/>
              </w:rPr>
              <w:t>15</w:t>
            </w:r>
          </w:p>
        </w:tc>
        <w:tc>
          <w:tcPr>
            <w:tcW w:w="919" w:type="dxa"/>
            <w:shd w:val="clear" w:color="auto" w:fill="F1DCDB"/>
          </w:tcPr>
          <w:p>
            <w:pPr>
              <w:pStyle w:val="TableParagraph"/>
              <w:spacing w:line="193" w:lineRule="exact"/>
              <w:ind w:left="156" w:right="170"/>
              <w:jc w:val="center"/>
              <w:rPr>
                <w:sz w:val="17"/>
              </w:rPr>
            </w:pPr>
            <w:r>
              <w:rPr>
                <w:sz w:val="17"/>
              </w:rPr>
              <w:t>México</w:t>
            </w:r>
          </w:p>
        </w:tc>
        <w:tc>
          <w:tcPr>
            <w:tcW w:w="921" w:type="dxa"/>
            <w:shd w:val="clear" w:color="auto" w:fill="F1DCDB"/>
          </w:tcPr>
          <w:p>
            <w:pPr>
              <w:pStyle w:val="TableParagraph"/>
              <w:spacing w:line="193" w:lineRule="exact"/>
              <w:ind w:right="208"/>
              <w:jc w:val="right"/>
              <w:rPr>
                <w:sz w:val="17"/>
              </w:rPr>
            </w:pPr>
            <w:r>
              <w:rPr>
                <w:sz w:val="17"/>
              </w:rPr>
              <w:t>15082</w:t>
            </w:r>
          </w:p>
        </w:tc>
        <w:tc>
          <w:tcPr>
            <w:tcW w:w="2365" w:type="dxa"/>
            <w:shd w:val="clear" w:color="auto" w:fill="F1DCDB"/>
          </w:tcPr>
          <w:p>
            <w:pPr>
              <w:pStyle w:val="TableParagraph"/>
              <w:spacing w:line="193" w:lineRule="exact"/>
              <w:ind w:left="177"/>
              <w:rPr>
                <w:sz w:val="17"/>
              </w:rPr>
            </w:pPr>
            <w:r>
              <w:rPr>
                <w:sz w:val="17"/>
              </w:rPr>
              <w:t>Tejupilco</w:t>
            </w:r>
          </w:p>
        </w:tc>
        <w:tc>
          <w:tcPr>
            <w:tcW w:w="921" w:type="dxa"/>
            <w:shd w:val="clear" w:color="auto" w:fill="F1DCDB"/>
          </w:tcPr>
          <w:p>
            <w:pPr>
              <w:pStyle w:val="TableParagraph"/>
              <w:spacing w:line="193" w:lineRule="exact"/>
              <w:ind w:right="165"/>
              <w:jc w:val="right"/>
              <w:rPr>
                <w:sz w:val="17"/>
              </w:rPr>
            </w:pPr>
            <w:r>
              <w:rPr>
                <w:sz w:val="17"/>
              </w:rPr>
              <w:t>71,077</w:t>
            </w:r>
          </w:p>
        </w:tc>
        <w:tc>
          <w:tcPr>
            <w:tcW w:w="920" w:type="dxa"/>
            <w:shd w:val="clear" w:color="auto" w:fill="F1DCDB"/>
          </w:tcPr>
          <w:p>
            <w:pPr>
              <w:pStyle w:val="TableParagraph"/>
              <w:spacing w:line="193" w:lineRule="exact"/>
              <w:ind w:left="68" w:right="59"/>
              <w:jc w:val="center"/>
              <w:rPr>
                <w:sz w:val="17"/>
              </w:rPr>
            </w:pPr>
            <w:r>
              <w:rPr>
                <w:sz w:val="17"/>
              </w:rPr>
              <w:t>-0.12330</w:t>
            </w:r>
          </w:p>
        </w:tc>
        <w:tc>
          <w:tcPr>
            <w:tcW w:w="921" w:type="dxa"/>
            <w:shd w:val="clear" w:color="auto" w:fill="F1DCDB"/>
          </w:tcPr>
          <w:p>
            <w:pPr>
              <w:pStyle w:val="TableParagraph"/>
              <w:spacing w:line="193" w:lineRule="exact"/>
              <w:ind w:left="65" w:right="52"/>
              <w:jc w:val="center"/>
              <w:rPr>
                <w:sz w:val="17"/>
              </w:rPr>
            </w:pPr>
            <w:r>
              <w:rPr>
                <w:sz w:val="17"/>
              </w:rPr>
              <w:t>Bajo</w:t>
            </w:r>
          </w:p>
        </w:tc>
        <w:tc>
          <w:tcPr>
            <w:tcW w:w="921" w:type="dxa"/>
            <w:shd w:val="clear" w:color="auto" w:fill="F1DCDB"/>
          </w:tcPr>
          <w:p>
            <w:pPr>
              <w:pStyle w:val="TableParagraph"/>
              <w:spacing w:line="193" w:lineRule="exact"/>
              <w:ind w:left="201"/>
              <w:rPr>
                <w:sz w:val="17"/>
              </w:rPr>
            </w:pPr>
            <w:r>
              <w:rPr>
                <w:sz w:val="17"/>
              </w:rPr>
              <w:t>1219</w:t>
            </w:r>
          </w:p>
        </w:tc>
      </w:tr>
      <w:tr>
        <w:trPr>
          <w:trHeight w:val="214" w:hRule="exact"/>
        </w:trPr>
        <w:tc>
          <w:tcPr>
            <w:tcW w:w="921" w:type="dxa"/>
          </w:tcPr>
          <w:p>
            <w:pPr>
              <w:pStyle w:val="TableParagraph"/>
              <w:spacing w:line="193" w:lineRule="exact"/>
              <w:ind w:left="342" w:right="335"/>
              <w:jc w:val="center"/>
              <w:rPr>
                <w:sz w:val="17"/>
              </w:rPr>
            </w:pPr>
            <w:r>
              <w:rPr>
                <w:sz w:val="17"/>
              </w:rPr>
              <w:t>15</w:t>
            </w:r>
          </w:p>
        </w:tc>
        <w:tc>
          <w:tcPr>
            <w:tcW w:w="919" w:type="dxa"/>
          </w:tcPr>
          <w:p>
            <w:pPr>
              <w:pStyle w:val="TableParagraph"/>
              <w:spacing w:line="193" w:lineRule="exact"/>
              <w:ind w:left="156" w:right="170"/>
              <w:jc w:val="center"/>
              <w:rPr>
                <w:sz w:val="17"/>
              </w:rPr>
            </w:pPr>
            <w:r>
              <w:rPr>
                <w:sz w:val="17"/>
              </w:rPr>
              <w:t>México</w:t>
            </w:r>
          </w:p>
        </w:tc>
        <w:tc>
          <w:tcPr>
            <w:tcW w:w="921" w:type="dxa"/>
          </w:tcPr>
          <w:p>
            <w:pPr>
              <w:pStyle w:val="TableParagraph"/>
              <w:spacing w:line="193" w:lineRule="exact"/>
              <w:ind w:right="208"/>
              <w:jc w:val="right"/>
              <w:rPr>
                <w:sz w:val="17"/>
              </w:rPr>
            </w:pPr>
            <w:r>
              <w:rPr>
                <w:sz w:val="17"/>
              </w:rPr>
              <w:t>15088</w:t>
            </w:r>
          </w:p>
        </w:tc>
        <w:tc>
          <w:tcPr>
            <w:tcW w:w="2365" w:type="dxa"/>
          </w:tcPr>
          <w:p>
            <w:pPr>
              <w:pStyle w:val="TableParagraph"/>
              <w:spacing w:line="193" w:lineRule="exact"/>
              <w:ind w:left="177"/>
              <w:rPr>
                <w:sz w:val="17"/>
              </w:rPr>
            </w:pPr>
            <w:r>
              <w:rPr>
                <w:sz w:val="17"/>
              </w:rPr>
              <w:t>Tenancingo</w:t>
            </w:r>
          </w:p>
        </w:tc>
        <w:tc>
          <w:tcPr>
            <w:tcW w:w="921" w:type="dxa"/>
          </w:tcPr>
          <w:p>
            <w:pPr>
              <w:pStyle w:val="TableParagraph"/>
              <w:spacing w:line="193" w:lineRule="exact"/>
              <w:ind w:right="165"/>
              <w:jc w:val="right"/>
              <w:rPr>
                <w:sz w:val="17"/>
              </w:rPr>
            </w:pPr>
            <w:r>
              <w:rPr>
                <w:sz w:val="17"/>
              </w:rPr>
              <w:t>90,946</w:t>
            </w:r>
          </w:p>
        </w:tc>
        <w:tc>
          <w:tcPr>
            <w:tcW w:w="920" w:type="dxa"/>
          </w:tcPr>
          <w:p>
            <w:pPr>
              <w:pStyle w:val="TableParagraph"/>
              <w:spacing w:line="193" w:lineRule="exact"/>
              <w:ind w:left="68" w:right="59"/>
              <w:jc w:val="center"/>
              <w:rPr>
                <w:sz w:val="17"/>
              </w:rPr>
            </w:pPr>
            <w:r>
              <w:rPr>
                <w:sz w:val="17"/>
              </w:rPr>
              <w:t>-0.55170</w:t>
            </w:r>
          </w:p>
        </w:tc>
        <w:tc>
          <w:tcPr>
            <w:tcW w:w="921" w:type="dxa"/>
          </w:tcPr>
          <w:p>
            <w:pPr>
              <w:pStyle w:val="TableParagraph"/>
              <w:spacing w:line="193" w:lineRule="exact"/>
              <w:ind w:left="65" w:right="52"/>
              <w:jc w:val="center"/>
              <w:rPr>
                <w:sz w:val="17"/>
              </w:rPr>
            </w:pPr>
            <w:r>
              <w:rPr>
                <w:sz w:val="17"/>
              </w:rPr>
              <w:t>Bajo</w:t>
            </w:r>
          </w:p>
        </w:tc>
        <w:tc>
          <w:tcPr>
            <w:tcW w:w="921" w:type="dxa"/>
          </w:tcPr>
          <w:p>
            <w:pPr>
              <w:pStyle w:val="TableParagraph"/>
              <w:spacing w:line="193" w:lineRule="exact"/>
              <w:ind w:left="201"/>
              <w:rPr>
                <w:sz w:val="17"/>
              </w:rPr>
            </w:pPr>
            <w:r>
              <w:rPr>
                <w:sz w:val="17"/>
              </w:rPr>
              <w:t>1614</w:t>
            </w:r>
          </w:p>
        </w:tc>
      </w:tr>
      <w:tr>
        <w:trPr>
          <w:trHeight w:val="215" w:hRule="exact"/>
        </w:trPr>
        <w:tc>
          <w:tcPr>
            <w:tcW w:w="921" w:type="dxa"/>
            <w:shd w:val="clear" w:color="auto" w:fill="F1DCDB"/>
          </w:tcPr>
          <w:p>
            <w:pPr>
              <w:pStyle w:val="TableParagraph"/>
              <w:spacing w:line="194" w:lineRule="exact"/>
              <w:ind w:left="342" w:right="335"/>
              <w:jc w:val="center"/>
              <w:rPr>
                <w:sz w:val="17"/>
              </w:rPr>
            </w:pPr>
            <w:r>
              <w:rPr>
                <w:sz w:val="17"/>
              </w:rPr>
              <w:t>15</w:t>
            </w:r>
          </w:p>
        </w:tc>
        <w:tc>
          <w:tcPr>
            <w:tcW w:w="919" w:type="dxa"/>
            <w:shd w:val="clear" w:color="auto" w:fill="F1DCDB"/>
          </w:tcPr>
          <w:p>
            <w:pPr>
              <w:pStyle w:val="TableParagraph"/>
              <w:spacing w:line="194" w:lineRule="exact"/>
              <w:ind w:left="156" w:right="170"/>
              <w:jc w:val="center"/>
              <w:rPr>
                <w:sz w:val="17"/>
              </w:rPr>
            </w:pPr>
            <w:r>
              <w:rPr>
                <w:sz w:val="17"/>
              </w:rPr>
              <w:t>México</w:t>
            </w:r>
          </w:p>
        </w:tc>
        <w:tc>
          <w:tcPr>
            <w:tcW w:w="921" w:type="dxa"/>
            <w:shd w:val="clear" w:color="auto" w:fill="F1DCDB"/>
          </w:tcPr>
          <w:p>
            <w:pPr>
              <w:pStyle w:val="TableParagraph"/>
              <w:spacing w:line="194" w:lineRule="exact"/>
              <w:ind w:right="208"/>
              <w:jc w:val="right"/>
              <w:rPr>
                <w:sz w:val="17"/>
              </w:rPr>
            </w:pPr>
            <w:r>
              <w:rPr>
                <w:sz w:val="17"/>
              </w:rPr>
              <w:t>15090</w:t>
            </w:r>
          </w:p>
        </w:tc>
        <w:tc>
          <w:tcPr>
            <w:tcW w:w="2365" w:type="dxa"/>
            <w:shd w:val="clear" w:color="auto" w:fill="F1DCDB"/>
          </w:tcPr>
          <w:p>
            <w:pPr>
              <w:pStyle w:val="TableParagraph"/>
              <w:spacing w:line="194" w:lineRule="exact"/>
              <w:ind w:left="177"/>
              <w:rPr>
                <w:sz w:val="17"/>
              </w:rPr>
            </w:pPr>
            <w:r>
              <w:rPr>
                <w:sz w:val="17"/>
              </w:rPr>
              <w:t>Tenango del Valle</w:t>
            </w:r>
          </w:p>
        </w:tc>
        <w:tc>
          <w:tcPr>
            <w:tcW w:w="921" w:type="dxa"/>
            <w:shd w:val="clear" w:color="auto" w:fill="F1DCDB"/>
          </w:tcPr>
          <w:p>
            <w:pPr>
              <w:pStyle w:val="TableParagraph"/>
              <w:spacing w:line="194" w:lineRule="exact"/>
              <w:ind w:right="165"/>
              <w:jc w:val="right"/>
              <w:rPr>
                <w:sz w:val="17"/>
              </w:rPr>
            </w:pPr>
            <w:r>
              <w:rPr>
                <w:sz w:val="17"/>
              </w:rPr>
              <w:t>77,965</w:t>
            </w:r>
          </w:p>
        </w:tc>
        <w:tc>
          <w:tcPr>
            <w:tcW w:w="920" w:type="dxa"/>
            <w:shd w:val="clear" w:color="auto" w:fill="F1DCDB"/>
          </w:tcPr>
          <w:p>
            <w:pPr>
              <w:pStyle w:val="TableParagraph"/>
              <w:spacing w:line="194" w:lineRule="exact"/>
              <w:ind w:left="68" w:right="59"/>
              <w:jc w:val="center"/>
              <w:rPr>
                <w:sz w:val="17"/>
              </w:rPr>
            </w:pPr>
            <w:r>
              <w:rPr>
                <w:sz w:val="17"/>
              </w:rPr>
              <w:t>-0.51907</w:t>
            </w:r>
          </w:p>
        </w:tc>
        <w:tc>
          <w:tcPr>
            <w:tcW w:w="921" w:type="dxa"/>
            <w:shd w:val="clear" w:color="auto" w:fill="F1DCDB"/>
          </w:tcPr>
          <w:p>
            <w:pPr>
              <w:pStyle w:val="TableParagraph"/>
              <w:spacing w:line="194" w:lineRule="exact"/>
              <w:ind w:left="65" w:right="52"/>
              <w:jc w:val="center"/>
              <w:rPr>
                <w:sz w:val="17"/>
              </w:rPr>
            </w:pPr>
            <w:r>
              <w:rPr>
                <w:sz w:val="17"/>
              </w:rPr>
              <w:t>Bajo</w:t>
            </w:r>
          </w:p>
        </w:tc>
        <w:tc>
          <w:tcPr>
            <w:tcW w:w="921" w:type="dxa"/>
            <w:shd w:val="clear" w:color="auto" w:fill="F1DCDB"/>
          </w:tcPr>
          <w:p>
            <w:pPr>
              <w:pStyle w:val="TableParagraph"/>
              <w:spacing w:line="194" w:lineRule="exact"/>
              <w:ind w:left="201"/>
              <w:rPr>
                <w:sz w:val="17"/>
              </w:rPr>
            </w:pPr>
            <w:r>
              <w:rPr>
                <w:sz w:val="17"/>
              </w:rPr>
              <w:t>1581</w:t>
            </w:r>
          </w:p>
        </w:tc>
      </w:tr>
      <w:tr>
        <w:trPr>
          <w:trHeight w:val="214" w:hRule="exact"/>
        </w:trPr>
        <w:tc>
          <w:tcPr>
            <w:tcW w:w="921" w:type="dxa"/>
          </w:tcPr>
          <w:p>
            <w:pPr>
              <w:pStyle w:val="TableParagraph"/>
              <w:spacing w:line="193" w:lineRule="exact"/>
              <w:ind w:left="342" w:right="335"/>
              <w:jc w:val="center"/>
              <w:rPr>
                <w:sz w:val="17"/>
              </w:rPr>
            </w:pPr>
            <w:r>
              <w:rPr>
                <w:sz w:val="17"/>
              </w:rPr>
              <w:t>15</w:t>
            </w:r>
          </w:p>
        </w:tc>
        <w:tc>
          <w:tcPr>
            <w:tcW w:w="919" w:type="dxa"/>
          </w:tcPr>
          <w:p>
            <w:pPr>
              <w:pStyle w:val="TableParagraph"/>
              <w:spacing w:line="193" w:lineRule="exact"/>
              <w:ind w:left="156" w:right="170"/>
              <w:jc w:val="center"/>
              <w:rPr>
                <w:sz w:val="17"/>
              </w:rPr>
            </w:pPr>
            <w:r>
              <w:rPr>
                <w:sz w:val="17"/>
              </w:rPr>
              <w:t>México</w:t>
            </w:r>
          </w:p>
        </w:tc>
        <w:tc>
          <w:tcPr>
            <w:tcW w:w="921" w:type="dxa"/>
          </w:tcPr>
          <w:p>
            <w:pPr>
              <w:pStyle w:val="TableParagraph"/>
              <w:spacing w:line="193" w:lineRule="exact"/>
              <w:ind w:right="208"/>
              <w:jc w:val="right"/>
              <w:rPr>
                <w:sz w:val="17"/>
              </w:rPr>
            </w:pPr>
            <w:r>
              <w:rPr>
                <w:sz w:val="17"/>
              </w:rPr>
              <w:t>15094</w:t>
            </w:r>
          </w:p>
        </w:tc>
        <w:tc>
          <w:tcPr>
            <w:tcW w:w="2365" w:type="dxa"/>
          </w:tcPr>
          <w:p>
            <w:pPr>
              <w:pStyle w:val="TableParagraph"/>
              <w:spacing w:line="193" w:lineRule="exact"/>
              <w:ind w:left="177"/>
              <w:rPr>
                <w:sz w:val="17"/>
              </w:rPr>
            </w:pPr>
            <w:r>
              <w:rPr>
                <w:sz w:val="17"/>
              </w:rPr>
              <w:t>Tepetlixpa</w:t>
            </w:r>
          </w:p>
        </w:tc>
        <w:tc>
          <w:tcPr>
            <w:tcW w:w="921" w:type="dxa"/>
          </w:tcPr>
          <w:p>
            <w:pPr>
              <w:pStyle w:val="TableParagraph"/>
              <w:spacing w:line="193" w:lineRule="exact"/>
              <w:ind w:right="165"/>
              <w:jc w:val="right"/>
              <w:rPr>
                <w:sz w:val="17"/>
              </w:rPr>
            </w:pPr>
            <w:r>
              <w:rPr>
                <w:sz w:val="17"/>
              </w:rPr>
              <w:t>18,327</w:t>
            </w:r>
          </w:p>
        </w:tc>
        <w:tc>
          <w:tcPr>
            <w:tcW w:w="920" w:type="dxa"/>
          </w:tcPr>
          <w:p>
            <w:pPr>
              <w:pStyle w:val="TableParagraph"/>
              <w:spacing w:line="193" w:lineRule="exact"/>
              <w:ind w:left="68" w:right="59"/>
              <w:jc w:val="center"/>
              <w:rPr>
                <w:sz w:val="17"/>
              </w:rPr>
            </w:pPr>
            <w:r>
              <w:rPr>
                <w:sz w:val="17"/>
              </w:rPr>
              <w:t>-0.30026</w:t>
            </w:r>
          </w:p>
        </w:tc>
        <w:tc>
          <w:tcPr>
            <w:tcW w:w="921" w:type="dxa"/>
          </w:tcPr>
          <w:p>
            <w:pPr>
              <w:pStyle w:val="TableParagraph"/>
              <w:spacing w:line="193" w:lineRule="exact"/>
              <w:ind w:left="65" w:right="52"/>
              <w:jc w:val="center"/>
              <w:rPr>
                <w:sz w:val="17"/>
              </w:rPr>
            </w:pPr>
            <w:r>
              <w:rPr>
                <w:sz w:val="17"/>
              </w:rPr>
              <w:t>Bajo</w:t>
            </w:r>
          </w:p>
        </w:tc>
        <w:tc>
          <w:tcPr>
            <w:tcW w:w="921" w:type="dxa"/>
          </w:tcPr>
          <w:p>
            <w:pPr>
              <w:pStyle w:val="TableParagraph"/>
              <w:spacing w:line="193" w:lineRule="exact"/>
              <w:ind w:left="201"/>
              <w:rPr>
                <w:sz w:val="17"/>
              </w:rPr>
            </w:pPr>
            <w:r>
              <w:rPr>
                <w:sz w:val="17"/>
              </w:rPr>
              <w:t>1378</w:t>
            </w:r>
          </w:p>
        </w:tc>
      </w:tr>
      <w:tr>
        <w:trPr>
          <w:trHeight w:val="214" w:hRule="exact"/>
        </w:trPr>
        <w:tc>
          <w:tcPr>
            <w:tcW w:w="921" w:type="dxa"/>
            <w:shd w:val="clear" w:color="auto" w:fill="F1DCDB"/>
          </w:tcPr>
          <w:p>
            <w:pPr>
              <w:pStyle w:val="TableParagraph"/>
              <w:spacing w:line="193" w:lineRule="exact"/>
              <w:ind w:left="342" w:right="335"/>
              <w:jc w:val="center"/>
              <w:rPr>
                <w:sz w:val="17"/>
              </w:rPr>
            </w:pPr>
            <w:r>
              <w:rPr>
                <w:sz w:val="17"/>
              </w:rPr>
              <w:t>15</w:t>
            </w:r>
          </w:p>
        </w:tc>
        <w:tc>
          <w:tcPr>
            <w:tcW w:w="919" w:type="dxa"/>
            <w:shd w:val="clear" w:color="auto" w:fill="F1DCDB"/>
          </w:tcPr>
          <w:p>
            <w:pPr>
              <w:pStyle w:val="TableParagraph"/>
              <w:spacing w:line="193" w:lineRule="exact"/>
              <w:ind w:left="156" w:right="170"/>
              <w:jc w:val="center"/>
              <w:rPr>
                <w:sz w:val="17"/>
              </w:rPr>
            </w:pPr>
            <w:r>
              <w:rPr>
                <w:sz w:val="17"/>
              </w:rPr>
              <w:t>México</w:t>
            </w:r>
          </w:p>
        </w:tc>
        <w:tc>
          <w:tcPr>
            <w:tcW w:w="921" w:type="dxa"/>
            <w:shd w:val="clear" w:color="auto" w:fill="F1DCDB"/>
          </w:tcPr>
          <w:p>
            <w:pPr>
              <w:pStyle w:val="TableParagraph"/>
              <w:spacing w:line="193" w:lineRule="exact"/>
              <w:ind w:right="208"/>
              <w:jc w:val="right"/>
              <w:rPr>
                <w:sz w:val="17"/>
              </w:rPr>
            </w:pPr>
            <w:r>
              <w:rPr>
                <w:sz w:val="17"/>
              </w:rPr>
              <w:t>15102</w:t>
            </w:r>
          </w:p>
        </w:tc>
        <w:tc>
          <w:tcPr>
            <w:tcW w:w="2365" w:type="dxa"/>
            <w:shd w:val="clear" w:color="auto" w:fill="F1DCDB"/>
          </w:tcPr>
          <w:p>
            <w:pPr>
              <w:pStyle w:val="TableParagraph"/>
              <w:spacing w:line="193" w:lineRule="exact"/>
              <w:ind w:left="177"/>
              <w:rPr>
                <w:sz w:val="17"/>
              </w:rPr>
            </w:pPr>
            <w:r>
              <w:rPr>
                <w:sz w:val="17"/>
              </w:rPr>
              <w:t>Timilpan</w:t>
            </w:r>
          </w:p>
        </w:tc>
        <w:tc>
          <w:tcPr>
            <w:tcW w:w="921" w:type="dxa"/>
            <w:shd w:val="clear" w:color="auto" w:fill="F1DCDB"/>
          </w:tcPr>
          <w:p>
            <w:pPr>
              <w:pStyle w:val="TableParagraph"/>
              <w:spacing w:line="193" w:lineRule="exact"/>
              <w:ind w:right="165"/>
              <w:jc w:val="right"/>
              <w:rPr>
                <w:sz w:val="17"/>
              </w:rPr>
            </w:pPr>
            <w:r>
              <w:rPr>
                <w:sz w:val="17"/>
              </w:rPr>
              <w:t>15,391</w:t>
            </w:r>
          </w:p>
        </w:tc>
        <w:tc>
          <w:tcPr>
            <w:tcW w:w="920" w:type="dxa"/>
            <w:shd w:val="clear" w:color="auto" w:fill="F1DCDB"/>
          </w:tcPr>
          <w:p>
            <w:pPr>
              <w:pStyle w:val="TableParagraph"/>
              <w:spacing w:line="193" w:lineRule="exact"/>
              <w:ind w:left="68" w:right="59"/>
              <w:jc w:val="center"/>
              <w:rPr>
                <w:sz w:val="17"/>
              </w:rPr>
            </w:pPr>
            <w:r>
              <w:rPr>
                <w:sz w:val="17"/>
              </w:rPr>
              <w:t>-0.40675</w:t>
            </w:r>
          </w:p>
        </w:tc>
        <w:tc>
          <w:tcPr>
            <w:tcW w:w="921" w:type="dxa"/>
            <w:shd w:val="clear" w:color="auto" w:fill="F1DCDB"/>
          </w:tcPr>
          <w:p>
            <w:pPr>
              <w:pStyle w:val="TableParagraph"/>
              <w:spacing w:line="193" w:lineRule="exact"/>
              <w:ind w:left="65" w:right="52"/>
              <w:jc w:val="center"/>
              <w:rPr>
                <w:sz w:val="17"/>
              </w:rPr>
            </w:pPr>
            <w:r>
              <w:rPr>
                <w:sz w:val="17"/>
              </w:rPr>
              <w:t>Bajo</w:t>
            </w:r>
          </w:p>
        </w:tc>
        <w:tc>
          <w:tcPr>
            <w:tcW w:w="921" w:type="dxa"/>
            <w:shd w:val="clear" w:color="auto" w:fill="F1DCDB"/>
          </w:tcPr>
          <w:p>
            <w:pPr>
              <w:pStyle w:val="TableParagraph"/>
              <w:spacing w:line="193" w:lineRule="exact"/>
              <w:ind w:left="201"/>
              <w:rPr>
                <w:sz w:val="17"/>
              </w:rPr>
            </w:pPr>
            <w:r>
              <w:rPr>
                <w:sz w:val="17"/>
              </w:rPr>
              <w:t>1461</w:t>
            </w:r>
          </w:p>
        </w:tc>
      </w:tr>
    </w:tbl>
    <w:p>
      <w:pPr>
        <w:spacing w:after="0" w:line="193" w:lineRule="exact"/>
        <w:rPr>
          <w:sz w:val="17"/>
        </w:rPr>
        <w:sectPr>
          <w:type w:val="continuous"/>
          <w:pgSz w:w="15840" w:h="12240" w:orient="landscape"/>
          <w:pgMar w:top="0" w:bottom="280" w:left="2260" w:right="2260"/>
        </w:sectPr>
      </w:pPr>
    </w:p>
    <w:p>
      <w:pPr>
        <w:pStyle w:val="BodyText"/>
        <w:rPr>
          <w:b/>
          <w:sz w:val="20"/>
        </w:rPr>
      </w:pPr>
      <w:r>
        <w:rPr/>
        <w:pict>
          <v:shape style="position:absolute;margin-left:177.869736pt;margin-top:100.6166pt;width:446.95pt;height:134.15pt;mso-position-horizontal-relative:page;mso-position-vertical-relative:page;z-index:-680896" type="#_x0000_t202" filled="false" stroked="false">
            <v:textbox inset="0,0,0,0">
              <w:txbxContent>
                <w:p>
                  <w:pPr>
                    <w:pStyle w:val="BodyText"/>
                    <w:rPr>
                      <w:sz w:val="20"/>
                    </w:rPr>
                  </w:pPr>
                </w:p>
                <w:p>
                  <w:pPr>
                    <w:pStyle w:val="BodyText"/>
                    <w:spacing w:before="8"/>
                    <w:rPr>
                      <w:sz w:val="28"/>
                    </w:rPr>
                  </w:pPr>
                </w:p>
                <w:p>
                  <w:pPr>
                    <w:spacing w:before="0"/>
                    <w:ind w:left="165" w:right="0" w:firstLine="0"/>
                    <w:jc w:val="left"/>
                    <w:rPr>
                      <w:sz w:val="20"/>
                    </w:rPr>
                  </w:pPr>
                  <w:r>
                    <w:rPr>
                      <w:b/>
                      <w:sz w:val="20"/>
                    </w:rPr>
                    <w:t>Fuente</w:t>
                  </w:r>
                  <w:r>
                    <w:rPr>
                      <w:sz w:val="20"/>
                    </w:rPr>
                    <w:t>: Estimaciones del CONEVAL con base en el Censo de Población y Vivienda 2010.</w:t>
                  </w:r>
                </w:p>
              </w:txbxContent>
            </v:textbox>
            <w10:wrap type="none"/>
          </v:shape>
        </w:pict>
      </w:r>
      <w:r>
        <w:rPr/>
        <w:pict>
          <v:group style="position:absolute;margin-left:177.494736pt;margin-top:100.6166pt;width:447.7pt;height:134.15pt;mso-position-horizontal-relative:page;mso-position-vertical-relative:page;z-index:-680824" coordorigin="3550,2012" coordsize="8954,2683">
            <v:rect style="position:absolute;left:3557;top:2012;width:8938;height:2683" filled="true" fillcolor="#ffffff" stroked="false">
              <v:fill type="solid"/>
            </v:rect>
            <v:shape style="position:absolute;left:3557;top:2408;width:8939;height:2" coordorigin="3557,2408" coordsize="8939,0" path="m3557,2408l3557,2408,12496,2408e" filled="false" stroked="true" strokeweight=".733538pt" strokecolor="#000000">
              <v:path arrowok="t"/>
            </v:shape>
            <v:shape style="position:absolute;left:4143;top:2304;width:949;height:240" type="#_x0000_t202" filled="false" stroked="false">
              <v:textbox inset="0,0,0,0">
                <w:txbxContent>
                  <w:p>
                    <w:pPr>
                      <w:spacing w:line="240" w:lineRule="exact" w:before="0"/>
                      <w:ind w:left="0" w:right="-19" w:firstLine="0"/>
                      <w:jc w:val="left"/>
                      <w:rPr>
                        <w:sz w:val="24"/>
                      </w:rPr>
                    </w:pPr>
                    <w:r>
                      <w:rPr>
                        <w:sz w:val="24"/>
                      </w:rPr>
                      <w:t>Anexo 6.</w:t>
                    </w:r>
                  </w:p>
                </w:txbxContent>
              </v:textbox>
              <w10:wrap type="none"/>
            </v:shape>
            <v:shape style="position:absolute;left:5178;top:2203;width:5708;height:185" type="#_x0000_t202" filled="false" stroked="false">
              <v:textbox inset="0,0,0,0">
                <w:txbxContent>
                  <w:p>
                    <w:pPr>
                      <w:spacing w:line="184" w:lineRule="exact" w:before="0"/>
                      <w:ind w:left="0" w:right="0" w:firstLine="0"/>
                      <w:jc w:val="left"/>
                      <w:rPr>
                        <w:b/>
                        <w:sz w:val="18"/>
                      </w:rPr>
                    </w:pPr>
                    <w:r>
                      <w:rPr>
                        <w:b/>
                        <w:sz w:val="18"/>
                      </w:rPr>
                      <w:t>Rezago Social. Municipios del Estado de México en Grado   Medio</w:t>
                    </w:r>
                  </w:p>
                </w:txbxContent>
              </v:textbox>
              <w10:wrap type="none"/>
            </v:shape>
            <w10:wrap type="none"/>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0"/>
        </w:rPr>
      </w:pPr>
    </w:p>
    <w:tbl>
      <w:tblPr>
        <w:tblW w:w="0" w:type="auto"/>
        <w:jc w:val="left"/>
        <w:tblInd w:w="12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02"/>
        <w:gridCol w:w="1003"/>
        <w:gridCol w:w="1003"/>
        <w:gridCol w:w="1914"/>
        <w:gridCol w:w="1003"/>
        <w:gridCol w:w="1002"/>
        <w:gridCol w:w="1003"/>
        <w:gridCol w:w="1003"/>
      </w:tblGrid>
      <w:tr>
        <w:trPr>
          <w:trHeight w:val="1582" w:hRule="exact"/>
        </w:trPr>
        <w:tc>
          <w:tcPr>
            <w:tcW w:w="1002" w:type="dxa"/>
            <w:vMerge w:val="restart"/>
          </w:tcPr>
          <w:p>
            <w:pPr>
              <w:pStyle w:val="TableParagraph"/>
              <w:rPr>
                <w:b/>
                <w:sz w:val="18"/>
              </w:rPr>
            </w:pPr>
          </w:p>
          <w:p>
            <w:pPr>
              <w:pStyle w:val="TableParagraph"/>
              <w:rPr>
                <w:b/>
                <w:sz w:val="18"/>
              </w:rPr>
            </w:pPr>
          </w:p>
          <w:p>
            <w:pPr>
              <w:pStyle w:val="TableParagraph"/>
              <w:spacing w:before="7"/>
              <w:rPr>
                <w:b/>
                <w:sz w:val="22"/>
              </w:rPr>
            </w:pPr>
          </w:p>
          <w:p>
            <w:pPr>
              <w:pStyle w:val="TableParagraph"/>
              <w:spacing w:line="268" w:lineRule="auto" w:before="1"/>
              <w:ind w:left="65" w:firstLine="53"/>
              <w:rPr>
                <w:b/>
                <w:sz w:val="18"/>
              </w:rPr>
            </w:pPr>
            <w:r>
              <w:rPr>
                <w:b/>
                <w:sz w:val="18"/>
              </w:rPr>
              <w:t>Clave de la entidad</w:t>
            </w:r>
          </w:p>
        </w:tc>
        <w:tc>
          <w:tcPr>
            <w:tcW w:w="1003" w:type="dxa"/>
            <w:vMerge w:val="restart"/>
          </w:tcPr>
          <w:p>
            <w:pPr>
              <w:pStyle w:val="TableParagraph"/>
              <w:rPr>
                <w:b/>
                <w:sz w:val="18"/>
              </w:rPr>
            </w:pPr>
          </w:p>
          <w:p>
            <w:pPr>
              <w:pStyle w:val="TableParagraph"/>
              <w:rPr>
                <w:b/>
                <w:sz w:val="18"/>
              </w:rPr>
            </w:pPr>
          </w:p>
          <w:p>
            <w:pPr>
              <w:pStyle w:val="TableParagraph"/>
              <w:spacing w:before="7"/>
              <w:rPr>
                <w:b/>
                <w:sz w:val="22"/>
              </w:rPr>
            </w:pPr>
          </w:p>
          <w:p>
            <w:pPr>
              <w:pStyle w:val="TableParagraph"/>
              <w:spacing w:line="268" w:lineRule="auto" w:before="1"/>
              <w:ind w:left="61" w:firstLine="99"/>
              <w:rPr>
                <w:b/>
                <w:sz w:val="18"/>
              </w:rPr>
            </w:pPr>
            <w:r>
              <w:rPr>
                <w:b/>
                <w:sz w:val="18"/>
              </w:rPr>
              <w:t>Entidad federativa</w:t>
            </w:r>
          </w:p>
        </w:tc>
        <w:tc>
          <w:tcPr>
            <w:tcW w:w="1003" w:type="dxa"/>
            <w:vMerge w:val="restart"/>
          </w:tcPr>
          <w:p>
            <w:pPr>
              <w:pStyle w:val="TableParagraph"/>
              <w:rPr>
                <w:b/>
                <w:sz w:val="18"/>
              </w:rPr>
            </w:pPr>
          </w:p>
          <w:p>
            <w:pPr>
              <w:pStyle w:val="TableParagraph"/>
              <w:rPr>
                <w:b/>
                <w:sz w:val="18"/>
              </w:rPr>
            </w:pPr>
          </w:p>
          <w:p>
            <w:pPr>
              <w:pStyle w:val="TableParagraph"/>
              <w:spacing w:before="7"/>
              <w:rPr>
                <w:b/>
                <w:sz w:val="22"/>
              </w:rPr>
            </w:pPr>
          </w:p>
          <w:p>
            <w:pPr>
              <w:pStyle w:val="TableParagraph"/>
              <w:spacing w:line="268" w:lineRule="auto" w:before="1"/>
              <w:ind w:left="61" w:firstLine="32"/>
              <w:rPr>
                <w:b/>
                <w:sz w:val="18"/>
              </w:rPr>
            </w:pPr>
            <w:r>
              <w:rPr>
                <w:b/>
                <w:sz w:val="18"/>
              </w:rPr>
              <w:t>Clave del municipio</w:t>
            </w:r>
          </w:p>
        </w:tc>
        <w:tc>
          <w:tcPr>
            <w:tcW w:w="1914" w:type="dxa"/>
            <w:vMerge w:val="restart"/>
          </w:tcPr>
          <w:p>
            <w:pPr>
              <w:pStyle w:val="TableParagraph"/>
              <w:rPr>
                <w:b/>
                <w:sz w:val="18"/>
              </w:rPr>
            </w:pPr>
          </w:p>
          <w:p>
            <w:pPr>
              <w:pStyle w:val="TableParagraph"/>
              <w:rPr>
                <w:b/>
                <w:sz w:val="18"/>
              </w:rPr>
            </w:pPr>
          </w:p>
          <w:p>
            <w:pPr>
              <w:pStyle w:val="TableParagraph"/>
              <w:rPr>
                <w:b/>
                <w:sz w:val="18"/>
              </w:rPr>
            </w:pPr>
          </w:p>
          <w:p>
            <w:pPr>
              <w:pStyle w:val="TableParagraph"/>
              <w:spacing w:before="11"/>
              <w:rPr>
                <w:b/>
                <w:sz w:val="14"/>
              </w:rPr>
            </w:pPr>
          </w:p>
          <w:p>
            <w:pPr>
              <w:pStyle w:val="TableParagraph"/>
              <w:ind w:left="522"/>
              <w:rPr>
                <w:b/>
                <w:sz w:val="18"/>
              </w:rPr>
            </w:pPr>
            <w:r>
              <w:rPr>
                <w:b/>
                <w:sz w:val="18"/>
              </w:rPr>
              <w:t>Municipio</w:t>
            </w:r>
          </w:p>
        </w:tc>
        <w:tc>
          <w:tcPr>
            <w:tcW w:w="1003" w:type="dxa"/>
          </w:tcPr>
          <w:p>
            <w:pPr>
              <w:pStyle w:val="TableParagraph"/>
              <w:rPr>
                <w:b/>
                <w:sz w:val="18"/>
              </w:rPr>
            </w:pPr>
          </w:p>
          <w:p>
            <w:pPr>
              <w:pStyle w:val="TableParagraph"/>
              <w:rPr>
                <w:b/>
                <w:sz w:val="18"/>
              </w:rPr>
            </w:pPr>
          </w:p>
          <w:p>
            <w:pPr>
              <w:pStyle w:val="TableParagraph"/>
              <w:spacing w:line="268" w:lineRule="auto" w:before="146"/>
              <w:ind w:left="303" w:hanging="248"/>
              <w:rPr>
                <w:b/>
                <w:sz w:val="18"/>
              </w:rPr>
            </w:pPr>
            <w:r>
              <w:rPr>
                <w:b/>
                <w:sz w:val="18"/>
              </w:rPr>
              <w:t>Población total</w:t>
            </w:r>
          </w:p>
        </w:tc>
        <w:tc>
          <w:tcPr>
            <w:tcW w:w="1002" w:type="dxa"/>
          </w:tcPr>
          <w:p>
            <w:pPr>
              <w:pStyle w:val="TableParagraph"/>
              <w:rPr>
                <w:b/>
                <w:sz w:val="18"/>
              </w:rPr>
            </w:pPr>
          </w:p>
          <w:p>
            <w:pPr>
              <w:pStyle w:val="TableParagraph"/>
              <w:spacing w:before="5"/>
              <w:rPr>
                <w:b/>
                <w:sz w:val="20"/>
              </w:rPr>
            </w:pPr>
          </w:p>
          <w:p>
            <w:pPr>
              <w:pStyle w:val="TableParagraph"/>
              <w:spacing w:line="268" w:lineRule="auto"/>
              <w:ind w:left="96" w:right="90"/>
              <w:jc w:val="center"/>
              <w:rPr>
                <w:b/>
                <w:sz w:val="18"/>
              </w:rPr>
            </w:pPr>
            <w:r>
              <w:rPr>
                <w:b/>
                <w:sz w:val="18"/>
              </w:rPr>
              <w:t>Índice de rezago social</w:t>
            </w:r>
          </w:p>
        </w:tc>
        <w:tc>
          <w:tcPr>
            <w:tcW w:w="1003" w:type="dxa"/>
          </w:tcPr>
          <w:p>
            <w:pPr>
              <w:pStyle w:val="TableParagraph"/>
              <w:rPr>
                <w:b/>
                <w:sz w:val="18"/>
              </w:rPr>
            </w:pPr>
          </w:p>
          <w:p>
            <w:pPr>
              <w:pStyle w:val="TableParagraph"/>
              <w:spacing w:before="5"/>
              <w:rPr>
                <w:b/>
                <w:sz w:val="20"/>
              </w:rPr>
            </w:pPr>
          </w:p>
          <w:p>
            <w:pPr>
              <w:pStyle w:val="TableParagraph"/>
              <w:spacing w:line="268" w:lineRule="auto"/>
              <w:ind w:left="52" w:right="42"/>
              <w:jc w:val="center"/>
              <w:rPr>
                <w:b/>
                <w:sz w:val="18"/>
              </w:rPr>
            </w:pPr>
            <w:r>
              <w:rPr>
                <w:b/>
                <w:sz w:val="18"/>
              </w:rPr>
              <w:t>Grado de rezago social</w:t>
            </w:r>
          </w:p>
        </w:tc>
        <w:tc>
          <w:tcPr>
            <w:tcW w:w="1003" w:type="dxa"/>
          </w:tcPr>
          <w:p>
            <w:pPr>
              <w:pStyle w:val="TableParagraph"/>
              <w:spacing w:before="1"/>
              <w:rPr>
                <w:b/>
                <w:sz w:val="18"/>
              </w:rPr>
            </w:pPr>
          </w:p>
          <w:p>
            <w:pPr>
              <w:pStyle w:val="TableParagraph"/>
              <w:spacing w:line="271" w:lineRule="auto"/>
              <w:ind w:left="53" w:right="42"/>
              <w:jc w:val="center"/>
              <w:rPr>
                <w:b/>
                <w:sz w:val="18"/>
              </w:rPr>
            </w:pPr>
            <w:r>
              <w:rPr>
                <w:b/>
                <w:sz w:val="18"/>
              </w:rPr>
              <w:t>Lugar que ocupa en el     contexto nacional</w:t>
            </w:r>
          </w:p>
        </w:tc>
      </w:tr>
      <w:tr>
        <w:trPr>
          <w:trHeight w:val="234" w:hRule="exact"/>
        </w:trPr>
        <w:tc>
          <w:tcPr>
            <w:tcW w:w="1002" w:type="dxa"/>
            <w:vMerge/>
          </w:tcPr>
          <w:p>
            <w:pPr/>
          </w:p>
        </w:tc>
        <w:tc>
          <w:tcPr>
            <w:tcW w:w="1003" w:type="dxa"/>
            <w:vMerge/>
          </w:tcPr>
          <w:p>
            <w:pPr/>
          </w:p>
        </w:tc>
        <w:tc>
          <w:tcPr>
            <w:tcW w:w="1003" w:type="dxa"/>
            <w:vMerge/>
          </w:tcPr>
          <w:p>
            <w:pPr/>
          </w:p>
        </w:tc>
        <w:tc>
          <w:tcPr>
            <w:tcW w:w="1914" w:type="dxa"/>
            <w:vMerge/>
          </w:tcPr>
          <w:p>
            <w:pPr/>
          </w:p>
        </w:tc>
        <w:tc>
          <w:tcPr>
            <w:tcW w:w="1003" w:type="dxa"/>
          </w:tcPr>
          <w:p>
            <w:pPr>
              <w:pStyle w:val="TableParagraph"/>
              <w:spacing w:before="3"/>
              <w:ind w:left="292"/>
              <w:rPr>
                <w:b/>
                <w:sz w:val="18"/>
              </w:rPr>
            </w:pPr>
            <w:r>
              <w:rPr>
                <w:b/>
                <w:sz w:val="18"/>
              </w:rPr>
              <w:t>2010</w:t>
            </w:r>
          </w:p>
        </w:tc>
        <w:tc>
          <w:tcPr>
            <w:tcW w:w="1002" w:type="dxa"/>
          </w:tcPr>
          <w:p>
            <w:pPr>
              <w:pStyle w:val="TableParagraph"/>
              <w:spacing w:before="3"/>
              <w:ind w:left="96" w:right="90"/>
              <w:jc w:val="center"/>
              <w:rPr>
                <w:b/>
                <w:sz w:val="18"/>
              </w:rPr>
            </w:pPr>
            <w:r>
              <w:rPr>
                <w:b/>
                <w:sz w:val="18"/>
              </w:rPr>
              <w:t>2010</w:t>
            </w:r>
          </w:p>
        </w:tc>
        <w:tc>
          <w:tcPr>
            <w:tcW w:w="1003" w:type="dxa"/>
          </w:tcPr>
          <w:p>
            <w:pPr>
              <w:pStyle w:val="TableParagraph"/>
              <w:spacing w:before="3"/>
              <w:ind w:left="50" w:right="42"/>
              <w:jc w:val="center"/>
              <w:rPr>
                <w:b/>
                <w:sz w:val="18"/>
              </w:rPr>
            </w:pPr>
            <w:r>
              <w:rPr>
                <w:b/>
                <w:sz w:val="18"/>
              </w:rPr>
              <w:t>2010</w:t>
            </w:r>
          </w:p>
        </w:tc>
        <w:tc>
          <w:tcPr>
            <w:tcW w:w="1003" w:type="dxa"/>
          </w:tcPr>
          <w:p>
            <w:pPr>
              <w:pStyle w:val="TableParagraph"/>
              <w:spacing w:before="3"/>
              <w:ind w:right="283"/>
              <w:jc w:val="right"/>
              <w:rPr>
                <w:b/>
                <w:sz w:val="18"/>
              </w:rPr>
            </w:pPr>
            <w:r>
              <w:rPr>
                <w:b/>
                <w:sz w:val="18"/>
              </w:rPr>
              <w:t>2010</w:t>
            </w:r>
          </w:p>
        </w:tc>
      </w:tr>
      <w:tr>
        <w:trPr>
          <w:trHeight w:val="232" w:hRule="exact"/>
        </w:trPr>
        <w:tc>
          <w:tcPr>
            <w:tcW w:w="1002" w:type="dxa"/>
            <w:shd w:val="clear" w:color="auto" w:fill="F1DCDB"/>
          </w:tcPr>
          <w:p>
            <w:pPr>
              <w:pStyle w:val="TableParagraph"/>
              <w:spacing w:before="1"/>
              <w:ind w:right="384"/>
              <w:jc w:val="right"/>
              <w:rPr>
                <w:sz w:val="18"/>
              </w:rPr>
            </w:pPr>
            <w:r>
              <w:rPr>
                <w:sz w:val="18"/>
              </w:rPr>
              <w:t>15</w:t>
            </w:r>
          </w:p>
        </w:tc>
        <w:tc>
          <w:tcPr>
            <w:tcW w:w="1003" w:type="dxa"/>
            <w:shd w:val="clear" w:color="auto" w:fill="F1DCDB"/>
          </w:tcPr>
          <w:p>
            <w:pPr>
              <w:pStyle w:val="TableParagraph"/>
              <w:spacing w:before="1"/>
              <w:ind w:left="182" w:right="196"/>
              <w:jc w:val="center"/>
              <w:rPr>
                <w:sz w:val="18"/>
              </w:rPr>
            </w:pPr>
            <w:r>
              <w:rPr>
                <w:sz w:val="18"/>
              </w:rPr>
              <w:t>México</w:t>
            </w:r>
          </w:p>
        </w:tc>
        <w:tc>
          <w:tcPr>
            <w:tcW w:w="1003" w:type="dxa"/>
            <w:shd w:val="clear" w:color="auto" w:fill="F1DCDB"/>
          </w:tcPr>
          <w:p>
            <w:pPr>
              <w:pStyle w:val="TableParagraph"/>
              <w:spacing w:before="1"/>
              <w:ind w:left="228" w:right="215"/>
              <w:jc w:val="center"/>
              <w:rPr>
                <w:sz w:val="18"/>
              </w:rPr>
            </w:pPr>
            <w:r>
              <w:rPr>
                <w:sz w:val="18"/>
              </w:rPr>
              <w:t>15001</w:t>
            </w:r>
          </w:p>
        </w:tc>
        <w:tc>
          <w:tcPr>
            <w:tcW w:w="1914" w:type="dxa"/>
            <w:shd w:val="clear" w:color="auto" w:fill="F1DCDB"/>
          </w:tcPr>
          <w:p>
            <w:pPr>
              <w:pStyle w:val="TableParagraph"/>
              <w:spacing w:before="1"/>
              <w:ind w:left="193"/>
              <w:rPr>
                <w:sz w:val="18"/>
              </w:rPr>
            </w:pPr>
            <w:r>
              <w:rPr>
                <w:sz w:val="18"/>
              </w:rPr>
              <w:t>Acambay</w:t>
            </w:r>
          </w:p>
        </w:tc>
        <w:tc>
          <w:tcPr>
            <w:tcW w:w="1003" w:type="dxa"/>
            <w:shd w:val="clear" w:color="auto" w:fill="F1DCDB"/>
          </w:tcPr>
          <w:p>
            <w:pPr>
              <w:pStyle w:val="TableParagraph"/>
              <w:spacing w:before="1"/>
              <w:ind w:right="183"/>
              <w:jc w:val="right"/>
              <w:rPr>
                <w:sz w:val="18"/>
              </w:rPr>
            </w:pPr>
            <w:r>
              <w:rPr>
                <w:sz w:val="18"/>
              </w:rPr>
              <w:t>60,918</w:t>
            </w:r>
          </w:p>
        </w:tc>
        <w:tc>
          <w:tcPr>
            <w:tcW w:w="1002" w:type="dxa"/>
            <w:shd w:val="clear" w:color="auto" w:fill="F1DCDB"/>
          </w:tcPr>
          <w:p>
            <w:pPr>
              <w:pStyle w:val="TableParagraph"/>
              <w:spacing w:before="1"/>
              <w:ind w:left="96" w:right="87"/>
              <w:jc w:val="center"/>
              <w:rPr>
                <w:sz w:val="18"/>
              </w:rPr>
            </w:pPr>
            <w:r>
              <w:rPr>
                <w:sz w:val="18"/>
              </w:rPr>
              <w:t>0.31887</w:t>
            </w:r>
          </w:p>
        </w:tc>
        <w:tc>
          <w:tcPr>
            <w:tcW w:w="1003" w:type="dxa"/>
            <w:shd w:val="clear" w:color="auto" w:fill="F1DCDB"/>
          </w:tcPr>
          <w:p>
            <w:pPr>
              <w:pStyle w:val="TableParagraph"/>
              <w:spacing w:before="1"/>
              <w:ind w:left="53" w:right="40"/>
              <w:jc w:val="center"/>
              <w:rPr>
                <w:sz w:val="18"/>
              </w:rPr>
            </w:pPr>
            <w:r>
              <w:rPr>
                <w:sz w:val="18"/>
              </w:rPr>
              <w:t>Medio</w:t>
            </w:r>
          </w:p>
        </w:tc>
        <w:tc>
          <w:tcPr>
            <w:tcW w:w="1003" w:type="dxa"/>
            <w:shd w:val="clear" w:color="auto" w:fill="F1DCDB"/>
          </w:tcPr>
          <w:p>
            <w:pPr>
              <w:pStyle w:val="TableParagraph"/>
              <w:spacing w:before="1"/>
              <w:ind w:right="360"/>
              <w:jc w:val="right"/>
              <w:rPr>
                <w:sz w:val="18"/>
              </w:rPr>
            </w:pPr>
            <w:r>
              <w:rPr>
                <w:sz w:val="18"/>
              </w:rPr>
              <w:t>851</w:t>
            </w:r>
          </w:p>
        </w:tc>
      </w:tr>
      <w:tr>
        <w:trPr>
          <w:trHeight w:val="234" w:hRule="exact"/>
        </w:trPr>
        <w:tc>
          <w:tcPr>
            <w:tcW w:w="1002" w:type="dxa"/>
          </w:tcPr>
          <w:p>
            <w:pPr>
              <w:pStyle w:val="TableParagraph"/>
              <w:spacing w:before="2"/>
              <w:ind w:right="384"/>
              <w:jc w:val="right"/>
              <w:rPr>
                <w:sz w:val="18"/>
              </w:rPr>
            </w:pPr>
            <w:r>
              <w:rPr>
                <w:sz w:val="18"/>
              </w:rPr>
              <w:t>15</w:t>
            </w:r>
          </w:p>
        </w:tc>
        <w:tc>
          <w:tcPr>
            <w:tcW w:w="1003" w:type="dxa"/>
          </w:tcPr>
          <w:p>
            <w:pPr>
              <w:pStyle w:val="TableParagraph"/>
              <w:spacing w:before="2"/>
              <w:ind w:left="182" w:right="196"/>
              <w:jc w:val="center"/>
              <w:rPr>
                <w:sz w:val="18"/>
              </w:rPr>
            </w:pPr>
            <w:r>
              <w:rPr>
                <w:sz w:val="18"/>
              </w:rPr>
              <w:t>México</w:t>
            </w:r>
          </w:p>
        </w:tc>
        <w:tc>
          <w:tcPr>
            <w:tcW w:w="1003" w:type="dxa"/>
          </w:tcPr>
          <w:p>
            <w:pPr>
              <w:pStyle w:val="TableParagraph"/>
              <w:spacing w:before="2"/>
              <w:ind w:left="228" w:right="215"/>
              <w:jc w:val="center"/>
              <w:rPr>
                <w:sz w:val="18"/>
              </w:rPr>
            </w:pPr>
            <w:r>
              <w:rPr>
                <w:sz w:val="18"/>
              </w:rPr>
              <w:t>15003</w:t>
            </w:r>
          </w:p>
        </w:tc>
        <w:tc>
          <w:tcPr>
            <w:tcW w:w="1914" w:type="dxa"/>
          </w:tcPr>
          <w:p>
            <w:pPr>
              <w:pStyle w:val="TableParagraph"/>
              <w:spacing w:before="2"/>
              <w:ind w:left="193"/>
              <w:rPr>
                <w:sz w:val="18"/>
              </w:rPr>
            </w:pPr>
            <w:r>
              <w:rPr>
                <w:sz w:val="18"/>
              </w:rPr>
              <w:t>Aculco</w:t>
            </w:r>
          </w:p>
        </w:tc>
        <w:tc>
          <w:tcPr>
            <w:tcW w:w="1003" w:type="dxa"/>
          </w:tcPr>
          <w:p>
            <w:pPr>
              <w:pStyle w:val="TableParagraph"/>
              <w:spacing w:before="2"/>
              <w:ind w:right="183"/>
              <w:jc w:val="right"/>
              <w:rPr>
                <w:sz w:val="18"/>
              </w:rPr>
            </w:pPr>
            <w:r>
              <w:rPr>
                <w:sz w:val="18"/>
              </w:rPr>
              <w:t>44,823</w:t>
            </w:r>
          </w:p>
        </w:tc>
        <w:tc>
          <w:tcPr>
            <w:tcW w:w="1002" w:type="dxa"/>
          </w:tcPr>
          <w:p>
            <w:pPr>
              <w:pStyle w:val="TableParagraph"/>
              <w:spacing w:before="2"/>
              <w:ind w:left="96" w:right="87"/>
              <w:jc w:val="center"/>
              <w:rPr>
                <w:sz w:val="18"/>
              </w:rPr>
            </w:pPr>
            <w:r>
              <w:rPr>
                <w:sz w:val="18"/>
              </w:rPr>
              <w:t>0.17769</w:t>
            </w:r>
          </w:p>
        </w:tc>
        <w:tc>
          <w:tcPr>
            <w:tcW w:w="1003" w:type="dxa"/>
          </w:tcPr>
          <w:p>
            <w:pPr>
              <w:pStyle w:val="TableParagraph"/>
              <w:spacing w:before="2"/>
              <w:ind w:left="53" w:right="40"/>
              <w:jc w:val="center"/>
              <w:rPr>
                <w:sz w:val="18"/>
              </w:rPr>
            </w:pPr>
            <w:r>
              <w:rPr>
                <w:sz w:val="18"/>
              </w:rPr>
              <w:t>Medio</w:t>
            </w:r>
          </w:p>
        </w:tc>
        <w:tc>
          <w:tcPr>
            <w:tcW w:w="1003" w:type="dxa"/>
          </w:tcPr>
          <w:p>
            <w:pPr>
              <w:pStyle w:val="TableParagraph"/>
              <w:spacing w:before="2"/>
              <w:ind w:right="360"/>
              <w:jc w:val="right"/>
              <w:rPr>
                <w:sz w:val="18"/>
              </w:rPr>
            </w:pPr>
            <w:r>
              <w:rPr>
                <w:sz w:val="18"/>
              </w:rPr>
              <w:t>967</w:t>
            </w:r>
          </w:p>
        </w:tc>
      </w:tr>
      <w:tr>
        <w:trPr>
          <w:trHeight w:val="232" w:hRule="exact"/>
        </w:trPr>
        <w:tc>
          <w:tcPr>
            <w:tcW w:w="1002" w:type="dxa"/>
            <w:shd w:val="clear" w:color="auto" w:fill="F1DCDB"/>
          </w:tcPr>
          <w:p>
            <w:pPr>
              <w:pStyle w:val="TableParagraph"/>
              <w:spacing w:before="1"/>
              <w:ind w:right="384"/>
              <w:jc w:val="right"/>
              <w:rPr>
                <w:sz w:val="18"/>
              </w:rPr>
            </w:pPr>
            <w:r>
              <w:rPr>
                <w:sz w:val="18"/>
              </w:rPr>
              <w:t>15</w:t>
            </w:r>
          </w:p>
        </w:tc>
        <w:tc>
          <w:tcPr>
            <w:tcW w:w="1003" w:type="dxa"/>
            <w:shd w:val="clear" w:color="auto" w:fill="F1DCDB"/>
          </w:tcPr>
          <w:p>
            <w:pPr>
              <w:pStyle w:val="TableParagraph"/>
              <w:spacing w:before="1"/>
              <w:ind w:left="182" w:right="196"/>
              <w:jc w:val="center"/>
              <w:rPr>
                <w:sz w:val="18"/>
              </w:rPr>
            </w:pPr>
            <w:r>
              <w:rPr>
                <w:sz w:val="18"/>
              </w:rPr>
              <w:t>México</w:t>
            </w:r>
          </w:p>
        </w:tc>
        <w:tc>
          <w:tcPr>
            <w:tcW w:w="1003" w:type="dxa"/>
            <w:shd w:val="clear" w:color="auto" w:fill="F1DCDB"/>
          </w:tcPr>
          <w:p>
            <w:pPr>
              <w:pStyle w:val="TableParagraph"/>
              <w:spacing w:before="1"/>
              <w:ind w:left="228" w:right="215"/>
              <w:jc w:val="center"/>
              <w:rPr>
                <w:sz w:val="18"/>
              </w:rPr>
            </w:pPr>
            <w:r>
              <w:rPr>
                <w:sz w:val="18"/>
              </w:rPr>
              <w:t>15005</w:t>
            </w:r>
          </w:p>
        </w:tc>
        <w:tc>
          <w:tcPr>
            <w:tcW w:w="1914" w:type="dxa"/>
            <w:shd w:val="clear" w:color="auto" w:fill="F1DCDB"/>
          </w:tcPr>
          <w:p>
            <w:pPr>
              <w:pStyle w:val="TableParagraph"/>
              <w:spacing w:before="1"/>
              <w:ind w:left="193"/>
              <w:rPr>
                <w:sz w:val="18"/>
              </w:rPr>
            </w:pPr>
            <w:r>
              <w:rPr>
                <w:sz w:val="18"/>
              </w:rPr>
              <w:t>Almoloya de Juárez</w:t>
            </w:r>
          </w:p>
        </w:tc>
        <w:tc>
          <w:tcPr>
            <w:tcW w:w="1003" w:type="dxa"/>
            <w:shd w:val="clear" w:color="auto" w:fill="F1DCDB"/>
          </w:tcPr>
          <w:p>
            <w:pPr>
              <w:pStyle w:val="TableParagraph"/>
              <w:spacing w:before="1"/>
              <w:ind w:right="184"/>
              <w:jc w:val="right"/>
              <w:rPr>
                <w:sz w:val="18"/>
              </w:rPr>
            </w:pPr>
            <w:r>
              <w:rPr>
                <w:sz w:val="18"/>
              </w:rPr>
              <w:t>147,653</w:t>
            </w:r>
          </w:p>
        </w:tc>
        <w:tc>
          <w:tcPr>
            <w:tcW w:w="1002" w:type="dxa"/>
            <w:shd w:val="clear" w:color="auto" w:fill="F1DCDB"/>
          </w:tcPr>
          <w:p>
            <w:pPr>
              <w:pStyle w:val="TableParagraph"/>
              <w:spacing w:before="1"/>
              <w:ind w:left="96" w:right="87"/>
              <w:jc w:val="center"/>
              <w:rPr>
                <w:sz w:val="18"/>
              </w:rPr>
            </w:pPr>
            <w:r>
              <w:rPr>
                <w:sz w:val="18"/>
              </w:rPr>
              <w:t>0.05331</w:t>
            </w:r>
          </w:p>
        </w:tc>
        <w:tc>
          <w:tcPr>
            <w:tcW w:w="1003" w:type="dxa"/>
            <w:shd w:val="clear" w:color="auto" w:fill="F1DCDB"/>
          </w:tcPr>
          <w:p>
            <w:pPr>
              <w:pStyle w:val="TableParagraph"/>
              <w:spacing w:before="1"/>
              <w:ind w:left="53" w:right="40"/>
              <w:jc w:val="center"/>
              <w:rPr>
                <w:sz w:val="18"/>
              </w:rPr>
            </w:pPr>
            <w:r>
              <w:rPr>
                <w:sz w:val="18"/>
              </w:rPr>
              <w:t>Medio</w:t>
            </w:r>
          </w:p>
        </w:tc>
        <w:tc>
          <w:tcPr>
            <w:tcW w:w="1003" w:type="dxa"/>
            <w:shd w:val="clear" w:color="auto" w:fill="F1DCDB"/>
          </w:tcPr>
          <w:p>
            <w:pPr>
              <w:pStyle w:val="TableParagraph"/>
              <w:spacing w:before="1"/>
              <w:ind w:right="357"/>
              <w:jc w:val="right"/>
              <w:rPr>
                <w:sz w:val="18"/>
              </w:rPr>
            </w:pPr>
            <w:r>
              <w:rPr>
                <w:sz w:val="18"/>
              </w:rPr>
              <w:t>1062</w:t>
            </w:r>
          </w:p>
        </w:tc>
      </w:tr>
      <w:tr>
        <w:trPr>
          <w:trHeight w:val="232" w:hRule="exact"/>
        </w:trPr>
        <w:tc>
          <w:tcPr>
            <w:tcW w:w="1002" w:type="dxa"/>
          </w:tcPr>
          <w:p>
            <w:pPr>
              <w:pStyle w:val="TableParagraph"/>
              <w:spacing w:before="2"/>
              <w:ind w:right="384"/>
              <w:jc w:val="right"/>
              <w:rPr>
                <w:sz w:val="18"/>
              </w:rPr>
            </w:pPr>
            <w:r>
              <w:rPr>
                <w:sz w:val="18"/>
              </w:rPr>
              <w:t>15</w:t>
            </w:r>
          </w:p>
        </w:tc>
        <w:tc>
          <w:tcPr>
            <w:tcW w:w="1003" w:type="dxa"/>
          </w:tcPr>
          <w:p>
            <w:pPr>
              <w:pStyle w:val="TableParagraph"/>
              <w:spacing w:before="2"/>
              <w:ind w:left="182" w:right="196"/>
              <w:jc w:val="center"/>
              <w:rPr>
                <w:sz w:val="18"/>
              </w:rPr>
            </w:pPr>
            <w:r>
              <w:rPr>
                <w:sz w:val="18"/>
              </w:rPr>
              <w:t>México</w:t>
            </w:r>
          </w:p>
        </w:tc>
        <w:tc>
          <w:tcPr>
            <w:tcW w:w="1003" w:type="dxa"/>
          </w:tcPr>
          <w:p>
            <w:pPr>
              <w:pStyle w:val="TableParagraph"/>
              <w:spacing w:before="2"/>
              <w:ind w:left="228" w:right="215"/>
              <w:jc w:val="center"/>
              <w:rPr>
                <w:sz w:val="18"/>
              </w:rPr>
            </w:pPr>
            <w:r>
              <w:rPr>
                <w:sz w:val="18"/>
              </w:rPr>
              <w:t>15007</w:t>
            </w:r>
          </w:p>
        </w:tc>
        <w:tc>
          <w:tcPr>
            <w:tcW w:w="1914" w:type="dxa"/>
          </w:tcPr>
          <w:p>
            <w:pPr>
              <w:pStyle w:val="TableParagraph"/>
              <w:spacing w:before="2"/>
              <w:ind w:left="193"/>
              <w:rPr>
                <w:sz w:val="18"/>
              </w:rPr>
            </w:pPr>
            <w:r>
              <w:rPr>
                <w:sz w:val="18"/>
              </w:rPr>
              <w:t>Amanalco</w:t>
            </w:r>
          </w:p>
        </w:tc>
        <w:tc>
          <w:tcPr>
            <w:tcW w:w="1003" w:type="dxa"/>
          </w:tcPr>
          <w:p>
            <w:pPr>
              <w:pStyle w:val="TableParagraph"/>
              <w:spacing w:before="2"/>
              <w:ind w:right="183"/>
              <w:jc w:val="right"/>
              <w:rPr>
                <w:sz w:val="18"/>
              </w:rPr>
            </w:pPr>
            <w:r>
              <w:rPr>
                <w:sz w:val="18"/>
              </w:rPr>
              <w:t>22,868</w:t>
            </w:r>
          </w:p>
        </w:tc>
        <w:tc>
          <w:tcPr>
            <w:tcW w:w="1002" w:type="dxa"/>
          </w:tcPr>
          <w:p>
            <w:pPr>
              <w:pStyle w:val="TableParagraph"/>
              <w:spacing w:before="2"/>
              <w:ind w:left="96" w:right="87"/>
              <w:jc w:val="center"/>
              <w:rPr>
                <w:sz w:val="18"/>
              </w:rPr>
            </w:pPr>
            <w:r>
              <w:rPr>
                <w:sz w:val="18"/>
              </w:rPr>
              <w:t>0.46295</w:t>
            </w:r>
          </w:p>
        </w:tc>
        <w:tc>
          <w:tcPr>
            <w:tcW w:w="1003" w:type="dxa"/>
          </w:tcPr>
          <w:p>
            <w:pPr>
              <w:pStyle w:val="TableParagraph"/>
              <w:spacing w:before="2"/>
              <w:ind w:left="53" w:right="40"/>
              <w:jc w:val="center"/>
              <w:rPr>
                <w:sz w:val="18"/>
              </w:rPr>
            </w:pPr>
            <w:r>
              <w:rPr>
                <w:sz w:val="18"/>
              </w:rPr>
              <w:t>Medio</w:t>
            </w:r>
          </w:p>
        </w:tc>
        <w:tc>
          <w:tcPr>
            <w:tcW w:w="1003" w:type="dxa"/>
          </w:tcPr>
          <w:p>
            <w:pPr>
              <w:pStyle w:val="TableParagraph"/>
              <w:spacing w:before="2"/>
              <w:ind w:right="360"/>
              <w:jc w:val="right"/>
              <w:rPr>
                <w:sz w:val="18"/>
              </w:rPr>
            </w:pPr>
            <w:r>
              <w:rPr>
                <w:sz w:val="18"/>
              </w:rPr>
              <w:t>745</w:t>
            </w:r>
          </w:p>
        </w:tc>
      </w:tr>
      <w:tr>
        <w:trPr>
          <w:trHeight w:val="234" w:hRule="exact"/>
        </w:trPr>
        <w:tc>
          <w:tcPr>
            <w:tcW w:w="1002" w:type="dxa"/>
            <w:shd w:val="clear" w:color="auto" w:fill="F1DCDB"/>
          </w:tcPr>
          <w:p>
            <w:pPr>
              <w:pStyle w:val="TableParagraph"/>
              <w:spacing w:before="2"/>
              <w:ind w:right="384"/>
              <w:jc w:val="right"/>
              <w:rPr>
                <w:sz w:val="18"/>
              </w:rPr>
            </w:pPr>
            <w:r>
              <w:rPr>
                <w:sz w:val="18"/>
              </w:rPr>
              <w:t>15</w:t>
            </w:r>
          </w:p>
        </w:tc>
        <w:tc>
          <w:tcPr>
            <w:tcW w:w="1003" w:type="dxa"/>
            <w:shd w:val="clear" w:color="auto" w:fill="F1DCDB"/>
          </w:tcPr>
          <w:p>
            <w:pPr>
              <w:pStyle w:val="TableParagraph"/>
              <w:spacing w:before="2"/>
              <w:ind w:left="182" w:right="196"/>
              <w:jc w:val="center"/>
              <w:rPr>
                <w:sz w:val="18"/>
              </w:rPr>
            </w:pPr>
            <w:r>
              <w:rPr>
                <w:sz w:val="18"/>
              </w:rPr>
              <w:t>México</w:t>
            </w:r>
          </w:p>
        </w:tc>
        <w:tc>
          <w:tcPr>
            <w:tcW w:w="1003" w:type="dxa"/>
            <w:shd w:val="clear" w:color="auto" w:fill="F1DCDB"/>
          </w:tcPr>
          <w:p>
            <w:pPr>
              <w:pStyle w:val="TableParagraph"/>
              <w:spacing w:before="2"/>
              <w:ind w:left="228" w:right="215"/>
              <w:jc w:val="center"/>
              <w:rPr>
                <w:sz w:val="18"/>
              </w:rPr>
            </w:pPr>
            <w:r>
              <w:rPr>
                <w:sz w:val="18"/>
              </w:rPr>
              <w:t>15008</w:t>
            </w:r>
          </w:p>
        </w:tc>
        <w:tc>
          <w:tcPr>
            <w:tcW w:w="1914" w:type="dxa"/>
            <w:shd w:val="clear" w:color="auto" w:fill="F1DCDB"/>
          </w:tcPr>
          <w:p>
            <w:pPr>
              <w:pStyle w:val="TableParagraph"/>
              <w:spacing w:before="2"/>
              <w:ind w:left="193"/>
              <w:rPr>
                <w:sz w:val="18"/>
              </w:rPr>
            </w:pPr>
            <w:r>
              <w:rPr>
                <w:sz w:val="18"/>
              </w:rPr>
              <w:t>Amatepec</w:t>
            </w:r>
          </w:p>
        </w:tc>
        <w:tc>
          <w:tcPr>
            <w:tcW w:w="1003" w:type="dxa"/>
            <w:shd w:val="clear" w:color="auto" w:fill="F1DCDB"/>
          </w:tcPr>
          <w:p>
            <w:pPr>
              <w:pStyle w:val="TableParagraph"/>
              <w:spacing w:before="2"/>
              <w:ind w:right="183"/>
              <w:jc w:val="right"/>
              <w:rPr>
                <w:sz w:val="18"/>
              </w:rPr>
            </w:pPr>
            <w:r>
              <w:rPr>
                <w:sz w:val="18"/>
              </w:rPr>
              <w:t>26,334</w:t>
            </w:r>
          </w:p>
        </w:tc>
        <w:tc>
          <w:tcPr>
            <w:tcW w:w="1002" w:type="dxa"/>
            <w:shd w:val="clear" w:color="auto" w:fill="F1DCDB"/>
          </w:tcPr>
          <w:p>
            <w:pPr>
              <w:pStyle w:val="TableParagraph"/>
              <w:spacing w:before="2"/>
              <w:ind w:left="96" w:right="87"/>
              <w:jc w:val="center"/>
              <w:rPr>
                <w:sz w:val="18"/>
              </w:rPr>
            </w:pPr>
            <w:r>
              <w:rPr>
                <w:sz w:val="18"/>
              </w:rPr>
              <w:t>0.28052</w:t>
            </w:r>
          </w:p>
        </w:tc>
        <w:tc>
          <w:tcPr>
            <w:tcW w:w="1003" w:type="dxa"/>
            <w:shd w:val="clear" w:color="auto" w:fill="F1DCDB"/>
          </w:tcPr>
          <w:p>
            <w:pPr>
              <w:pStyle w:val="TableParagraph"/>
              <w:spacing w:before="2"/>
              <w:ind w:left="53" w:right="40"/>
              <w:jc w:val="center"/>
              <w:rPr>
                <w:sz w:val="18"/>
              </w:rPr>
            </w:pPr>
            <w:r>
              <w:rPr>
                <w:sz w:val="18"/>
              </w:rPr>
              <w:t>Medio</w:t>
            </w:r>
          </w:p>
        </w:tc>
        <w:tc>
          <w:tcPr>
            <w:tcW w:w="1003" w:type="dxa"/>
            <w:shd w:val="clear" w:color="auto" w:fill="F1DCDB"/>
          </w:tcPr>
          <w:p>
            <w:pPr>
              <w:pStyle w:val="TableParagraph"/>
              <w:spacing w:before="2"/>
              <w:ind w:right="360"/>
              <w:jc w:val="right"/>
              <w:rPr>
                <w:sz w:val="18"/>
              </w:rPr>
            </w:pPr>
            <w:r>
              <w:rPr>
                <w:sz w:val="18"/>
              </w:rPr>
              <w:t>880</w:t>
            </w:r>
          </w:p>
        </w:tc>
      </w:tr>
      <w:tr>
        <w:trPr>
          <w:trHeight w:val="233" w:hRule="exact"/>
        </w:trPr>
        <w:tc>
          <w:tcPr>
            <w:tcW w:w="1002" w:type="dxa"/>
          </w:tcPr>
          <w:p>
            <w:pPr>
              <w:pStyle w:val="TableParagraph"/>
              <w:spacing w:before="1"/>
              <w:ind w:right="384"/>
              <w:jc w:val="right"/>
              <w:rPr>
                <w:sz w:val="18"/>
              </w:rPr>
            </w:pPr>
            <w:r>
              <w:rPr>
                <w:sz w:val="18"/>
              </w:rPr>
              <w:t>15</w:t>
            </w:r>
          </w:p>
        </w:tc>
        <w:tc>
          <w:tcPr>
            <w:tcW w:w="1003" w:type="dxa"/>
          </w:tcPr>
          <w:p>
            <w:pPr>
              <w:pStyle w:val="TableParagraph"/>
              <w:spacing w:before="1"/>
              <w:ind w:left="182" w:right="196"/>
              <w:jc w:val="center"/>
              <w:rPr>
                <w:sz w:val="18"/>
              </w:rPr>
            </w:pPr>
            <w:r>
              <w:rPr>
                <w:sz w:val="18"/>
              </w:rPr>
              <w:t>México</w:t>
            </w:r>
          </w:p>
        </w:tc>
        <w:tc>
          <w:tcPr>
            <w:tcW w:w="1003" w:type="dxa"/>
          </w:tcPr>
          <w:p>
            <w:pPr>
              <w:pStyle w:val="TableParagraph"/>
              <w:spacing w:before="1"/>
              <w:ind w:left="228" w:right="215"/>
              <w:jc w:val="center"/>
              <w:rPr>
                <w:sz w:val="18"/>
              </w:rPr>
            </w:pPr>
            <w:r>
              <w:rPr>
                <w:sz w:val="18"/>
              </w:rPr>
              <w:t>15021</w:t>
            </w:r>
          </w:p>
        </w:tc>
        <w:tc>
          <w:tcPr>
            <w:tcW w:w="1914" w:type="dxa"/>
          </w:tcPr>
          <w:p>
            <w:pPr>
              <w:pStyle w:val="TableParagraph"/>
              <w:spacing w:before="1"/>
              <w:ind w:left="193"/>
              <w:rPr>
                <w:sz w:val="18"/>
              </w:rPr>
            </w:pPr>
            <w:r>
              <w:rPr>
                <w:sz w:val="18"/>
              </w:rPr>
              <w:t>Coatepec Harinas</w:t>
            </w:r>
          </w:p>
        </w:tc>
        <w:tc>
          <w:tcPr>
            <w:tcW w:w="1003" w:type="dxa"/>
          </w:tcPr>
          <w:p>
            <w:pPr>
              <w:pStyle w:val="TableParagraph"/>
              <w:spacing w:before="1"/>
              <w:ind w:right="183"/>
              <w:jc w:val="right"/>
              <w:rPr>
                <w:sz w:val="18"/>
              </w:rPr>
            </w:pPr>
            <w:r>
              <w:rPr>
                <w:sz w:val="18"/>
              </w:rPr>
              <w:t>36,174</w:t>
            </w:r>
          </w:p>
        </w:tc>
        <w:tc>
          <w:tcPr>
            <w:tcW w:w="1002" w:type="dxa"/>
          </w:tcPr>
          <w:p>
            <w:pPr>
              <w:pStyle w:val="TableParagraph"/>
              <w:spacing w:before="1"/>
              <w:ind w:left="96" w:right="87"/>
              <w:jc w:val="center"/>
              <w:rPr>
                <w:sz w:val="18"/>
              </w:rPr>
            </w:pPr>
            <w:r>
              <w:rPr>
                <w:sz w:val="18"/>
              </w:rPr>
              <w:t>0.14800</w:t>
            </w:r>
          </w:p>
        </w:tc>
        <w:tc>
          <w:tcPr>
            <w:tcW w:w="1003" w:type="dxa"/>
          </w:tcPr>
          <w:p>
            <w:pPr>
              <w:pStyle w:val="TableParagraph"/>
              <w:spacing w:before="1"/>
              <w:ind w:left="53" w:right="40"/>
              <w:jc w:val="center"/>
              <w:rPr>
                <w:sz w:val="18"/>
              </w:rPr>
            </w:pPr>
            <w:r>
              <w:rPr>
                <w:sz w:val="18"/>
              </w:rPr>
              <w:t>Medio</w:t>
            </w:r>
          </w:p>
        </w:tc>
        <w:tc>
          <w:tcPr>
            <w:tcW w:w="1003" w:type="dxa"/>
          </w:tcPr>
          <w:p>
            <w:pPr>
              <w:pStyle w:val="TableParagraph"/>
              <w:spacing w:before="1"/>
              <w:ind w:right="360"/>
              <w:jc w:val="right"/>
              <w:rPr>
                <w:sz w:val="18"/>
              </w:rPr>
            </w:pPr>
            <w:r>
              <w:rPr>
                <w:sz w:val="18"/>
              </w:rPr>
              <w:t>994</w:t>
            </w:r>
          </w:p>
        </w:tc>
      </w:tr>
      <w:tr>
        <w:trPr>
          <w:trHeight w:val="232" w:hRule="exact"/>
        </w:trPr>
        <w:tc>
          <w:tcPr>
            <w:tcW w:w="1002" w:type="dxa"/>
            <w:shd w:val="clear" w:color="auto" w:fill="F1DCDB"/>
          </w:tcPr>
          <w:p>
            <w:pPr>
              <w:pStyle w:val="TableParagraph"/>
              <w:spacing w:before="2"/>
              <w:ind w:right="384"/>
              <w:jc w:val="right"/>
              <w:rPr>
                <w:sz w:val="18"/>
              </w:rPr>
            </w:pPr>
            <w:r>
              <w:rPr>
                <w:sz w:val="18"/>
              </w:rPr>
              <w:t>15</w:t>
            </w:r>
          </w:p>
        </w:tc>
        <w:tc>
          <w:tcPr>
            <w:tcW w:w="1003" w:type="dxa"/>
            <w:shd w:val="clear" w:color="auto" w:fill="F1DCDB"/>
          </w:tcPr>
          <w:p>
            <w:pPr>
              <w:pStyle w:val="TableParagraph"/>
              <w:spacing w:before="2"/>
              <w:ind w:left="182" w:right="196"/>
              <w:jc w:val="center"/>
              <w:rPr>
                <w:sz w:val="18"/>
              </w:rPr>
            </w:pPr>
            <w:r>
              <w:rPr>
                <w:sz w:val="18"/>
              </w:rPr>
              <w:t>México</w:t>
            </w:r>
          </w:p>
        </w:tc>
        <w:tc>
          <w:tcPr>
            <w:tcW w:w="1003" w:type="dxa"/>
            <w:shd w:val="clear" w:color="auto" w:fill="F1DCDB"/>
          </w:tcPr>
          <w:p>
            <w:pPr>
              <w:pStyle w:val="TableParagraph"/>
              <w:spacing w:before="2"/>
              <w:ind w:left="228" w:right="215"/>
              <w:jc w:val="center"/>
              <w:rPr>
                <w:sz w:val="18"/>
              </w:rPr>
            </w:pPr>
            <w:r>
              <w:rPr>
                <w:sz w:val="18"/>
              </w:rPr>
              <w:t>15026</w:t>
            </w:r>
          </w:p>
        </w:tc>
        <w:tc>
          <w:tcPr>
            <w:tcW w:w="1914" w:type="dxa"/>
            <w:shd w:val="clear" w:color="auto" w:fill="F1DCDB"/>
          </w:tcPr>
          <w:p>
            <w:pPr>
              <w:pStyle w:val="TableParagraph"/>
              <w:spacing w:before="2"/>
              <w:ind w:left="193"/>
              <w:rPr>
                <w:sz w:val="18"/>
              </w:rPr>
            </w:pPr>
            <w:r>
              <w:rPr>
                <w:sz w:val="18"/>
              </w:rPr>
              <w:t>Chapa de Mota</w:t>
            </w:r>
          </w:p>
        </w:tc>
        <w:tc>
          <w:tcPr>
            <w:tcW w:w="1003" w:type="dxa"/>
            <w:shd w:val="clear" w:color="auto" w:fill="F1DCDB"/>
          </w:tcPr>
          <w:p>
            <w:pPr>
              <w:pStyle w:val="TableParagraph"/>
              <w:spacing w:before="2"/>
              <w:ind w:right="183"/>
              <w:jc w:val="right"/>
              <w:rPr>
                <w:sz w:val="18"/>
              </w:rPr>
            </w:pPr>
            <w:r>
              <w:rPr>
                <w:sz w:val="18"/>
              </w:rPr>
              <w:t>27,551</w:t>
            </w:r>
          </w:p>
        </w:tc>
        <w:tc>
          <w:tcPr>
            <w:tcW w:w="1002" w:type="dxa"/>
            <w:shd w:val="clear" w:color="auto" w:fill="F1DCDB"/>
          </w:tcPr>
          <w:p>
            <w:pPr>
              <w:pStyle w:val="TableParagraph"/>
              <w:spacing w:before="2"/>
              <w:ind w:left="96" w:right="87"/>
              <w:jc w:val="center"/>
              <w:rPr>
                <w:sz w:val="18"/>
              </w:rPr>
            </w:pPr>
            <w:r>
              <w:rPr>
                <w:sz w:val="18"/>
              </w:rPr>
              <w:t>0.05656</w:t>
            </w:r>
          </w:p>
        </w:tc>
        <w:tc>
          <w:tcPr>
            <w:tcW w:w="1003" w:type="dxa"/>
            <w:shd w:val="clear" w:color="auto" w:fill="F1DCDB"/>
          </w:tcPr>
          <w:p>
            <w:pPr>
              <w:pStyle w:val="TableParagraph"/>
              <w:spacing w:before="2"/>
              <w:ind w:left="53" w:right="40"/>
              <w:jc w:val="center"/>
              <w:rPr>
                <w:sz w:val="18"/>
              </w:rPr>
            </w:pPr>
            <w:r>
              <w:rPr>
                <w:sz w:val="18"/>
              </w:rPr>
              <w:t>Medio</w:t>
            </w:r>
          </w:p>
        </w:tc>
        <w:tc>
          <w:tcPr>
            <w:tcW w:w="1003" w:type="dxa"/>
            <w:shd w:val="clear" w:color="auto" w:fill="F1DCDB"/>
          </w:tcPr>
          <w:p>
            <w:pPr>
              <w:pStyle w:val="TableParagraph"/>
              <w:spacing w:before="2"/>
              <w:ind w:right="357"/>
              <w:jc w:val="right"/>
              <w:rPr>
                <w:sz w:val="18"/>
              </w:rPr>
            </w:pPr>
            <w:r>
              <w:rPr>
                <w:sz w:val="18"/>
              </w:rPr>
              <w:t>1060</w:t>
            </w:r>
          </w:p>
        </w:tc>
      </w:tr>
      <w:tr>
        <w:trPr>
          <w:trHeight w:val="234" w:hRule="exact"/>
        </w:trPr>
        <w:tc>
          <w:tcPr>
            <w:tcW w:w="1002" w:type="dxa"/>
          </w:tcPr>
          <w:p>
            <w:pPr>
              <w:pStyle w:val="TableParagraph"/>
              <w:spacing w:before="2"/>
              <w:ind w:right="384"/>
              <w:jc w:val="right"/>
              <w:rPr>
                <w:sz w:val="18"/>
              </w:rPr>
            </w:pPr>
            <w:r>
              <w:rPr>
                <w:sz w:val="18"/>
              </w:rPr>
              <w:t>15</w:t>
            </w:r>
          </w:p>
        </w:tc>
        <w:tc>
          <w:tcPr>
            <w:tcW w:w="1003" w:type="dxa"/>
          </w:tcPr>
          <w:p>
            <w:pPr>
              <w:pStyle w:val="TableParagraph"/>
              <w:spacing w:before="2"/>
              <w:ind w:left="182" w:right="196"/>
              <w:jc w:val="center"/>
              <w:rPr>
                <w:sz w:val="18"/>
              </w:rPr>
            </w:pPr>
            <w:r>
              <w:rPr>
                <w:sz w:val="18"/>
              </w:rPr>
              <w:t>México</w:t>
            </w:r>
          </w:p>
        </w:tc>
        <w:tc>
          <w:tcPr>
            <w:tcW w:w="1003" w:type="dxa"/>
          </w:tcPr>
          <w:p>
            <w:pPr>
              <w:pStyle w:val="TableParagraph"/>
              <w:spacing w:before="2"/>
              <w:ind w:left="228" w:right="215"/>
              <w:jc w:val="center"/>
              <w:rPr>
                <w:sz w:val="18"/>
              </w:rPr>
            </w:pPr>
            <w:r>
              <w:rPr>
                <w:sz w:val="18"/>
              </w:rPr>
              <w:t>15041</w:t>
            </w:r>
          </w:p>
        </w:tc>
        <w:tc>
          <w:tcPr>
            <w:tcW w:w="1914" w:type="dxa"/>
          </w:tcPr>
          <w:p>
            <w:pPr>
              <w:pStyle w:val="TableParagraph"/>
              <w:spacing w:before="2"/>
              <w:ind w:left="193"/>
              <w:rPr>
                <w:sz w:val="18"/>
              </w:rPr>
            </w:pPr>
            <w:r>
              <w:rPr>
                <w:sz w:val="18"/>
              </w:rPr>
              <w:t>Ixtapan del Oro</w:t>
            </w:r>
          </w:p>
        </w:tc>
        <w:tc>
          <w:tcPr>
            <w:tcW w:w="1003" w:type="dxa"/>
          </w:tcPr>
          <w:p>
            <w:pPr>
              <w:pStyle w:val="TableParagraph"/>
              <w:spacing w:before="2"/>
              <w:ind w:right="181"/>
              <w:jc w:val="right"/>
              <w:rPr>
                <w:sz w:val="18"/>
              </w:rPr>
            </w:pPr>
            <w:r>
              <w:rPr>
                <w:sz w:val="18"/>
              </w:rPr>
              <w:t>6,629</w:t>
            </w:r>
          </w:p>
        </w:tc>
        <w:tc>
          <w:tcPr>
            <w:tcW w:w="1002" w:type="dxa"/>
          </w:tcPr>
          <w:p>
            <w:pPr>
              <w:pStyle w:val="TableParagraph"/>
              <w:spacing w:before="2"/>
              <w:ind w:left="96" w:right="87"/>
              <w:jc w:val="center"/>
              <w:rPr>
                <w:sz w:val="18"/>
              </w:rPr>
            </w:pPr>
            <w:r>
              <w:rPr>
                <w:sz w:val="18"/>
              </w:rPr>
              <w:t>0.35368</w:t>
            </w:r>
          </w:p>
        </w:tc>
        <w:tc>
          <w:tcPr>
            <w:tcW w:w="1003" w:type="dxa"/>
          </w:tcPr>
          <w:p>
            <w:pPr>
              <w:pStyle w:val="TableParagraph"/>
              <w:spacing w:before="2"/>
              <w:ind w:left="53" w:right="40"/>
              <w:jc w:val="center"/>
              <w:rPr>
                <w:sz w:val="18"/>
              </w:rPr>
            </w:pPr>
            <w:r>
              <w:rPr>
                <w:sz w:val="18"/>
              </w:rPr>
              <w:t>Medio</w:t>
            </w:r>
          </w:p>
        </w:tc>
        <w:tc>
          <w:tcPr>
            <w:tcW w:w="1003" w:type="dxa"/>
          </w:tcPr>
          <w:p>
            <w:pPr>
              <w:pStyle w:val="TableParagraph"/>
              <w:spacing w:before="2"/>
              <w:ind w:right="360"/>
              <w:jc w:val="right"/>
              <w:rPr>
                <w:sz w:val="18"/>
              </w:rPr>
            </w:pPr>
            <w:r>
              <w:rPr>
                <w:sz w:val="18"/>
              </w:rPr>
              <w:t>829</w:t>
            </w:r>
          </w:p>
        </w:tc>
      </w:tr>
      <w:tr>
        <w:trPr>
          <w:trHeight w:val="232" w:hRule="exact"/>
        </w:trPr>
        <w:tc>
          <w:tcPr>
            <w:tcW w:w="1002" w:type="dxa"/>
            <w:shd w:val="clear" w:color="auto" w:fill="F1DCDB"/>
          </w:tcPr>
          <w:p>
            <w:pPr>
              <w:pStyle w:val="TableParagraph"/>
              <w:spacing w:before="1"/>
              <w:ind w:right="384"/>
              <w:jc w:val="right"/>
              <w:rPr>
                <w:sz w:val="18"/>
              </w:rPr>
            </w:pPr>
            <w:r>
              <w:rPr>
                <w:sz w:val="18"/>
              </w:rPr>
              <w:t>15</w:t>
            </w:r>
          </w:p>
        </w:tc>
        <w:tc>
          <w:tcPr>
            <w:tcW w:w="1003" w:type="dxa"/>
            <w:shd w:val="clear" w:color="auto" w:fill="F1DCDB"/>
          </w:tcPr>
          <w:p>
            <w:pPr>
              <w:pStyle w:val="TableParagraph"/>
              <w:spacing w:before="1"/>
              <w:ind w:left="182" w:right="196"/>
              <w:jc w:val="center"/>
              <w:rPr>
                <w:sz w:val="18"/>
              </w:rPr>
            </w:pPr>
            <w:r>
              <w:rPr>
                <w:sz w:val="18"/>
              </w:rPr>
              <w:t>México</w:t>
            </w:r>
          </w:p>
        </w:tc>
        <w:tc>
          <w:tcPr>
            <w:tcW w:w="1003" w:type="dxa"/>
            <w:shd w:val="clear" w:color="auto" w:fill="F1DCDB"/>
          </w:tcPr>
          <w:p>
            <w:pPr>
              <w:pStyle w:val="TableParagraph"/>
              <w:spacing w:before="1"/>
              <w:ind w:left="228" w:right="215"/>
              <w:jc w:val="center"/>
              <w:rPr>
                <w:sz w:val="18"/>
              </w:rPr>
            </w:pPr>
            <w:r>
              <w:rPr>
                <w:sz w:val="18"/>
              </w:rPr>
              <w:t>15042</w:t>
            </w:r>
          </w:p>
        </w:tc>
        <w:tc>
          <w:tcPr>
            <w:tcW w:w="1914" w:type="dxa"/>
            <w:shd w:val="clear" w:color="auto" w:fill="F1DCDB"/>
          </w:tcPr>
          <w:p>
            <w:pPr>
              <w:pStyle w:val="TableParagraph"/>
              <w:spacing w:before="1"/>
              <w:ind w:left="193"/>
              <w:rPr>
                <w:sz w:val="18"/>
              </w:rPr>
            </w:pPr>
            <w:r>
              <w:rPr>
                <w:sz w:val="18"/>
              </w:rPr>
              <w:t>Ixtlahuaca</w:t>
            </w:r>
          </w:p>
        </w:tc>
        <w:tc>
          <w:tcPr>
            <w:tcW w:w="1003" w:type="dxa"/>
            <w:shd w:val="clear" w:color="auto" w:fill="F1DCDB"/>
          </w:tcPr>
          <w:p>
            <w:pPr>
              <w:pStyle w:val="TableParagraph"/>
              <w:spacing w:before="1"/>
              <w:ind w:right="184"/>
              <w:jc w:val="right"/>
              <w:rPr>
                <w:sz w:val="18"/>
              </w:rPr>
            </w:pPr>
            <w:r>
              <w:rPr>
                <w:sz w:val="18"/>
              </w:rPr>
              <w:t>141,482</w:t>
            </w:r>
          </w:p>
        </w:tc>
        <w:tc>
          <w:tcPr>
            <w:tcW w:w="1002" w:type="dxa"/>
            <w:shd w:val="clear" w:color="auto" w:fill="F1DCDB"/>
          </w:tcPr>
          <w:p>
            <w:pPr>
              <w:pStyle w:val="TableParagraph"/>
              <w:spacing w:before="1"/>
              <w:ind w:left="96" w:right="87"/>
              <w:jc w:val="center"/>
              <w:rPr>
                <w:sz w:val="18"/>
              </w:rPr>
            </w:pPr>
            <w:r>
              <w:rPr>
                <w:sz w:val="18"/>
              </w:rPr>
              <w:t>0.20427</w:t>
            </w:r>
          </w:p>
        </w:tc>
        <w:tc>
          <w:tcPr>
            <w:tcW w:w="1003" w:type="dxa"/>
            <w:shd w:val="clear" w:color="auto" w:fill="F1DCDB"/>
          </w:tcPr>
          <w:p>
            <w:pPr>
              <w:pStyle w:val="TableParagraph"/>
              <w:spacing w:before="1"/>
              <w:ind w:left="53" w:right="40"/>
              <w:jc w:val="center"/>
              <w:rPr>
                <w:sz w:val="18"/>
              </w:rPr>
            </w:pPr>
            <w:r>
              <w:rPr>
                <w:sz w:val="18"/>
              </w:rPr>
              <w:t>Medio</w:t>
            </w:r>
          </w:p>
        </w:tc>
        <w:tc>
          <w:tcPr>
            <w:tcW w:w="1003" w:type="dxa"/>
            <w:shd w:val="clear" w:color="auto" w:fill="F1DCDB"/>
          </w:tcPr>
          <w:p>
            <w:pPr>
              <w:pStyle w:val="TableParagraph"/>
              <w:spacing w:before="1"/>
              <w:ind w:right="360"/>
              <w:jc w:val="right"/>
              <w:rPr>
                <w:sz w:val="18"/>
              </w:rPr>
            </w:pPr>
            <w:r>
              <w:rPr>
                <w:sz w:val="18"/>
              </w:rPr>
              <w:t>948</w:t>
            </w:r>
          </w:p>
        </w:tc>
      </w:tr>
      <w:tr>
        <w:trPr>
          <w:trHeight w:val="234" w:hRule="exact"/>
        </w:trPr>
        <w:tc>
          <w:tcPr>
            <w:tcW w:w="1002" w:type="dxa"/>
          </w:tcPr>
          <w:p>
            <w:pPr>
              <w:pStyle w:val="TableParagraph"/>
              <w:spacing w:before="2"/>
              <w:ind w:right="384"/>
              <w:jc w:val="right"/>
              <w:rPr>
                <w:sz w:val="18"/>
              </w:rPr>
            </w:pPr>
            <w:r>
              <w:rPr>
                <w:sz w:val="18"/>
              </w:rPr>
              <w:t>15</w:t>
            </w:r>
          </w:p>
        </w:tc>
        <w:tc>
          <w:tcPr>
            <w:tcW w:w="1003" w:type="dxa"/>
          </w:tcPr>
          <w:p>
            <w:pPr>
              <w:pStyle w:val="TableParagraph"/>
              <w:spacing w:before="2"/>
              <w:ind w:left="182" w:right="196"/>
              <w:jc w:val="center"/>
              <w:rPr>
                <w:sz w:val="18"/>
              </w:rPr>
            </w:pPr>
            <w:r>
              <w:rPr>
                <w:sz w:val="18"/>
              </w:rPr>
              <w:t>México</w:t>
            </w:r>
          </w:p>
        </w:tc>
        <w:tc>
          <w:tcPr>
            <w:tcW w:w="1003" w:type="dxa"/>
          </w:tcPr>
          <w:p>
            <w:pPr>
              <w:pStyle w:val="TableParagraph"/>
              <w:spacing w:before="2"/>
              <w:ind w:left="228" w:right="215"/>
              <w:jc w:val="center"/>
              <w:rPr>
                <w:sz w:val="18"/>
              </w:rPr>
            </w:pPr>
            <w:r>
              <w:rPr>
                <w:sz w:val="18"/>
              </w:rPr>
              <w:t>15047</w:t>
            </w:r>
          </w:p>
        </w:tc>
        <w:tc>
          <w:tcPr>
            <w:tcW w:w="1914" w:type="dxa"/>
          </w:tcPr>
          <w:p>
            <w:pPr>
              <w:pStyle w:val="TableParagraph"/>
              <w:spacing w:before="2"/>
              <w:ind w:left="193"/>
              <w:rPr>
                <w:sz w:val="18"/>
              </w:rPr>
            </w:pPr>
            <w:r>
              <w:rPr>
                <w:sz w:val="18"/>
              </w:rPr>
              <w:t>Jiquipilco</w:t>
            </w:r>
          </w:p>
        </w:tc>
        <w:tc>
          <w:tcPr>
            <w:tcW w:w="1003" w:type="dxa"/>
          </w:tcPr>
          <w:p>
            <w:pPr>
              <w:pStyle w:val="TableParagraph"/>
              <w:spacing w:before="2"/>
              <w:ind w:right="183"/>
              <w:jc w:val="right"/>
              <w:rPr>
                <w:sz w:val="18"/>
              </w:rPr>
            </w:pPr>
            <w:r>
              <w:rPr>
                <w:sz w:val="18"/>
              </w:rPr>
              <w:t>69,031</w:t>
            </w:r>
          </w:p>
        </w:tc>
        <w:tc>
          <w:tcPr>
            <w:tcW w:w="1002" w:type="dxa"/>
          </w:tcPr>
          <w:p>
            <w:pPr>
              <w:pStyle w:val="TableParagraph"/>
              <w:spacing w:before="2"/>
              <w:ind w:left="96" w:right="87"/>
              <w:jc w:val="center"/>
              <w:rPr>
                <w:sz w:val="18"/>
              </w:rPr>
            </w:pPr>
            <w:r>
              <w:rPr>
                <w:sz w:val="18"/>
              </w:rPr>
              <w:t>0.17013</w:t>
            </w:r>
          </w:p>
        </w:tc>
        <w:tc>
          <w:tcPr>
            <w:tcW w:w="1003" w:type="dxa"/>
          </w:tcPr>
          <w:p>
            <w:pPr>
              <w:pStyle w:val="TableParagraph"/>
              <w:spacing w:before="2"/>
              <w:ind w:left="53" w:right="40"/>
              <w:jc w:val="center"/>
              <w:rPr>
                <w:sz w:val="18"/>
              </w:rPr>
            </w:pPr>
            <w:r>
              <w:rPr>
                <w:sz w:val="18"/>
              </w:rPr>
              <w:t>Medio</w:t>
            </w:r>
          </w:p>
        </w:tc>
        <w:tc>
          <w:tcPr>
            <w:tcW w:w="1003" w:type="dxa"/>
          </w:tcPr>
          <w:p>
            <w:pPr>
              <w:pStyle w:val="TableParagraph"/>
              <w:spacing w:before="2"/>
              <w:ind w:right="360"/>
              <w:jc w:val="right"/>
              <w:rPr>
                <w:sz w:val="18"/>
              </w:rPr>
            </w:pPr>
            <w:r>
              <w:rPr>
                <w:sz w:val="18"/>
              </w:rPr>
              <w:t>973</w:t>
            </w:r>
          </w:p>
        </w:tc>
      </w:tr>
      <w:tr>
        <w:trPr>
          <w:trHeight w:val="233" w:hRule="exact"/>
        </w:trPr>
        <w:tc>
          <w:tcPr>
            <w:tcW w:w="1002" w:type="dxa"/>
            <w:shd w:val="clear" w:color="auto" w:fill="F1DCDB"/>
          </w:tcPr>
          <w:p>
            <w:pPr>
              <w:pStyle w:val="TableParagraph"/>
              <w:spacing w:before="1"/>
              <w:ind w:right="384"/>
              <w:jc w:val="right"/>
              <w:rPr>
                <w:sz w:val="18"/>
              </w:rPr>
            </w:pPr>
            <w:r>
              <w:rPr>
                <w:sz w:val="18"/>
              </w:rPr>
              <w:t>15</w:t>
            </w:r>
          </w:p>
        </w:tc>
        <w:tc>
          <w:tcPr>
            <w:tcW w:w="1003" w:type="dxa"/>
            <w:shd w:val="clear" w:color="auto" w:fill="F1DCDB"/>
          </w:tcPr>
          <w:p>
            <w:pPr>
              <w:pStyle w:val="TableParagraph"/>
              <w:spacing w:before="1"/>
              <w:ind w:left="182" w:right="196"/>
              <w:jc w:val="center"/>
              <w:rPr>
                <w:sz w:val="18"/>
              </w:rPr>
            </w:pPr>
            <w:r>
              <w:rPr>
                <w:sz w:val="18"/>
              </w:rPr>
              <w:t>México</w:t>
            </w:r>
          </w:p>
        </w:tc>
        <w:tc>
          <w:tcPr>
            <w:tcW w:w="1003" w:type="dxa"/>
            <w:shd w:val="clear" w:color="auto" w:fill="F1DCDB"/>
          </w:tcPr>
          <w:p>
            <w:pPr>
              <w:pStyle w:val="TableParagraph"/>
              <w:spacing w:before="1"/>
              <w:ind w:left="228" w:right="215"/>
              <w:jc w:val="center"/>
              <w:rPr>
                <w:sz w:val="18"/>
              </w:rPr>
            </w:pPr>
            <w:r>
              <w:rPr>
                <w:sz w:val="18"/>
              </w:rPr>
              <w:t>15056</w:t>
            </w:r>
          </w:p>
        </w:tc>
        <w:tc>
          <w:tcPr>
            <w:tcW w:w="1914" w:type="dxa"/>
            <w:shd w:val="clear" w:color="auto" w:fill="F1DCDB"/>
          </w:tcPr>
          <w:p>
            <w:pPr>
              <w:pStyle w:val="TableParagraph"/>
              <w:spacing w:before="1"/>
              <w:ind w:left="193"/>
              <w:rPr>
                <w:sz w:val="18"/>
              </w:rPr>
            </w:pPr>
            <w:r>
              <w:rPr>
                <w:sz w:val="18"/>
              </w:rPr>
              <w:t>Morelos</w:t>
            </w:r>
          </w:p>
        </w:tc>
        <w:tc>
          <w:tcPr>
            <w:tcW w:w="1003" w:type="dxa"/>
            <w:shd w:val="clear" w:color="auto" w:fill="F1DCDB"/>
          </w:tcPr>
          <w:p>
            <w:pPr>
              <w:pStyle w:val="TableParagraph"/>
              <w:spacing w:before="1"/>
              <w:ind w:right="183"/>
              <w:jc w:val="right"/>
              <w:rPr>
                <w:sz w:val="18"/>
              </w:rPr>
            </w:pPr>
            <w:r>
              <w:rPr>
                <w:sz w:val="18"/>
              </w:rPr>
              <w:t>28,426</w:t>
            </w:r>
          </w:p>
        </w:tc>
        <w:tc>
          <w:tcPr>
            <w:tcW w:w="1002" w:type="dxa"/>
            <w:shd w:val="clear" w:color="auto" w:fill="F1DCDB"/>
          </w:tcPr>
          <w:p>
            <w:pPr>
              <w:pStyle w:val="TableParagraph"/>
              <w:spacing w:before="1"/>
              <w:ind w:left="96" w:right="87"/>
              <w:jc w:val="center"/>
              <w:rPr>
                <w:sz w:val="18"/>
              </w:rPr>
            </w:pPr>
            <w:r>
              <w:rPr>
                <w:sz w:val="18"/>
              </w:rPr>
              <w:t>0.58488</w:t>
            </w:r>
          </w:p>
        </w:tc>
        <w:tc>
          <w:tcPr>
            <w:tcW w:w="1003" w:type="dxa"/>
            <w:shd w:val="clear" w:color="auto" w:fill="F1DCDB"/>
          </w:tcPr>
          <w:p>
            <w:pPr>
              <w:pStyle w:val="TableParagraph"/>
              <w:spacing w:before="1"/>
              <w:ind w:left="53" w:right="40"/>
              <w:jc w:val="center"/>
              <w:rPr>
                <w:sz w:val="18"/>
              </w:rPr>
            </w:pPr>
            <w:r>
              <w:rPr>
                <w:sz w:val="18"/>
              </w:rPr>
              <w:t>Medio</w:t>
            </w:r>
          </w:p>
        </w:tc>
        <w:tc>
          <w:tcPr>
            <w:tcW w:w="1003" w:type="dxa"/>
            <w:shd w:val="clear" w:color="auto" w:fill="F1DCDB"/>
          </w:tcPr>
          <w:p>
            <w:pPr>
              <w:pStyle w:val="TableParagraph"/>
              <w:spacing w:before="1"/>
              <w:ind w:right="360"/>
              <w:jc w:val="right"/>
              <w:rPr>
                <w:sz w:val="18"/>
              </w:rPr>
            </w:pPr>
            <w:r>
              <w:rPr>
                <w:sz w:val="18"/>
              </w:rPr>
              <w:t>655</w:t>
            </w:r>
          </w:p>
        </w:tc>
      </w:tr>
      <w:tr>
        <w:trPr>
          <w:trHeight w:val="232" w:hRule="exact"/>
        </w:trPr>
        <w:tc>
          <w:tcPr>
            <w:tcW w:w="1002" w:type="dxa"/>
          </w:tcPr>
          <w:p>
            <w:pPr>
              <w:pStyle w:val="TableParagraph"/>
              <w:spacing w:before="2"/>
              <w:ind w:right="384"/>
              <w:jc w:val="right"/>
              <w:rPr>
                <w:sz w:val="18"/>
              </w:rPr>
            </w:pPr>
            <w:r>
              <w:rPr>
                <w:sz w:val="18"/>
              </w:rPr>
              <w:t>15</w:t>
            </w:r>
          </w:p>
        </w:tc>
        <w:tc>
          <w:tcPr>
            <w:tcW w:w="1003" w:type="dxa"/>
          </w:tcPr>
          <w:p>
            <w:pPr>
              <w:pStyle w:val="TableParagraph"/>
              <w:spacing w:before="2"/>
              <w:ind w:left="182" w:right="196"/>
              <w:jc w:val="center"/>
              <w:rPr>
                <w:sz w:val="18"/>
              </w:rPr>
            </w:pPr>
            <w:r>
              <w:rPr>
                <w:sz w:val="18"/>
              </w:rPr>
              <w:t>México</w:t>
            </w:r>
          </w:p>
        </w:tc>
        <w:tc>
          <w:tcPr>
            <w:tcW w:w="1003" w:type="dxa"/>
          </w:tcPr>
          <w:p>
            <w:pPr>
              <w:pStyle w:val="TableParagraph"/>
              <w:spacing w:before="2"/>
              <w:ind w:left="228" w:right="215"/>
              <w:jc w:val="center"/>
              <w:rPr>
                <w:sz w:val="18"/>
              </w:rPr>
            </w:pPr>
            <w:r>
              <w:rPr>
                <w:sz w:val="18"/>
              </w:rPr>
              <w:t>15085</w:t>
            </w:r>
          </w:p>
        </w:tc>
        <w:tc>
          <w:tcPr>
            <w:tcW w:w="1914" w:type="dxa"/>
          </w:tcPr>
          <w:p>
            <w:pPr>
              <w:pStyle w:val="TableParagraph"/>
              <w:spacing w:before="2"/>
              <w:ind w:left="193"/>
              <w:rPr>
                <w:sz w:val="18"/>
              </w:rPr>
            </w:pPr>
            <w:r>
              <w:rPr>
                <w:sz w:val="18"/>
              </w:rPr>
              <w:t>Temascalcingo</w:t>
            </w:r>
          </w:p>
        </w:tc>
        <w:tc>
          <w:tcPr>
            <w:tcW w:w="1003" w:type="dxa"/>
          </w:tcPr>
          <w:p>
            <w:pPr>
              <w:pStyle w:val="TableParagraph"/>
              <w:spacing w:before="2"/>
              <w:ind w:right="183"/>
              <w:jc w:val="right"/>
              <w:rPr>
                <w:sz w:val="18"/>
              </w:rPr>
            </w:pPr>
            <w:r>
              <w:rPr>
                <w:sz w:val="18"/>
              </w:rPr>
              <w:t>62,695</w:t>
            </w:r>
          </w:p>
        </w:tc>
        <w:tc>
          <w:tcPr>
            <w:tcW w:w="1002" w:type="dxa"/>
          </w:tcPr>
          <w:p>
            <w:pPr>
              <w:pStyle w:val="TableParagraph"/>
              <w:spacing w:before="2"/>
              <w:ind w:left="96" w:right="87"/>
              <w:jc w:val="center"/>
              <w:rPr>
                <w:sz w:val="18"/>
              </w:rPr>
            </w:pPr>
            <w:r>
              <w:rPr>
                <w:sz w:val="18"/>
              </w:rPr>
              <w:t>0.15751</w:t>
            </w:r>
          </w:p>
        </w:tc>
        <w:tc>
          <w:tcPr>
            <w:tcW w:w="1003" w:type="dxa"/>
          </w:tcPr>
          <w:p>
            <w:pPr>
              <w:pStyle w:val="TableParagraph"/>
              <w:spacing w:before="2"/>
              <w:ind w:left="53" w:right="40"/>
              <w:jc w:val="center"/>
              <w:rPr>
                <w:sz w:val="18"/>
              </w:rPr>
            </w:pPr>
            <w:r>
              <w:rPr>
                <w:sz w:val="18"/>
              </w:rPr>
              <w:t>Medio</w:t>
            </w:r>
          </w:p>
        </w:tc>
        <w:tc>
          <w:tcPr>
            <w:tcW w:w="1003" w:type="dxa"/>
          </w:tcPr>
          <w:p>
            <w:pPr>
              <w:pStyle w:val="TableParagraph"/>
              <w:spacing w:before="2"/>
              <w:ind w:right="360"/>
              <w:jc w:val="right"/>
              <w:rPr>
                <w:sz w:val="18"/>
              </w:rPr>
            </w:pPr>
            <w:r>
              <w:rPr>
                <w:sz w:val="18"/>
              </w:rPr>
              <w:t>984</w:t>
            </w:r>
          </w:p>
        </w:tc>
      </w:tr>
      <w:tr>
        <w:trPr>
          <w:trHeight w:val="234" w:hRule="exact"/>
        </w:trPr>
        <w:tc>
          <w:tcPr>
            <w:tcW w:w="1002" w:type="dxa"/>
            <w:shd w:val="clear" w:color="auto" w:fill="F1DCDB"/>
          </w:tcPr>
          <w:p>
            <w:pPr>
              <w:pStyle w:val="TableParagraph"/>
              <w:spacing w:before="2"/>
              <w:ind w:right="384"/>
              <w:jc w:val="right"/>
              <w:rPr>
                <w:sz w:val="18"/>
              </w:rPr>
            </w:pPr>
            <w:r>
              <w:rPr>
                <w:sz w:val="18"/>
              </w:rPr>
              <w:t>15</w:t>
            </w:r>
          </w:p>
        </w:tc>
        <w:tc>
          <w:tcPr>
            <w:tcW w:w="1003" w:type="dxa"/>
            <w:shd w:val="clear" w:color="auto" w:fill="F1DCDB"/>
          </w:tcPr>
          <w:p>
            <w:pPr>
              <w:pStyle w:val="TableParagraph"/>
              <w:spacing w:before="2"/>
              <w:ind w:left="182" w:right="196"/>
              <w:jc w:val="center"/>
              <w:rPr>
                <w:sz w:val="18"/>
              </w:rPr>
            </w:pPr>
            <w:r>
              <w:rPr>
                <w:sz w:val="18"/>
              </w:rPr>
              <w:t>México</w:t>
            </w:r>
          </w:p>
        </w:tc>
        <w:tc>
          <w:tcPr>
            <w:tcW w:w="1003" w:type="dxa"/>
            <w:shd w:val="clear" w:color="auto" w:fill="F1DCDB"/>
          </w:tcPr>
          <w:p>
            <w:pPr>
              <w:pStyle w:val="TableParagraph"/>
              <w:spacing w:before="2"/>
              <w:ind w:left="228" w:right="215"/>
              <w:jc w:val="center"/>
              <w:rPr>
                <w:sz w:val="18"/>
              </w:rPr>
            </w:pPr>
            <w:r>
              <w:rPr>
                <w:sz w:val="18"/>
              </w:rPr>
              <w:t>15086</w:t>
            </w:r>
          </w:p>
        </w:tc>
        <w:tc>
          <w:tcPr>
            <w:tcW w:w="1914" w:type="dxa"/>
            <w:shd w:val="clear" w:color="auto" w:fill="F1DCDB"/>
          </w:tcPr>
          <w:p>
            <w:pPr>
              <w:pStyle w:val="TableParagraph"/>
              <w:spacing w:before="2"/>
              <w:ind w:left="193"/>
              <w:rPr>
                <w:sz w:val="18"/>
              </w:rPr>
            </w:pPr>
            <w:r>
              <w:rPr>
                <w:sz w:val="18"/>
              </w:rPr>
              <w:t>Temascaltepec</w:t>
            </w:r>
          </w:p>
        </w:tc>
        <w:tc>
          <w:tcPr>
            <w:tcW w:w="1003" w:type="dxa"/>
            <w:shd w:val="clear" w:color="auto" w:fill="F1DCDB"/>
          </w:tcPr>
          <w:p>
            <w:pPr>
              <w:pStyle w:val="TableParagraph"/>
              <w:spacing w:before="2"/>
              <w:ind w:right="183"/>
              <w:jc w:val="right"/>
              <w:rPr>
                <w:sz w:val="18"/>
              </w:rPr>
            </w:pPr>
            <w:r>
              <w:rPr>
                <w:sz w:val="18"/>
              </w:rPr>
              <w:t>32,870</w:t>
            </w:r>
          </w:p>
        </w:tc>
        <w:tc>
          <w:tcPr>
            <w:tcW w:w="1002" w:type="dxa"/>
            <w:shd w:val="clear" w:color="auto" w:fill="F1DCDB"/>
          </w:tcPr>
          <w:p>
            <w:pPr>
              <w:pStyle w:val="TableParagraph"/>
              <w:spacing w:before="2"/>
              <w:ind w:left="96" w:right="87"/>
              <w:jc w:val="center"/>
              <w:rPr>
                <w:sz w:val="18"/>
              </w:rPr>
            </w:pPr>
            <w:r>
              <w:rPr>
                <w:sz w:val="18"/>
              </w:rPr>
              <w:t>0.21039</w:t>
            </w:r>
          </w:p>
        </w:tc>
        <w:tc>
          <w:tcPr>
            <w:tcW w:w="1003" w:type="dxa"/>
            <w:shd w:val="clear" w:color="auto" w:fill="F1DCDB"/>
          </w:tcPr>
          <w:p>
            <w:pPr>
              <w:pStyle w:val="TableParagraph"/>
              <w:spacing w:before="2"/>
              <w:ind w:left="53" w:right="40"/>
              <w:jc w:val="center"/>
              <w:rPr>
                <w:sz w:val="18"/>
              </w:rPr>
            </w:pPr>
            <w:r>
              <w:rPr>
                <w:sz w:val="18"/>
              </w:rPr>
              <w:t>Medio</w:t>
            </w:r>
          </w:p>
        </w:tc>
        <w:tc>
          <w:tcPr>
            <w:tcW w:w="1003" w:type="dxa"/>
            <w:shd w:val="clear" w:color="auto" w:fill="F1DCDB"/>
          </w:tcPr>
          <w:p>
            <w:pPr>
              <w:pStyle w:val="TableParagraph"/>
              <w:spacing w:before="2"/>
              <w:ind w:right="360"/>
              <w:jc w:val="right"/>
              <w:rPr>
                <w:sz w:val="18"/>
              </w:rPr>
            </w:pPr>
            <w:r>
              <w:rPr>
                <w:sz w:val="18"/>
              </w:rPr>
              <w:t>941</w:t>
            </w:r>
          </w:p>
        </w:tc>
      </w:tr>
      <w:tr>
        <w:trPr>
          <w:trHeight w:val="232" w:hRule="exact"/>
        </w:trPr>
        <w:tc>
          <w:tcPr>
            <w:tcW w:w="1002" w:type="dxa"/>
          </w:tcPr>
          <w:p>
            <w:pPr>
              <w:pStyle w:val="TableParagraph"/>
              <w:spacing w:before="1"/>
              <w:ind w:right="384"/>
              <w:jc w:val="right"/>
              <w:rPr>
                <w:sz w:val="18"/>
              </w:rPr>
            </w:pPr>
            <w:r>
              <w:rPr>
                <w:sz w:val="18"/>
              </w:rPr>
              <w:t>15</w:t>
            </w:r>
          </w:p>
        </w:tc>
        <w:tc>
          <w:tcPr>
            <w:tcW w:w="1003" w:type="dxa"/>
          </w:tcPr>
          <w:p>
            <w:pPr>
              <w:pStyle w:val="TableParagraph"/>
              <w:spacing w:before="1"/>
              <w:ind w:left="182" w:right="196"/>
              <w:jc w:val="center"/>
              <w:rPr>
                <w:sz w:val="18"/>
              </w:rPr>
            </w:pPr>
            <w:r>
              <w:rPr>
                <w:sz w:val="18"/>
              </w:rPr>
              <w:t>México</w:t>
            </w:r>
          </w:p>
        </w:tc>
        <w:tc>
          <w:tcPr>
            <w:tcW w:w="1003" w:type="dxa"/>
          </w:tcPr>
          <w:p>
            <w:pPr>
              <w:pStyle w:val="TableParagraph"/>
              <w:spacing w:before="1"/>
              <w:ind w:left="228" w:right="215"/>
              <w:jc w:val="center"/>
              <w:rPr>
                <w:sz w:val="18"/>
              </w:rPr>
            </w:pPr>
            <w:r>
              <w:rPr>
                <w:sz w:val="18"/>
              </w:rPr>
              <w:t>15087</w:t>
            </w:r>
          </w:p>
        </w:tc>
        <w:tc>
          <w:tcPr>
            <w:tcW w:w="1914" w:type="dxa"/>
          </w:tcPr>
          <w:p>
            <w:pPr>
              <w:pStyle w:val="TableParagraph"/>
              <w:spacing w:before="1"/>
              <w:ind w:left="193"/>
              <w:rPr>
                <w:sz w:val="18"/>
              </w:rPr>
            </w:pPr>
            <w:r>
              <w:rPr>
                <w:sz w:val="18"/>
              </w:rPr>
              <w:t>Temoaya</w:t>
            </w:r>
          </w:p>
        </w:tc>
        <w:tc>
          <w:tcPr>
            <w:tcW w:w="1003" w:type="dxa"/>
          </w:tcPr>
          <w:p>
            <w:pPr>
              <w:pStyle w:val="TableParagraph"/>
              <w:spacing w:before="1"/>
              <w:ind w:right="183"/>
              <w:jc w:val="right"/>
              <w:rPr>
                <w:sz w:val="18"/>
              </w:rPr>
            </w:pPr>
            <w:r>
              <w:rPr>
                <w:sz w:val="18"/>
              </w:rPr>
              <w:t>90,010</w:t>
            </w:r>
          </w:p>
        </w:tc>
        <w:tc>
          <w:tcPr>
            <w:tcW w:w="1002" w:type="dxa"/>
          </w:tcPr>
          <w:p>
            <w:pPr>
              <w:pStyle w:val="TableParagraph"/>
              <w:spacing w:before="1"/>
              <w:ind w:left="96" w:right="87"/>
              <w:jc w:val="center"/>
              <w:rPr>
                <w:sz w:val="18"/>
              </w:rPr>
            </w:pPr>
            <w:r>
              <w:rPr>
                <w:sz w:val="18"/>
              </w:rPr>
              <w:t>0.07900</w:t>
            </w:r>
          </w:p>
        </w:tc>
        <w:tc>
          <w:tcPr>
            <w:tcW w:w="1003" w:type="dxa"/>
          </w:tcPr>
          <w:p>
            <w:pPr>
              <w:pStyle w:val="TableParagraph"/>
              <w:spacing w:before="1"/>
              <w:ind w:left="53" w:right="40"/>
              <w:jc w:val="center"/>
              <w:rPr>
                <w:sz w:val="18"/>
              </w:rPr>
            </w:pPr>
            <w:r>
              <w:rPr>
                <w:sz w:val="18"/>
              </w:rPr>
              <w:t>Medio</w:t>
            </w:r>
          </w:p>
        </w:tc>
        <w:tc>
          <w:tcPr>
            <w:tcW w:w="1003" w:type="dxa"/>
          </w:tcPr>
          <w:p>
            <w:pPr>
              <w:pStyle w:val="TableParagraph"/>
              <w:spacing w:before="1"/>
              <w:ind w:right="357"/>
              <w:jc w:val="right"/>
              <w:rPr>
                <w:sz w:val="18"/>
              </w:rPr>
            </w:pPr>
            <w:r>
              <w:rPr>
                <w:sz w:val="18"/>
              </w:rPr>
              <w:t>1038</w:t>
            </w:r>
          </w:p>
        </w:tc>
      </w:tr>
      <w:tr>
        <w:trPr>
          <w:trHeight w:val="233" w:hRule="exact"/>
        </w:trPr>
        <w:tc>
          <w:tcPr>
            <w:tcW w:w="1002" w:type="dxa"/>
            <w:shd w:val="clear" w:color="auto" w:fill="F1DCDB"/>
          </w:tcPr>
          <w:p>
            <w:pPr>
              <w:pStyle w:val="TableParagraph"/>
              <w:spacing w:before="2"/>
              <w:ind w:right="384"/>
              <w:jc w:val="right"/>
              <w:rPr>
                <w:sz w:val="18"/>
              </w:rPr>
            </w:pPr>
            <w:r>
              <w:rPr>
                <w:sz w:val="18"/>
              </w:rPr>
              <w:t>15</w:t>
            </w:r>
          </w:p>
        </w:tc>
        <w:tc>
          <w:tcPr>
            <w:tcW w:w="1003" w:type="dxa"/>
            <w:shd w:val="clear" w:color="auto" w:fill="F1DCDB"/>
          </w:tcPr>
          <w:p>
            <w:pPr>
              <w:pStyle w:val="TableParagraph"/>
              <w:spacing w:before="2"/>
              <w:ind w:left="182" w:right="196"/>
              <w:jc w:val="center"/>
              <w:rPr>
                <w:sz w:val="18"/>
              </w:rPr>
            </w:pPr>
            <w:r>
              <w:rPr>
                <w:sz w:val="18"/>
              </w:rPr>
              <w:t>México</w:t>
            </w:r>
          </w:p>
        </w:tc>
        <w:tc>
          <w:tcPr>
            <w:tcW w:w="1003" w:type="dxa"/>
            <w:shd w:val="clear" w:color="auto" w:fill="F1DCDB"/>
          </w:tcPr>
          <w:p>
            <w:pPr>
              <w:pStyle w:val="TableParagraph"/>
              <w:spacing w:before="2"/>
              <w:ind w:left="228" w:right="215"/>
              <w:jc w:val="center"/>
              <w:rPr>
                <w:sz w:val="18"/>
              </w:rPr>
            </w:pPr>
            <w:r>
              <w:rPr>
                <w:sz w:val="18"/>
              </w:rPr>
              <w:t>15097</w:t>
            </w:r>
          </w:p>
        </w:tc>
        <w:tc>
          <w:tcPr>
            <w:tcW w:w="1914" w:type="dxa"/>
            <w:shd w:val="clear" w:color="auto" w:fill="F1DCDB"/>
          </w:tcPr>
          <w:p>
            <w:pPr>
              <w:pStyle w:val="TableParagraph"/>
              <w:spacing w:before="2"/>
              <w:ind w:left="193"/>
              <w:rPr>
                <w:sz w:val="18"/>
              </w:rPr>
            </w:pPr>
            <w:r>
              <w:rPr>
                <w:sz w:val="18"/>
              </w:rPr>
              <w:t>Texcaltitlán</w:t>
            </w:r>
          </w:p>
        </w:tc>
        <w:tc>
          <w:tcPr>
            <w:tcW w:w="1003" w:type="dxa"/>
            <w:shd w:val="clear" w:color="auto" w:fill="F1DCDB"/>
          </w:tcPr>
          <w:p>
            <w:pPr>
              <w:pStyle w:val="TableParagraph"/>
              <w:spacing w:before="2"/>
              <w:ind w:right="183"/>
              <w:jc w:val="right"/>
              <w:rPr>
                <w:sz w:val="18"/>
              </w:rPr>
            </w:pPr>
            <w:r>
              <w:rPr>
                <w:sz w:val="18"/>
              </w:rPr>
              <w:t>17,390</w:t>
            </w:r>
          </w:p>
        </w:tc>
        <w:tc>
          <w:tcPr>
            <w:tcW w:w="1002" w:type="dxa"/>
            <w:shd w:val="clear" w:color="auto" w:fill="F1DCDB"/>
          </w:tcPr>
          <w:p>
            <w:pPr>
              <w:pStyle w:val="TableParagraph"/>
              <w:spacing w:before="2"/>
              <w:ind w:left="96" w:right="87"/>
              <w:jc w:val="center"/>
              <w:rPr>
                <w:sz w:val="18"/>
              </w:rPr>
            </w:pPr>
            <w:r>
              <w:rPr>
                <w:sz w:val="18"/>
              </w:rPr>
              <w:t>0.05926</w:t>
            </w:r>
          </w:p>
        </w:tc>
        <w:tc>
          <w:tcPr>
            <w:tcW w:w="1003" w:type="dxa"/>
            <w:shd w:val="clear" w:color="auto" w:fill="F1DCDB"/>
          </w:tcPr>
          <w:p>
            <w:pPr>
              <w:pStyle w:val="TableParagraph"/>
              <w:spacing w:before="2"/>
              <w:ind w:left="53" w:right="40"/>
              <w:jc w:val="center"/>
              <w:rPr>
                <w:sz w:val="18"/>
              </w:rPr>
            </w:pPr>
            <w:r>
              <w:rPr>
                <w:sz w:val="18"/>
              </w:rPr>
              <w:t>Medio</w:t>
            </w:r>
          </w:p>
        </w:tc>
        <w:tc>
          <w:tcPr>
            <w:tcW w:w="1003" w:type="dxa"/>
            <w:shd w:val="clear" w:color="auto" w:fill="F1DCDB"/>
          </w:tcPr>
          <w:p>
            <w:pPr>
              <w:pStyle w:val="TableParagraph"/>
              <w:spacing w:before="2"/>
              <w:ind w:right="357"/>
              <w:jc w:val="right"/>
              <w:rPr>
                <w:sz w:val="18"/>
              </w:rPr>
            </w:pPr>
            <w:r>
              <w:rPr>
                <w:sz w:val="18"/>
              </w:rPr>
              <w:t>1057</w:t>
            </w:r>
          </w:p>
        </w:tc>
      </w:tr>
      <w:tr>
        <w:trPr>
          <w:trHeight w:val="234" w:hRule="exact"/>
        </w:trPr>
        <w:tc>
          <w:tcPr>
            <w:tcW w:w="1002" w:type="dxa"/>
          </w:tcPr>
          <w:p>
            <w:pPr>
              <w:pStyle w:val="TableParagraph"/>
              <w:spacing w:before="3"/>
              <w:ind w:right="384"/>
              <w:jc w:val="right"/>
              <w:rPr>
                <w:sz w:val="18"/>
              </w:rPr>
            </w:pPr>
            <w:r>
              <w:rPr>
                <w:sz w:val="18"/>
              </w:rPr>
              <w:t>15</w:t>
            </w:r>
          </w:p>
        </w:tc>
        <w:tc>
          <w:tcPr>
            <w:tcW w:w="1003" w:type="dxa"/>
          </w:tcPr>
          <w:p>
            <w:pPr>
              <w:pStyle w:val="TableParagraph"/>
              <w:spacing w:before="3"/>
              <w:ind w:left="182" w:right="196"/>
              <w:jc w:val="center"/>
              <w:rPr>
                <w:sz w:val="18"/>
              </w:rPr>
            </w:pPr>
            <w:r>
              <w:rPr>
                <w:sz w:val="18"/>
              </w:rPr>
              <w:t>México</w:t>
            </w:r>
          </w:p>
        </w:tc>
        <w:tc>
          <w:tcPr>
            <w:tcW w:w="1003" w:type="dxa"/>
          </w:tcPr>
          <w:p>
            <w:pPr>
              <w:pStyle w:val="TableParagraph"/>
              <w:spacing w:before="3"/>
              <w:ind w:left="228" w:right="215"/>
              <w:jc w:val="center"/>
              <w:rPr>
                <w:sz w:val="18"/>
              </w:rPr>
            </w:pPr>
            <w:r>
              <w:rPr>
                <w:sz w:val="18"/>
              </w:rPr>
              <w:t>15105</w:t>
            </w:r>
          </w:p>
        </w:tc>
        <w:tc>
          <w:tcPr>
            <w:tcW w:w="1914" w:type="dxa"/>
          </w:tcPr>
          <w:p>
            <w:pPr>
              <w:pStyle w:val="TableParagraph"/>
              <w:spacing w:before="3"/>
              <w:ind w:left="193"/>
              <w:rPr>
                <w:sz w:val="18"/>
              </w:rPr>
            </w:pPr>
            <w:r>
              <w:rPr>
                <w:sz w:val="18"/>
              </w:rPr>
              <w:t>Tlatlaya</w:t>
            </w:r>
          </w:p>
        </w:tc>
        <w:tc>
          <w:tcPr>
            <w:tcW w:w="1003" w:type="dxa"/>
          </w:tcPr>
          <w:p>
            <w:pPr>
              <w:pStyle w:val="TableParagraph"/>
              <w:spacing w:before="3"/>
              <w:ind w:right="183"/>
              <w:jc w:val="right"/>
              <w:rPr>
                <w:sz w:val="18"/>
              </w:rPr>
            </w:pPr>
            <w:r>
              <w:rPr>
                <w:sz w:val="18"/>
              </w:rPr>
              <w:t>32,997</w:t>
            </w:r>
          </w:p>
        </w:tc>
        <w:tc>
          <w:tcPr>
            <w:tcW w:w="1002" w:type="dxa"/>
          </w:tcPr>
          <w:p>
            <w:pPr>
              <w:pStyle w:val="TableParagraph"/>
              <w:spacing w:before="3"/>
              <w:ind w:left="96" w:right="87"/>
              <w:jc w:val="center"/>
              <w:rPr>
                <w:sz w:val="18"/>
              </w:rPr>
            </w:pPr>
            <w:r>
              <w:rPr>
                <w:sz w:val="18"/>
              </w:rPr>
              <w:t>0.21732</w:t>
            </w:r>
          </w:p>
        </w:tc>
        <w:tc>
          <w:tcPr>
            <w:tcW w:w="1003" w:type="dxa"/>
          </w:tcPr>
          <w:p>
            <w:pPr>
              <w:pStyle w:val="TableParagraph"/>
              <w:spacing w:before="3"/>
              <w:ind w:left="53" w:right="40"/>
              <w:jc w:val="center"/>
              <w:rPr>
                <w:sz w:val="18"/>
              </w:rPr>
            </w:pPr>
            <w:r>
              <w:rPr>
                <w:sz w:val="18"/>
              </w:rPr>
              <w:t>Medio</w:t>
            </w:r>
          </w:p>
        </w:tc>
        <w:tc>
          <w:tcPr>
            <w:tcW w:w="1003" w:type="dxa"/>
          </w:tcPr>
          <w:p>
            <w:pPr>
              <w:pStyle w:val="TableParagraph"/>
              <w:spacing w:before="3"/>
              <w:ind w:right="360"/>
              <w:jc w:val="right"/>
              <w:rPr>
                <w:sz w:val="18"/>
              </w:rPr>
            </w:pPr>
            <w:r>
              <w:rPr>
                <w:sz w:val="18"/>
              </w:rPr>
              <w:t>934</w:t>
            </w:r>
          </w:p>
        </w:tc>
      </w:tr>
      <w:tr>
        <w:trPr>
          <w:trHeight w:val="232" w:hRule="exact"/>
        </w:trPr>
        <w:tc>
          <w:tcPr>
            <w:tcW w:w="1002" w:type="dxa"/>
            <w:shd w:val="clear" w:color="auto" w:fill="F1DCDB"/>
          </w:tcPr>
          <w:p>
            <w:pPr>
              <w:pStyle w:val="TableParagraph"/>
              <w:spacing w:before="1"/>
              <w:ind w:right="384"/>
              <w:jc w:val="right"/>
              <w:rPr>
                <w:sz w:val="18"/>
              </w:rPr>
            </w:pPr>
            <w:r>
              <w:rPr>
                <w:sz w:val="18"/>
              </w:rPr>
              <w:t>15</w:t>
            </w:r>
          </w:p>
        </w:tc>
        <w:tc>
          <w:tcPr>
            <w:tcW w:w="1003" w:type="dxa"/>
            <w:shd w:val="clear" w:color="auto" w:fill="F1DCDB"/>
          </w:tcPr>
          <w:p>
            <w:pPr>
              <w:pStyle w:val="TableParagraph"/>
              <w:spacing w:before="1"/>
              <w:ind w:left="182" w:right="196"/>
              <w:jc w:val="center"/>
              <w:rPr>
                <w:sz w:val="18"/>
              </w:rPr>
            </w:pPr>
            <w:r>
              <w:rPr>
                <w:sz w:val="18"/>
              </w:rPr>
              <w:t>México</w:t>
            </w:r>
          </w:p>
        </w:tc>
        <w:tc>
          <w:tcPr>
            <w:tcW w:w="1003" w:type="dxa"/>
            <w:shd w:val="clear" w:color="auto" w:fill="F1DCDB"/>
          </w:tcPr>
          <w:p>
            <w:pPr>
              <w:pStyle w:val="TableParagraph"/>
              <w:spacing w:before="1"/>
              <w:ind w:left="226" w:right="217"/>
              <w:jc w:val="center"/>
              <w:rPr>
                <w:sz w:val="18"/>
              </w:rPr>
            </w:pPr>
            <w:r>
              <w:rPr>
                <w:sz w:val="18"/>
              </w:rPr>
              <w:t>15112</w:t>
            </w:r>
          </w:p>
        </w:tc>
        <w:tc>
          <w:tcPr>
            <w:tcW w:w="1914" w:type="dxa"/>
            <w:shd w:val="clear" w:color="auto" w:fill="F1DCDB"/>
          </w:tcPr>
          <w:p>
            <w:pPr>
              <w:pStyle w:val="TableParagraph"/>
              <w:spacing w:before="1"/>
              <w:ind w:left="193"/>
              <w:rPr>
                <w:sz w:val="18"/>
              </w:rPr>
            </w:pPr>
            <w:r>
              <w:rPr>
                <w:sz w:val="18"/>
              </w:rPr>
              <w:t>Villa del Carbón</w:t>
            </w:r>
          </w:p>
        </w:tc>
        <w:tc>
          <w:tcPr>
            <w:tcW w:w="1003" w:type="dxa"/>
            <w:shd w:val="clear" w:color="auto" w:fill="F1DCDB"/>
          </w:tcPr>
          <w:p>
            <w:pPr>
              <w:pStyle w:val="TableParagraph"/>
              <w:spacing w:before="1"/>
              <w:ind w:right="183"/>
              <w:jc w:val="right"/>
              <w:rPr>
                <w:sz w:val="18"/>
              </w:rPr>
            </w:pPr>
            <w:r>
              <w:rPr>
                <w:sz w:val="18"/>
              </w:rPr>
              <w:t>44,881</w:t>
            </w:r>
          </w:p>
        </w:tc>
        <w:tc>
          <w:tcPr>
            <w:tcW w:w="1002" w:type="dxa"/>
            <w:shd w:val="clear" w:color="auto" w:fill="F1DCDB"/>
          </w:tcPr>
          <w:p>
            <w:pPr>
              <w:pStyle w:val="TableParagraph"/>
              <w:spacing w:before="1"/>
              <w:ind w:left="96" w:right="87"/>
              <w:jc w:val="center"/>
              <w:rPr>
                <w:sz w:val="18"/>
              </w:rPr>
            </w:pPr>
            <w:r>
              <w:rPr>
                <w:sz w:val="18"/>
              </w:rPr>
              <w:t>0.07857</w:t>
            </w:r>
          </w:p>
        </w:tc>
        <w:tc>
          <w:tcPr>
            <w:tcW w:w="1003" w:type="dxa"/>
            <w:shd w:val="clear" w:color="auto" w:fill="F1DCDB"/>
          </w:tcPr>
          <w:p>
            <w:pPr>
              <w:pStyle w:val="TableParagraph"/>
              <w:spacing w:before="1"/>
              <w:ind w:left="53" w:right="40"/>
              <w:jc w:val="center"/>
              <w:rPr>
                <w:sz w:val="18"/>
              </w:rPr>
            </w:pPr>
            <w:r>
              <w:rPr>
                <w:sz w:val="18"/>
              </w:rPr>
              <w:t>Medio</w:t>
            </w:r>
          </w:p>
        </w:tc>
        <w:tc>
          <w:tcPr>
            <w:tcW w:w="1003" w:type="dxa"/>
            <w:shd w:val="clear" w:color="auto" w:fill="F1DCDB"/>
          </w:tcPr>
          <w:p>
            <w:pPr>
              <w:pStyle w:val="TableParagraph"/>
              <w:spacing w:before="1"/>
              <w:ind w:right="357"/>
              <w:jc w:val="right"/>
              <w:rPr>
                <w:sz w:val="18"/>
              </w:rPr>
            </w:pPr>
            <w:r>
              <w:rPr>
                <w:sz w:val="18"/>
              </w:rPr>
              <w:t>1040</w:t>
            </w:r>
          </w:p>
        </w:tc>
      </w:tr>
      <w:tr>
        <w:trPr>
          <w:trHeight w:val="234" w:hRule="exact"/>
        </w:trPr>
        <w:tc>
          <w:tcPr>
            <w:tcW w:w="1002" w:type="dxa"/>
          </w:tcPr>
          <w:p>
            <w:pPr>
              <w:pStyle w:val="TableParagraph"/>
              <w:spacing w:before="2"/>
              <w:ind w:right="384"/>
              <w:jc w:val="right"/>
              <w:rPr>
                <w:sz w:val="18"/>
              </w:rPr>
            </w:pPr>
            <w:r>
              <w:rPr>
                <w:sz w:val="18"/>
              </w:rPr>
              <w:t>15</w:t>
            </w:r>
          </w:p>
        </w:tc>
        <w:tc>
          <w:tcPr>
            <w:tcW w:w="1003" w:type="dxa"/>
          </w:tcPr>
          <w:p>
            <w:pPr>
              <w:pStyle w:val="TableParagraph"/>
              <w:spacing w:before="2"/>
              <w:ind w:left="182" w:right="196"/>
              <w:jc w:val="center"/>
              <w:rPr>
                <w:sz w:val="18"/>
              </w:rPr>
            </w:pPr>
            <w:r>
              <w:rPr>
                <w:sz w:val="18"/>
              </w:rPr>
              <w:t>México</w:t>
            </w:r>
          </w:p>
        </w:tc>
        <w:tc>
          <w:tcPr>
            <w:tcW w:w="1003" w:type="dxa"/>
          </w:tcPr>
          <w:p>
            <w:pPr>
              <w:pStyle w:val="TableParagraph"/>
              <w:spacing w:before="2"/>
              <w:ind w:left="226" w:right="217"/>
              <w:jc w:val="center"/>
              <w:rPr>
                <w:sz w:val="18"/>
              </w:rPr>
            </w:pPr>
            <w:r>
              <w:rPr>
                <w:sz w:val="18"/>
              </w:rPr>
              <w:t>15113</w:t>
            </w:r>
          </w:p>
        </w:tc>
        <w:tc>
          <w:tcPr>
            <w:tcW w:w="1914" w:type="dxa"/>
          </w:tcPr>
          <w:p>
            <w:pPr>
              <w:pStyle w:val="TableParagraph"/>
              <w:spacing w:before="2"/>
              <w:ind w:left="193"/>
              <w:rPr>
                <w:sz w:val="18"/>
              </w:rPr>
            </w:pPr>
            <w:r>
              <w:rPr>
                <w:sz w:val="18"/>
              </w:rPr>
              <w:t>Villa Guerrero</w:t>
            </w:r>
          </w:p>
        </w:tc>
        <w:tc>
          <w:tcPr>
            <w:tcW w:w="1003" w:type="dxa"/>
          </w:tcPr>
          <w:p>
            <w:pPr>
              <w:pStyle w:val="TableParagraph"/>
              <w:spacing w:before="2"/>
              <w:ind w:right="183"/>
              <w:jc w:val="right"/>
              <w:rPr>
                <w:sz w:val="18"/>
              </w:rPr>
            </w:pPr>
            <w:r>
              <w:rPr>
                <w:sz w:val="18"/>
              </w:rPr>
              <w:t>59,991</w:t>
            </w:r>
          </w:p>
        </w:tc>
        <w:tc>
          <w:tcPr>
            <w:tcW w:w="1002" w:type="dxa"/>
          </w:tcPr>
          <w:p>
            <w:pPr>
              <w:pStyle w:val="TableParagraph"/>
              <w:spacing w:before="2"/>
              <w:ind w:left="96" w:right="87"/>
              <w:jc w:val="center"/>
              <w:rPr>
                <w:sz w:val="18"/>
              </w:rPr>
            </w:pPr>
            <w:r>
              <w:rPr>
                <w:sz w:val="18"/>
              </w:rPr>
              <w:t>0.08792</w:t>
            </w:r>
          </w:p>
        </w:tc>
        <w:tc>
          <w:tcPr>
            <w:tcW w:w="1003" w:type="dxa"/>
          </w:tcPr>
          <w:p>
            <w:pPr>
              <w:pStyle w:val="TableParagraph"/>
              <w:spacing w:before="2"/>
              <w:ind w:left="53" w:right="40"/>
              <w:jc w:val="center"/>
              <w:rPr>
                <w:sz w:val="18"/>
              </w:rPr>
            </w:pPr>
            <w:r>
              <w:rPr>
                <w:sz w:val="18"/>
              </w:rPr>
              <w:t>Medio</w:t>
            </w:r>
          </w:p>
        </w:tc>
        <w:tc>
          <w:tcPr>
            <w:tcW w:w="1003" w:type="dxa"/>
          </w:tcPr>
          <w:p>
            <w:pPr>
              <w:pStyle w:val="TableParagraph"/>
              <w:spacing w:before="2"/>
              <w:ind w:right="357"/>
              <w:jc w:val="right"/>
              <w:rPr>
                <w:sz w:val="18"/>
              </w:rPr>
            </w:pPr>
            <w:r>
              <w:rPr>
                <w:sz w:val="18"/>
              </w:rPr>
              <w:t>1030</w:t>
            </w:r>
          </w:p>
        </w:tc>
      </w:tr>
      <w:tr>
        <w:trPr>
          <w:trHeight w:val="233" w:hRule="exact"/>
        </w:trPr>
        <w:tc>
          <w:tcPr>
            <w:tcW w:w="1002" w:type="dxa"/>
            <w:shd w:val="clear" w:color="auto" w:fill="F1DCDB"/>
          </w:tcPr>
          <w:p>
            <w:pPr>
              <w:pStyle w:val="TableParagraph"/>
              <w:spacing w:before="1"/>
              <w:ind w:right="384"/>
              <w:jc w:val="right"/>
              <w:rPr>
                <w:sz w:val="18"/>
              </w:rPr>
            </w:pPr>
            <w:r>
              <w:rPr>
                <w:sz w:val="18"/>
              </w:rPr>
              <w:t>15</w:t>
            </w:r>
          </w:p>
        </w:tc>
        <w:tc>
          <w:tcPr>
            <w:tcW w:w="1003" w:type="dxa"/>
            <w:shd w:val="clear" w:color="auto" w:fill="F1DCDB"/>
          </w:tcPr>
          <w:p>
            <w:pPr>
              <w:pStyle w:val="TableParagraph"/>
              <w:spacing w:before="1"/>
              <w:ind w:left="182" w:right="196"/>
              <w:jc w:val="center"/>
              <w:rPr>
                <w:sz w:val="18"/>
              </w:rPr>
            </w:pPr>
            <w:r>
              <w:rPr>
                <w:sz w:val="18"/>
              </w:rPr>
              <w:t>México</w:t>
            </w:r>
          </w:p>
        </w:tc>
        <w:tc>
          <w:tcPr>
            <w:tcW w:w="1003" w:type="dxa"/>
            <w:shd w:val="clear" w:color="auto" w:fill="F1DCDB"/>
          </w:tcPr>
          <w:p>
            <w:pPr>
              <w:pStyle w:val="TableParagraph"/>
              <w:spacing w:before="1"/>
              <w:ind w:left="226" w:right="217"/>
              <w:jc w:val="center"/>
              <w:rPr>
                <w:sz w:val="18"/>
              </w:rPr>
            </w:pPr>
            <w:r>
              <w:rPr>
                <w:sz w:val="18"/>
              </w:rPr>
              <w:t>15119</w:t>
            </w:r>
          </w:p>
        </w:tc>
        <w:tc>
          <w:tcPr>
            <w:tcW w:w="1914" w:type="dxa"/>
            <w:shd w:val="clear" w:color="auto" w:fill="F1DCDB"/>
          </w:tcPr>
          <w:p>
            <w:pPr>
              <w:pStyle w:val="TableParagraph"/>
              <w:spacing w:before="1"/>
              <w:ind w:left="193"/>
              <w:rPr>
                <w:sz w:val="18"/>
              </w:rPr>
            </w:pPr>
            <w:r>
              <w:rPr>
                <w:sz w:val="18"/>
              </w:rPr>
              <w:t>Zumpahuacán</w:t>
            </w:r>
          </w:p>
        </w:tc>
        <w:tc>
          <w:tcPr>
            <w:tcW w:w="1003" w:type="dxa"/>
            <w:shd w:val="clear" w:color="auto" w:fill="F1DCDB"/>
          </w:tcPr>
          <w:p>
            <w:pPr>
              <w:pStyle w:val="TableParagraph"/>
              <w:spacing w:before="1"/>
              <w:ind w:right="183"/>
              <w:jc w:val="right"/>
              <w:rPr>
                <w:sz w:val="18"/>
              </w:rPr>
            </w:pPr>
            <w:r>
              <w:rPr>
                <w:sz w:val="18"/>
              </w:rPr>
              <w:t>16,365</w:t>
            </w:r>
          </w:p>
        </w:tc>
        <w:tc>
          <w:tcPr>
            <w:tcW w:w="1002" w:type="dxa"/>
            <w:shd w:val="clear" w:color="auto" w:fill="F1DCDB"/>
          </w:tcPr>
          <w:p>
            <w:pPr>
              <w:pStyle w:val="TableParagraph"/>
              <w:spacing w:before="1"/>
              <w:ind w:left="96" w:right="87"/>
              <w:jc w:val="center"/>
              <w:rPr>
                <w:sz w:val="18"/>
              </w:rPr>
            </w:pPr>
            <w:r>
              <w:rPr>
                <w:sz w:val="18"/>
              </w:rPr>
              <w:t>0.31326</w:t>
            </w:r>
          </w:p>
        </w:tc>
        <w:tc>
          <w:tcPr>
            <w:tcW w:w="1003" w:type="dxa"/>
            <w:shd w:val="clear" w:color="auto" w:fill="F1DCDB"/>
          </w:tcPr>
          <w:p>
            <w:pPr>
              <w:pStyle w:val="TableParagraph"/>
              <w:spacing w:before="1"/>
              <w:ind w:left="53" w:right="40"/>
              <w:jc w:val="center"/>
              <w:rPr>
                <w:sz w:val="18"/>
              </w:rPr>
            </w:pPr>
            <w:r>
              <w:rPr>
                <w:sz w:val="18"/>
              </w:rPr>
              <w:t>Medio</w:t>
            </w:r>
          </w:p>
        </w:tc>
        <w:tc>
          <w:tcPr>
            <w:tcW w:w="1003" w:type="dxa"/>
            <w:shd w:val="clear" w:color="auto" w:fill="F1DCDB"/>
          </w:tcPr>
          <w:p>
            <w:pPr>
              <w:pStyle w:val="TableParagraph"/>
              <w:spacing w:before="1"/>
              <w:ind w:right="360"/>
              <w:jc w:val="right"/>
              <w:rPr>
                <w:sz w:val="18"/>
              </w:rPr>
            </w:pPr>
            <w:r>
              <w:rPr>
                <w:sz w:val="18"/>
              </w:rPr>
              <w:t>854</w:t>
            </w:r>
          </w:p>
        </w:tc>
      </w:tr>
      <w:tr>
        <w:trPr>
          <w:trHeight w:val="233" w:hRule="exact"/>
        </w:trPr>
        <w:tc>
          <w:tcPr>
            <w:tcW w:w="1002" w:type="dxa"/>
          </w:tcPr>
          <w:p>
            <w:pPr>
              <w:pStyle w:val="TableParagraph"/>
              <w:spacing w:before="2"/>
              <w:ind w:right="384"/>
              <w:jc w:val="right"/>
              <w:rPr>
                <w:sz w:val="18"/>
              </w:rPr>
            </w:pPr>
            <w:r>
              <w:rPr>
                <w:sz w:val="18"/>
              </w:rPr>
              <w:t>15</w:t>
            </w:r>
          </w:p>
        </w:tc>
        <w:tc>
          <w:tcPr>
            <w:tcW w:w="1003" w:type="dxa"/>
          </w:tcPr>
          <w:p>
            <w:pPr>
              <w:pStyle w:val="TableParagraph"/>
              <w:spacing w:before="2"/>
              <w:ind w:left="182" w:right="196"/>
              <w:jc w:val="center"/>
              <w:rPr>
                <w:sz w:val="18"/>
              </w:rPr>
            </w:pPr>
            <w:r>
              <w:rPr>
                <w:sz w:val="18"/>
              </w:rPr>
              <w:t>México</w:t>
            </w:r>
          </w:p>
        </w:tc>
        <w:tc>
          <w:tcPr>
            <w:tcW w:w="1003" w:type="dxa"/>
          </w:tcPr>
          <w:p>
            <w:pPr>
              <w:pStyle w:val="TableParagraph"/>
              <w:spacing w:before="2"/>
              <w:ind w:left="228" w:right="215"/>
              <w:jc w:val="center"/>
              <w:rPr>
                <w:sz w:val="18"/>
              </w:rPr>
            </w:pPr>
            <w:r>
              <w:rPr>
                <w:sz w:val="18"/>
              </w:rPr>
              <w:t>15123</w:t>
            </w:r>
          </w:p>
        </w:tc>
        <w:tc>
          <w:tcPr>
            <w:tcW w:w="1914" w:type="dxa"/>
          </w:tcPr>
          <w:p>
            <w:pPr>
              <w:pStyle w:val="TableParagraph"/>
              <w:spacing w:before="2"/>
              <w:ind w:left="193"/>
              <w:rPr>
                <w:sz w:val="18"/>
              </w:rPr>
            </w:pPr>
            <w:r>
              <w:rPr>
                <w:sz w:val="18"/>
              </w:rPr>
              <w:t>Luvianos</w:t>
            </w:r>
          </w:p>
        </w:tc>
        <w:tc>
          <w:tcPr>
            <w:tcW w:w="1003" w:type="dxa"/>
          </w:tcPr>
          <w:p>
            <w:pPr>
              <w:pStyle w:val="TableParagraph"/>
              <w:spacing w:before="2"/>
              <w:ind w:right="183"/>
              <w:jc w:val="right"/>
              <w:rPr>
                <w:sz w:val="18"/>
              </w:rPr>
            </w:pPr>
            <w:r>
              <w:rPr>
                <w:sz w:val="18"/>
              </w:rPr>
              <w:t>27,781</w:t>
            </w:r>
          </w:p>
        </w:tc>
        <w:tc>
          <w:tcPr>
            <w:tcW w:w="1002" w:type="dxa"/>
          </w:tcPr>
          <w:p>
            <w:pPr>
              <w:pStyle w:val="TableParagraph"/>
              <w:spacing w:before="2"/>
              <w:ind w:left="96" w:right="87"/>
              <w:jc w:val="center"/>
              <w:rPr>
                <w:sz w:val="18"/>
              </w:rPr>
            </w:pPr>
            <w:r>
              <w:rPr>
                <w:sz w:val="18"/>
              </w:rPr>
              <w:t>0.55874</w:t>
            </w:r>
          </w:p>
        </w:tc>
        <w:tc>
          <w:tcPr>
            <w:tcW w:w="1003" w:type="dxa"/>
          </w:tcPr>
          <w:p>
            <w:pPr>
              <w:pStyle w:val="TableParagraph"/>
              <w:spacing w:before="2"/>
              <w:ind w:left="53" w:right="40"/>
              <w:jc w:val="center"/>
              <w:rPr>
                <w:sz w:val="18"/>
              </w:rPr>
            </w:pPr>
            <w:r>
              <w:rPr>
                <w:sz w:val="18"/>
              </w:rPr>
              <w:t>Medio</w:t>
            </w:r>
          </w:p>
        </w:tc>
        <w:tc>
          <w:tcPr>
            <w:tcW w:w="1003" w:type="dxa"/>
          </w:tcPr>
          <w:p>
            <w:pPr>
              <w:pStyle w:val="TableParagraph"/>
              <w:spacing w:before="2"/>
              <w:ind w:right="360"/>
              <w:jc w:val="right"/>
              <w:rPr>
                <w:sz w:val="18"/>
              </w:rPr>
            </w:pPr>
            <w:r>
              <w:rPr>
                <w:sz w:val="18"/>
              </w:rPr>
              <w:t>674</w:t>
            </w:r>
          </w:p>
        </w:tc>
      </w:tr>
    </w:tbl>
    <w:p>
      <w:pPr>
        <w:pStyle w:val="BodyText"/>
        <w:spacing w:before="9"/>
        <w:rPr>
          <w:b/>
          <w:sz w:val="7"/>
        </w:rPr>
      </w:pPr>
    </w:p>
    <w:p>
      <w:pPr>
        <w:spacing w:before="74"/>
        <w:ind w:left="1282" w:right="1340" w:firstLine="0"/>
        <w:jc w:val="left"/>
        <w:rPr>
          <w:sz w:val="20"/>
        </w:rPr>
      </w:pPr>
      <w:r>
        <w:rPr>
          <w:b/>
          <w:sz w:val="20"/>
        </w:rPr>
        <w:t>Fuente</w:t>
      </w:r>
      <w:r>
        <w:rPr>
          <w:sz w:val="20"/>
        </w:rPr>
        <w:t>: Estimaciones del CONEVAL con base en el Censo de Población y Vivienda 2010.</w:t>
      </w:r>
    </w:p>
    <w:p>
      <w:pPr>
        <w:spacing w:after="0"/>
        <w:jc w:val="left"/>
        <w:rPr>
          <w:sz w:val="20"/>
        </w:rPr>
        <w:sectPr>
          <w:pgSz w:w="15840" w:h="12240" w:orient="landscape"/>
          <w:pgMar w:header="0" w:footer="992" w:top="1140" w:bottom="1180" w:left="2260" w:right="2260"/>
        </w:sectPr>
      </w:pPr>
    </w:p>
    <w:p>
      <w:pPr>
        <w:pStyle w:val="BodyText"/>
        <w:rPr>
          <w:sz w:val="20"/>
        </w:rPr>
      </w:pPr>
    </w:p>
    <w:p>
      <w:pPr>
        <w:pStyle w:val="BodyText"/>
        <w:spacing w:before="10"/>
        <w:rPr>
          <w:sz w:val="28"/>
        </w:rPr>
      </w:pPr>
    </w:p>
    <w:p>
      <w:pPr>
        <w:spacing w:after="0"/>
        <w:rPr>
          <w:sz w:val="28"/>
        </w:rPr>
        <w:sectPr>
          <w:pgSz w:w="15840" w:h="12240" w:orient="landscape"/>
          <w:pgMar w:header="0" w:footer="992" w:top="1140" w:bottom="1180" w:left="2260" w:right="2260"/>
        </w:sectPr>
      </w:pPr>
    </w:p>
    <w:p>
      <w:pPr>
        <w:pStyle w:val="BodyText"/>
        <w:spacing w:before="70"/>
        <w:jc w:val="right"/>
      </w:pPr>
      <w:r>
        <w:rPr/>
        <w:pict>
          <v:shape style="position:absolute;margin-left:222.333649pt;margin-top:12.539236pt;width:352.45pt;height:.1pt;mso-position-horizontal-relative:page;mso-position-vertical-relative:paragraph;z-index:-680800" coordorigin="4447,251" coordsize="7049,0" path="m4447,251l4447,251,11495,251e" filled="false" stroked="true" strokeweight=".30216pt" strokecolor="#000000">
            <v:path arrowok="t"/>
            <w10:wrap type="none"/>
          </v:shape>
        </w:pict>
      </w:r>
      <w:r>
        <w:rPr/>
        <w:t>Anexo 7.</w:t>
      </w:r>
    </w:p>
    <w:p>
      <w:pPr>
        <w:pStyle w:val="BodyText"/>
        <w:rPr>
          <w:sz w:val="8"/>
        </w:rPr>
      </w:pPr>
      <w:r>
        <w:rPr/>
        <w:br w:type="column"/>
      </w:r>
      <w:r>
        <w:rPr>
          <w:sz w:val="8"/>
        </w:rPr>
      </w:r>
    </w:p>
    <w:p>
      <w:pPr>
        <w:spacing w:before="59"/>
        <w:ind w:left="423" w:right="0" w:firstLine="0"/>
        <w:jc w:val="left"/>
        <w:rPr>
          <w:b/>
          <w:sz w:val="8"/>
        </w:rPr>
      </w:pPr>
      <w:r>
        <w:rPr>
          <w:b/>
          <w:w w:val="165"/>
          <w:sz w:val="8"/>
        </w:rPr>
        <w:t>Rezago Social. Municipios del Estado de México en Grado muy  bajo</w:t>
      </w:r>
    </w:p>
    <w:p>
      <w:pPr>
        <w:spacing w:after="0"/>
        <w:jc w:val="left"/>
        <w:rPr>
          <w:sz w:val="8"/>
        </w:rPr>
        <w:sectPr>
          <w:type w:val="continuous"/>
          <w:pgSz w:w="15840" w:h="12240" w:orient="landscape"/>
          <w:pgMar w:top="0" w:bottom="280" w:left="2260" w:right="2260"/>
          <w:cols w:num="2" w:equalWidth="0">
            <w:col w:w="3072" w:space="40"/>
            <w:col w:w="8208"/>
          </w:cols>
        </w:sectPr>
      </w:pPr>
    </w:p>
    <w:p>
      <w:pPr>
        <w:pStyle w:val="BodyText"/>
        <w:spacing w:before="6"/>
        <w:rPr>
          <w:b/>
          <w:sz w:val="9"/>
        </w:rPr>
      </w:pPr>
    </w:p>
    <w:tbl>
      <w:tblPr>
        <w:tblW w:w="0" w:type="auto"/>
        <w:jc w:val="left"/>
        <w:tblInd w:w="218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741"/>
        <w:gridCol w:w="731"/>
        <w:gridCol w:w="741"/>
        <w:gridCol w:w="1809"/>
        <w:gridCol w:w="798"/>
        <w:gridCol w:w="742"/>
        <w:gridCol w:w="741"/>
        <w:gridCol w:w="742"/>
      </w:tblGrid>
      <w:tr>
        <w:trPr>
          <w:trHeight w:val="710" w:hRule="exact"/>
        </w:trPr>
        <w:tc>
          <w:tcPr>
            <w:tcW w:w="741" w:type="dxa"/>
            <w:vMerge w:val="restart"/>
            <w:tcBorders>
              <w:left w:val="single" w:sz="4" w:space="0" w:color="000000"/>
              <w:right w:val="single" w:sz="4" w:space="0" w:color="000000"/>
            </w:tcBorders>
          </w:tcPr>
          <w:p>
            <w:pPr>
              <w:pStyle w:val="TableParagraph"/>
              <w:rPr>
                <w:b/>
                <w:sz w:val="8"/>
              </w:rPr>
            </w:pPr>
          </w:p>
          <w:p>
            <w:pPr>
              <w:pStyle w:val="TableParagraph"/>
              <w:rPr>
                <w:b/>
                <w:sz w:val="8"/>
              </w:rPr>
            </w:pPr>
          </w:p>
          <w:p>
            <w:pPr>
              <w:pStyle w:val="TableParagraph"/>
              <w:spacing w:before="4"/>
              <w:rPr>
                <w:b/>
                <w:sz w:val="10"/>
              </w:rPr>
            </w:pPr>
          </w:p>
          <w:p>
            <w:pPr>
              <w:pStyle w:val="TableParagraph"/>
              <w:spacing w:line="273" w:lineRule="auto"/>
              <w:ind w:left="53" w:right="42" w:firstLine="39"/>
              <w:rPr>
                <w:b/>
                <w:sz w:val="8"/>
              </w:rPr>
            </w:pPr>
            <w:r>
              <w:rPr>
                <w:b/>
                <w:w w:val="165"/>
                <w:sz w:val="8"/>
              </w:rPr>
              <w:t>Clave de la entidad</w:t>
            </w:r>
          </w:p>
        </w:tc>
        <w:tc>
          <w:tcPr>
            <w:tcW w:w="731" w:type="dxa"/>
            <w:vMerge w:val="restart"/>
            <w:tcBorders>
              <w:left w:val="single" w:sz="4" w:space="0" w:color="000000"/>
              <w:right w:val="single" w:sz="4" w:space="0" w:color="000000"/>
            </w:tcBorders>
          </w:tcPr>
          <w:p>
            <w:pPr>
              <w:pStyle w:val="TableParagraph"/>
              <w:rPr>
                <w:b/>
                <w:sz w:val="8"/>
              </w:rPr>
            </w:pPr>
          </w:p>
          <w:p>
            <w:pPr>
              <w:pStyle w:val="TableParagraph"/>
              <w:rPr>
                <w:b/>
                <w:sz w:val="8"/>
              </w:rPr>
            </w:pPr>
          </w:p>
          <w:p>
            <w:pPr>
              <w:pStyle w:val="TableParagraph"/>
              <w:spacing w:before="4"/>
              <w:rPr>
                <w:b/>
                <w:sz w:val="10"/>
              </w:rPr>
            </w:pPr>
          </w:p>
          <w:p>
            <w:pPr>
              <w:pStyle w:val="TableParagraph"/>
              <w:spacing w:line="273" w:lineRule="auto"/>
              <w:ind w:left="44" w:right="33" w:firstLine="73"/>
              <w:rPr>
                <w:b/>
                <w:sz w:val="8"/>
              </w:rPr>
            </w:pPr>
            <w:r>
              <w:rPr>
                <w:b/>
                <w:w w:val="165"/>
                <w:sz w:val="8"/>
              </w:rPr>
              <w:t>Entidad federativa</w:t>
            </w:r>
          </w:p>
        </w:tc>
        <w:tc>
          <w:tcPr>
            <w:tcW w:w="741" w:type="dxa"/>
            <w:vMerge w:val="restart"/>
            <w:tcBorders>
              <w:left w:val="single" w:sz="4" w:space="0" w:color="000000"/>
              <w:right w:val="single" w:sz="4" w:space="0" w:color="000000"/>
            </w:tcBorders>
          </w:tcPr>
          <w:p>
            <w:pPr>
              <w:pStyle w:val="TableParagraph"/>
              <w:rPr>
                <w:b/>
                <w:sz w:val="8"/>
              </w:rPr>
            </w:pPr>
          </w:p>
          <w:p>
            <w:pPr>
              <w:pStyle w:val="TableParagraph"/>
              <w:rPr>
                <w:b/>
                <w:sz w:val="8"/>
              </w:rPr>
            </w:pPr>
          </w:p>
          <w:p>
            <w:pPr>
              <w:pStyle w:val="TableParagraph"/>
              <w:spacing w:before="4"/>
              <w:rPr>
                <w:b/>
                <w:sz w:val="10"/>
              </w:rPr>
            </w:pPr>
          </w:p>
          <w:p>
            <w:pPr>
              <w:pStyle w:val="TableParagraph"/>
              <w:spacing w:line="273" w:lineRule="auto"/>
              <w:ind w:left="50" w:right="37" w:firstLine="22"/>
              <w:rPr>
                <w:b/>
                <w:sz w:val="8"/>
              </w:rPr>
            </w:pPr>
            <w:r>
              <w:rPr>
                <w:b/>
                <w:w w:val="165"/>
                <w:sz w:val="8"/>
              </w:rPr>
              <w:t>Clave del municipio</w:t>
            </w:r>
          </w:p>
        </w:tc>
        <w:tc>
          <w:tcPr>
            <w:tcW w:w="1809" w:type="dxa"/>
            <w:vMerge w:val="restart"/>
            <w:tcBorders>
              <w:left w:val="single" w:sz="4" w:space="0" w:color="000000"/>
              <w:right w:val="single" w:sz="4" w:space="0" w:color="000000"/>
            </w:tcBorders>
          </w:tcPr>
          <w:p>
            <w:pPr>
              <w:pStyle w:val="TableParagraph"/>
              <w:rPr>
                <w:b/>
                <w:sz w:val="8"/>
              </w:rPr>
            </w:pPr>
          </w:p>
          <w:p>
            <w:pPr>
              <w:pStyle w:val="TableParagraph"/>
              <w:rPr>
                <w:b/>
                <w:sz w:val="8"/>
              </w:rPr>
            </w:pPr>
          </w:p>
          <w:p>
            <w:pPr>
              <w:pStyle w:val="TableParagraph"/>
              <w:rPr>
                <w:b/>
                <w:sz w:val="8"/>
              </w:rPr>
            </w:pPr>
          </w:p>
          <w:p>
            <w:pPr>
              <w:pStyle w:val="TableParagraph"/>
              <w:rPr>
                <w:b/>
                <w:sz w:val="7"/>
              </w:rPr>
            </w:pPr>
          </w:p>
          <w:p>
            <w:pPr>
              <w:pStyle w:val="TableParagraph"/>
              <w:ind w:left="589"/>
              <w:rPr>
                <w:b/>
                <w:sz w:val="8"/>
              </w:rPr>
            </w:pPr>
            <w:r>
              <w:rPr>
                <w:b/>
                <w:w w:val="165"/>
                <w:sz w:val="8"/>
              </w:rPr>
              <w:t>Municipio</w:t>
            </w:r>
          </w:p>
        </w:tc>
        <w:tc>
          <w:tcPr>
            <w:tcW w:w="798" w:type="dxa"/>
            <w:tcBorders>
              <w:left w:val="single" w:sz="4" w:space="0" w:color="000000"/>
              <w:right w:val="single" w:sz="4" w:space="0" w:color="000000"/>
            </w:tcBorders>
          </w:tcPr>
          <w:p>
            <w:pPr>
              <w:pStyle w:val="TableParagraph"/>
              <w:rPr>
                <w:b/>
                <w:sz w:val="8"/>
              </w:rPr>
            </w:pPr>
          </w:p>
          <w:p>
            <w:pPr>
              <w:pStyle w:val="TableParagraph"/>
              <w:rPr>
                <w:b/>
                <w:sz w:val="8"/>
              </w:rPr>
            </w:pPr>
          </w:p>
          <w:p>
            <w:pPr>
              <w:pStyle w:val="TableParagraph"/>
              <w:spacing w:line="271" w:lineRule="auto" w:before="68"/>
              <w:ind w:left="256" w:right="61" w:hanging="180"/>
              <w:rPr>
                <w:b/>
                <w:sz w:val="8"/>
              </w:rPr>
            </w:pPr>
            <w:r>
              <w:rPr>
                <w:b/>
                <w:w w:val="165"/>
                <w:sz w:val="8"/>
              </w:rPr>
              <w:t>Población total</w:t>
            </w:r>
          </w:p>
        </w:tc>
        <w:tc>
          <w:tcPr>
            <w:tcW w:w="742" w:type="dxa"/>
            <w:tcBorders>
              <w:left w:val="single" w:sz="4" w:space="0" w:color="000000"/>
              <w:right w:val="single" w:sz="4" w:space="0" w:color="000000"/>
            </w:tcBorders>
          </w:tcPr>
          <w:p>
            <w:pPr>
              <w:pStyle w:val="TableParagraph"/>
              <w:rPr>
                <w:b/>
                <w:sz w:val="8"/>
              </w:rPr>
            </w:pPr>
          </w:p>
          <w:p>
            <w:pPr>
              <w:pStyle w:val="TableParagraph"/>
              <w:spacing w:before="3"/>
              <w:rPr>
                <w:b/>
                <w:sz w:val="9"/>
              </w:rPr>
            </w:pPr>
          </w:p>
          <w:p>
            <w:pPr>
              <w:pStyle w:val="TableParagraph"/>
              <w:spacing w:line="273" w:lineRule="auto"/>
              <w:ind w:left="42" w:right="38"/>
              <w:jc w:val="center"/>
              <w:rPr>
                <w:b/>
                <w:sz w:val="8"/>
              </w:rPr>
            </w:pPr>
            <w:r>
              <w:rPr>
                <w:b/>
                <w:w w:val="165"/>
                <w:sz w:val="8"/>
              </w:rPr>
              <w:t>Índice de rezago social</w:t>
            </w:r>
          </w:p>
        </w:tc>
        <w:tc>
          <w:tcPr>
            <w:tcW w:w="741" w:type="dxa"/>
            <w:tcBorders>
              <w:left w:val="single" w:sz="4" w:space="0" w:color="000000"/>
              <w:right w:val="single" w:sz="4" w:space="0" w:color="000000"/>
            </w:tcBorders>
          </w:tcPr>
          <w:p>
            <w:pPr>
              <w:pStyle w:val="TableParagraph"/>
              <w:rPr>
                <w:b/>
                <w:sz w:val="8"/>
              </w:rPr>
            </w:pPr>
          </w:p>
          <w:p>
            <w:pPr>
              <w:pStyle w:val="TableParagraph"/>
              <w:spacing w:before="3"/>
              <w:rPr>
                <w:b/>
                <w:sz w:val="9"/>
              </w:rPr>
            </w:pPr>
          </w:p>
          <w:p>
            <w:pPr>
              <w:pStyle w:val="TableParagraph"/>
              <w:spacing w:line="273" w:lineRule="auto"/>
              <w:ind w:left="72" w:right="68"/>
              <w:jc w:val="center"/>
              <w:rPr>
                <w:b/>
                <w:sz w:val="8"/>
              </w:rPr>
            </w:pPr>
            <w:r>
              <w:rPr>
                <w:b/>
                <w:w w:val="165"/>
                <w:sz w:val="8"/>
              </w:rPr>
              <w:t>Grado de rezago social</w:t>
            </w:r>
          </w:p>
        </w:tc>
        <w:tc>
          <w:tcPr>
            <w:tcW w:w="742" w:type="dxa"/>
            <w:tcBorders>
              <w:left w:val="single" w:sz="4" w:space="0" w:color="000000"/>
              <w:right w:val="single" w:sz="4" w:space="0" w:color="000000"/>
            </w:tcBorders>
          </w:tcPr>
          <w:p>
            <w:pPr>
              <w:pStyle w:val="TableParagraph"/>
              <w:spacing w:before="3"/>
              <w:rPr>
                <w:b/>
                <w:sz w:val="8"/>
              </w:rPr>
            </w:pPr>
          </w:p>
          <w:p>
            <w:pPr>
              <w:pStyle w:val="TableParagraph"/>
              <w:spacing w:line="273" w:lineRule="auto"/>
              <w:ind w:left="44" w:right="38"/>
              <w:jc w:val="center"/>
              <w:rPr>
                <w:b/>
                <w:sz w:val="8"/>
              </w:rPr>
            </w:pPr>
            <w:r>
              <w:rPr>
                <w:b/>
                <w:w w:val="165"/>
                <w:sz w:val="8"/>
              </w:rPr>
              <w:t>Lugar que ocupa en el     contexto nacional</w:t>
            </w:r>
          </w:p>
        </w:tc>
      </w:tr>
      <w:tr>
        <w:trPr>
          <w:trHeight w:val="104" w:hRule="exact"/>
        </w:trPr>
        <w:tc>
          <w:tcPr>
            <w:tcW w:w="741" w:type="dxa"/>
            <w:vMerge/>
            <w:tcBorders>
              <w:left w:val="single" w:sz="4" w:space="0" w:color="000000"/>
              <w:right w:val="single" w:sz="4" w:space="0" w:color="000000"/>
            </w:tcBorders>
          </w:tcPr>
          <w:p>
            <w:pPr/>
          </w:p>
        </w:tc>
        <w:tc>
          <w:tcPr>
            <w:tcW w:w="731" w:type="dxa"/>
            <w:vMerge/>
            <w:tcBorders>
              <w:left w:val="single" w:sz="4" w:space="0" w:color="000000"/>
              <w:right w:val="single" w:sz="4" w:space="0" w:color="000000"/>
            </w:tcBorders>
          </w:tcPr>
          <w:p>
            <w:pPr/>
          </w:p>
        </w:tc>
        <w:tc>
          <w:tcPr>
            <w:tcW w:w="741" w:type="dxa"/>
            <w:vMerge/>
            <w:tcBorders>
              <w:left w:val="single" w:sz="4" w:space="0" w:color="000000"/>
              <w:right w:val="single" w:sz="4" w:space="0" w:color="000000"/>
            </w:tcBorders>
          </w:tcPr>
          <w:p>
            <w:pPr/>
          </w:p>
        </w:tc>
        <w:tc>
          <w:tcPr>
            <w:tcW w:w="1809" w:type="dxa"/>
            <w:vMerge/>
            <w:tcBorders>
              <w:left w:val="single" w:sz="4" w:space="0" w:color="000000"/>
              <w:right w:val="single" w:sz="4" w:space="0" w:color="000000"/>
            </w:tcBorders>
          </w:tcPr>
          <w:p>
            <w:pPr/>
          </w:p>
        </w:tc>
        <w:tc>
          <w:tcPr>
            <w:tcW w:w="798" w:type="dxa"/>
            <w:tcBorders>
              <w:left w:val="single" w:sz="4" w:space="0" w:color="000000"/>
              <w:right w:val="single" w:sz="4" w:space="0" w:color="000000"/>
            </w:tcBorders>
          </w:tcPr>
          <w:p>
            <w:pPr>
              <w:pStyle w:val="TableParagraph"/>
              <w:spacing w:before="2"/>
              <w:ind w:left="249" w:right="61"/>
              <w:rPr>
                <w:b/>
                <w:sz w:val="8"/>
              </w:rPr>
            </w:pPr>
            <w:r>
              <w:rPr>
                <w:b/>
                <w:w w:val="165"/>
                <w:sz w:val="8"/>
              </w:rPr>
              <w:t>2010</w:t>
            </w:r>
          </w:p>
        </w:tc>
        <w:tc>
          <w:tcPr>
            <w:tcW w:w="742" w:type="dxa"/>
            <w:tcBorders>
              <w:left w:val="single" w:sz="4" w:space="0" w:color="000000"/>
              <w:right w:val="single" w:sz="4" w:space="0" w:color="000000"/>
            </w:tcBorders>
          </w:tcPr>
          <w:p>
            <w:pPr>
              <w:pStyle w:val="TableParagraph"/>
              <w:spacing w:before="2"/>
              <w:ind w:left="44" w:right="38"/>
              <w:jc w:val="center"/>
              <w:rPr>
                <w:b/>
                <w:sz w:val="8"/>
              </w:rPr>
            </w:pPr>
            <w:r>
              <w:rPr>
                <w:b/>
                <w:w w:val="165"/>
                <w:sz w:val="8"/>
              </w:rPr>
              <w:t>2010</w:t>
            </w:r>
          </w:p>
        </w:tc>
        <w:tc>
          <w:tcPr>
            <w:tcW w:w="741" w:type="dxa"/>
            <w:tcBorders>
              <w:left w:val="single" w:sz="4" w:space="0" w:color="000000"/>
              <w:right w:val="single" w:sz="4" w:space="0" w:color="000000"/>
            </w:tcBorders>
          </w:tcPr>
          <w:p>
            <w:pPr>
              <w:pStyle w:val="TableParagraph"/>
              <w:spacing w:before="2"/>
              <w:ind w:left="72" w:right="67"/>
              <w:jc w:val="center"/>
              <w:rPr>
                <w:b/>
                <w:sz w:val="8"/>
              </w:rPr>
            </w:pPr>
            <w:r>
              <w:rPr>
                <w:b/>
                <w:w w:val="165"/>
                <w:sz w:val="8"/>
              </w:rPr>
              <w:t>2010</w:t>
            </w:r>
          </w:p>
        </w:tc>
        <w:tc>
          <w:tcPr>
            <w:tcW w:w="742" w:type="dxa"/>
            <w:tcBorders>
              <w:left w:val="single" w:sz="4" w:space="0" w:color="000000"/>
              <w:right w:val="single" w:sz="4" w:space="0" w:color="000000"/>
            </w:tcBorders>
          </w:tcPr>
          <w:p>
            <w:pPr>
              <w:pStyle w:val="TableParagraph"/>
              <w:spacing w:before="2"/>
              <w:ind w:left="219"/>
              <w:rPr>
                <w:b/>
                <w:sz w:val="8"/>
              </w:rPr>
            </w:pPr>
            <w:r>
              <w:rPr>
                <w:b/>
                <w:w w:val="165"/>
                <w:sz w:val="8"/>
              </w:rPr>
              <w:t>2010</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15002</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Acolman</w:t>
            </w:r>
          </w:p>
        </w:tc>
        <w:tc>
          <w:tcPr>
            <w:tcW w:w="798" w:type="dxa"/>
            <w:tcBorders>
              <w:left w:val="single" w:sz="4" w:space="0" w:color="000000"/>
              <w:right w:val="single" w:sz="4" w:space="0" w:color="000000"/>
            </w:tcBorders>
            <w:shd w:val="clear" w:color="auto" w:fill="F1DCDB"/>
          </w:tcPr>
          <w:p>
            <w:pPr>
              <w:pStyle w:val="TableParagraph"/>
              <w:spacing w:before="2"/>
              <w:ind w:left="-41" w:right="133"/>
              <w:jc w:val="right"/>
              <w:rPr>
                <w:sz w:val="8"/>
              </w:rPr>
            </w:pPr>
            <w:r>
              <w:rPr>
                <w:w w:val="165"/>
                <w:sz w:val="8"/>
              </w:rPr>
              <w:t>136,558</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-1.18213</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9"/>
              <w:rPr>
                <w:sz w:val="8"/>
              </w:rPr>
            </w:pPr>
            <w:r>
              <w:rPr>
                <w:w w:val="165"/>
                <w:sz w:val="8"/>
              </w:rPr>
              <w:t>2211</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15006</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Almoloya del Río</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10,886</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-0.93121</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1996</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15009</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Amecameca</w:t>
            </w:r>
          </w:p>
        </w:tc>
        <w:tc>
          <w:tcPr>
            <w:tcW w:w="798" w:type="dxa"/>
            <w:tcBorders>
              <w:left w:val="single" w:sz="4" w:space="0" w:color="000000"/>
              <w:right w:val="single" w:sz="4" w:space="0" w:color="000000"/>
            </w:tcBorders>
            <w:shd w:val="clear" w:color="auto" w:fill="F1DCDB"/>
          </w:tcPr>
          <w:p>
            <w:pPr>
              <w:pStyle w:val="TableParagraph"/>
              <w:spacing w:before="1"/>
              <w:ind w:left="-41" w:right="132"/>
              <w:jc w:val="right"/>
              <w:rPr>
                <w:sz w:val="8"/>
              </w:rPr>
            </w:pPr>
            <w:r>
              <w:rPr>
                <w:w w:val="165"/>
                <w:sz w:val="8"/>
              </w:rPr>
              <w:t>48,421</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-0.88831</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1949</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15010</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Apaxco</w:t>
            </w:r>
          </w:p>
        </w:tc>
        <w:tc>
          <w:tcPr>
            <w:tcW w:w="798" w:type="dxa"/>
            <w:tcBorders>
              <w:left w:val="single" w:sz="4" w:space="0" w:color="000000"/>
              <w:right w:val="single" w:sz="4" w:space="0" w:color="000000"/>
            </w:tcBorders>
          </w:tcPr>
          <w:p>
            <w:pPr>
              <w:pStyle w:val="TableParagraph"/>
              <w:spacing w:before="2"/>
              <w:ind w:left="-41" w:right="132"/>
              <w:jc w:val="right"/>
              <w:rPr>
                <w:sz w:val="8"/>
              </w:rPr>
            </w:pPr>
            <w:r>
              <w:rPr>
                <w:w w:val="165"/>
                <w:sz w:val="8"/>
              </w:rPr>
              <w:t>27,521</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-0.93097</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1995</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3" w:right="156"/>
              <w:jc w:val="center"/>
              <w:rPr>
                <w:sz w:val="8"/>
              </w:rPr>
            </w:pPr>
            <w:r>
              <w:rPr>
                <w:w w:val="165"/>
                <w:sz w:val="8"/>
              </w:rPr>
              <w:t>15011</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Atenco</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56,243</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-0.97896</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2040</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15012</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Atizapán</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10,299</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-0.77033</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1821</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15013</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Atizapán de Zaragoza</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489,937</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-1.48194</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2388</w:t>
            </w:r>
          </w:p>
        </w:tc>
      </w:tr>
      <w:tr>
        <w:trPr>
          <w:trHeight w:val="105"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15017</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Ayapango</w:t>
            </w:r>
          </w:p>
        </w:tc>
        <w:tc>
          <w:tcPr>
            <w:tcW w:w="798" w:type="dxa"/>
            <w:tcBorders>
              <w:left w:val="single" w:sz="4" w:space="0" w:color="000000"/>
              <w:right w:val="single" w:sz="4" w:space="0" w:color="000000"/>
            </w:tcBorders>
          </w:tcPr>
          <w:p>
            <w:pPr>
              <w:pStyle w:val="TableParagraph"/>
              <w:spacing w:before="1"/>
              <w:ind w:left="-41" w:right="130"/>
              <w:jc w:val="right"/>
              <w:rPr>
                <w:sz w:val="8"/>
              </w:rPr>
            </w:pPr>
            <w:r>
              <w:rPr>
                <w:w w:val="165"/>
                <w:sz w:val="8"/>
              </w:rPr>
              <w:t>8,864</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-0.91678</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1981</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15018</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Calimaya</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47,033</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-0.89499</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1956</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15019</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Capulhuac</w:t>
            </w:r>
          </w:p>
        </w:tc>
        <w:tc>
          <w:tcPr>
            <w:tcW w:w="798" w:type="dxa"/>
            <w:tcBorders>
              <w:left w:val="single" w:sz="4" w:space="0" w:color="000000"/>
              <w:right w:val="single" w:sz="4" w:space="0" w:color="000000"/>
            </w:tcBorders>
          </w:tcPr>
          <w:p>
            <w:pPr>
              <w:pStyle w:val="TableParagraph"/>
              <w:spacing w:before="2"/>
              <w:ind w:left="-41" w:right="132"/>
              <w:jc w:val="right"/>
              <w:rPr>
                <w:sz w:val="8"/>
              </w:rPr>
            </w:pPr>
            <w:r>
              <w:rPr>
                <w:w w:val="165"/>
                <w:sz w:val="8"/>
              </w:rPr>
              <w:t>34,101</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-0.97132</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2027</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15020</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Coacalco de Berriozábal</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278,064</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-1.75984</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2451</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15022</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Cocotitlán</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12,142</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-1.16585</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2193</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15023</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Coyotepec</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39,030</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-0.88113</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1935</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15024</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Cuautitlán</w:t>
            </w:r>
          </w:p>
        </w:tc>
        <w:tc>
          <w:tcPr>
            <w:tcW w:w="798" w:type="dxa"/>
            <w:tcBorders>
              <w:left w:val="single" w:sz="4" w:space="0" w:color="000000"/>
              <w:right w:val="single" w:sz="4" w:space="0" w:color="000000"/>
            </w:tcBorders>
          </w:tcPr>
          <w:p>
            <w:pPr>
              <w:pStyle w:val="TableParagraph"/>
              <w:spacing w:before="2"/>
              <w:ind w:left="-41" w:right="133"/>
              <w:jc w:val="right"/>
              <w:rPr>
                <w:sz w:val="8"/>
              </w:rPr>
            </w:pPr>
            <w:r>
              <w:rPr>
                <w:w w:val="165"/>
                <w:sz w:val="8"/>
              </w:rPr>
              <w:t>140,059</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-1.68431</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2444</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15025</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Chalco</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310,130</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-0.95631</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2015</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15027</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Chapultepec</w:t>
            </w:r>
          </w:p>
        </w:tc>
        <w:tc>
          <w:tcPr>
            <w:tcW w:w="798" w:type="dxa"/>
            <w:tcBorders>
              <w:left w:val="single" w:sz="4" w:space="0" w:color="000000"/>
              <w:right w:val="single" w:sz="4" w:space="0" w:color="000000"/>
            </w:tcBorders>
          </w:tcPr>
          <w:p>
            <w:pPr>
              <w:pStyle w:val="TableParagraph"/>
              <w:spacing w:before="1"/>
              <w:ind w:left="-41" w:right="130"/>
              <w:jc w:val="right"/>
              <w:rPr>
                <w:sz w:val="8"/>
              </w:rPr>
            </w:pPr>
            <w:r>
              <w:rPr>
                <w:w w:val="165"/>
                <w:sz w:val="8"/>
              </w:rPr>
              <w:t>9,676</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-1.34905</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2319</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15028</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Chiautla</w:t>
            </w:r>
          </w:p>
        </w:tc>
        <w:tc>
          <w:tcPr>
            <w:tcW w:w="798" w:type="dxa"/>
            <w:tcBorders>
              <w:left w:val="single" w:sz="4" w:space="0" w:color="000000"/>
              <w:right w:val="single" w:sz="4" w:space="0" w:color="000000"/>
            </w:tcBorders>
            <w:shd w:val="clear" w:color="auto" w:fill="F1DCDB"/>
          </w:tcPr>
          <w:p>
            <w:pPr>
              <w:pStyle w:val="TableParagraph"/>
              <w:spacing w:before="1"/>
              <w:ind w:left="-41" w:right="132"/>
              <w:jc w:val="right"/>
              <w:rPr>
                <w:sz w:val="8"/>
              </w:rPr>
            </w:pPr>
            <w:r>
              <w:rPr>
                <w:w w:val="165"/>
                <w:sz w:val="8"/>
              </w:rPr>
              <w:t>26,191</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-1.06704</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9"/>
              <w:rPr>
                <w:sz w:val="8"/>
              </w:rPr>
            </w:pPr>
            <w:r>
              <w:rPr>
                <w:w w:val="165"/>
                <w:sz w:val="8"/>
              </w:rPr>
              <w:t>2118</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15029</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Chicoloapan</w:t>
            </w:r>
          </w:p>
        </w:tc>
        <w:tc>
          <w:tcPr>
            <w:tcW w:w="798" w:type="dxa"/>
            <w:tcBorders>
              <w:left w:val="single" w:sz="4" w:space="0" w:color="000000"/>
              <w:right w:val="single" w:sz="4" w:space="0" w:color="000000"/>
            </w:tcBorders>
          </w:tcPr>
          <w:p>
            <w:pPr>
              <w:pStyle w:val="TableParagraph"/>
              <w:spacing w:before="2"/>
              <w:ind w:left="-41" w:right="133"/>
              <w:jc w:val="right"/>
              <w:rPr>
                <w:sz w:val="8"/>
              </w:rPr>
            </w:pPr>
            <w:r>
              <w:rPr>
                <w:w w:val="165"/>
                <w:sz w:val="8"/>
              </w:rPr>
              <w:t>175,053</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-1.43285</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2365</w:t>
            </w:r>
          </w:p>
        </w:tc>
      </w:tr>
      <w:tr>
        <w:trPr>
          <w:trHeight w:val="105"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15030</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Chiconcuac</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22,819</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-1.09314</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2139</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15031</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Chimalhuacán</w:t>
            </w:r>
          </w:p>
        </w:tc>
        <w:tc>
          <w:tcPr>
            <w:tcW w:w="798" w:type="dxa"/>
            <w:tcBorders>
              <w:left w:val="single" w:sz="4" w:space="0" w:color="000000"/>
              <w:right w:val="single" w:sz="4" w:space="0" w:color="000000"/>
            </w:tcBorders>
          </w:tcPr>
          <w:p>
            <w:pPr>
              <w:pStyle w:val="TableParagraph"/>
              <w:spacing w:before="1"/>
              <w:ind w:left="-41" w:right="133"/>
              <w:jc w:val="right"/>
              <w:rPr>
                <w:sz w:val="8"/>
              </w:rPr>
            </w:pPr>
            <w:r>
              <w:rPr>
                <w:w w:val="165"/>
                <w:sz w:val="8"/>
              </w:rPr>
              <w:t>614,453</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-0.82922</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1880</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15033</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Ecatepec de Morelos</w:t>
            </w:r>
          </w:p>
        </w:tc>
        <w:tc>
          <w:tcPr>
            <w:tcW w:w="798" w:type="dxa"/>
            <w:tcBorders>
              <w:left w:val="single" w:sz="4" w:space="0" w:color="000000"/>
              <w:right w:val="single" w:sz="4" w:space="0" w:color="000000"/>
            </w:tcBorders>
            <w:shd w:val="clear" w:color="auto" w:fill="F1DCDB"/>
          </w:tcPr>
          <w:p>
            <w:pPr>
              <w:pStyle w:val="TableParagraph"/>
              <w:spacing w:before="1"/>
              <w:ind w:left="-41" w:right="131"/>
              <w:jc w:val="right"/>
              <w:rPr>
                <w:sz w:val="8"/>
              </w:rPr>
            </w:pPr>
            <w:r>
              <w:rPr>
                <w:w w:val="165"/>
                <w:sz w:val="8"/>
              </w:rPr>
              <w:t>1,656,107</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-1.36873</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2326</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15035</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Huehuetoca</w:t>
            </w:r>
          </w:p>
        </w:tc>
        <w:tc>
          <w:tcPr>
            <w:tcW w:w="798" w:type="dxa"/>
            <w:tcBorders>
              <w:left w:val="single" w:sz="4" w:space="0" w:color="000000"/>
              <w:right w:val="single" w:sz="4" w:space="0" w:color="000000"/>
            </w:tcBorders>
          </w:tcPr>
          <w:p>
            <w:pPr>
              <w:pStyle w:val="TableParagraph"/>
              <w:spacing w:before="1"/>
              <w:ind w:left="-41" w:right="133"/>
              <w:jc w:val="right"/>
              <w:rPr>
                <w:sz w:val="8"/>
              </w:rPr>
            </w:pPr>
            <w:r>
              <w:rPr>
                <w:w w:val="165"/>
                <w:sz w:val="8"/>
              </w:rPr>
              <w:t>100,023</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-1.40060</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2351</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15037</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Huixquilucan</w:t>
            </w:r>
          </w:p>
        </w:tc>
        <w:tc>
          <w:tcPr>
            <w:tcW w:w="798" w:type="dxa"/>
            <w:tcBorders>
              <w:left w:val="single" w:sz="4" w:space="0" w:color="000000"/>
              <w:right w:val="single" w:sz="4" w:space="0" w:color="000000"/>
            </w:tcBorders>
            <w:shd w:val="clear" w:color="auto" w:fill="F1DCDB"/>
          </w:tcPr>
          <w:p>
            <w:pPr>
              <w:pStyle w:val="TableParagraph"/>
              <w:spacing w:before="2"/>
              <w:ind w:left="-41" w:right="133"/>
              <w:jc w:val="right"/>
              <w:rPr>
                <w:sz w:val="8"/>
              </w:rPr>
            </w:pPr>
            <w:r>
              <w:rPr>
                <w:w w:val="165"/>
                <w:sz w:val="8"/>
              </w:rPr>
              <w:t>242,167</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-1.37281</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2329</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15039</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Ixtapaluca</w:t>
            </w:r>
          </w:p>
        </w:tc>
        <w:tc>
          <w:tcPr>
            <w:tcW w:w="798" w:type="dxa"/>
            <w:tcBorders>
              <w:left w:val="single" w:sz="4" w:space="0" w:color="000000"/>
              <w:right w:val="single" w:sz="4" w:space="0" w:color="000000"/>
            </w:tcBorders>
          </w:tcPr>
          <w:p>
            <w:pPr>
              <w:pStyle w:val="TableParagraph"/>
              <w:spacing w:before="2"/>
              <w:ind w:left="-41" w:right="133"/>
              <w:jc w:val="right"/>
              <w:rPr>
                <w:sz w:val="8"/>
              </w:rPr>
            </w:pPr>
            <w:r>
              <w:rPr>
                <w:w w:val="165"/>
                <w:sz w:val="8"/>
              </w:rPr>
              <w:t>467,361</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-1.24488</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2251</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15044</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Jaltenco</w:t>
            </w:r>
          </w:p>
        </w:tc>
        <w:tc>
          <w:tcPr>
            <w:tcW w:w="798" w:type="dxa"/>
            <w:tcBorders>
              <w:left w:val="single" w:sz="4" w:space="0" w:color="000000"/>
              <w:right w:val="single" w:sz="4" w:space="0" w:color="000000"/>
            </w:tcBorders>
            <w:shd w:val="clear" w:color="auto" w:fill="F1DCDB"/>
          </w:tcPr>
          <w:p>
            <w:pPr>
              <w:pStyle w:val="TableParagraph"/>
              <w:spacing w:before="1"/>
              <w:ind w:left="-41" w:right="132"/>
              <w:jc w:val="right"/>
              <w:rPr>
                <w:sz w:val="8"/>
              </w:rPr>
            </w:pPr>
            <w:r>
              <w:rPr>
                <w:w w:val="165"/>
                <w:sz w:val="8"/>
              </w:rPr>
              <w:t>26,328</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-1.47777</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2387</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15046</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Jilotzingo</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17,970</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-0.80659</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1858</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15051</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Lerma</w:t>
            </w:r>
          </w:p>
        </w:tc>
        <w:tc>
          <w:tcPr>
            <w:tcW w:w="798" w:type="dxa"/>
            <w:tcBorders>
              <w:left w:val="single" w:sz="4" w:space="0" w:color="000000"/>
              <w:right w:val="single" w:sz="4" w:space="0" w:color="000000"/>
            </w:tcBorders>
            <w:shd w:val="clear" w:color="auto" w:fill="F1DCDB"/>
          </w:tcPr>
          <w:p>
            <w:pPr>
              <w:pStyle w:val="TableParagraph"/>
              <w:spacing w:before="2"/>
              <w:ind w:left="-41" w:right="133"/>
              <w:jc w:val="right"/>
              <w:rPr>
                <w:sz w:val="8"/>
              </w:rPr>
            </w:pPr>
            <w:r>
              <w:rPr>
                <w:w w:val="165"/>
                <w:sz w:val="8"/>
              </w:rPr>
              <w:t>134,799</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-1.08321</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2130</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15053</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Melchor Ocampo</w:t>
            </w:r>
          </w:p>
        </w:tc>
        <w:tc>
          <w:tcPr>
            <w:tcW w:w="798" w:type="dxa"/>
            <w:tcBorders>
              <w:left w:val="single" w:sz="4" w:space="0" w:color="000000"/>
              <w:right w:val="single" w:sz="4" w:space="0" w:color="000000"/>
            </w:tcBorders>
          </w:tcPr>
          <w:p>
            <w:pPr>
              <w:pStyle w:val="TableParagraph"/>
              <w:spacing w:before="2"/>
              <w:ind w:left="-41" w:right="132"/>
              <w:jc w:val="right"/>
              <w:rPr>
                <w:sz w:val="8"/>
              </w:rPr>
            </w:pPr>
            <w:r>
              <w:rPr>
                <w:w w:val="165"/>
                <w:sz w:val="8"/>
              </w:rPr>
              <w:t>50,240</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-1.21228</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2232</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15054</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Metepec</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214,162</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-1.60753</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2429</w:t>
            </w:r>
          </w:p>
        </w:tc>
      </w:tr>
      <w:tr>
        <w:trPr>
          <w:trHeight w:val="105"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15055</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Mexicaltzingo</w:t>
            </w:r>
          </w:p>
        </w:tc>
        <w:tc>
          <w:tcPr>
            <w:tcW w:w="798" w:type="dxa"/>
            <w:tcBorders>
              <w:left w:val="single" w:sz="4" w:space="0" w:color="000000"/>
              <w:right w:val="single" w:sz="4" w:space="0" w:color="000000"/>
            </w:tcBorders>
          </w:tcPr>
          <w:p>
            <w:pPr>
              <w:pStyle w:val="TableParagraph"/>
              <w:spacing w:before="1"/>
              <w:ind w:left="-41" w:right="129"/>
              <w:jc w:val="right"/>
              <w:rPr>
                <w:sz w:val="8"/>
              </w:rPr>
            </w:pPr>
            <w:r>
              <w:rPr>
                <w:w w:val="165"/>
                <w:sz w:val="8"/>
              </w:rPr>
              <w:t>11,712</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-0.99562</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2060</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15057</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Naucalpan de Juárez</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833,779</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-1.34676</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2317</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15058</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Nezahualcóyotl</w:t>
            </w:r>
          </w:p>
        </w:tc>
        <w:tc>
          <w:tcPr>
            <w:tcW w:w="798" w:type="dxa"/>
            <w:tcBorders>
              <w:left w:val="single" w:sz="4" w:space="0" w:color="000000"/>
              <w:right w:val="single" w:sz="4" w:space="0" w:color="000000"/>
            </w:tcBorders>
          </w:tcPr>
          <w:p>
            <w:pPr>
              <w:pStyle w:val="TableParagraph"/>
              <w:spacing w:before="2"/>
              <w:ind w:left="-41" w:right="132"/>
              <w:jc w:val="right"/>
              <w:rPr>
                <w:sz w:val="8"/>
              </w:rPr>
            </w:pPr>
            <w:r>
              <w:rPr>
                <w:w w:val="165"/>
                <w:sz w:val="8"/>
              </w:rPr>
              <w:t>1,110,565</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-1.37588</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2335</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15059</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Nextlalpan</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34,374</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-0.95069</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2010</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15060</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Nicolás Romero</w:t>
            </w:r>
          </w:p>
        </w:tc>
        <w:tc>
          <w:tcPr>
            <w:tcW w:w="798" w:type="dxa"/>
            <w:tcBorders>
              <w:left w:val="single" w:sz="4" w:space="0" w:color="000000"/>
              <w:right w:val="single" w:sz="4" w:space="0" w:color="000000"/>
            </w:tcBorders>
          </w:tcPr>
          <w:p>
            <w:pPr>
              <w:pStyle w:val="TableParagraph"/>
              <w:spacing w:before="1"/>
              <w:ind w:left="-41" w:right="133"/>
              <w:jc w:val="right"/>
              <w:rPr>
                <w:sz w:val="8"/>
              </w:rPr>
            </w:pPr>
            <w:r>
              <w:rPr>
                <w:w w:val="165"/>
                <w:sz w:val="8"/>
              </w:rPr>
              <w:t>366,602</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-1.11785</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2159</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15061</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Nopaltepec</w:t>
            </w:r>
          </w:p>
        </w:tc>
        <w:tc>
          <w:tcPr>
            <w:tcW w:w="798" w:type="dxa"/>
            <w:tcBorders>
              <w:left w:val="single" w:sz="4" w:space="0" w:color="000000"/>
              <w:right w:val="single" w:sz="4" w:space="0" w:color="000000"/>
            </w:tcBorders>
            <w:shd w:val="clear" w:color="auto" w:fill="F1DCDB"/>
          </w:tcPr>
          <w:p>
            <w:pPr>
              <w:pStyle w:val="TableParagraph"/>
              <w:spacing w:before="1"/>
              <w:ind w:left="-41" w:right="130"/>
              <w:jc w:val="right"/>
              <w:rPr>
                <w:sz w:val="8"/>
              </w:rPr>
            </w:pPr>
            <w:r>
              <w:rPr>
                <w:w w:val="165"/>
                <w:sz w:val="8"/>
              </w:rPr>
              <w:t>8,895</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-0.86337</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1915</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15062</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Ocoyoacac</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61,805</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-1.06092</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89"/>
              <w:rPr>
                <w:sz w:val="8"/>
              </w:rPr>
            </w:pPr>
            <w:r>
              <w:rPr>
                <w:w w:val="165"/>
                <w:sz w:val="8"/>
              </w:rPr>
              <w:t>2111</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15065</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Otumba</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34,232</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-0.76807</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1818</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15069</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Papalotla</w:t>
            </w:r>
          </w:p>
        </w:tc>
        <w:tc>
          <w:tcPr>
            <w:tcW w:w="798" w:type="dxa"/>
            <w:tcBorders>
              <w:left w:val="single" w:sz="4" w:space="0" w:color="000000"/>
              <w:right w:val="single" w:sz="4" w:space="0" w:color="000000"/>
            </w:tcBorders>
          </w:tcPr>
          <w:p>
            <w:pPr>
              <w:pStyle w:val="TableParagraph"/>
              <w:spacing w:before="2"/>
              <w:ind w:left="-41" w:right="130"/>
              <w:jc w:val="right"/>
              <w:rPr>
                <w:sz w:val="8"/>
              </w:rPr>
            </w:pPr>
            <w:r>
              <w:rPr>
                <w:w w:val="165"/>
                <w:sz w:val="8"/>
              </w:rPr>
              <w:t>4,147</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-1.18486</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2215</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15070</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La Paz</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253,845</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-1.01325</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2071</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15071</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Polotitlán</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13,002</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-0.82552</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1876</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15072</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Rayón</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12,748</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-1.11098</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2153</w:t>
            </w:r>
          </w:p>
        </w:tc>
      </w:tr>
      <w:tr>
        <w:trPr>
          <w:trHeight w:val="105"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15073</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San Antonio la Isla</w:t>
            </w:r>
          </w:p>
        </w:tc>
        <w:tc>
          <w:tcPr>
            <w:tcW w:w="798" w:type="dxa"/>
            <w:tcBorders>
              <w:left w:val="single" w:sz="4" w:space="0" w:color="000000"/>
              <w:right w:val="single" w:sz="4" w:space="0" w:color="000000"/>
            </w:tcBorders>
          </w:tcPr>
          <w:p>
            <w:pPr>
              <w:pStyle w:val="TableParagraph"/>
              <w:spacing w:before="2"/>
              <w:ind w:left="-41" w:right="132"/>
              <w:jc w:val="right"/>
              <w:rPr>
                <w:sz w:val="8"/>
              </w:rPr>
            </w:pPr>
            <w:r>
              <w:rPr>
                <w:w w:val="165"/>
                <w:sz w:val="8"/>
              </w:rPr>
              <w:t>22,152</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-1.27703</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2273</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15075</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San Martín de las Pirámide</w:t>
            </w:r>
          </w:p>
        </w:tc>
        <w:tc>
          <w:tcPr>
            <w:tcW w:w="798" w:type="dxa"/>
            <w:tcBorders>
              <w:left w:val="single" w:sz="4" w:space="0" w:color="000000"/>
              <w:right w:val="single" w:sz="4" w:space="0" w:color="000000"/>
            </w:tcBorders>
            <w:shd w:val="clear" w:color="auto" w:fill="F1DCDB"/>
          </w:tcPr>
          <w:p>
            <w:pPr>
              <w:pStyle w:val="TableParagraph"/>
              <w:tabs>
                <w:tab w:pos="243" w:val="left" w:leader="none"/>
              </w:tabs>
              <w:spacing w:before="1"/>
              <w:ind w:left="-41" w:right="132"/>
              <w:jc w:val="right"/>
              <w:rPr>
                <w:sz w:val="8"/>
              </w:rPr>
            </w:pPr>
            <w:r>
              <w:rPr>
                <w:w w:val="165"/>
                <w:sz w:val="8"/>
              </w:rPr>
              <w:t>s</w:t>
              <w:tab/>
              <w:t>24,851</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-1.02908</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2084</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15076</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San Mateo Atenco</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72,579</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-1.03127</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2087</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15081</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Tecámac</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364,579</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-1.52306</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2406</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15083</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Temamatla</w:t>
            </w:r>
          </w:p>
        </w:tc>
        <w:tc>
          <w:tcPr>
            <w:tcW w:w="798" w:type="dxa"/>
            <w:tcBorders>
              <w:left w:val="single" w:sz="4" w:space="0" w:color="000000"/>
              <w:right w:val="single" w:sz="4" w:space="0" w:color="000000"/>
            </w:tcBorders>
          </w:tcPr>
          <w:p>
            <w:pPr>
              <w:pStyle w:val="TableParagraph"/>
              <w:spacing w:before="2"/>
              <w:ind w:left="-41" w:right="129"/>
              <w:jc w:val="right"/>
              <w:rPr>
                <w:sz w:val="8"/>
              </w:rPr>
            </w:pPr>
            <w:r>
              <w:rPr>
                <w:w w:val="165"/>
                <w:sz w:val="8"/>
              </w:rPr>
              <w:t>11,206</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-1.17929</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2207</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15084</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Temascalapa</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35,987</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-0.71366</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1757</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15089</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Tenango del Aire</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10,578</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-1.06287</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9"/>
              <w:rPr>
                <w:sz w:val="8"/>
              </w:rPr>
            </w:pPr>
            <w:r>
              <w:rPr>
                <w:w w:val="165"/>
                <w:sz w:val="8"/>
              </w:rPr>
              <w:t>2116</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15091</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Teoloyucan</w:t>
            </w:r>
          </w:p>
        </w:tc>
        <w:tc>
          <w:tcPr>
            <w:tcW w:w="798" w:type="dxa"/>
            <w:tcBorders>
              <w:left w:val="single" w:sz="4" w:space="0" w:color="000000"/>
              <w:right w:val="single" w:sz="4" w:space="0" w:color="000000"/>
            </w:tcBorders>
            <w:shd w:val="clear" w:color="auto" w:fill="F1DCDB"/>
          </w:tcPr>
          <w:p>
            <w:pPr>
              <w:pStyle w:val="TableParagraph"/>
              <w:spacing w:before="1"/>
              <w:ind w:left="-41" w:right="130"/>
              <w:jc w:val="right"/>
              <w:rPr>
                <w:sz w:val="8"/>
              </w:rPr>
            </w:pPr>
            <w:r>
              <w:rPr>
                <w:w w:val="165"/>
                <w:sz w:val="8"/>
              </w:rPr>
              <w:t>63,115</w:t>
            </w:r>
          </w:p>
        </w:tc>
        <w:tc>
          <w:tcPr>
            <w:tcW w:w="742" w:type="dxa"/>
            <w:tcBorders>
              <w:left w:val="single" w:sz="4" w:space="0" w:color="000000"/>
              <w:right w:val="single" w:sz="4" w:space="0" w:color="000000"/>
            </w:tcBorders>
            <w:shd w:val="clear" w:color="auto" w:fill="F1DCDB"/>
          </w:tcPr>
          <w:p>
            <w:pPr>
              <w:pStyle w:val="TableParagraph"/>
              <w:spacing w:before="1"/>
              <w:ind w:left="44" w:right="35"/>
              <w:jc w:val="center"/>
              <w:rPr>
                <w:sz w:val="8"/>
              </w:rPr>
            </w:pPr>
            <w:r>
              <w:rPr>
                <w:w w:val="165"/>
                <w:sz w:val="8"/>
              </w:rPr>
              <w:t>-1.11185</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2154</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15092</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Teotihuacán</w:t>
            </w:r>
          </w:p>
        </w:tc>
        <w:tc>
          <w:tcPr>
            <w:tcW w:w="798" w:type="dxa"/>
            <w:tcBorders>
              <w:left w:val="single" w:sz="4" w:space="0" w:color="000000"/>
              <w:right w:val="single" w:sz="4" w:space="0" w:color="000000"/>
            </w:tcBorders>
          </w:tcPr>
          <w:p>
            <w:pPr>
              <w:pStyle w:val="TableParagraph"/>
              <w:spacing w:before="2"/>
              <w:ind w:left="-41" w:right="132"/>
              <w:jc w:val="right"/>
              <w:rPr>
                <w:sz w:val="8"/>
              </w:rPr>
            </w:pPr>
            <w:r>
              <w:rPr>
                <w:w w:val="165"/>
                <w:sz w:val="8"/>
              </w:rPr>
              <w:t>53,010</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-1.16037</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2188</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15093</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Tepetlaoxtoc</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27,944</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-0.89654</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1958</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15095</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Tepotzotlán</w:t>
            </w:r>
          </w:p>
        </w:tc>
        <w:tc>
          <w:tcPr>
            <w:tcW w:w="798" w:type="dxa"/>
            <w:tcBorders>
              <w:left w:val="single" w:sz="4" w:space="0" w:color="000000"/>
              <w:right w:val="single" w:sz="4" w:space="0" w:color="000000"/>
            </w:tcBorders>
          </w:tcPr>
          <w:p>
            <w:pPr>
              <w:pStyle w:val="TableParagraph"/>
              <w:spacing w:before="2"/>
              <w:ind w:left="-41" w:right="132"/>
              <w:jc w:val="right"/>
              <w:rPr>
                <w:sz w:val="8"/>
              </w:rPr>
            </w:pPr>
            <w:r>
              <w:rPr>
                <w:w w:val="165"/>
                <w:sz w:val="8"/>
              </w:rPr>
              <w:t>88,559</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-1.09810</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2143</w:t>
            </w:r>
          </w:p>
        </w:tc>
      </w:tr>
      <w:tr>
        <w:trPr>
          <w:trHeight w:val="105"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15096</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Tequixquiac</w:t>
            </w:r>
          </w:p>
        </w:tc>
        <w:tc>
          <w:tcPr>
            <w:tcW w:w="798" w:type="dxa"/>
            <w:tcBorders>
              <w:left w:val="single" w:sz="4" w:space="0" w:color="000000"/>
              <w:right w:val="single" w:sz="4" w:space="0" w:color="000000"/>
            </w:tcBorders>
            <w:shd w:val="clear" w:color="auto" w:fill="F1DCDB"/>
          </w:tcPr>
          <w:p>
            <w:pPr>
              <w:pStyle w:val="TableParagraph"/>
              <w:spacing w:before="1"/>
              <w:ind w:left="-41" w:right="132"/>
              <w:jc w:val="right"/>
              <w:rPr>
                <w:sz w:val="8"/>
              </w:rPr>
            </w:pPr>
            <w:r>
              <w:rPr>
                <w:w w:val="165"/>
                <w:sz w:val="8"/>
              </w:rPr>
              <w:t>33,907</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-0.84210</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1892</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15098</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Texcalyacac</w:t>
            </w:r>
          </w:p>
        </w:tc>
        <w:tc>
          <w:tcPr>
            <w:tcW w:w="798" w:type="dxa"/>
            <w:tcBorders>
              <w:left w:val="single" w:sz="4" w:space="0" w:color="000000"/>
              <w:right w:val="single" w:sz="4" w:space="0" w:color="000000"/>
            </w:tcBorders>
          </w:tcPr>
          <w:p>
            <w:pPr>
              <w:pStyle w:val="TableParagraph"/>
              <w:spacing w:before="1"/>
              <w:ind w:left="-41" w:right="128"/>
              <w:jc w:val="right"/>
              <w:rPr>
                <w:sz w:val="8"/>
              </w:rPr>
            </w:pPr>
            <w:r>
              <w:rPr>
                <w:w w:val="165"/>
                <w:sz w:val="8"/>
              </w:rPr>
              <w:t>5,111</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-0.98889</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2050</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15099</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Texcoco</w:t>
            </w:r>
          </w:p>
        </w:tc>
        <w:tc>
          <w:tcPr>
            <w:tcW w:w="798" w:type="dxa"/>
            <w:tcBorders>
              <w:left w:val="single" w:sz="4" w:space="0" w:color="000000"/>
              <w:right w:val="single" w:sz="4" w:space="0" w:color="000000"/>
            </w:tcBorders>
            <w:shd w:val="clear" w:color="auto" w:fill="F1DCDB"/>
          </w:tcPr>
          <w:p>
            <w:pPr>
              <w:pStyle w:val="TableParagraph"/>
              <w:spacing w:before="2"/>
              <w:ind w:left="-41" w:right="133"/>
              <w:jc w:val="right"/>
              <w:rPr>
                <w:sz w:val="8"/>
              </w:rPr>
            </w:pPr>
            <w:r>
              <w:rPr>
                <w:w w:val="165"/>
                <w:sz w:val="8"/>
              </w:rPr>
              <w:t>235,151</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-1.16383</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2190</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15100</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Tezoyuca</w:t>
            </w:r>
          </w:p>
        </w:tc>
        <w:tc>
          <w:tcPr>
            <w:tcW w:w="798" w:type="dxa"/>
            <w:tcBorders>
              <w:left w:val="single" w:sz="4" w:space="0" w:color="000000"/>
              <w:right w:val="single" w:sz="4" w:space="0" w:color="000000"/>
            </w:tcBorders>
          </w:tcPr>
          <w:p>
            <w:pPr>
              <w:pStyle w:val="TableParagraph"/>
              <w:spacing w:before="2"/>
              <w:ind w:left="-41" w:right="132"/>
              <w:jc w:val="right"/>
              <w:rPr>
                <w:sz w:val="8"/>
              </w:rPr>
            </w:pPr>
            <w:r>
              <w:rPr>
                <w:w w:val="165"/>
                <w:sz w:val="8"/>
              </w:rPr>
              <w:t>35,199</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-0.79707</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1849</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15101</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Tianguistenco</w:t>
            </w:r>
          </w:p>
        </w:tc>
        <w:tc>
          <w:tcPr>
            <w:tcW w:w="798" w:type="dxa"/>
            <w:tcBorders>
              <w:left w:val="single" w:sz="4" w:space="0" w:color="000000"/>
              <w:right w:val="single" w:sz="4" w:space="0" w:color="000000"/>
            </w:tcBorders>
            <w:shd w:val="clear" w:color="auto" w:fill="F1DCDB"/>
          </w:tcPr>
          <w:p>
            <w:pPr>
              <w:pStyle w:val="TableParagraph"/>
              <w:spacing w:before="1"/>
              <w:ind w:left="-41" w:right="132"/>
              <w:jc w:val="right"/>
              <w:rPr>
                <w:sz w:val="8"/>
              </w:rPr>
            </w:pPr>
            <w:r>
              <w:rPr>
                <w:w w:val="165"/>
                <w:sz w:val="8"/>
              </w:rPr>
              <w:t>70,682</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-0.64480</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1695</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15103</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Tlalmanalco</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46,130</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-1.26824</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2268</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15104</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Tlalnepantla de Baz</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664,225</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-1.49449</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2393</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15106</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Toluca</w:t>
            </w:r>
          </w:p>
        </w:tc>
        <w:tc>
          <w:tcPr>
            <w:tcW w:w="798" w:type="dxa"/>
            <w:tcBorders>
              <w:left w:val="single" w:sz="4" w:space="0" w:color="000000"/>
              <w:right w:val="single" w:sz="4" w:space="0" w:color="000000"/>
            </w:tcBorders>
          </w:tcPr>
          <w:p>
            <w:pPr>
              <w:pStyle w:val="TableParagraph"/>
              <w:spacing w:before="2"/>
              <w:ind w:left="-41" w:right="133"/>
              <w:jc w:val="right"/>
              <w:rPr>
                <w:sz w:val="8"/>
              </w:rPr>
            </w:pPr>
            <w:r>
              <w:rPr>
                <w:w w:val="165"/>
                <w:sz w:val="8"/>
              </w:rPr>
              <w:t>819,561</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-1.19348</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2220</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15107</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Tonatico</w:t>
            </w:r>
          </w:p>
        </w:tc>
        <w:tc>
          <w:tcPr>
            <w:tcW w:w="798" w:type="dxa"/>
            <w:tcBorders>
              <w:left w:val="single" w:sz="4" w:space="0" w:color="000000"/>
              <w:right w:val="single" w:sz="4" w:space="0" w:color="000000"/>
            </w:tcBorders>
            <w:shd w:val="clear" w:color="auto" w:fill="F1DCDB"/>
          </w:tcPr>
          <w:p>
            <w:pPr>
              <w:pStyle w:val="TableParagraph"/>
              <w:spacing w:before="2"/>
              <w:ind w:left="-41" w:right="132"/>
              <w:jc w:val="right"/>
              <w:rPr>
                <w:sz w:val="8"/>
              </w:rPr>
            </w:pPr>
            <w:r>
              <w:rPr>
                <w:w w:val="165"/>
                <w:sz w:val="8"/>
              </w:rPr>
              <w:t>12,099</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-0.77455</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1825</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15108</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Tultepec</w:t>
            </w:r>
          </w:p>
        </w:tc>
        <w:tc>
          <w:tcPr>
            <w:tcW w:w="798" w:type="dxa"/>
            <w:tcBorders>
              <w:left w:val="single" w:sz="4" w:space="0" w:color="000000"/>
              <w:right w:val="single" w:sz="4" w:space="0" w:color="000000"/>
            </w:tcBorders>
          </w:tcPr>
          <w:p>
            <w:pPr>
              <w:pStyle w:val="TableParagraph"/>
              <w:spacing w:before="1"/>
              <w:ind w:left="-41" w:right="132"/>
              <w:jc w:val="right"/>
              <w:rPr>
                <w:sz w:val="8"/>
              </w:rPr>
            </w:pPr>
            <w:r>
              <w:rPr>
                <w:w w:val="165"/>
                <w:sz w:val="8"/>
              </w:rPr>
              <w:t>91,808</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-1.25688</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2262</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15109</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Tultitlán</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524,074</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-1.51313</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2399</w:t>
            </w:r>
          </w:p>
        </w:tc>
      </w:tr>
      <w:tr>
        <w:trPr>
          <w:trHeight w:val="105"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3" w:right="156"/>
              <w:jc w:val="center"/>
              <w:rPr>
                <w:sz w:val="8"/>
              </w:rPr>
            </w:pPr>
            <w:r>
              <w:rPr>
                <w:w w:val="165"/>
                <w:sz w:val="8"/>
              </w:rPr>
              <w:t>15110</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Valle de Bravo</w:t>
            </w:r>
          </w:p>
        </w:tc>
        <w:tc>
          <w:tcPr>
            <w:tcW w:w="798" w:type="dxa"/>
            <w:tcBorders>
              <w:left w:val="single" w:sz="4" w:space="0" w:color="000000"/>
              <w:right w:val="single" w:sz="4" w:space="0" w:color="000000"/>
            </w:tcBorders>
          </w:tcPr>
          <w:p>
            <w:pPr>
              <w:pStyle w:val="TableParagraph"/>
              <w:spacing w:before="2"/>
              <w:ind w:left="-41" w:right="132"/>
              <w:jc w:val="right"/>
              <w:rPr>
                <w:sz w:val="8"/>
              </w:rPr>
            </w:pPr>
            <w:r>
              <w:rPr>
                <w:w w:val="165"/>
                <w:sz w:val="8"/>
              </w:rPr>
              <w:t>61,599</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-0.65045</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1701</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3" w:right="156"/>
              <w:jc w:val="center"/>
              <w:rPr>
                <w:sz w:val="8"/>
              </w:rPr>
            </w:pPr>
            <w:r>
              <w:rPr>
                <w:w w:val="165"/>
                <w:sz w:val="8"/>
              </w:rPr>
              <w:t>15115</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Xonacatlán</w:t>
            </w:r>
          </w:p>
        </w:tc>
        <w:tc>
          <w:tcPr>
            <w:tcW w:w="798" w:type="dxa"/>
            <w:tcBorders>
              <w:left w:val="single" w:sz="4" w:space="0" w:color="000000"/>
              <w:right w:val="single" w:sz="4" w:space="0" w:color="000000"/>
            </w:tcBorders>
            <w:shd w:val="clear" w:color="auto" w:fill="F1DCDB"/>
          </w:tcPr>
          <w:p>
            <w:pPr>
              <w:pStyle w:val="TableParagraph"/>
              <w:spacing w:before="1"/>
              <w:ind w:left="-41" w:right="132"/>
              <w:jc w:val="right"/>
              <w:rPr>
                <w:sz w:val="8"/>
              </w:rPr>
            </w:pPr>
            <w:r>
              <w:rPr>
                <w:w w:val="165"/>
                <w:sz w:val="8"/>
              </w:rPr>
              <w:t>46,331</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-0.76504</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1814</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3" w:right="156"/>
              <w:jc w:val="center"/>
              <w:rPr>
                <w:sz w:val="8"/>
              </w:rPr>
            </w:pPr>
            <w:r>
              <w:rPr>
                <w:w w:val="165"/>
                <w:sz w:val="8"/>
              </w:rPr>
              <w:t>15116</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Zacazonapan</w:t>
            </w:r>
          </w:p>
        </w:tc>
        <w:tc>
          <w:tcPr>
            <w:tcW w:w="798" w:type="dxa"/>
            <w:tcBorders>
              <w:left w:val="single" w:sz="4" w:space="0" w:color="000000"/>
              <w:right w:val="single" w:sz="4" w:space="0" w:color="000000"/>
            </w:tcBorders>
          </w:tcPr>
          <w:p>
            <w:pPr>
              <w:pStyle w:val="TableParagraph"/>
              <w:spacing w:before="1"/>
              <w:ind w:left="-41" w:right="130"/>
              <w:jc w:val="right"/>
              <w:rPr>
                <w:sz w:val="8"/>
              </w:rPr>
            </w:pPr>
            <w:r>
              <w:rPr>
                <w:w w:val="165"/>
                <w:sz w:val="8"/>
              </w:rPr>
              <w:t>4,051</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-0.74723</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1796</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3" w:right="156"/>
              <w:jc w:val="center"/>
              <w:rPr>
                <w:sz w:val="8"/>
              </w:rPr>
            </w:pPr>
            <w:r>
              <w:rPr>
                <w:w w:val="165"/>
                <w:sz w:val="8"/>
              </w:rPr>
              <w:t>15118</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Zinacantepec</w:t>
            </w:r>
          </w:p>
        </w:tc>
        <w:tc>
          <w:tcPr>
            <w:tcW w:w="798" w:type="dxa"/>
            <w:tcBorders>
              <w:left w:val="single" w:sz="4" w:space="0" w:color="000000"/>
              <w:right w:val="single" w:sz="4" w:space="0" w:color="000000"/>
            </w:tcBorders>
            <w:shd w:val="clear" w:color="auto" w:fill="F1DCDB"/>
          </w:tcPr>
          <w:p>
            <w:pPr>
              <w:pStyle w:val="TableParagraph"/>
              <w:spacing w:before="1"/>
              <w:ind w:left="-41" w:right="133"/>
              <w:jc w:val="right"/>
              <w:rPr>
                <w:sz w:val="8"/>
              </w:rPr>
            </w:pPr>
            <w:r>
              <w:rPr>
                <w:w w:val="165"/>
                <w:sz w:val="8"/>
              </w:rPr>
              <w:t>167,759</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-0.67416</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1724</w:t>
            </w:r>
          </w:p>
        </w:tc>
      </w:tr>
      <w:tr>
        <w:trPr>
          <w:trHeight w:val="104" w:hRule="exact"/>
        </w:trPr>
        <w:tc>
          <w:tcPr>
            <w:tcW w:w="741" w:type="dxa"/>
            <w:tcBorders>
              <w:left w:val="single" w:sz="4" w:space="0" w:color="000000"/>
              <w:right w:val="single" w:sz="4" w:space="0" w:color="000000"/>
            </w:tcBorders>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1"/>
              <w:ind w:left="165" w:right="154"/>
              <w:jc w:val="center"/>
              <w:rPr>
                <w:sz w:val="8"/>
              </w:rPr>
            </w:pPr>
            <w:r>
              <w:rPr>
                <w:w w:val="165"/>
                <w:sz w:val="8"/>
              </w:rPr>
              <w:t>15120</w:t>
            </w:r>
          </w:p>
        </w:tc>
        <w:tc>
          <w:tcPr>
            <w:tcW w:w="1809" w:type="dxa"/>
            <w:tcBorders>
              <w:left w:val="single" w:sz="4" w:space="0" w:color="000000"/>
              <w:right w:val="single" w:sz="4" w:space="0" w:color="000000"/>
            </w:tcBorders>
          </w:tcPr>
          <w:p>
            <w:pPr>
              <w:pStyle w:val="TableParagraph"/>
              <w:spacing w:before="1"/>
              <w:ind w:left="141"/>
              <w:rPr>
                <w:sz w:val="8"/>
              </w:rPr>
            </w:pPr>
            <w:r>
              <w:rPr>
                <w:w w:val="165"/>
                <w:sz w:val="8"/>
              </w:rPr>
              <w:t>Zumpango</w:t>
            </w:r>
          </w:p>
        </w:tc>
        <w:tc>
          <w:tcPr>
            <w:tcW w:w="798" w:type="dxa"/>
            <w:tcBorders>
              <w:left w:val="single" w:sz="4" w:space="0" w:color="000000"/>
              <w:right w:val="single" w:sz="4" w:space="0" w:color="000000"/>
            </w:tcBorders>
          </w:tcPr>
          <w:p>
            <w:pPr>
              <w:pStyle w:val="TableParagraph"/>
              <w:spacing w:before="1"/>
              <w:ind w:left="-41" w:right="133"/>
              <w:jc w:val="right"/>
              <w:rPr>
                <w:sz w:val="8"/>
              </w:rPr>
            </w:pPr>
            <w:r>
              <w:rPr>
                <w:w w:val="165"/>
                <w:sz w:val="8"/>
              </w:rPr>
              <w:t>159,647</w:t>
            </w:r>
          </w:p>
        </w:tc>
        <w:tc>
          <w:tcPr>
            <w:tcW w:w="742" w:type="dxa"/>
            <w:tcBorders>
              <w:left w:val="single" w:sz="4" w:space="0" w:color="000000"/>
              <w:right w:val="single" w:sz="4" w:space="0" w:color="000000"/>
            </w:tcBorders>
          </w:tcPr>
          <w:p>
            <w:pPr>
              <w:pStyle w:val="TableParagraph"/>
              <w:spacing w:before="1"/>
              <w:ind w:left="44" w:right="37"/>
              <w:jc w:val="center"/>
              <w:rPr>
                <w:sz w:val="8"/>
              </w:rPr>
            </w:pPr>
            <w:r>
              <w:rPr>
                <w:w w:val="165"/>
                <w:sz w:val="8"/>
              </w:rPr>
              <w:t>-1.10870</w:t>
            </w:r>
          </w:p>
        </w:tc>
        <w:tc>
          <w:tcPr>
            <w:tcW w:w="741" w:type="dxa"/>
            <w:tcBorders>
              <w:left w:val="single" w:sz="4" w:space="0" w:color="000000"/>
              <w:right w:val="single" w:sz="4" w:space="0" w:color="000000"/>
            </w:tcBorders>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1"/>
              <w:ind w:left="170"/>
              <w:rPr>
                <w:sz w:val="8"/>
              </w:rPr>
            </w:pPr>
            <w:r>
              <w:rPr>
                <w:w w:val="165"/>
                <w:sz w:val="8"/>
              </w:rPr>
              <w:t>2152</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2"/>
              <w:ind w:left="165" w:right="154"/>
              <w:jc w:val="center"/>
              <w:rPr>
                <w:sz w:val="8"/>
              </w:rPr>
            </w:pPr>
            <w:r>
              <w:rPr>
                <w:w w:val="165"/>
                <w:sz w:val="8"/>
              </w:rPr>
              <w:t>15121</w:t>
            </w:r>
          </w:p>
        </w:tc>
        <w:tc>
          <w:tcPr>
            <w:tcW w:w="1809" w:type="dxa"/>
            <w:tcBorders>
              <w:left w:val="single" w:sz="4" w:space="0" w:color="000000"/>
              <w:right w:val="single" w:sz="4" w:space="0" w:color="000000"/>
            </w:tcBorders>
            <w:shd w:val="clear" w:color="auto" w:fill="F1DCDB"/>
          </w:tcPr>
          <w:p>
            <w:pPr>
              <w:pStyle w:val="TableParagraph"/>
              <w:spacing w:before="2"/>
              <w:ind w:left="141"/>
              <w:rPr>
                <w:sz w:val="8"/>
              </w:rPr>
            </w:pPr>
            <w:r>
              <w:rPr>
                <w:w w:val="165"/>
                <w:sz w:val="8"/>
              </w:rPr>
              <w:t>Cuautitlán Izcalli</w:t>
            </w:r>
          </w:p>
        </w:tc>
        <w:tc>
          <w:tcPr>
            <w:tcW w:w="798" w:type="dxa"/>
            <w:tcBorders>
              <w:left w:val="single" w:sz="4" w:space="0" w:color="000000"/>
              <w:right w:val="single" w:sz="4" w:space="0" w:color="000000"/>
            </w:tcBorders>
            <w:shd w:val="clear" w:color="auto" w:fill="F1DCDB"/>
          </w:tcPr>
          <w:p>
            <w:pPr>
              <w:pStyle w:val="TableParagraph"/>
              <w:spacing w:before="2"/>
              <w:ind w:left="-41" w:right="130"/>
              <w:jc w:val="right"/>
              <w:rPr>
                <w:sz w:val="8"/>
              </w:rPr>
            </w:pPr>
            <w:r>
              <w:rPr>
                <w:w w:val="165"/>
                <w:sz w:val="8"/>
              </w:rPr>
              <w:t>511,675</w:t>
            </w:r>
          </w:p>
        </w:tc>
        <w:tc>
          <w:tcPr>
            <w:tcW w:w="742" w:type="dxa"/>
            <w:tcBorders>
              <w:left w:val="single" w:sz="4" w:space="0" w:color="000000"/>
              <w:right w:val="single" w:sz="4" w:space="0" w:color="000000"/>
            </w:tcBorders>
            <w:shd w:val="clear" w:color="auto" w:fill="F1DCDB"/>
          </w:tcPr>
          <w:p>
            <w:pPr>
              <w:pStyle w:val="TableParagraph"/>
              <w:spacing w:before="2"/>
              <w:ind w:left="44" w:right="37"/>
              <w:jc w:val="center"/>
              <w:rPr>
                <w:sz w:val="8"/>
              </w:rPr>
            </w:pPr>
            <w:r>
              <w:rPr>
                <w:w w:val="165"/>
                <w:sz w:val="8"/>
              </w:rPr>
              <w:t>-1.65560</w:t>
            </w:r>
          </w:p>
        </w:tc>
        <w:tc>
          <w:tcPr>
            <w:tcW w:w="741" w:type="dxa"/>
            <w:tcBorders>
              <w:left w:val="single" w:sz="4" w:space="0" w:color="000000"/>
              <w:right w:val="single" w:sz="4" w:space="0" w:color="000000"/>
            </w:tcBorders>
            <w:shd w:val="clear" w:color="auto" w:fill="F1DCDB"/>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2"/>
              <w:ind w:left="170"/>
              <w:rPr>
                <w:sz w:val="8"/>
              </w:rPr>
            </w:pPr>
            <w:r>
              <w:rPr>
                <w:w w:val="165"/>
                <w:sz w:val="8"/>
              </w:rPr>
              <w:t>2439</w:t>
            </w:r>
          </w:p>
        </w:tc>
      </w:tr>
      <w:tr>
        <w:trPr>
          <w:trHeight w:val="104" w:hRule="exact"/>
        </w:trPr>
        <w:tc>
          <w:tcPr>
            <w:tcW w:w="741" w:type="dxa"/>
            <w:tcBorders>
              <w:left w:val="single" w:sz="4" w:space="0" w:color="000000"/>
              <w:right w:val="single" w:sz="4" w:space="0" w:color="000000"/>
            </w:tcBorders>
          </w:tcPr>
          <w:p>
            <w:pPr>
              <w:pStyle w:val="TableParagraph"/>
              <w:spacing w:before="2"/>
              <w:ind w:left="294" w:right="42"/>
              <w:rPr>
                <w:sz w:val="8"/>
              </w:rPr>
            </w:pPr>
            <w:r>
              <w:rPr>
                <w:w w:val="165"/>
                <w:sz w:val="8"/>
              </w:rPr>
              <w:t>15</w:t>
            </w:r>
          </w:p>
        </w:tc>
        <w:tc>
          <w:tcPr>
            <w:tcW w:w="731" w:type="dxa"/>
            <w:tcBorders>
              <w:left w:val="single" w:sz="4" w:space="0" w:color="000000"/>
              <w:right w:val="single" w:sz="4" w:space="0" w:color="000000"/>
            </w:tcBorders>
          </w:tcPr>
          <w:p>
            <w:pPr>
              <w:pStyle w:val="TableParagraph"/>
              <w:spacing w:before="2"/>
              <w:ind w:left="126" w:right="136"/>
              <w:jc w:val="center"/>
              <w:rPr>
                <w:sz w:val="8"/>
              </w:rPr>
            </w:pPr>
            <w:r>
              <w:rPr>
                <w:w w:val="165"/>
                <w:sz w:val="8"/>
              </w:rPr>
              <w:t>México</w:t>
            </w:r>
          </w:p>
        </w:tc>
        <w:tc>
          <w:tcPr>
            <w:tcW w:w="741" w:type="dxa"/>
            <w:tcBorders>
              <w:left w:val="single" w:sz="4" w:space="0" w:color="000000"/>
              <w:right w:val="single" w:sz="4" w:space="0" w:color="000000"/>
            </w:tcBorders>
          </w:tcPr>
          <w:p>
            <w:pPr>
              <w:pStyle w:val="TableParagraph"/>
              <w:spacing w:before="2"/>
              <w:ind w:left="165" w:right="154"/>
              <w:jc w:val="center"/>
              <w:rPr>
                <w:sz w:val="8"/>
              </w:rPr>
            </w:pPr>
            <w:r>
              <w:rPr>
                <w:w w:val="165"/>
                <w:sz w:val="8"/>
              </w:rPr>
              <w:t>15122</w:t>
            </w:r>
          </w:p>
        </w:tc>
        <w:tc>
          <w:tcPr>
            <w:tcW w:w="1809" w:type="dxa"/>
            <w:tcBorders>
              <w:left w:val="single" w:sz="4" w:space="0" w:color="000000"/>
              <w:right w:val="single" w:sz="4" w:space="0" w:color="000000"/>
            </w:tcBorders>
          </w:tcPr>
          <w:p>
            <w:pPr>
              <w:pStyle w:val="TableParagraph"/>
              <w:spacing w:before="2"/>
              <w:ind w:left="141"/>
              <w:rPr>
                <w:sz w:val="8"/>
              </w:rPr>
            </w:pPr>
            <w:r>
              <w:rPr>
                <w:w w:val="165"/>
                <w:sz w:val="8"/>
              </w:rPr>
              <w:t>Valle de Chalco Solidaridad</w:t>
            </w:r>
          </w:p>
        </w:tc>
        <w:tc>
          <w:tcPr>
            <w:tcW w:w="798" w:type="dxa"/>
            <w:tcBorders>
              <w:left w:val="single" w:sz="4" w:space="0" w:color="000000"/>
              <w:right w:val="single" w:sz="4" w:space="0" w:color="000000"/>
            </w:tcBorders>
          </w:tcPr>
          <w:p>
            <w:pPr>
              <w:pStyle w:val="TableParagraph"/>
              <w:spacing w:before="2"/>
              <w:ind w:left="-41" w:right="133"/>
              <w:jc w:val="right"/>
              <w:rPr>
                <w:sz w:val="8"/>
              </w:rPr>
            </w:pPr>
            <w:r>
              <w:rPr>
                <w:w w:val="165"/>
                <w:sz w:val="8"/>
              </w:rPr>
              <w:t>357,645</w:t>
            </w:r>
          </w:p>
        </w:tc>
        <w:tc>
          <w:tcPr>
            <w:tcW w:w="742" w:type="dxa"/>
            <w:tcBorders>
              <w:left w:val="single" w:sz="4" w:space="0" w:color="000000"/>
              <w:right w:val="single" w:sz="4" w:space="0" w:color="000000"/>
            </w:tcBorders>
          </w:tcPr>
          <w:p>
            <w:pPr>
              <w:pStyle w:val="TableParagraph"/>
              <w:spacing w:before="2"/>
              <w:ind w:left="44" w:right="37"/>
              <w:jc w:val="center"/>
              <w:rPr>
                <w:sz w:val="8"/>
              </w:rPr>
            </w:pPr>
            <w:r>
              <w:rPr>
                <w:w w:val="165"/>
                <w:sz w:val="8"/>
              </w:rPr>
              <w:t>-0.91349</w:t>
            </w:r>
          </w:p>
        </w:tc>
        <w:tc>
          <w:tcPr>
            <w:tcW w:w="741" w:type="dxa"/>
            <w:tcBorders>
              <w:left w:val="single" w:sz="4" w:space="0" w:color="000000"/>
              <w:right w:val="single" w:sz="4" w:space="0" w:color="000000"/>
            </w:tcBorders>
          </w:tcPr>
          <w:p>
            <w:pPr>
              <w:pStyle w:val="TableParagraph"/>
              <w:spacing w:before="2"/>
              <w:ind w:left="72" w:right="62"/>
              <w:jc w:val="center"/>
              <w:rPr>
                <w:sz w:val="8"/>
              </w:rPr>
            </w:pPr>
            <w:r>
              <w:rPr>
                <w:w w:val="165"/>
                <w:sz w:val="8"/>
              </w:rPr>
              <w:t>Muy bajo</w:t>
            </w:r>
          </w:p>
        </w:tc>
        <w:tc>
          <w:tcPr>
            <w:tcW w:w="742" w:type="dxa"/>
            <w:tcBorders>
              <w:left w:val="single" w:sz="4" w:space="0" w:color="000000"/>
              <w:right w:val="single" w:sz="4" w:space="0" w:color="000000"/>
            </w:tcBorders>
          </w:tcPr>
          <w:p>
            <w:pPr>
              <w:pStyle w:val="TableParagraph"/>
              <w:spacing w:before="2"/>
              <w:ind w:left="170"/>
              <w:rPr>
                <w:sz w:val="8"/>
              </w:rPr>
            </w:pPr>
            <w:r>
              <w:rPr>
                <w:w w:val="165"/>
                <w:sz w:val="8"/>
              </w:rPr>
              <w:t>1978</w:t>
            </w:r>
          </w:p>
        </w:tc>
      </w:tr>
      <w:tr>
        <w:trPr>
          <w:trHeight w:val="104" w:hRule="exact"/>
        </w:trPr>
        <w:tc>
          <w:tcPr>
            <w:tcW w:w="741" w:type="dxa"/>
            <w:tcBorders>
              <w:left w:val="single" w:sz="4" w:space="0" w:color="000000"/>
              <w:right w:val="single" w:sz="4" w:space="0" w:color="000000"/>
            </w:tcBorders>
            <w:shd w:val="clear" w:color="auto" w:fill="F1DCDB"/>
          </w:tcPr>
          <w:p>
            <w:pPr>
              <w:pStyle w:val="TableParagraph"/>
              <w:spacing w:before="1"/>
              <w:ind w:left="294" w:right="42"/>
              <w:rPr>
                <w:sz w:val="8"/>
              </w:rPr>
            </w:pPr>
            <w:r>
              <w:rPr>
                <w:w w:val="165"/>
                <w:sz w:val="8"/>
              </w:rPr>
              <w:t>15</w:t>
            </w:r>
          </w:p>
        </w:tc>
        <w:tc>
          <w:tcPr>
            <w:tcW w:w="731" w:type="dxa"/>
            <w:tcBorders>
              <w:left w:val="single" w:sz="4" w:space="0" w:color="000000"/>
              <w:right w:val="single" w:sz="4" w:space="0" w:color="000000"/>
            </w:tcBorders>
            <w:shd w:val="clear" w:color="auto" w:fill="F1DCDB"/>
          </w:tcPr>
          <w:p>
            <w:pPr>
              <w:pStyle w:val="TableParagraph"/>
              <w:spacing w:before="1"/>
              <w:ind w:left="126" w:right="136"/>
              <w:jc w:val="center"/>
              <w:rPr>
                <w:sz w:val="8"/>
              </w:rPr>
            </w:pPr>
            <w:r>
              <w:rPr>
                <w:w w:val="165"/>
                <w:sz w:val="8"/>
              </w:rPr>
              <w:t>México</w:t>
            </w:r>
          </w:p>
        </w:tc>
        <w:tc>
          <w:tcPr>
            <w:tcW w:w="741" w:type="dxa"/>
            <w:tcBorders>
              <w:left w:val="single" w:sz="4" w:space="0" w:color="000000"/>
              <w:right w:val="single" w:sz="4" w:space="0" w:color="000000"/>
            </w:tcBorders>
            <w:shd w:val="clear" w:color="auto" w:fill="F1DCDB"/>
          </w:tcPr>
          <w:p>
            <w:pPr>
              <w:pStyle w:val="TableParagraph"/>
              <w:spacing w:before="1"/>
              <w:ind w:left="165" w:right="154"/>
              <w:jc w:val="center"/>
              <w:rPr>
                <w:sz w:val="8"/>
              </w:rPr>
            </w:pPr>
            <w:r>
              <w:rPr>
                <w:w w:val="165"/>
                <w:sz w:val="8"/>
              </w:rPr>
              <w:t>15125</w:t>
            </w:r>
          </w:p>
        </w:tc>
        <w:tc>
          <w:tcPr>
            <w:tcW w:w="1809" w:type="dxa"/>
            <w:tcBorders>
              <w:left w:val="single" w:sz="4" w:space="0" w:color="000000"/>
              <w:right w:val="single" w:sz="4" w:space="0" w:color="000000"/>
            </w:tcBorders>
            <w:shd w:val="clear" w:color="auto" w:fill="F1DCDB"/>
          </w:tcPr>
          <w:p>
            <w:pPr>
              <w:pStyle w:val="TableParagraph"/>
              <w:spacing w:before="1"/>
              <w:ind w:left="141"/>
              <w:rPr>
                <w:sz w:val="8"/>
              </w:rPr>
            </w:pPr>
            <w:r>
              <w:rPr>
                <w:w w:val="165"/>
                <w:sz w:val="8"/>
              </w:rPr>
              <w:t>Tonanitla</w:t>
            </w:r>
          </w:p>
        </w:tc>
        <w:tc>
          <w:tcPr>
            <w:tcW w:w="798" w:type="dxa"/>
            <w:tcBorders>
              <w:left w:val="single" w:sz="4" w:space="0" w:color="000000"/>
              <w:right w:val="single" w:sz="4" w:space="0" w:color="000000"/>
            </w:tcBorders>
            <w:shd w:val="clear" w:color="auto" w:fill="F1DCDB"/>
          </w:tcPr>
          <w:p>
            <w:pPr>
              <w:pStyle w:val="TableParagraph"/>
              <w:spacing w:before="1"/>
              <w:ind w:left="-41" w:right="132"/>
              <w:jc w:val="right"/>
              <w:rPr>
                <w:sz w:val="8"/>
              </w:rPr>
            </w:pPr>
            <w:r>
              <w:rPr>
                <w:w w:val="165"/>
                <w:sz w:val="8"/>
              </w:rPr>
              <w:t>10,216</w:t>
            </w:r>
          </w:p>
        </w:tc>
        <w:tc>
          <w:tcPr>
            <w:tcW w:w="742" w:type="dxa"/>
            <w:tcBorders>
              <w:left w:val="single" w:sz="4" w:space="0" w:color="000000"/>
              <w:right w:val="single" w:sz="4" w:space="0" w:color="000000"/>
            </w:tcBorders>
            <w:shd w:val="clear" w:color="auto" w:fill="F1DCDB"/>
          </w:tcPr>
          <w:p>
            <w:pPr>
              <w:pStyle w:val="TableParagraph"/>
              <w:spacing w:before="1"/>
              <w:ind w:left="44" w:right="37"/>
              <w:jc w:val="center"/>
              <w:rPr>
                <w:sz w:val="8"/>
              </w:rPr>
            </w:pPr>
            <w:r>
              <w:rPr>
                <w:w w:val="165"/>
                <w:sz w:val="8"/>
              </w:rPr>
              <w:t>-1.10590</w:t>
            </w:r>
          </w:p>
        </w:tc>
        <w:tc>
          <w:tcPr>
            <w:tcW w:w="741" w:type="dxa"/>
            <w:tcBorders>
              <w:left w:val="single" w:sz="4" w:space="0" w:color="000000"/>
              <w:right w:val="single" w:sz="4" w:space="0" w:color="000000"/>
            </w:tcBorders>
            <w:shd w:val="clear" w:color="auto" w:fill="F1DCDB"/>
          </w:tcPr>
          <w:p>
            <w:pPr>
              <w:pStyle w:val="TableParagraph"/>
              <w:spacing w:before="1"/>
              <w:ind w:left="72" w:right="62"/>
              <w:jc w:val="center"/>
              <w:rPr>
                <w:sz w:val="8"/>
              </w:rPr>
            </w:pPr>
            <w:r>
              <w:rPr>
                <w:w w:val="165"/>
                <w:sz w:val="8"/>
              </w:rPr>
              <w:t>Muy bajo</w:t>
            </w:r>
          </w:p>
        </w:tc>
        <w:tc>
          <w:tcPr>
            <w:tcW w:w="742" w:type="dxa"/>
            <w:tcBorders>
              <w:left w:val="single" w:sz="4" w:space="0" w:color="000000"/>
              <w:right w:val="single" w:sz="4" w:space="0" w:color="000000"/>
            </w:tcBorders>
            <w:shd w:val="clear" w:color="auto" w:fill="F1DCDB"/>
          </w:tcPr>
          <w:p>
            <w:pPr>
              <w:pStyle w:val="TableParagraph"/>
              <w:spacing w:before="1"/>
              <w:ind w:left="170"/>
              <w:rPr>
                <w:sz w:val="8"/>
              </w:rPr>
            </w:pPr>
            <w:r>
              <w:rPr>
                <w:w w:val="165"/>
                <w:sz w:val="8"/>
              </w:rPr>
              <w:t>2149</w:t>
            </w:r>
          </w:p>
        </w:tc>
      </w:tr>
    </w:tbl>
    <w:p>
      <w:pPr>
        <w:spacing w:after="0"/>
        <w:rPr>
          <w:sz w:val="8"/>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8"/>
        </w:rPr>
      </w:pPr>
    </w:p>
    <w:p>
      <w:pPr>
        <w:spacing w:line="242" w:lineRule="auto" w:before="0"/>
        <w:ind w:left="2362" w:right="1515" w:hanging="900"/>
        <w:jc w:val="left"/>
        <w:rPr>
          <w:sz w:val="20"/>
        </w:rPr>
      </w:pPr>
      <w:r>
        <w:rPr>
          <w:position w:val="1"/>
          <w:sz w:val="24"/>
        </w:rPr>
        <w:t>Anexo 8.</w:t>
      </w:r>
      <w:r>
        <w:rPr>
          <w:b/>
          <w:sz w:val="20"/>
        </w:rPr>
        <w:t>Fuente</w:t>
      </w:r>
      <w:r>
        <w:rPr>
          <w:sz w:val="20"/>
        </w:rPr>
        <w:t>: Estimaciones del CONEVAL con base en el Censo de Población y Vivienda 2010.</w:t>
      </w:r>
    </w:p>
    <w:p>
      <w:pPr>
        <w:pStyle w:val="BodyText"/>
        <w:rPr>
          <w:sz w:val="20"/>
        </w:rPr>
      </w:pPr>
    </w:p>
    <w:p>
      <w:pPr>
        <w:pStyle w:val="BodyText"/>
        <w:rPr>
          <w:sz w:val="20"/>
        </w:rPr>
      </w:pPr>
    </w:p>
    <w:p>
      <w:pPr>
        <w:pStyle w:val="BodyText"/>
        <w:rPr>
          <w:sz w:val="20"/>
        </w:rPr>
      </w:pPr>
    </w:p>
    <w:p>
      <w:pPr>
        <w:pStyle w:val="BodyText"/>
        <w:rPr>
          <w:sz w:val="20"/>
        </w:rPr>
      </w:pPr>
    </w:p>
    <w:p>
      <w:pPr>
        <w:pStyle w:val="BodyText"/>
      </w:pPr>
    </w:p>
    <w:p>
      <w:pPr>
        <w:spacing w:before="86" w:after="9"/>
        <w:ind w:left="3247" w:right="1340" w:firstLine="0"/>
        <w:jc w:val="left"/>
        <w:rPr>
          <w:b/>
          <w:sz w:val="16"/>
        </w:rPr>
      </w:pPr>
      <w:r>
        <w:rPr>
          <w:b/>
          <w:w w:val="105"/>
          <w:sz w:val="16"/>
        </w:rPr>
        <w:t>Marginación. Municipios del Estado de México en Grado Alto</w:t>
      </w:r>
    </w:p>
    <w:p>
      <w:pPr>
        <w:pStyle w:val="BodyText"/>
        <w:spacing w:line="20" w:lineRule="exact"/>
        <w:ind w:left="131"/>
        <w:rPr>
          <w:sz w:val="2"/>
        </w:rPr>
      </w:pPr>
      <w:r>
        <w:rPr>
          <w:sz w:val="2"/>
        </w:rPr>
        <w:pict>
          <v:group style="width:553.7pt;height:.65pt;mso-position-horizontal-relative:char;mso-position-vertical-relative:line" coordorigin="0,0" coordsize="11074,13">
            <v:shape style="position:absolute;left:6;top:6;width:11061;height:2" coordorigin="6,6" coordsize="11061,0" path="m6,6l6,6,11067,7e" filled="false" stroked="true" strokeweight=".622638pt" strokecolor="#000000">
              <v:path arrowok="t"/>
            </v:shape>
          </v:group>
        </w:pict>
      </w:r>
      <w:r>
        <w:rPr>
          <w:sz w:val="2"/>
        </w:rPr>
      </w:r>
    </w:p>
    <w:p>
      <w:pPr>
        <w:pStyle w:val="BodyText"/>
        <w:rPr>
          <w:b/>
          <w:sz w:val="20"/>
        </w:rPr>
      </w:pPr>
    </w:p>
    <w:p>
      <w:pPr>
        <w:pStyle w:val="BodyText"/>
        <w:spacing w:before="10" w:after="1"/>
        <w:rPr>
          <w:b/>
          <w:sz w:val="14"/>
        </w:rPr>
      </w:pPr>
    </w:p>
    <w:tbl>
      <w:tblPr>
        <w:tblW w:w="0" w:type="auto"/>
        <w:jc w:val="left"/>
        <w:tblInd w:w="13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07"/>
        <w:gridCol w:w="907"/>
        <w:gridCol w:w="2162"/>
        <w:gridCol w:w="1687"/>
        <w:gridCol w:w="1074"/>
        <w:gridCol w:w="1101"/>
        <w:gridCol w:w="1268"/>
        <w:gridCol w:w="920"/>
        <w:gridCol w:w="1031"/>
      </w:tblGrid>
      <w:tr>
        <w:trPr>
          <w:trHeight w:val="1055" w:hRule="exact"/>
        </w:trPr>
        <w:tc>
          <w:tcPr>
            <w:tcW w:w="907" w:type="dxa"/>
          </w:tcPr>
          <w:p>
            <w:pPr>
              <w:pStyle w:val="TableParagraph"/>
              <w:spacing w:line="276" w:lineRule="auto" w:before="5"/>
              <w:ind w:left="57" w:firstLine="50"/>
              <w:rPr>
                <w:b/>
                <w:sz w:val="16"/>
              </w:rPr>
            </w:pPr>
            <w:r>
              <w:rPr>
                <w:b/>
                <w:w w:val="105"/>
                <w:sz w:val="16"/>
              </w:rPr>
              <w:t>Clave de la entidad federativa</w:t>
            </w:r>
          </w:p>
        </w:tc>
        <w:tc>
          <w:tcPr>
            <w:tcW w:w="907" w:type="dxa"/>
          </w:tcPr>
          <w:p>
            <w:pPr>
              <w:pStyle w:val="TableParagraph"/>
              <w:spacing w:line="276" w:lineRule="auto" w:before="5"/>
              <w:ind w:left="56" w:firstLine="28"/>
              <w:rPr>
                <w:b/>
                <w:sz w:val="16"/>
              </w:rPr>
            </w:pPr>
            <w:r>
              <w:rPr>
                <w:b/>
                <w:w w:val="105"/>
                <w:sz w:val="16"/>
              </w:rPr>
              <w:t>Clave del municipio</w:t>
            </w:r>
          </w:p>
        </w:tc>
        <w:tc>
          <w:tcPr>
            <w:tcW w:w="2162" w:type="dxa"/>
          </w:tcPr>
          <w:p>
            <w:pPr>
              <w:pStyle w:val="TableParagraph"/>
              <w:rPr>
                <w:b/>
                <w:sz w:val="16"/>
              </w:rPr>
            </w:pPr>
          </w:p>
          <w:p>
            <w:pPr>
              <w:pStyle w:val="TableParagraph"/>
              <w:spacing w:before="2"/>
              <w:rPr>
                <w:b/>
                <w:sz w:val="21"/>
              </w:rPr>
            </w:pPr>
          </w:p>
          <w:p>
            <w:pPr>
              <w:pStyle w:val="TableParagraph"/>
              <w:ind w:left="690"/>
              <w:rPr>
                <w:b/>
                <w:sz w:val="16"/>
              </w:rPr>
            </w:pPr>
            <w:r>
              <w:rPr>
                <w:b/>
                <w:w w:val="105"/>
                <w:sz w:val="16"/>
              </w:rPr>
              <w:t>Municipio</w:t>
            </w:r>
          </w:p>
        </w:tc>
        <w:tc>
          <w:tcPr>
            <w:tcW w:w="1687" w:type="dxa"/>
          </w:tcPr>
          <w:p>
            <w:pPr>
              <w:pStyle w:val="TableParagraph"/>
              <w:spacing w:line="276" w:lineRule="auto" w:before="5"/>
              <w:ind w:left="666" w:right="132" w:hanging="223"/>
              <w:rPr>
                <w:b/>
                <w:sz w:val="16"/>
              </w:rPr>
            </w:pPr>
            <w:r>
              <w:rPr>
                <w:b/>
                <w:sz w:val="16"/>
              </w:rPr>
              <w:t>Población </w:t>
            </w:r>
            <w:r>
              <w:rPr>
                <w:b/>
                <w:w w:val="105"/>
                <w:sz w:val="16"/>
              </w:rPr>
              <w:t>total</w:t>
            </w:r>
          </w:p>
        </w:tc>
        <w:tc>
          <w:tcPr>
            <w:tcW w:w="1074" w:type="dxa"/>
          </w:tcPr>
          <w:p>
            <w:pPr>
              <w:pStyle w:val="TableParagraph"/>
              <w:spacing w:line="276" w:lineRule="auto" w:before="5"/>
              <w:ind w:left="39" w:right="3" w:firstLine="136"/>
              <w:rPr>
                <w:b/>
                <w:sz w:val="16"/>
              </w:rPr>
            </w:pPr>
            <w:r>
              <w:rPr>
                <w:b/>
                <w:w w:val="105"/>
                <w:sz w:val="16"/>
              </w:rPr>
              <w:t>Índice de marginación</w:t>
            </w:r>
          </w:p>
        </w:tc>
        <w:tc>
          <w:tcPr>
            <w:tcW w:w="1101" w:type="dxa"/>
          </w:tcPr>
          <w:p>
            <w:pPr>
              <w:pStyle w:val="TableParagraph"/>
              <w:spacing w:line="276" w:lineRule="auto" w:before="5"/>
              <w:ind w:left="53" w:right="17" w:firstLine="128"/>
              <w:rPr>
                <w:b/>
                <w:sz w:val="16"/>
              </w:rPr>
            </w:pPr>
            <w:r>
              <w:rPr>
                <w:b/>
                <w:w w:val="105"/>
                <w:sz w:val="16"/>
              </w:rPr>
              <w:t>Grado de marginación</w:t>
            </w:r>
          </w:p>
        </w:tc>
        <w:tc>
          <w:tcPr>
            <w:tcW w:w="1268" w:type="dxa"/>
          </w:tcPr>
          <w:p>
            <w:pPr>
              <w:pStyle w:val="TableParagraph"/>
              <w:spacing w:line="276" w:lineRule="auto" w:before="5"/>
              <w:ind w:left="133" w:right="132" w:firstLine="1"/>
              <w:jc w:val="center"/>
              <w:rPr>
                <w:b/>
                <w:sz w:val="16"/>
              </w:rPr>
            </w:pPr>
            <w:r>
              <w:rPr>
                <w:b/>
                <w:w w:val="105"/>
                <w:sz w:val="16"/>
              </w:rPr>
              <w:t>Índice de </w:t>
            </w:r>
            <w:r>
              <w:rPr>
                <w:b/>
                <w:sz w:val="16"/>
              </w:rPr>
              <w:t>marginación </w:t>
            </w:r>
            <w:r>
              <w:rPr>
                <w:b/>
                <w:w w:val="105"/>
                <w:sz w:val="16"/>
              </w:rPr>
              <w:t>escala</w:t>
            </w:r>
          </w:p>
          <w:p>
            <w:pPr>
              <w:pStyle w:val="TableParagraph"/>
              <w:spacing w:line="184" w:lineRule="exact"/>
              <w:ind w:left="327" w:right="327"/>
              <w:jc w:val="center"/>
              <w:rPr>
                <w:b/>
                <w:sz w:val="16"/>
              </w:rPr>
            </w:pPr>
            <w:r>
              <w:rPr>
                <w:b/>
                <w:w w:val="105"/>
                <w:sz w:val="16"/>
              </w:rPr>
              <w:t>0 a 100</w:t>
            </w:r>
          </w:p>
        </w:tc>
        <w:tc>
          <w:tcPr>
            <w:tcW w:w="920" w:type="dxa"/>
          </w:tcPr>
          <w:p>
            <w:pPr>
              <w:pStyle w:val="TableParagraph"/>
              <w:spacing w:line="276" w:lineRule="auto" w:before="5"/>
              <w:ind w:left="43" w:right="38"/>
              <w:jc w:val="center"/>
              <w:rPr>
                <w:b/>
                <w:sz w:val="16"/>
              </w:rPr>
            </w:pPr>
            <w:r>
              <w:rPr>
                <w:b/>
                <w:w w:val="105"/>
                <w:sz w:val="16"/>
              </w:rPr>
              <w:t>Lugar que</w:t>
            </w:r>
            <w:r>
              <w:rPr>
                <w:b/>
                <w:w w:val="104"/>
                <w:sz w:val="16"/>
              </w:rPr>
              <w:t> </w:t>
            </w:r>
            <w:r>
              <w:rPr>
                <w:b/>
                <w:w w:val="105"/>
                <w:sz w:val="16"/>
              </w:rPr>
              <w:t>ocupa en el     contexto estatal</w:t>
            </w:r>
          </w:p>
        </w:tc>
        <w:tc>
          <w:tcPr>
            <w:tcW w:w="1031" w:type="dxa"/>
          </w:tcPr>
          <w:p>
            <w:pPr>
              <w:pStyle w:val="TableParagraph"/>
              <w:spacing w:line="276" w:lineRule="auto" w:before="5"/>
              <w:ind w:left="53" w:right="51" w:firstLine="7"/>
              <w:jc w:val="center"/>
              <w:rPr>
                <w:b/>
                <w:sz w:val="16"/>
              </w:rPr>
            </w:pPr>
            <w:r>
              <w:rPr>
                <w:b/>
                <w:w w:val="105"/>
                <w:sz w:val="16"/>
              </w:rPr>
              <w:t>Lugar que ocupa</w:t>
            </w:r>
            <w:r>
              <w:rPr>
                <w:b/>
                <w:spacing w:val="-7"/>
                <w:w w:val="105"/>
                <w:sz w:val="16"/>
              </w:rPr>
              <w:t> </w:t>
            </w:r>
            <w:r>
              <w:rPr>
                <w:b/>
                <w:w w:val="105"/>
                <w:sz w:val="16"/>
              </w:rPr>
              <w:t>en</w:t>
            </w:r>
            <w:r>
              <w:rPr>
                <w:b/>
                <w:spacing w:val="-7"/>
                <w:w w:val="105"/>
                <w:sz w:val="16"/>
              </w:rPr>
              <w:t> </w:t>
            </w:r>
            <w:r>
              <w:rPr>
                <w:b/>
                <w:w w:val="105"/>
                <w:sz w:val="16"/>
              </w:rPr>
              <w:t>el</w:t>
            </w:r>
            <w:r>
              <w:rPr>
                <w:b/>
                <w:w w:val="104"/>
                <w:sz w:val="16"/>
              </w:rPr>
              <w:t> </w:t>
            </w:r>
            <w:r>
              <w:rPr>
                <w:b/>
                <w:w w:val="105"/>
                <w:sz w:val="16"/>
              </w:rPr>
              <w:t>contexto nacional</w:t>
            </w:r>
          </w:p>
        </w:tc>
      </w:tr>
      <w:tr>
        <w:trPr>
          <w:trHeight w:val="221" w:hRule="exact"/>
        </w:trPr>
        <w:tc>
          <w:tcPr>
            <w:tcW w:w="907" w:type="dxa"/>
          </w:tcPr>
          <w:p>
            <w:pPr/>
          </w:p>
        </w:tc>
        <w:tc>
          <w:tcPr>
            <w:tcW w:w="907" w:type="dxa"/>
          </w:tcPr>
          <w:p>
            <w:pPr/>
          </w:p>
        </w:tc>
        <w:tc>
          <w:tcPr>
            <w:tcW w:w="2162" w:type="dxa"/>
          </w:tcPr>
          <w:p>
            <w:pPr/>
          </w:p>
        </w:tc>
        <w:tc>
          <w:tcPr>
            <w:tcW w:w="1687" w:type="dxa"/>
          </w:tcPr>
          <w:p>
            <w:pPr/>
          </w:p>
        </w:tc>
        <w:tc>
          <w:tcPr>
            <w:tcW w:w="1074" w:type="dxa"/>
          </w:tcPr>
          <w:p>
            <w:pPr>
              <w:pStyle w:val="TableParagraph"/>
              <w:spacing w:before="15"/>
              <w:ind w:right="24"/>
              <w:jc w:val="right"/>
              <w:rPr>
                <w:b/>
                <w:sz w:val="16"/>
              </w:rPr>
            </w:pPr>
            <w:r>
              <w:rPr>
                <w:b/>
                <w:sz w:val="16"/>
              </w:rPr>
              <w:t>2010</w:t>
            </w:r>
          </w:p>
        </w:tc>
        <w:tc>
          <w:tcPr>
            <w:tcW w:w="1101" w:type="dxa"/>
          </w:tcPr>
          <w:p>
            <w:pPr>
              <w:pStyle w:val="TableParagraph"/>
              <w:spacing w:before="15"/>
              <w:ind w:left="694"/>
              <w:rPr>
                <w:b/>
                <w:sz w:val="16"/>
              </w:rPr>
            </w:pPr>
            <w:r>
              <w:rPr>
                <w:b/>
                <w:w w:val="105"/>
                <w:sz w:val="16"/>
              </w:rPr>
              <w:t>2010</w:t>
            </w:r>
          </w:p>
        </w:tc>
        <w:tc>
          <w:tcPr>
            <w:tcW w:w="1268" w:type="dxa"/>
          </w:tcPr>
          <w:p>
            <w:pPr>
              <w:pStyle w:val="TableParagraph"/>
              <w:spacing w:before="15"/>
              <w:ind w:right="325"/>
              <w:jc w:val="right"/>
              <w:rPr>
                <w:b/>
                <w:sz w:val="16"/>
              </w:rPr>
            </w:pPr>
            <w:r>
              <w:rPr>
                <w:b/>
                <w:sz w:val="16"/>
              </w:rPr>
              <w:t>2010</w:t>
            </w:r>
          </w:p>
        </w:tc>
        <w:tc>
          <w:tcPr>
            <w:tcW w:w="920" w:type="dxa"/>
          </w:tcPr>
          <w:p>
            <w:pPr>
              <w:pStyle w:val="TableParagraph"/>
              <w:spacing w:before="15"/>
              <w:ind w:right="262"/>
              <w:jc w:val="right"/>
              <w:rPr>
                <w:b/>
                <w:sz w:val="16"/>
              </w:rPr>
            </w:pPr>
            <w:r>
              <w:rPr>
                <w:b/>
                <w:sz w:val="16"/>
              </w:rPr>
              <w:t>2010</w:t>
            </w:r>
          </w:p>
        </w:tc>
        <w:tc>
          <w:tcPr>
            <w:tcW w:w="1031" w:type="dxa"/>
          </w:tcPr>
          <w:p>
            <w:pPr>
              <w:pStyle w:val="TableParagraph"/>
              <w:spacing w:before="15"/>
              <w:ind w:left="300" w:right="304"/>
              <w:jc w:val="center"/>
              <w:rPr>
                <w:b/>
                <w:sz w:val="16"/>
              </w:rPr>
            </w:pPr>
            <w:r>
              <w:rPr>
                <w:b/>
                <w:w w:val="105"/>
                <w:sz w:val="16"/>
              </w:rPr>
              <w:t>2010</w:t>
            </w:r>
          </w:p>
        </w:tc>
      </w:tr>
      <w:tr>
        <w:trPr>
          <w:trHeight w:val="211" w:hRule="exact"/>
        </w:trPr>
        <w:tc>
          <w:tcPr>
            <w:tcW w:w="907" w:type="dxa"/>
          </w:tcPr>
          <w:p>
            <w:pPr/>
          </w:p>
        </w:tc>
        <w:tc>
          <w:tcPr>
            <w:tcW w:w="907" w:type="dxa"/>
          </w:tcPr>
          <w:p>
            <w:pPr/>
          </w:p>
        </w:tc>
        <w:tc>
          <w:tcPr>
            <w:tcW w:w="2162" w:type="dxa"/>
          </w:tcPr>
          <w:p>
            <w:pPr>
              <w:pStyle w:val="TableParagraph"/>
              <w:spacing w:before="5"/>
              <w:ind w:left="776" w:right="762"/>
              <w:jc w:val="center"/>
              <w:rPr>
                <w:b/>
                <w:sz w:val="16"/>
              </w:rPr>
            </w:pPr>
            <w:r>
              <w:rPr>
                <w:b/>
                <w:w w:val="105"/>
                <w:sz w:val="16"/>
              </w:rPr>
              <w:t>México</w:t>
            </w:r>
          </w:p>
        </w:tc>
        <w:tc>
          <w:tcPr>
            <w:tcW w:w="1687" w:type="dxa"/>
          </w:tcPr>
          <w:p>
            <w:pPr>
              <w:pStyle w:val="TableParagraph"/>
              <w:spacing w:before="5"/>
              <w:ind w:right="329"/>
              <w:jc w:val="right"/>
              <w:rPr>
                <w:b/>
                <w:sz w:val="16"/>
              </w:rPr>
            </w:pPr>
            <w:r>
              <w:rPr>
                <w:b/>
                <w:w w:val="105"/>
                <w:sz w:val="16"/>
              </w:rPr>
              <w:t>15 175 862</w:t>
            </w:r>
          </w:p>
        </w:tc>
        <w:tc>
          <w:tcPr>
            <w:tcW w:w="1074" w:type="dxa"/>
          </w:tcPr>
          <w:p>
            <w:pPr/>
          </w:p>
        </w:tc>
        <w:tc>
          <w:tcPr>
            <w:tcW w:w="1101" w:type="dxa"/>
          </w:tcPr>
          <w:p>
            <w:pPr/>
          </w:p>
        </w:tc>
        <w:tc>
          <w:tcPr>
            <w:tcW w:w="1268" w:type="dxa"/>
          </w:tcPr>
          <w:p>
            <w:pPr/>
          </w:p>
        </w:tc>
        <w:tc>
          <w:tcPr>
            <w:tcW w:w="920" w:type="dxa"/>
          </w:tcPr>
          <w:p>
            <w:pPr/>
          </w:p>
        </w:tc>
        <w:tc>
          <w:tcPr>
            <w:tcW w:w="1031" w:type="dxa"/>
          </w:tcPr>
          <w:p>
            <w:pPr/>
          </w:p>
        </w:tc>
      </w:tr>
      <w:tr>
        <w:trPr>
          <w:trHeight w:val="211" w:hRule="exact"/>
        </w:trPr>
        <w:tc>
          <w:tcPr>
            <w:tcW w:w="907" w:type="dxa"/>
            <w:shd w:val="clear" w:color="auto" w:fill="F1DCDB"/>
          </w:tcPr>
          <w:p>
            <w:pPr>
              <w:pStyle w:val="TableParagraph"/>
              <w:spacing w:before="4"/>
              <w:ind w:right="349"/>
              <w:jc w:val="right"/>
              <w:rPr>
                <w:sz w:val="16"/>
              </w:rPr>
            </w:pPr>
            <w:r>
              <w:rPr>
                <w:w w:val="105"/>
                <w:sz w:val="16"/>
              </w:rPr>
              <w:t>15</w:t>
            </w:r>
          </w:p>
        </w:tc>
        <w:tc>
          <w:tcPr>
            <w:tcW w:w="907" w:type="dxa"/>
            <w:shd w:val="clear" w:color="auto" w:fill="F1DCDB"/>
          </w:tcPr>
          <w:p>
            <w:pPr>
              <w:pStyle w:val="TableParagraph"/>
              <w:spacing w:before="4"/>
              <w:ind w:left="313"/>
              <w:rPr>
                <w:sz w:val="16"/>
              </w:rPr>
            </w:pPr>
            <w:r>
              <w:rPr>
                <w:w w:val="105"/>
                <w:sz w:val="16"/>
              </w:rPr>
              <w:t>008</w:t>
            </w:r>
          </w:p>
        </w:tc>
        <w:tc>
          <w:tcPr>
            <w:tcW w:w="2162" w:type="dxa"/>
            <w:shd w:val="clear" w:color="auto" w:fill="F1DCDB"/>
          </w:tcPr>
          <w:p>
            <w:pPr>
              <w:pStyle w:val="TableParagraph"/>
              <w:spacing w:before="4"/>
              <w:ind w:left="24"/>
              <w:rPr>
                <w:sz w:val="16"/>
              </w:rPr>
            </w:pPr>
            <w:r>
              <w:rPr>
                <w:w w:val="105"/>
                <w:sz w:val="16"/>
              </w:rPr>
              <w:t>Amatepec</w:t>
            </w:r>
          </w:p>
        </w:tc>
        <w:tc>
          <w:tcPr>
            <w:tcW w:w="1687" w:type="dxa"/>
            <w:shd w:val="clear" w:color="auto" w:fill="F1DCDB"/>
          </w:tcPr>
          <w:p>
            <w:pPr>
              <w:pStyle w:val="TableParagraph"/>
              <w:spacing w:before="4"/>
              <w:ind w:right="327"/>
              <w:jc w:val="right"/>
              <w:rPr>
                <w:sz w:val="16"/>
              </w:rPr>
            </w:pPr>
            <w:r>
              <w:rPr>
                <w:w w:val="105"/>
                <w:sz w:val="16"/>
              </w:rPr>
              <w:t>26 334</w:t>
            </w:r>
          </w:p>
        </w:tc>
        <w:tc>
          <w:tcPr>
            <w:tcW w:w="1074" w:type="dxa"/>
            <w:shd w:val="clear" w:color="auto" w:fill="F1DCDB"/>
          </w:tcPr>
          <w:p>
            <w:pPr>
              <w:pStyle w:val="TableParagraph"/>
              <w:spacing w:before="4"/>
              <w:ind w:right="26"/>
              <w:jc w:val="right"/>
              <w:rPr>
                <w:sz w:val="16"/>
              </w:rPr>
            </w:pPr>
            <w:r>
              <w:rPr>
                <w:sz w:val="16"/>
              </w:rPr>
              <w:t>0.59683</w:t>
            </w:r>
          </w:p>
        </w:tc>
        <w:tc>
          <w:tcPr>
            <w:tcW w:w="1101" w:type="dxa"/>
            <w:shd w:val="clear" w:color="auto" w:fill="F1DCDB"/>
          </w:tcPr>
          <w:p>
            <w:pPr>
              <w:pStyle w:val="TableParagraph"/>
              <w:spacing w:before="4"/>
              <w:ind w:left="406" w:right="17"/>
              <w:rPr>
                <w:sz w:val="16"/>
              </w:rPr>
            </w:pPr>
            <w:r>
              <w:rPr>
                <w:w w:val="105"/>
                <w:sz w:val="16"/>
              </w:rPr>
              <w:t>Alto</w:t>
            </w:r>
          </w:p>
        </w:tc>
        <w:tc>
          <w:tcPr>
            <w:tcW w:w="1268" w:type="dxa"/>
            <w:shd w:val="clear" w:color="auto" w:fill="F1DCDB"/>
          </w:tcPr>
          <w:p>
            <w:pPr>
              <w:pStyle w:val="TableParagraph"/>
              <w:spacing w:before="4"/>
              <w:ind w:right="327"/>
              <w:jc w:val="right"/>
              <w:rPr>
                <w:sz w:val="16"/>
              </w:rPr>
            </w:pPr>
            <w:r>
              <w:rPr>
                <w:sz w:val="16"/>
              </w:rPr>
              <w:t>34.416</w:t>
            </w:r>
          </w:p>
        </w:tc>
        <w:tc>
          <w:tcPr>
            <w:tcW w:w="920" w:type="dxa"/>
            <w:shd w:val="clear" w:color="auto" w:fill="F1DCDB"/>
          </w:tcPr>
          <w:p>
            <w:pPr>
              <w:pStyle w:val="TableParagraph"/>
              <w:spacing w:before="4"/>
              <w:ind w:right="354"/>
              <w:jc w:val="right"/>
              <w:rPr>
                <w:sz w:val="16"/>
              </w:rPr>
            </w:pPr>
            <w:r>
              <w:rPr>
                <w:w w:val="104"/>
                <w:sz w:val="16"/>
              </w:rPr>
              <w:t>8</w:t>
            </w:r>
          </w:p>
        </w:tc>
        <w:tc>
          <w:tcPr>
            <w:tcW w:w="1031" w:type="dxa"/>
            <w:shd w:val="clear" w:color="auto" w:fill="F1DCDB"/>
          </w:tcPr>
          <w:p>
            <w:pPr>
              <w:pStyle w:val="TableParagraph"/>
              <w:spacing w:before="4"/>
              <w:ind w:left="300" w:right="214"/>
              <w:jc w:val="center"/>
              <w:rPr>
                <w:sz w:val="16"/>
              </w:rPr>
            </w:pPr>
            <w:r>
              <w:rPr>
                <w:w w:val="105"/>
                <w:sz w:val="16"/>
              </w:rPr>
              <w:t>682</w:t>
            </w:r>
          </w:p>
        </w:tc>
      </w:tr>
      <w:tr>
        <w:trPr>
          <w:trHeight w:val="210" w:hRule="exact"/>
        </w:trPr>
        <w:tc>
          <w:tcPr>
            <w:tcW w:w="907" w:type="dxa"/>
          </w:tcPr>
          <w:p>
            <w:pPr>
              <w:pStyle w:val="TableParagraph"/>
              <w:spacing w:before="5"/>
              <w:ind w:right="349"/>
              <w:jc w:val="right"/>
              <w:rPr>
                <w:sz w:val="16"/>
              </w:rPr>
            </w:pPr>
            <w:r>
              <w:rPr>
                <w:w w:val="105"/>
                <w:sz w:val="16"/>
              </w:rPr>
              <w:t>15</w:t>
            </w:r>
          </w:p>
        </w:tc>
        <w:tc>
          <w:tcPr>
            <w:tcW w:w="907" w:type="dxa"/>
          </w:tcPr>
          <w:p>
            <w:pPr>
              <w:pStyle w:val="TableParagraph"/>
              <w:spacing w:before="5"/>
              <w:ind w:left="313"/>
              <w:rPr>
                <w:sz w:val="16"/>
              </w:rPr>
            </w:pPr>
            <w:r>
              <w:rPr>
                <w:w w:val="105"/>
                <w:sz w:val="16"/>
              </w:rPr>
              <w:t>032</w:t>
            </w:r>
          </w:p>
        </w:tc>
        <w:tc>
          <w:tcPr>
            <w:tcW w:w="2162" w:type="dxa"/>
          </w:tcPr>
          <w:p>
            <w:pPr>
              <w:pStyle w:val="TableParagraph"/>
              <w:spacing w:before="5"/>
              <w:ind w:left="24"/>
              <w:rPr>
                <w:sz w:val="16"/>
              </w:rPr>
            </w:pPr>
            <w:r>
              <w:rPr>
                <w:w w:val="105"/>
                <w:sz w:val="16"/>
              </w:rPr>
              <w:t>Donato Guerra</w:t>
            </w:r>
          </w:p>
        </w:tc>
        <w:tc>
          <w:tcPr>
            <w:tcW w:w="1687" w:type="dxa"/>
          </w:tcPr>
          <w:p>
            <w:pPr>
              <w:pStyle w:val="TableParagraph"/>
              <w:spacing w:before="5"/>
              <w:ind w:right="327"/>
              <w:jc w:val="right"/>
              <w:rPr>
                <w:sz w:val="16"/>
              </w:rPr>
            </w:pPr>
            <w:r>
              <w:rPr>
                <w:w w:val="105"/>
                <w:sz w:val="16"/>
              </w:rPr>
              <w:t>33 455</w:t>
            </w:r>
          </w:p>
        </w:tc>
        <w:tc>
          <w:tcPr>
            <w:tcW w:w="1074" w:type="dxa"/>
          </w:tcPr>
          <w:p>
            <w:pPr>
              <w:pStyle w:val="TableParagraph"/>
              <w:spacing w:before="5"/>
              <w:ind w:right="26"/>
              <w:jc w:val="right"/>
              <w:rPr>
                <w:sz w:val="16"/>
              </w:rPr>
            </w:pPr>
            <w:r>
              <w:rPr>
                <w:sz w:val="16"/>
              </w:rPr>
              <w:t>0.90049</w:t>
            </w:r>
          </w:p>
        </w:tc>
        <w:tc>
          <w:tcPr>
            <w:tcW w:w="1101" w:type="dxa"/>
          </w:tcPr>
          <w:p>
            <w:pPr>
              <w:pStyle w:val="TableParagraph"/>
              <w:spacing w:before="5"/>
              <w:ind w:left="406" w:right="17"/>
              <w:rPr>
                <w:sz w:val="16"/>
              </w:rPr>
            </w:pPr>
            <w:r>
              <w:rPr>
                <w:w w:val="105"/>
                <w:sz w:val="16"/>
              </w:rPr>
              <w:t>Alto</w:t>
            </w:r>
          </w:p>
        </w:tc>
        <w:tc>
          <w:tcPr>
            <w:tcW w:w="1268" w:type="dxa"/>
          </w:tcPr>
          <w:p>
            <w:pPr>
              <w:pStyle w:val="TableParagraph"/>
              <w:spacing w:before="5"/>
              <w:ind w:right="327"/>
              <w:jc w:val="right"/>
              <w:rPr>
                <w:sz w:val="16"/>
              </w:rPr>
            </w:pPr>
            <w:r>
              <w:rPr>
                <w:sz w:val="16"/>
              </w:rPr>
              <w:t>37.848</w:t>
            </w:r>
          </w:p>
        </w:tc>
        <w:tc>
          <w:tcPr>
            <w:tcW w:w="920" w:type="dxa"/>
          </w:tcPr>
          <w:p>
            <w:pPr>
              <w:pStyle w:val="TableParagraph"/>
              <w:spacing w:before="5"/>
              <w:ind w:right="354"/>
              <w:jc w:val="right"/>
              <w:rPr>
                <w:sz w:val="16"/>
              </w:rPr>
            </w:pPr>
            <w:r>
              <w:rPr>
                <w:w w:val="104"/>
                <w:sz w:val="16"/>
              </w:rPr>
              <w:t>4</w:t>
            </w:r>
          </w:p>
        </w:tc>
        <w:tc>
          <w:tcPr>
            <w:tcW w:w="1031" w:type="dxa"/>
          </w:tcPr>
          <w:p>
            <w:pPr>
              <w:pStyle w:val="TableParagraph"/>
              <w:spacing w:before="5"/>
              <w:ind w:left="300" w:right="214"/>
              <w:jc w:val="center"/>
              <w:rPr>
                <w:sz w:val="16"/>
              </w:rPr>
            </w:pPr>
            <w:r>
              <w:rPr>
                <w:w w:val="105"/>
                <w:sz w:val="16"/>
              </w:rPr>
              <w:t>468</w:t>
            </w:r>
          </w:p>
        </w:tc>
      </w:tr>
      <w:tr>
        <w:trPr>
          <w:trHeight w:val="211" w:hRule="exact"/>
        </w:trPr>
        <w:tc>
          <w:tcPr>
            <w:tcW w:w="907" w:type="dxa"/>
            <w:shd w:val="clear" w:color="auto" w:fill="F1DCDB"/>
          </w:tcPr>
          <w:p>
            <w:pPr>
              <w:pStyle w:val="TableParagraph"/>
              <w:spacing w:before="5"/>
              <w:ind w:right="349"/>
              <w:jc w:val="right"/>
              <w:rPr>
                <w:sz w:val="16"/>
              </w:rPr>
            </w:pPr>
            <w:r>
              <w:rPr>
                <w:w w:val="105"/>
                <w:sz w:val="16"/>
              </w:rPr>
              <w:t>15</w:t>
            </w:r>
          </w:p>
        </w:tc>
        <w:tc>
          <w:tcPr>
            <w:tcW w:w="907" w:type="dxa"/>
            <w:shd w:val="clear" w:color="auto" w:fill="F1DCDB"/>
          </w:tcPr>
          <w:p>
            <w:pPr>
              <w:pStyle w:val="TableParagraph"/>
              <w:spacing w:before="5"/>
              <w:ind w:left="313"/>
              <w:rPr>
                <w:sz w:val="16"/>
              </w:rPr>
            </w:pPr>
            <w:r>
              <w:rPr>
                <w:w w:val="105"/>
                <w:sz w:val="16"/>
              </w:rPr>
              <w:t>041</w:t>
            </w:r>
          </w:p>
        </w:tc>
        <w:tc>
          <w:tcPr>
            <w:tcW w:w="2162" w:type="dxa"/>
            <w:shd w:val="clear" w:color="auto" w:fill="F1DCDB"/>
          </w:tcPr>
          <w:p>
            <w:pPr>
              <w:pStyle w:val="TableParagraph"/>
              <w:spacing w:before="5"/>
              <w:ind w:left="24"/>
              <w:rPr>
                <w:sz w:val="16"/>
              </w:rPr>
            </w:pPr>
            <w:r>
              <w:rPr>
                <w:w w:val="105"/>
                <w:sz w:val="16"/>
              </w:rPr>
              <w:t>Ixtapan del Oro</w:t>
            </w:r>
          </w:p>
        </w:tc>
        <w:tc>
          <w:tcPr>
            <w:tcW w:w="1687" w:type="dxa"/>
            <w:shd w:val="clear" w:color="auto" w:fill="F1DCDB"/>
          </w:tcPr>
          <w:p>
            <w:pPr>
              <w:pStyle w:val="TableParagraph"/>
              <w:spacing w:before="5"/>
              <w:ind w:right="326"/>
              <w:jc w:val="right"/>
              <w:rPr>
                <w:sz w:val="16"/>
              </w:rPr>
            </w:pPr>
            <w:r>
              <w:rPr>
                <w:w w:val="105"/>
                <w:sz w:val="16"/>
              </w:rPr>
              <w:t>6 629</w:t>
            </w:r>
          </w:p>
        </w:tc>
        <w:tc>
          <w:tcPr>
            <w:tcW w:w="1074" w:type="dxa"/>
            <w:shd w:val="clear" w:color="auto" w:fill="F1DCDB"/>
          </w:tcPr>
          <w:p>
            <w:pPr>
              <w:pStyle w:val="TableParagraph"/>
              <w:spacing w:before="5"/>
              <w:ind w:right="26"/>
              <w:jc w:val="right"/>
              <w:rPr>
                <w:sz w:val="16"/>
              </w:rPr>
            </w:pPr>
            <w:r>
              <w:rPr>
                <w:sz w:val="16"/>
              </w:rPr>
              <w:t>0.52854</w:t>
            </w:r>
          </w:p>
        </w:tc>
        <w:tc>
          <w:tcPr>
            <w:tcW w:w="1101" w:type="dxa"/>
            <w:shd w:val="clear" w:color="auto" w:fill="F1DCDB"/>
          </w:tcPr>
          <w:p>
            <w:pPr>
              <w:pStyle w:val="TableParagraph"/>
              <w:spacing w:before="5"/>
              <w:ind w:left="406" w:right="17"/>
              <w:rPr>
                <w:sz w:val="16"/>
              </w:rPr>
            </w:pPr>
            <w:r>
              <w:rPr>
                <w:w w:val="105"/>
                <w:sz w:val="16"/>
              </w:rPr>
              <w:t>Alto</w:t>
            </w:r>
          </w:p>
        </w:tc>
        <w:tc>
          <w:tcPr>
            <w:tcW w:w="1268" w:type="dxa"/>
            <w:shd w:val="clear" w:color="auto" w:fill="F1DCDB"/>
          </w:tcPr>
          <w:p>
            <w:pPr>
              <w:pStyle w:val="TableParagraph"/>
              <w:spacing w:before="5"/>
              <w:ind w:right="327"/>
              <w:jc w:val="right"/>
              <w:rPr>
                <w:sz w:val="16"/>
              </w:rPr>
            </w:pPr>
            <w:r>
              <w:rPr>
                <w:sz w:val="16"/>
              </w:rPr>
              <w:t>33.645</w:t>
            </w:r>
          </w:p>
        </w:tc>
        <w:tc>
          <w:tcPr>
            <w:tcW w:w="920" w:type="dxa"/>
            <w:shd w:val="clear" w:color="auto" w:fill="F1DCDB"/>
          </w:tcPr>
          <w:p>
            <w:pPr>
              <w:pStyle w:val="TableParagraph"/>
              <w:spacing w:before="5"/>
              <w:ind w:right="313"/>
              <w:jc w:val="right"/>
              <w:rPr>
                <w:sz w:val="16"/>
              </w:rPr>
            </w:pPr>
            <w:r>
              <w:rPr>
                <w:w w:val="105"/>
                <w:sz w:val="16"/>
              </w:rPr>
              <w:t>11</w:t>
            </w:r>
          </w:p>
        </w:tc>
        <w:tc>
          <w:tcPr>
            <w:tcW w:w="1031" w:type="dxa"/>
            <w:shd w:val="clear" w:color="auto" w:fill="F1DCDB"/>
          </w:tcPr>
          <w:p>
            <w:pPr>
              <w:pStyle w:val="TableParagraph"/>
              <w:spacing w:before="5"/>
              <w:ind w:left="300" w:right="214"/>
              <w:jc w:val="center"/>
              <w:rPr>
                <w:sz w:val="16"/>
              </w:rPr>
            </w:pPr>
            <w:r>
              <w:rPr>
                <w:w w:val="105"/>
                <w:sz w:val="16"/>
              </w:rPr>
              <w:t>737</w:t>
            </w:r>
          </w:p>
        </w:tc>
      </w:tr>
      <w:tr>
        <w:trPr>
          <w:trHeight w:val="210" w:hRule="exact"/>
        </w:trPr>
        <w:tc>
          <w:tcPr>
            <w:tcW w:w="907" w:type="dxa"/>
          </w:tcPr>
          <w:p>
            <w:pPr>
              <w:pStyle w:val="TableParagraph"/>
              <w:spacing w:before="5"/>
              <w:ind w:right="349"/>
              <w:jc w:val="right"/>
              <w:rPr>
                <w:sz w:val="16"/>
              </w:rPr>
            </w:pPr>
            <w:r>
              <w:rPr>
                <w:w w:val="105"/>
                <w:sz w:val="16"/>
              </w:rPr>
              <w:t>15</w:t>
            </w:r>
          </w:p>
        </w:tc>
        <w:tc>
          <w:tcPr>
            <w:tcW w:w="907" w:type="dxa"/>
          </w:tcPr>
          <w:p>
            <w:pPr>
              <w:pStyle w:val="TableParagraph"/>
              <w:spacing w:before="5"/>
              <w:ind w:left="313"/>
              <w:rPr>
                <w:sz w:val="16"/>
              </w:rPr>
            </w:pPr>
            <w:r>
              <w:rPr>
                <w:w w:val="105"/>
                <w:sz w:val="16"/>
              </w:rPr>
              <w:t>074</w:t>
            </w:r>
          </w:p>
        </w:tc>
        <w:tc>
          <w:tcPr>
            <w:tcW w:w="2162" w:type="dxa"/>
          </w:tcPr>
          <w:p>
            <w:pPr>
              <w:pStyle w:val="TableParagraph"/>
              <w:spacing w:before="5"/>
              <w:ind w:left="24"/>
              <w:rPr>
                <w:sz w:val="16"/>
              </w:rPr>
            </w:pPr>
            <w:r>
              <w:rPr>
                <w:w w:val="105"/>
                <w:sz w:val="16"/>
              </w:rPr>
              <w:t>San Felipe del Progreso</w:t>
            </w:r>
          </w:p>
        </w:tc>
        <w:tc>
          <w:tcPr>
            <w:tcW w:w="1687" w:type="dxa"/>
          </w:tcPr>
          <w:p>
            <w:pPr>
              <w:pStyle w:val="TableParagraph"/>
              <w:spacing w:before="5"/>
              <w:ind w:right="329"/>
              <w:jc w:val="right"/>
              <w:rPr>
                <w:sz w:val="16"/>
              </w:rPr>
            </w:pPr>
            <w:r>
              <w:rPr>
                <w:w w:val="105"/>
                <w:sz w:val="16"/>
              </w:rPr>
              <w:t>121 396</w:t>
            </w:r>
          </w:p>
        </w:tc>
        <w:tc>
          <w:tcPr>
            <w:tcW w:w="1074" w:type="dxa"/>
          </w:tcPr>
          <w:p>
            <w:pPr>
              <w:pStyle w:val="TableParagraph"/>
              <w:spacing w:before="5"/>
              <w:ind w:right="26"/>
              <w:jc w:val="right"/>
              <w:rPr>
                <w:sz w:val="16"/>
              </w:rPr>
            </w:pPr>
            <w:r>
              <w:rPr>
                <w:sz w:val="16"/>
              </w:rPr>
              <w:t>0.53235</w:t>
            </w:r>
          </w:p>
        </w:tc>
        <w:tc>
          <w:tcPr>
            <w:tcW w:w="1101" w:type="dxa"/>
          </w:tcPr>
          <w:p>
            <w:pPr>
              <w:pStyle w:val="TableParagraph"/>
              <w:spacing w:before="5"/>
              <w:ind w:left="406" w:right="17"/>
              <w:rPr>
                <w:sz w:val="16"/>
              </w:rPr>
            </w:pPr>
            <w:r>
              <w:rPr>
                <w:w w:val="105"/>
                <w:sz w:val="16"/>
              </w:rPr>
              <w:t>Alto</w:t>
            </w:r>
          </w:p>
        </w:tc>
        <w:tc>
          <w:tcPr>
            <w:tcW w:w="1268" w:type="dxa"/>
          </w:tcPr>
          <w:p>
            <w:pPr>
              <w:pStyle w:val="TableParagraph"/>
              <w:spacing w:before="5"/>
              <w:ind w:right="327"/>
              <w:jc w:val="right"/>
              <w:rPr>
                <w:sz w:val="16"/>
              </w:rPr>
            </w:pPr>
            <w:r>
              <w:rPr>
                <w:sz w:val="16"/>
              </w:rPr>
              <w:t>33.688</w:t>
            </w:r>
          </w:p>
        </w:tc>
        <w:tc>
          <w:tcPr>
            <w:tcW w:w="920" w:type="dxa"/>
          </w:tcPr>
          <w:p>
            <w:pPr>
              <w:pStyle w:val="TableParagraph"/>
              <w:spacing w:before="5"/>
              <w:ind w:right="309"/>
              <w:jc w:val="right"/>
              <w:rPr>
                <w:sz w:val="16"/>
              </w:rPr>
            </w:pPr>
            <w:r>
              <w:rPr>
                <w:w w:val="105"/>
                <w:sz w:val="16"/>
              </w:rPr>
              <w:t>10</w:t>
            </w:r>
          </w:p>
        </w:tc>
        <w:tc>
          <w:tcPr>
            <w:tcW w:w="1031" w:type="dxa"/>
          </w:tcPr>
          <w:p>
            <w:pPr>
              <w:pStyle w:val="TableParagraph"/>
              <w:spacing w:before="5"/>
              <w:ind w:left="300" w:right="214"/>
              <w:jc w:val="center"/>
              <w:rPr>
                <w:sz w:val="16"/>
              </w:rPr>
            </w:pPr>
            <w:r>
              <w:rPr>
                <w:w w:val="105"/>
                <w:sz w:val="16"/>
              </w:rPr>
              <w:t>732</w:t>
            </w:r>
          </w:p>
        </w:tc>
      </w:tr>
      <w:tr>
        <w:trPr>
          <w:trHeight w:val="211" w:hRule="exact"/>
        </w:trPr>
        <w:tc>
          <w:tcPr>
            <w:tcW w:w="907" w:type="dxa"/>
            <w:shd w:val="clear" w:color="auto" w:fill="F1DCDB"/>
          </w:tcPr>
          <w:p>
            <w:pPr>
              <w:pStyle w:val="TableParagraph"/>
              <w:spacing w:before="6"/>
              <w:ind w:right="349"/>
              <w:jc w:val="right"/>
              <w:rPr>
                <w:sz w:val="16"/>
              </w:rPr>
            </w:pPr>
            <w:r>
              <w:rPr>
                <w:w w:val="105"/>
                <w:sz w:val="16"/>
              </w:rPr>
              <w:t>15</w:t>
            </w:r>
          </w:p>
        </w:tc>
        <w:tc>
          <w:tcPr>
            <w:tcW w:w="907" w:type="dxa"/>
            <w:shd w:val="clear" w:color="auto" w:fill="F1DCDB"/>
          </w:tcPr>
          <w:p>
            <w:pPr>
              <w:pStyle w:val="TableParagraph"/>
              <w:spacing w:before="6"/>
              <w:ind w:left="313"/>
              <w:rPr>
                <w:sz w:val="16"/>
              </w:rPr>
            </w:pPr>
            <w:r>
              <w:rPr>
                <w:w w:val="105"/>
                <w:sz w:val="16"/>
              </w:rPr>
              <w:t>105</w:t>
            </w:r>
          </w:p>
        </w:tc>
        <w:tc>
          <w:tcPr>
            <w:tcW w:w="2162" w:type="dxa"/>
            <w:shd w:val="clear" w:color="auto" w:fill="F1DCDB"/>
          </w:tcPr>
          <w:p>
            <w:pPr>
              <w:pStyle w:val="TableParagraph"/>
              <w:spacing w:before="6"/>
              <w:ind w:left="24"/>
              <w:rPr>
                <w:sz w:val="16"/>
              </w:rPr>
            </w:pPr>
            <w:r>
              <w:rPr>
                <w:w w:val="105"/>
                <w:sz w:val="16"/>
              </w:rPr>
              <w:t>Tlatlaya</w:t>
            </w:r>
          </w:p>
        </w:tc>
        <w:tc>
          <w:tcPr>
            <w:tcW w:w="1687" w:type="dxa"/>
            <w:shd w:val="clear" w:color="auto" w:fill="F1DCDB"/>
          </w:tcPr>
          <w:p>
            <w:pPr>
              <w:pStyle w:val="TableParagraph"/>
              <w:spacing w:before="6"/>
              <w:ind w:right="327"/>
              <w:jc w:val="right"/>
              <w:rPr>
                <w:sz w:val="16"/>
              </w:rPr>
            </w:pPr>
            <w:r>
              <w:rPr>
                <w:w w:val="105"/>
                <w:sz w:val="16"/>
              </w:rPr>
              <w:t>32 997</w:t>
            </w:r>
          </w:p>
        </w:tc>
        <w:tc>
          <w:tcPr>
            <w:tcW w:w="1074" w:type="dxa"/>
            <w:shd w:val="clear" w:color="auto" w:fill="F1DCDB"/>
          </w:tcPr>
          <w:p>
            <w:pPr>
              <w:pStyle w:val="TableParagraph"/>
              <w:spacing w:before="6"/>
              <w:ind w:right="26"/>
              <w:jc w:val="right"/>
              <w:rPr>
                <w:sz w:val="16"/>
              </w:rPr>
            </w:pPr>
            <w:r>
              <w:rPr>
                <w:sz w:val="16"/>
              </w:rPr>
              <w:t>0.72041</w:t>
            </w:r>
          </w:p>
        </w:tc>
        <w:tc>
          <w:tcPr>
            <w:tcW w:w="1101" w:type="dxa"/>
            <w:shd w:val="clear" w:color="auto" w:fill="F1DCDB"/>
          </w:tcPr>
          <w:p>
            <w:pPr>
              <w:pStyle w:val="TableParagraph"/>
              <w:spacing w:before="6"/>
              <w:ind w:left="406" w:right="17"/>
              <w:rPr>
                <w:sz w:val="16"/>
              </w:rPr>
            </w:pPr>
            <w:r>
              <w:rPr>
                <w:w w:val="105"/>
                <w:sz w:val="16"/>
              </w:rPr>
              <w:t>Alto</w:t>
            </w:r>
          </w:p>
        </w:tc>
        <w:tc>
          <w:tcPr>
            <w:tcW w:w="1268" w:type="dxa"/>
            <w:shd w:val="clear" w:color="auto" w:fill="F1DCDB"/>
          </w:tcPr>
          <w:p>
            <w:pPr>
              <w:pStyle w:val="TableParagraph"/>
              <w:spacing w:before="6"/>
              <w:ind w:right="327"/>
              <w:jc w:val="right"/>
              <w:rPr>
                <w:sz w:val="16"/>
              </w:rPr>
            </w:pPr>
            <w:r>
              <w:rPr>
                <w:sz w:val="16"/>
              </w:rPr>
              <w:t>35.813</w:t>
            </w:r>
          </w:p>
        </w:tc>
        <w:tc>
          <w:tcPr>
            <w:tcW w:w="920" w:type="dxa"/>
            <w:shd w:val="clear" w:color="auto" w:fill="F1DCDB"/>
          </w:tcPr>
          <w:p>
            <w:pPr>
              <w:pStyle w:val="TableParagraph"/>
              <w:spacing w:before="6"/>
              <w:ind w:right="354"/>
              <w:jc w:val="right"/>
              <w:rPr>
                <w:sz w:val="16"/>
              </w:rPr>
            </w:pPr>
            <w:r>
              <w:rPr>
                <w:w w:val="104"/>
                <w:sz w:val="16"/>
              </w:rPr>
              <w:t>7</w:t>
            </w:r>
          </w:p>
        </w:tc>
        <w:tc>
          <w:tcPr>
            <w:tcW w:w="1031" w:type="dxa"/>
            <w:shd w:val="clear" w:color="auto" w:fill="F1DCDB"/>
          </w:tcPr>
          <w:p>
            <w:pPr>
              <w:pStyle w:val="TableParagraph"/>
              <w:spacing w:before="6"/>
              <w:ind w:left="300" w:right="214"/>
              <w:jc w:val="center"/>
              <w:rPr>
                <w:sz w:val="16"/>
              </w:rPr>
            </w:pPr>
            <w:r>
              <w:rPr>
                <w:w w:val="105"/>
                <w:sz w:val="16"/>
              </w:rPr>
              <w:t>577</w:t>
            </w:r>
          </w:p>
        </w:tc>
      </w:tr>
      <w:tr>
        <w:trPr>
          <w:trHeight w:val="211" w:hRule="exact"/>
        </w:trPr>
        <w:tc>
          <w:tcPr>
            <w:tcW w:w="907" w:type="dxa"/>
          </w:tcPr>
          <w:p>
            <w:pPr>
              <w:pStyle w:val="TableParagraph"/>
              <w:spacing w:before="5"/>
              <w:ind w:right="349"/>
              <w:jc w:val="right"/>
              <w:rPr>
                <w:sz w:val="16"/>
              </w:rPr>
            </w:pPr>
            <w:r>
              <w:rPr>
                <w:w w:val="105"/>
                <w:sz w:val="16"/>
              </w:rPr>
              <w:t>15</w:t>
            </w:r>
          </w:p>
        </w:tc>
        <w:tc>
          <w:tcPr>
            <w:tcW w:w="907" w:type="dxa"/>
          </w:tcPr>
          <w:p>
            <w:pPr>
              <w:pStyle w:val="TableParagraph"/>
              <w:spacing w:before="5"/>
              <w:ind w:left="325"/>
              <w:rPr>
                <w:sz w:val="16"/>
              </w:rPr>
            </w:pPr>
            <w:r>
              <w:rPr>
                <w:w w:val="105"/>
                <w:sz w:val="16"/>
              </w:rPr>
              <w:t>111</w:t>
            </w:r>
          </w:p>
        </w:tc>
        <w:tc>
          <w:tcPr>
            <w:tcW w:w="2162" w:type="dxa"/>
          </w:tcPr>
          <w:p>
            <w:pPr>
              <w:pStyle w:val="TableParagraph"/>
              <w:spacing w:before="5"/>
              <w:ind w:left="24"/>
              <w:rPr>
                <w:sz w:val="16"/>
              </w:rPr>
            </w:pPr>
            <w:r>
              <w:rPr>
                <w:w w:val="105"/>
                <w:sz w:val="16"/>
              </w:rPr>
              <w:t>Villa de Allende</w:t>
            </w:r>
          </w:p>
        </w:tc>
        <w:tc>
          <w:tcPr>
            <w:tcW w:w="1687" w:type="dxa"/>
          </w:tcPr>
          <w:p>
            <w:pPr>
              <w:pStyle w:val="TableParagraph"/>
              <w:spacing w:before="5"/>
              <w:ind w:right="327"/>
              <w:jc w:val="right"/>
              <w:rPr>
                <w:sz w:val="16"/>
              </w:rPr>
            </w:pPr>
            <w:r>
              <w:rPr>
                <w:w w:val="105"/>
                <w:sz w:val="16"/>
              </w:rPr>
              <w:t>47 709</w:t>
            </w:r>
          </w:p>
        </w:tc>
        <w:tc>
          <w:tcPr>
            <w:tcW w:w="1074" w:type="dxa"/>
          </w:tcPr>
          <w:p>
            <w:pPr>
              <w:pStyle w:val="TableParagraph"/>
              <w:spacing w:before="5"/>
              <w:ind w:right="26"/>
              <w:jc w:val="right"/>
              <w:rPr>
                <w:sz w:val="16"/>
              </w:rPr>
            </w:pPr>
            <w:r>
              <w:rPr>
                <w:sz w:val="16"/>
              </w:rPr>
              <w:t>0.54288</w:t>
            </w:r>
          </w:p>
        </w:tc>
        <w:tc>
          <w:tcPr>
            <w:tcW w:w="1101" w:type="dxa"/>
          </w:tcPr>
          <w:p>
            <w:pPr>
              <w:pStyle w:val="TableParagraph"/>
              <w:spacing w:before="5"/>
              <w:ind w:left="406" w:right="17"/>
              <w:rPr>
                <w:sz w:val="16"/>
              </w:rPr>
            </w:pPr>
            <w:r>
              <w:rPr>
                <w:w w:val="105"/>
                <w:sz w:val="16"/>
              </w:rPr>
              <w:t>Alto</w:t>
            </w:r>
          </w:p>
        </w:tc>
        <w:tc>
          <w:tcPr>
            <w:tcW w:w="1268" w:type="dxa"/>
          </w:tcPr>
          <w:p>
            <w:pPr>
              <w:pStyle w:val="TableParagraph"/>
              <w:spacing w:before="5"/>
              <w:ind w:right="327"/>
              <w:jc w:val="right"/>
              <w:rPr>
                <w:sz w:val="16"/>
              </w:rPr>
            </w:pPr>
            <w:r>
              <w:rPr>
                <w:sz w:val="16"/>
              </w:rPr>
              <w:t>33.807</w:t>
            </w:r>
          </w:p>
        </w:tc>
        <w:tc>
          <w:tcPr>
            <w:tcW w:w="920" w:type="dxa"/>
          </w:tcPr>
          <w:p>
            <w:pPr>
              <w:pStyle w:val="TableParagraph"/>
              <w:spacing w:before="5"/>
              <w:ind w:right="354"/>
              <w:jc w:val="right"/>
              <w:rPr>
                <w:sz w:val="16"/>
              </w:rPr>
            </w:pPr>
            <w:r>
              <w:rPr>
                <w:w w:val="104"/>
                <w:sz w:val="16"/>
              </w:rPr>
              <w:t>9</w:t>
            </w:r>
          </w:p>
        </w:tc>
        <w:tc>
          <w:tcPr>
            <w:tcW w:w="1031" w:type="dxa"/>
          </w:tcPr>
          <w:p>
            <w:pPr>
              <w:pStyle w:val="TableParagraph"/>
              <w:spacing w:before="5"/>
              <w:ind w:left="300" w:right="214"/>
              <w:jc w:val="center"/>
              <w:rPr>
                <w:sz w:val="16"/>
              </w:rPr>
            </w:pPr>
            <w:r>
              <w:rPr>
                <w:w w:val="105"/>
                <w:sz w:val="16"/>
              </w:rPr>
              <w:t>724</w:t>
            </w:r>
          </w:p>
        </w:tc>
      </w:tr>
      <w:tr>
        <w:trPr>
          <w:trHeight w:val="210" w:hRule="exact"/>
        </w:trPr>
        <w:tc>
          <w:tcPr>
            <w:tcW w:w="907" w:type="dxa"/>
            <w:shd w:val="clear" w:color="auto" w:fill="F1DCDB"/>
          </w:tcPr>
          <w:p>
            <w:pPr>
              <w:pStyle w:val="TableParagraph"/>
              <w:spacing w:before="5"/>
              <w:ind w:right="349"/>
              <w:jc w:val="right"/>
              <w:rPr>
                <w:sz w:val="16"/>
              </w:rPr>
            </w:pPr>
            <w:r>
              <w:rPr>
                <w:w w:val="105"/>
                <w:sz w:val="16"/>
              </w:rPr>
              <w:t>15</w:t>
            </w:r>
          </w:p>
        </w:tc>
        <w:tc>
          <w:tcPr>
            <w:tcW w:w="907" w:type="dxa"/>
            <w:shd w:val="clear" w:color="auto" w:fill="F1DCDB"/>
          </w:tcPr>
          <w:p>
            <w:pPr>
              <w:pStyle w:val="TableParagraph"/>
              <w:spacing w:before="5"/>
              <w:ind w:left="319"/>
              <w:rPr>
                <w:sz w:val="16"/>
              </w:rPr>
            </w:pPr>
            <w:r>
              <w:rPr>
                <w:w w:val="105"/>
                <w:sz w:val="16"/>
              </w:rPr>
              <w:t>114</w:t>
            </w:r>
          </w:p>
        </w:tc>
        <w:tc>
          <w:tcPr>
            <w:tcW w:w="2162" w:type="dxa"/>
            <w:shd w:val="clear" w:color="auto" w:fill="F1DCDB"/>
          </w:tcPr>
          <w:p>
            <w:pPr>
              <w:pStyle w:val="TableParagraph"/>
              <w:spacing w:before="5"/>
              <w:ind w:left="24"/>
              <w:rPr>
                <w:sz w:val="16"/>
              </w:rPr>
            </w:pPr>
            <w:r>
              <w:rPr>
                <w:w w:val="105"/>
                <w:sz w:val="16"/>
              </w:rPr>
              <w:t>Villa Victoria</w:t>
            </w:r>
          </w:p>
        </w:tc>
        <w:tc>
          <w:tcPr>
            <w:tcW w:w="1687" w:type="dxa"/>
            <w:shd w:val="clear" w:color="auto" w:fill="F1DCDB"/>
          </w:tcPr>
          <w:p>
            <w:pPr>
              <w:pStyle w:val="TableParagraph"/>
              <w:spacing w:before="5"/>
              <w:ind w:right="327"/>
              <w:jc w:val="right"/>
              <w:rPr>
                <w:sz w:val="16"/>
              </w:rPr>
            </w:pPr>
            <w:r>
              <w:rPr>
                <w:w w:val="105"/>
                <w:sz w:val="16"/>
              </w:rPr>
              <w:t>94 369</w:t>
            </w:r>
          </w:p>
        </w:tc>
        <w:tc>
          <w:tcPr>
            <w:tcW w:w="1074" w:type="dxa"/>
            <w:shd w:val="clear" w:color="auto" w:fill="F1DCDB"/>
          </w:tcPr>
          <w:p>
            <w:pPr>
              <w:pStyle w:val="TableParagraph"/>
              <w:spacing w:before="5"/>
              <w:ind w:right="26"/>
              <w:jc w:val="right"/>
              <w:rPr>
                <w:sz w:val="16"/>
              </w:rPr>
            </w:pPr>
            <w:r>
              <w:rPr>
                <w:sz w:val="16"/>
              </w:rPr>
              <w:t>0.79231</w:t>
            </w:r>
          </w:p>
        </w:tc>
        <w:tc>
          <w:tcPr>
            <w:tcW w:w="1101" w:type="dxa"/>
            <w:shd w:val="clear" w:color="auto" w:fill="F1DCDB"/>
          </w:tcPr>
          <w:p>
            <w:pPr>
              <w:pStyle w:val="TableParagraph"/>
              <w:spacing w:before="5"/>
              <w:ind w:left="406" w:right="17"/>
              <w:rPr>
                <w:sz w:val="16"/>
              </w:rPr>
            </w:pPr>
            <w:r>
              <w:rPr>
                <w:w w:val="105"/>
                <w:sz w:val="16"/>
              </w:rPr>
              <w:t>Alto</w:t>
            </w:r>
          </w:p>
        </w:tc>
        <w:tc>
          <w:tcPr>
            <w:tcW w:w="1268" w:type="dxa"/>
            <w:shd w:val="clear" w:color="auto" w:fill="F1DCDB"/>
          </w:tcPr>
          <w:p>
            <w:pPr>
              <w:pStyle w:val="TableParagraph"/>
              <w:spacing w:before="5"/>
              <w:ind w:right="327"/>
              <w:jc w:val="right"/>
              <w:rPr>
                <w:sz w:val="16"/>
              </w:rPr>
            </w:pPr>
            <w:r>
              <w:rPr>
                <w:sz w:val="16"/>
              </w:rPr>
              <w:t>36.625</w:t>
            </w:r>
          </w:p>
        </w:tc>
        <w:tc>
          <w:tcPr>
            <w:tcW w:w="920" w:type="dxa"/>
            <w:shd w:val="clear" w:color="auto" w:fill="F1DCDB"/>
          </w:tcPr>
          <w:p>
            <w:pPr>
              <w:pStyle w:val="TableParagraph"/>
              <w:spacing w:before="5"/>
              <w:ind w:right="354"/>
              <w:jc w:val="right"/>
              <w:rPr>
                <w:sz w:val="16"/>
              </w:rPr>
            </w:pPr>
            <w:r>
              <w:rPr>
                <w:w w:val="104"/>
                <w:sz w:val="16"/>
              </w:rPr>
              <w:t>6</w:t>
            </w:r>
          </w:p>
        </w:tc>
        <w:tc>
          <w:tcPr>
            <w:tcW w:w="1031" w:type="dxa"/>
            <w:shd w:val="clear" w:color="auto" w:fill="F1DCDB"/>
          </w:tcPr>
          <w:p>
            <w:pPr>
              <w:pStyle w:val="TableParagraph"/>
              <w:spacing w:before="5"/>
              <w:ind w:left="300" w:right="214"/>
              <w:jc w:val="center"/>
              <w:rPr>
                <w:sz w:val="16"/>
              </w:rPr>
            </w:pPr>
            <w:r>
              <w:rPr>
                <w:w w:val="105"/>
                <w:sz w:val="16"/>
              </w:rPr>
              <w:t>531</w:t>
            </w:r>
          </w:p>
        </w:tc>
      </w:tr>
      <w:tr>
        <w:trPr>
          <w:trHeight w:val="211" w:hRule="exact"/>
        </w:trPr>
        <w:tc>
          <w:tcPr>
            <w:tcW w:w="907" w:type="dxa"/>
          </w:tcPr>
          <w:p>
            <w:pPr>
              <w:pStyle w:val="TableParagraph"/>
              <w:spacing w:before="5"/>
              <w:ind w:right="349"/>
              <w:jc w:val="right"/>
              <w:rPr>
                <w:sz w:val="16"/>
              </w:rPr>
            </w:pPr>
            <w:r>
              <w:rPr>
                <w:w w:val="105"/>
                <w:sz w:val="16"/>
              </w:rPr>
              <w:t>15</w:t>
            </w:r>
          </w:p>
        </w:tc>
        <w:tc>
          <w:tcPr>
            <w:tcW w:w="907" w:type="dxa"/>
          </w:tcPr>
          <w:p>
            <w:pPr>
              <w:pStyle w:val="TableParagraph"/>
              <w:spacing w:before="5"/>
              <w:ind w:left="319"/>
              <w:rPr>
                <w:sz w:val="16"/>
              </w:rPr>
            </w:pPr>
            <w:r>
              <w:rPr>
                <w:w w:val="105"/>
                <w:sz w:val="16"/>
              </w:rPr>
              <w:t>119</w:t>
            </w:r>
          </w:p>
        </w:tc>
        <w:tc>
          <w:tcPr>
            <w:tcW w:w="2162" w:type="dxa"/>
          </w:tcPr>
          <w:p>
            <w:pPr>
              <w:pStyle w:val="TableParagraph"/>
              <w:spacing w:before="5"/>
              <w:ind w:left="24"/>
              <w:rPr>
                <w:sz w:val="16"/>
              </w:rPr>
            </w:pPr>
            <w:r>
              <w:rPr>
                <w:w w:val="105"/>
                <w:sz w:val="16"/>
              </w:rPr>
              <w:t>Zumpahuacán</w:t>
            </w:r>
          </w:p>
        </w:tc>
        <w:tc>
          <w:tcPr>
            <w:tcW w:w="1687" w:type="dxa"/>
          </w:tcPr>
          <w:p>
            <w:pPr>
              <w:pStyle w:val="TableParagraph"/>
              <w:spacing w:before="5"/>
              <w:ind w:right="327"/>
              <w:jc w:val="right"/>
              <w:rPr>
                <w:sz w:val="16"/>
              </w:rPr>
            </w:pPr>
            <w:r>
              <w:rPr>
                <w:w w:val="105"/>
                <w:sz w:val="16"/>
              </w:rPr>
              <w:t>16 365</w:t>
            </w:r>
          </w:p>
        </w:tc>
        <w:tc>
          <w:tcPr>
            <w:tcW w:w="1074" w:type="dxa"/>
          </w:tcPr>
          <w:p>
            <w:pPr>
              <w:pStyle w:val="TableParagraph"/>
              <w:spacing w:before="5"/>
              <w:ind w:right="26"/>
              <w:jc w:val="right"/>
              <w:rPr>
                <w:sz w:val="16"/>
              </w:rPr>
            </w:pPr>
            <w:r>
              <w:rPr>
                <w:sz w:val="16"/>
              </w:rPr>
              <w:t>0.50905</w:t>
            </w:r>
          </w:p>
        </w:tc>
        <w:tc>
          <w:tcPr>
            <w:tcW w:w="1101" w:type="dxa"/>
          </w:tcPr>
          <w:p>
            <w:pPr>
              <w:pStyle w:val="TableParagraph"/>
              <w:spacing w:before="5"/>
              <w:ind w:left="406" w:right="17"/>
              <w:rPr>
                <w:sz w:val="16"/>
              </w:rPr>
            </w:pPr>
            <w:r>
              <w:rPr>
                <w:w w:val="105"/>
                <w:sz w:val="16"/>
              </w:rPr>
              <w:t>Alto</w:t>
            </w:r>
          </w:p>
        </w:tc>
        <w:tc>
          <w:tcPr>
            <w:tcW w:w="1268" w:type="dxa"/>
          </w:tcPr>
          <w:p>
            <w:pPr>
              <w:pStyle w:val="TableParagraph"/>
              <w:spacing w:before="5"/>
              <w:ind w:right="327"/>
              <w:jc w:val="right"/>
              <w:rPr>
                <w:sz w:val="16"/>
              </w:rPr>
            </w:pPr>
            <w:r>
              <w:rPr>
                <w:sz w:val="16"/>
              </w:rPr>
              <w:t>33.425</w:t>
            </w:r>
          </w:p>
        </w:tc>
        <w:tc>
          <w:tcPr>
            <w:tcW w:w="920" w:type="dxa"/>
          </w:tcPr>
          <w:p>
            <w:pPr>
              <w:pStyle w:val="TableParagraph"/>
              <w:spacing w:before="5"/>
              <w:ind w:right="309"/>
              <w:jc w:val="right"/>
              <w:rPr>
                <w:sz w:val="16"/>
              </w:rPr>
            </w:pPr>
            <w:r>
              <w:rPr>
                <w:w w:val="105"/>
                <w:sz w:val="16"/>
              </w:rPr>
              <w:t>12</w:t>
            </w:r>
          </w:p>
        </w:tc>
        <w:tc>
          <w:tcPr>
            <w:tcW w:w="1031" w:type="dxa"/>
          </w:tcPr>
          <w:p>
            <w:pPr>
              <w:pStyle w:val="TableParagraph"/>
              <w:spacing w:before="5"/>
              <w:ind w:left="300" w:right="214"/>
              <w:jc w:val="center"/>
              <w:rPr>
                <w:sz w:val="16"/>
              </w:rPr>
            </w:pPr>
            <w:r>
              <w:rPr>
                <w:w w:val="105"/>
                <w:sz w:val="16"/>
              </w:rPr>
              <w:t>752</w:t>
            </w:r>
          </w:p>
        </w:tc>
      </w:tr>
      <w:tr>
        <w:trPr>
          <w:trHeight w:val="210" w:hRule="exact"/>
        </w:trPr>
        <w:tc>
          <w:tcPr>
            <w:tcW w:w="907" w:type="dxa"/>
            <w:shd w:val="clear" w:color="auto" w:fill="F1DCDB"/>
          </w:tcPr>
          <w:p>
            <w:pPr>
              <w:pStyle w:val="TableParagraph"/>
              <w:spacing w:before="5"/>
              <w:ind w:right="349"/>
              <w:jc w:val="right"/>
              <w:rPr>
                <w:sz w:val="16"/>
              </w:rPr>
            </w:pPr>
            <w:r>
              <w:rPr>
                <w:w w:val="105"/>
                <w:sz w:val="16"/>
              </w:rPr>
              <w:t>15</w:t>
            </w:r>
          </w:p>
        </w:tc>
        <w:tc>
          <w:tcPr>
            <w:tcW w:w="907" w:type="dxa"/>
            <w:shd w:val="clear" w:color="auto" w:fill="F1DCDB"/>
          </w:tcPr>
          <w:p>
            <w:pPr>
              <w:pStyle w:val="TableParagraph"/>
              <w:spacing w:before="5"/>
              <w:ind w:left="313"/>
              <w:rPr>
                <w:sz w:val="16"/>
              </w:rPr>
            </w:pPr>
            <w:r>
              <w:rPr>
                <w:w w:val="105"/>
                <w:sz w:val="16"/>
              </w:rPr>
              <w:t>123</w:t>
            </w:r>
          </w:p>
        </w:tc>
        <w:tc>
          <w:tcPr>
            <w:tcW w:w="2162" w:type="dxa"/>
            <w:shd w:val="clear" w:color="auto" w:fill="F1DCDB"/>
          </w:tcPr>
          <w:p>
            <w:pPr>
              <w:pStyle w:val="TableParagraph"/>
              <w:spacing w:before="5"/>
              <w:ind w:left="24"/>
              <w:rPr>
                <w:sz w:val="16"/>
              </w:rPr>
            </w:pPr>
            <w:r>
              <w:rPr>
                <w:w w:val="105"/>
                <w:sz w:val="16"/>
              </w:rPr>
              <w:t>Luvianos</w:t>
            </w:r>
          </w:p>
        </w:tc>
        <w:tc>
          <w:tcPr>
            <w:tcW w:w="1687" w:type="dxa"/>
            <w:shd w:val="clear" w:color="auto" w:fill="F1DCDB"/>
          </w:tcPr>
          <w:p>
            <w:pPr>
              <w:pStyle w:val="TableParagraph"/>
              <w:spacing w:before="5"/>
              <w:ind w:right="327"/>
              <w:jc w:val="right"/>
              <w:rPr>
                <w:sz w:val="16"/>
              </w:rPr>
            </w:pPr>
            <w:r>
              <w:rPr>
                <w:w w:val="105"/>
                <w:sz w:val="16"/>
              </w:rPr>
              <w:t>27 781</w:t>
            </w:r>
          </w:p>
        </w:tc>
        <w:tc>
          <w:tcPr>
            <w:tcW w:w="1074" w:type="dxa"/>
            <w:shd w:val="clear" w:color="auto" w:fill="F1DCDB"/>
          </w:tcPr>
          <w:p>
            <w:pPr>
              <w:pStyle w:val="TableParagraph"/>
              <w:spacing w:before="5"/>
              <w:ind w:right="26"/>
              <w:jc w:val="right"/>
              <w:rPr>
                <w:sz w:val="16"/>
              </w:rPr>
            </w:pPr>
            <w:r>
              <w:rPr>
                <w:sz w:val="16"/>
              </w:rPr>
              <w:t>0.91347</w:t>
            </w:r>
          </w:p>
        </w:tc>
        <w:tc>
          <w:tcPr>
            <w:tcW w:w="1101" w:type="dxa"/>
            <w:shd w:val="clear" w:color="auto" w:fill="F1DCDB"/>
          </w:tcPr>
          <w:p>
            <w:pPr>
              <w:pStyle w:val="TableParagraph"/>
              <w:spacing w:before="5"/>
              <w:ind w:left="406" w:right="17"/>
              <w:rPr>
                <w:sz w:val="16"/>
              </w:rPr>
            </w:pPr>
            <w:r>
              <w:rPr>
                <w:w w:val="105"/>
                <w:sz w:val="16"/>
              </w:rPr>
              <w:t>Alto</w:t>
            </w:r>
          </w:p>
        </w:tc>
        <w:tc>
          <w:tcPr>
            <w:tcW w:w="1268" w:type="dxa"/>
            <w:shd w:val="clear" w:color="auto" w:fill="F1DCDB"/>
          </w:tcPr>
          <w:p>
            <w:pPr>
              <w:pStyle w:val="TableParagraph"/>
              <w:spacing w:before="5"/>
              <w:ind w:right="327"/>
              <w:jc w:val="right"/>
              <w:rPr>
                <w:sz w:val="16"/>
              </w:rPr>
            </w:pPr>
            <w:r>
              <w:rPr>
                <w:sz w:val="16"/>
              </w:rPr>
              <w:t>37.994</w:t>
            </w:r>
          </w:p>
        </w:tc>
        <w:tc>
          <w:tcPr>
            <w:tcW w:w="920" w:type="dxa"/>
            <w:shd w:val="clear" w:color="auto" w:fill="F1DCDB"/>
          </w:tcPr>
          <w:p>
            <w:pPr>
              <w:pStyle w:val="TableParagraph"/>
              <w:spacing w:before="5"/>
              <w:ind w:right="354"/>
              <w:jc w:val="right"/>
              <w:rPr>
                <w:sz w:val="16"/>
              </w:rPr>
            </w:pPr>
            <w:r>
              <w:rPr>
                <w:w w:val="104"/>
                <w:sz w:val="16"/>
              </w:rPr>
              <w:t>3</w:t>
            </w:r>
          </w:p>
        </w:tc>
        <w:tc>
          <w:tcPr>
            <w:tcW w:w="1031" w:type="dxa"/>
            <w:shd w:val="clear" w:color="auto" w:fill="F1DCDB"/>
          </w:tcPr>
          <w:p>
            <w:pPr>
              <w:pStyle w:val="TableParagraph"/>
              <w:spacing w:before="5"/>
              <w:ind w:left="300" w:right="214"/>
              <w:jc w:val="center"/>
              <w:rPr>
                <w:sz w:val="16"/>
              </w:rPr>
            </w:pPr>
            <w:r>
              <w:rPr>
                <w:w w:val="105"/>
                <w:sz w:val="16"/>
              </w:rPr>
              <w:t>458</w:t>
            </w:r>
          </w:p>
        </w:tc>
      </w:tr>
      <w:tr>
        <w:trPr>
          <w:trHeight w:val="212" w:hRule="exact"/>
        </w:trPr>
        <w:tc>
          <w:tcPr>
            <w:tcW w:w="907" w:type="dxa"/>
          </w:tcPr>
          <w:p>
            <w:pPr>
              <w:pStyle w:val="TableParagraph"/>
              <w:spacing w:before="6"/>
              <w:ind w:right="349"/>
              <w:jc w:val="right"/>
              <w:rPr>
                <w:sz w:val="16"/>
              </w:rPr>
            </w:pPr>
            <w:r>
              <w:rPr>
                <w:w w:val="105"/>
                <w:sz w:val="16"/>
              </w:rPr>
              <w:t>15</w:t>
            </w:r>
          </w:p>
        </w:tc>
        <w:tc>
          <w:tcPr>
            <w:tcW w:w="907" w:type="dxa"/>
          </w:tcPr>
          <w:p>
            <w:pPr>
              <w:pStyle w:val="TableParagraph"/>
              <w:spacing w:before="6"/>
              <w:ind w:left="313"/>
              <w:rPr>
                <w:sz w:val="16"/>
              </w:rPr>
            </w:pPr>
            <w:r>
              <w:rPr>
                <w:w w:val="105"/>
                <w:sz w:val="16"/>
              </w:rPr>
              <w:t>124</w:t>
            </w:r>
          </w:p>
        </w:tc>
        <w:tc>
          <w:tcPr>
            <w:tcW w:w="2162" w:type="dxa"/>
          </w:tcPr>
          <w:p>
            <w:pPr>
              <w:pStyle w:val="TableParagraph"/>
              <w:spacing w:before="6"/>
              <w:ind w:left="24"/>
              <w:rPr>
                <w:sz w:val="16"/>
              </w:rPr>
            </w:pPr>
            <w:r>
              <w:rPr>
                <w:w w:val="105"/>
                <w:sz w:val="16"/>
              </w:rPr>
              <w:t>San José del Rincón</w:t>
            </w:r>
          </w:p>
        </w:tc>
        <w:tc>
          <w:tcPr>
            <w:tcW w:w="1687" w:type="dxa"/>
          </w:tcPr>
          <w:p>
            <w:pPr>
              <w:pStyle w:val="TableParagraph"/>
              <w:spacing w:before="6"/>
              <w:ind w:right="327"/>
              <w:jc w:val="right"/>
              <w:rPr>
                <w:sz w:val="16"/>
              </w:rPr>
            </w:pPr>
            <w:r>
              <w:rPr>
                <w:w w:val="105"/>
                <w:sz w:val="16"/>
              </w:rPr>
              <w:t>91 345</w:t>
            </w:r>
          </w:p>
        </w:tc>
        <w:tc>
          <w:tcPr>
            <w:tcW w:w="1074" w:type="dxa"/>
          </w:tcPr>
          <w:p>
            <w:pPr>
              <w:pStyle w:val="TableParagraph"/>
              <w:spacing w:before="6"/>
              <w:ind w:right="26"/>
              <w:jc w:val="right"/>
              <w:rPr>
                <w:sz w:val="16"/>
              </w:rPr>
            </w:pPr>
            <w:r>
              <w:rPr>
                <w:sz w:val="16"/>
              </w:rPr>
              <w:t>0.88512</w:t>
            </w:r>
          </w:p>
        </w:tc>
        <w:tc>
          <w:tcPr>
            <w:tcW w:w="1101" w:type="dxa"/>
          </w:tcPr>
          <w:p>
            <w:pPr>
              <w:pStyle w:val="TableParagraph"/>
              <w:spacing w:before="6"/>
              <w:ind w:left="406" w:right="17"/>
              <w:rPr>
                <w:sz w:val="16"/>
              </w:rPr>
            </w:pPr>
            <w:r>
              <w:rPr>
                <w:w w:val="105"/>
                <w:sz w:val="16"/>
              </w:rPr>
              <w:t>Alto</w:t>
            </w:r>
          </w:p>
        </w:tc>
        <w:tc>
          <w:tcPr>
            <w:tcW w:w="1268" w:type="dxa"/>
          </w:tcPr>
          <w:p>
            <w:pPr>
              <w:pStyle w:val="TableParagraph"/>
              <w:spacing w:before="6"/>
              <w:ind w:right="327"/>
              <w:jc w:val="right"/>
              <w:rPr>
                <w:sz w:val="16"/>
              </w:rPr>
            </w:pPr>
            <w:r>
              <w:rPr>
                <w:sz w:val="16"/>
              </w:rPr>
              <w:t>37.674</w:t>
            </w:r>
          </w:p>
        </w:tc>
        <w:tc>
          <w:tcPr>
            <w:tcW w:w="920" w:type="dxa"/>
          </w:tcPr>
          <w:p>
            <w:pPr>
              <w:pStyle w:val="TableParagraph"/>
              <w:spacing w:before="6"/>
              <w:ind w:right="354"/>
              <w:jc w:val="right"/>
              <w:rPr>
                <w:sz w:val="16"/>
              </w:rPr>
            </w:pPr>
            <w:r>
              <w:rPr>
                <w:w w:val="104"/>
                <w:sz w:val="16"/>
              </w:rPr>
              <w:t>5</w:t>
            </w:r>
          </w:p>
        </w:tc>
        <w:tc>
          <w:tcPr>
            <w:tcW w:w="1031" w:type="dxa"/>
          </w:tcPr>
          <w:p>
            <w:pPr>
              <w:pStyle w:val="TableParagraph"/>
              <w:spacing w:before="6"/>
              <w:ind w:left="300" w:right="214"/>
              <w:jc w:val="center"/>
              <w:rPr>
                <w:sz w:val="16"/>
              </w:rPr>
            </w:pPr>
            <w:r>
              <w:rPr>
                <w:w w:val="105"/>
                <w:sz w:val="16"/>
              </w:rPr>
              <w:t>477</w:t>
            </w:r>
          </w:p>
        </w:tc>
      </w:tr>
    </w:tbl>
    <w:p>
      <w:pPr>
        <w:pStyle w:val="BodyText"/>
        <w:rPr>
          <w:b/>
          <w:sz w:val="20"/>
        </w:rPr>
      </w:pPr>
    </w:p>
    <w:p>
      <w:pPr>
        <w:pStyle w:val="BodyText"/>
        <w:rPr>
          <w:b/>
          <w:sz w:val="20"/>
        </w:rPr>
      </w:pPr>
    </w:p>
    <w:p>
      <w:pPr>
        <w:pStyle w:val="BodyText"/>
        <w:spacing w:before="5"/>
        <w:rPr>
          <w:b/>
          <w:sz w:val="20"/>
        </w:rPr>
      </w:pPr>
    </w:p>
    <w:p>
      <w:pPr>
        <w:spacing w:before="74"/>
        <w:ind w:left="202" w:right="1340" w:firstLine="0"/>
        <w:jc w:val="left"/>
        <w:rPr>
          <w:sz w:val="20"/>
        </w:rPr>
      </w:pPr>
      <w:r>
        <w:rPr>
          <w:b/>
          <w:sz w:val="20"/>
        </w:rPr>
        <w:t>Fuente</w:t>
      </w:r>
      <w:r>
        <w:rPr>
          <w:sz w:val="20"/>
        </w:rPr>
        <w:t>: Estimaciones del CONEVAL con base en el Censo de Población y Vivienda 2010.</w:t>
      </w:r>
    </w:p>
    <w:p>
      <w:pPr>
        <w:spacing w:after="0"/>
        <w:jc w:val="left"/>
        <w:rPr>
          <w:sz w:val="20"/>
        </w:rPr>
        <w:sectPr>
          <w:pgSz w:w="15840" w:h="12240" w:orient="landscape"/>
          <w:pgMar w:header="0" w:footer="992" w:top="1140" w:bottom="1180" w:left="2260" w:right="2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ind w:left="1902"/>
      </w:pPr>
      <w:r>
        <w:rPr/>
        <w:t>Anexo 9.</w:t>
      </w:r>
    </w:p>
    <w:p>
      <w:pPr>
        <w:pStyle w:val="BodyText"/>
        <w:spacing w:before="5"/>
        <w:rPr>
          <w:sz w:val="25"/>
        </w:rPr>
      </w:pPr>
    </w:p>
    <w:p>
      <w:pPr>
        <w:spacing w:before="90" w:after="8"/>
        <w:ind w:left="3871" w:right="0" w:firstLine="0"/>
        <w:jc w:val="left"/>
        <w:rPr>
          <w:b/>
          <w:sz w:val="13"/>
        </w:rPr>
      </w:pPr>
      <w:r>
        <w:rPr>
          <w:b/>
          <w:w w:val="105"/>
          <w:sz w:val="13"/>
        </w:rPr>
        <w:t>Marginación. Municipios del Estado de México en Grado Bajo</w:t>
      </w:r>
    </w:p>
    <w:p>
      <w:pPr>
        <w:pStyle w:val="BodyText"/>
        <w:spacing w:line="20" w:lineRule="exact"/>
        <w:ind w:left="106"/>
        <w:rPr>
          <w:sz w:val="2"/>
        </w:rPr>
      </w:pPr>
      <w:r>
        <w:rPr>
          <w:sz w:val="2"/>
        </w:rPr>
        <w:pict>
          <v:group style="width:577.65pt;height:.550pt;mso-position-horizontal-relative:char;mso-position-vertical-relative:line" coordorigin="0,0" coordsize="11553,11">
            <v:shape style="position:absolute;left:6;top:6;width:11542;height:2" coordorigin="6,6" coordsize="11542,0" path="m6,6l6,6,11547,6e" filled="false" stroked="true" strokeweight=".528478pt" strokecolor="#000000">
              <v:path arrowok="t"/>
            </v:shape>
          </v:group>
        </w:pict>
      </w:r>
      <w:r>
        <w:rPr>
          <w:sz w:val="2"/>
        </w:rPr>
      </w:r>
    </w:p>
    <w:p>
      <w:pPr>
        <w:pStyle w:val="BodyText"/>
        <w:spacing w:before="6"/>
        <w:rPr>
          <w:b/>
          <w:sz w:val="2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0"/>
        <w:gridCol w:w="1401"/>
        <w:gridCol w:w="1897"/>
        <w:gridCol w:w="1401"/>
        <w:gridCol w:w="1115"/>
        <w:gridCol w:w="1081"/>
        <w:gridCol w:w="1140"/>
        <w:gridCol w:w="1161"/>
        <w:gridCol w:w="943"/>
      </w:tblGrid>
      <w:tr>
        <w:trPr>
          <w:trHeight w:val="696" w:hRule="exact"/>
        </w:trPr>
        <w:tc>
          <w:tcPr>
            <w:tcW w:w="1400" w:type="dxa"/>
          </w:tcPr>
          <w:p>
            <w:pPr>
              <w:pStyle w:val="TableParagraph"/>
              <w:spacing w:line="280" w:lineRule="auto" w:before="5"/>
              <w:ind w:left="375" w:right="59" w:hanging="301"/>
              <w:rPr>
                <w:b/>
                <w:sz w:val="13"/>
              </w:rPr>
            </w:pPr>
            <w:r>
              <w:rPr>
                <w:b/>
                <w:w w:val="105"/>
                <w:sz w:val="13"/>
              </w:rPr>
              <w:t>Clave de la entidad federativa</w:t>
            </w:r>
          </w:p>
        </w:tc>
        <w:tc>
          <w:tcPr>
            <w:tcW w:w="1401" w:type="dxa"/>
          </w:tcPr>
          <w:p>
            <w:pPr>
              <w:pStyle w:val="TableParagraph"/>
              <w:spacing w:before="5"/>
              <w:ind w:left="34" w:right="34"/>
              <w:jc w:val="center"/>
              <w:rPr>
                <w:b/>
                <w:sz w:val="13"/>
              </w:rPr>
            </w:pPr>
            <w:r>
              <w:rPr>
                <w:b/>
                <w:w w:val="105"/>
                <w:sz w:val="13"/>
              </w:rPr>
              <w:t>Clave del municipio</w:t>
            </w:r>
          </w:p>
        </w:tc>
        <w:tc>
          <w:tcPr>
            <w:tcW w:w="1897" w:type="dxa"/>
          </w:tcPr>
          <w:p>
            <w:pPr>
              <w:pStyle w:val="TableParagraph"/>
              <w:rPr>
                <w:b/>
                <w:sz w:val="14"/>
              </w:rPr>
            </w:pPr>
          </w:p>
          <w:p>
            <w:pPr>
              <w:pStyle w:val="TableParagraph"/>
              <w:spacing w:before="104"/>
              <w:ind w:left="626"/>
              <w:rPr>
                <w:b/>
                <w:sz w:val="13"/>
              </w:rPr>
            </w:pPr>
            <w:r>
              <w:rPr>
                <w:b/>
                <w:w w:val="105"/>
                <w:sz w:val="13"/>
              </w:rPr>
              <w:t>Municipio</w:t>
            </w:r>
          </w:p>
        </w:tc>
        <w:tc>
          <w:tcPr>
            <w:tcW w:w="1401" w:type="dxa"/>
          </w:tcPr>
          <w:p>
            <w:pPr>
              <w:pStyle w:val="TableParagraph"/>
              <w:spacing w:line="280" w:lineRule="auto" w:before="5"/>
              <w:ind w:left="554" w:right="348" w:hanging="184"/>
              <w:rPr>
                <w:b/>
                <w:sz w:val="13"/>
              </w:rPr>
            </w:pPr>
            <w:r>
              <w:rPr>
                <w:b/>
                <w:w w:val="105"/>
                <w:sz w:val="13"/>
              </w:rPr>
              <w:t>Población total</w:t>
            </w:r>
          </w:p>
        </w:tc>
        <w:tc>
          <w:tcPr>
            <w:tcW w:w="1115" w:type="dxa"/>
          </w:tcPr>
          <w:p>
            <w:pPr>
              <w:pStyle w:val="TableParagraph"/>
              <w:spacing w:line="280" w:lineRule="auto" w:before="5"/>
              <w:ind w:left="145" w:right="127" w:firstLine="111"/>
              <w:rPr>
                <w:b/>
                <w:sz w:val="13"/>
              </w:rPr>
            </w:pPr>
            <w:r>
              <w:rPr>
                <w:b/>
                <w:w w:val="105"/>
                <w:sz w:val="13"/>
              </w:rPr>
              <w:t>Índice de marginación</w:t>
            </w:r>
          </w:p>
        </w:tc>
        <w:tc>
          <w:tcPr>
            <w:tcW w:w="1081" w:type="dxa"/>
          </w:tcPr>
          <w:p>
            <w:pPr>
              <w:pStyle w:val="TableParagraph"/>
              <w:spacing w:line="280" w:lineRule="auto" w:before="5"/>
              <w:ind w:left="131" w:right="107" w:firstLine="106"/>
              <w:rPr>
                <w:b/>
                <w:sz w:val="13"/>
              </w:rPr>
            </w:pPr>
            <w:r>
              <w:rPr>
                <w:b/>
                <w:w w:val="105"/>
                <w:sz w:val="13"/>
              </w:rPr>
              <w:t>Grado de marginación</w:t>
            </w:r>
          </w:p>
        </w:tc>
        <w:tc>
          <w:tcPr>
            <w:tcW w:w="1140" w:type="dxa"/>
          </w:tcPr>
          <w:p>
            <w:pPr>
              <w:pStyle w:val="TableParagraph"/>
              <w:spacing w:line="278" w:lineRule="auto" w:before="5"/>
              <w:ind w:left="157" w:right="152" w:hanging="2"/>
              <w:jc w:val="center"/>
              <w:rPr>
                <w:b/>
                <w:sz w:val="13"/>
              </w:rPr>
            </w:pPr>
            <w:r>
              <w:rPr>
                <w:b/>
                <w:w w:val="105"/>
                <w:sz w:val="13"/>
              </w:rPr>
              <w:t>Índice de marginación escala</w:t>
            </w:r>
          </w:p>
          <w:p>
            <w:pPr>
              <w:pStyle w:val="TableParagraph"/>
              <w:spacing w:before="2"/>
              <w:ind w:left="317" w:right="315"/>
              <w:jc w:val="center"/>
              <w:rPr>
                <w:b/>
                <w:sz w:val="13"/>
              </w:rPr>
            </w:pPr>
            <w:r>
              <w:rPr>
                <w:b/>
                <w:w w:val="105"/>
                <w:sz w:val="13"/>
              </w:rPr>
              <w:t>0 a 100</w:t>
            </w:r>
          </w:p>
        </w:tc>
        <w:tc>
          <w:tcPr>
            <w:tcW w:w="1161" w:type="dxa"/>
          </w:tcPr>
          <w:p>
            <w:pPr>
              <w:pStyle w:val="TableParagraph"/>
              <w:spacing w:line="278" w:lineRule="auto" w:before="5"/>
              <w:ind w:left="21" w:right="25"/>
              <w:jc w:val="center"/>
              <w:rPr>
                <w:b/>
                <w:sz w:val="13"/>
              </w:rPr>
            </w:pPr>
            <w:r>
              <w:rPr>
                <w:b/>
                <w:w w:val="105"/>
                <w:sz w:val="13"/>
              </w:rPr>
              <w:t>Lugar que ocupa en el contexto estatal</w:t>
            </w:r>
          </w:p>
        </w:tc>
        <w:tc>
          <w:tcPr>
            <w:tcW w:w="943" w:type="dxa"/>
          </w:tcPr>
          <w:p>
            <w:pPr>
              <w:pStyle w:val="TableParagraph"/>
              <w:spacing w:line="278" w:lineRule="auto" w:before="5"/>
              <w:ind w:left="89" w:right="88" w:firstLine="4"/>
              <w:jc w:val="center"/>
              <w:rPr>
                <w:b/>
                <w:sz w:val="13"/>
              </w:rPr>
            </w:pPr>
            <w:r>
              <w:rPr>
                <w:b/>
                <w:w w:val="105"/>
                <w:sz w:val="13"/>
              </w:rPr>
              <w:t>Lugar que ocupa en el contexto nacional</w:t>
            </w:r>
          </w:p>
        </w:tc>
      </w:tr>
      <w:tr>
        <w:trPr>
          <w:trHeight w:val="173" w:hRule="exact"/>
        </w:trPr>
        <w:tc>
          <w:tcPr>
            <w:tcW w:w="1400" w:type="dxa"/>
          </w:tcPr>
          <w:p>
            <w:pPr/>
          </w:p>
        </w:tc>
        <w:tc>
          <w:tcPr>
            <w:tcW w:w="1401" w:type="dxa"/>
          </w:tcPr>
          <w:p>
            <w:pPr/>
          </w:p>
        </w:tc>
        <w:tc>
          <w:tcPr>
            <w:tcW w:w="1897" w:type="dxa"/>
          </w:tcPr>
          <w:p>
            <w:pPr/>
          </w:p>
        </w:tc>
        <w:tc>
          <w:tcPr>
            <w:tcW w:w="1401" w:type="dxa"/>
          </w:tcPr>
          <w:p>
            <w:pPr/>
          </w:p>
        </w:tc>
        <w:tc>
          <w:tcPr>
            <w:tcW w:w="1115" w:type="dxa"/>
          </w:tcPr>
          <w:p>
            <w:pPr>
              <w:pStyle w:val="TableParagraph"/>
              <w:spacing w:before="5"/>
              <w:ind w:left="384" w:right="375"/>
              <w:jc w:val="center"/>
              <w:rPr>
                <w:b/>
                <w:sz w:val="13"/>
              </w:rPr>
            </w:pPr>
            <w:r>
              <w:rPr>
                <w:b/>
                <w:w w:val="105"/>
                <w:sz w:val="13"/>
              </w:rPr>
              <w:t>2010</w:t>
            </w:r>
          </w:p>
        </w:tc>
        <w:tc>
          <w:tcPr>
            <w:tcW w:w="1081" w:type="dxa"/>
          </w:tcPr>
          <w:p>
            <w:pPr>
              <w:pStyle w:val="TableParagraph"/>
              <w:spacing w:before="5"/>
              <w:ind w:left="367" w:right="358"/>
              <w:jc w:val="center"/>
              <w:rPr>
                <w:b/>
                <w:sz w:val="13"/>
              </w:rPr>
            </w:pPr>
            <w:r>
              <w:rPr>
                <w:b/>
                <w:w w:val="105"/>
                <w:sz w:val="13"/>
              </w:rPr>
              <w:t>2010</w:t>
            </w:r>
          </w:p>
        </w:tc>
        <w:tc>
          <w:tcPr>
            <w:tcW w:w="1140" w:type="dxa"/>
          </w:tcPr>
          <w:p>
            <w:pPr>
              <w:pStyle w:val="TableParagraph"/>
              <w:spacing w:before="5"/>
              <w:ind w:left="414"/>
              <w:rPr>
                <w:b/>
                <w:sz w:val="13"/>
              </w:rPr>
            </w:pPr>
            <w:r>
              <w:rPr>
                <w:b/>
                <w:w w:val="105"/>
                <w:sz w:val="13"/>
              </w:rPr>
              <w:t>2010</w:t>
            </w:r>
          </w:p>
        </w:tc>
        <w:tc>
          <w:tcPr>
            <w:tcW w:w="1161" w:type="dxa"/>
          </w:tcPr>
          <w:p>
            <w:pPr>
              <w:pStyle w:val="TableParagraph"/>
              <w:spacing w:before="5"/>
              <w:ind w:right="417"/>
              <w:jc w:val="right"/>
              <w:rPr>
                <w:b/>
                <w:sz w:val="13"/>
              </w:rPr>
            </w:pPr>
            <w:r>
              <w:rPr>
                <w:b/>
                <w:w w:val="105"/>
                <w:sz w:val="13"/>
              </w:rPr>
              <w:t>2010</w:t>
            </w:r>
          </w:p>
        </w:tc>
        <w:tc>
          <w:tcPr>
            <w:tcW w:w="943" w:type="dxa"/>
          </w:tcPr>
          <w:p>
            <w:pPr>
              <w:pStyle w:val="TableParagraph"/>
              <w:spacing w:before="5"/>
              <w:ind w:left="249" w:right="241"/>
              <w:jc w:val="center"/>
              <w:rPr>
                <w:b/>
                <w:sz w:val="13"/>
              </w:rPr>
            </w:pPr>
            <w:r>
              <w:rPr>
                <w:b/>
                <w:w w:val="105"/>
                <w:sz w:val="13"/>
              </w:rPr>
              <w:t>2010</w:t>
            </w:r>
          </w:p>
        </w:tc>
      </w:tr>
      <w:tr>
        <w:trPr>
          <w:trHeight w:val="175" w:hRule="exact"/>
        </w:trPr>
        <w:tc>
          <w:tcPr>
            <w:tcW w:w="1400" w:type="dxa"/>
          </w:tcPr>
          <w:p>
            <w:pPr/>
          </w:p>
        </w:tc>
        <w:tc>
          <w:tcPr>
            <w:tcW w:w="1401" w:type="dxa"/>
          </w:tcPr>
          <w:p>
            <w:pPr/>
          </w:p>
        </w:tc>
        <w:tc>
          <w:tcPr>
            <w:tcW w:w="1897" w:type="dxa"/>
          </w:tcPr>
          <w:p>
            <w:pPr>
              <w:pStyle w:val="TableParagraph"/>
              <w:spacing w:before="6"/>
              <w:ind w:left="697" w:right="686"/>
              <w:jc w:val="center"/>
              <w:rPr>
                <w:b/>
                <w:sz w:val="13"/>
              </w:rPr>
            </w:pPr>
            <w:r>
              <w:rPr>
                <w:b/>
                <w:w w:val="105"/>
                <w:sz w:val="13"/>
              </w:rPr>
              <w:t>México</w:t>
            </w:r>
          </w:p>
        </w:tc>
        <w:tc>
          <w:tcPr>
            <w:tcW w:w="1401" w:type="dxa"/>
          </w:tcPr>
          <w:p>
            <w:pPr>
              <w:pStyle w:val="TableParagraph"/>
              <w:spacing w:before="6"/>
              <w:ind w:right="266"/>
              <w:jc w:val="right"/>
              <w:rPr>
                <w:b/>
                <w:sz w:val="13"/>
              </w:rPr>
            </w:pPr>
            <w:r>
              <w:rPr>
                <w:b/>
                <w:w w:val="105"/>
                <w:sz w:val="13"/>
              </w:rPr>
              <w:t>15 175 862</w:t>
            </w:r>
          </w:p>
        </w:tc>
        <w:tc>
          <w:tcPr>
            <w:tcW w:w="1115" w:type="dxa"/>
          </w:tcPr>
          <w:p>
            <w:pPr/>
          </w:p>
        </w:tc>
        <w:tc>
          <w:tcPr>
            <w:tcW w:w="1081" w:type="dxa"/>
          </w:tcPr>
          <w:p>
            <w:pPr/>
          </w:p>
        </w:tc>
        <w:tc>
          <w:tcPr>
            <w:tcW w:w="1140" w:type="dxa"/>
          </w:tcPr>
          <w:p>
            <w:pPr/>
          </w:p>
        </w:tc>
        <w:tc>
          <w:tcPr>
            <w:tcW w:w="1161" w:type="dxa"/>
          </w:tcPr>
          <w:p>
            <w:pPr/>
          </w:p>
        </w:tc>
        <w:tc>
          <w:tcPr>
            <w:tcW w:w="943" w:type="dxa"/>
          </w:tcPr>
          <w:p>
            <w:pPr/>
          </w:p>
        </w:tc>
      </w:tr>
      <w:tr>
        <w:trPr>
          <w:trHeight w:val="173"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006</w:t>
            </w:r>
          </w:p>
        </w:tc>
        <w:tc>
          <w:tcPr>
            <w:tcW w:w="1897" w:type="dxa"/>
            <w:shd w:val="clear" w:color="auto" w:fill="F1DCDB"/>
          </w:tcPr>
          <w:p>
            <w:pPr>
              <w:pStyle w:val="TableParagraph"/>
              <w:spacing w:before="5"/>
              <w:ind w:left="20"/>
              <w:rPr>
                <w:sz w:val="13"/>
              </w:rPr>
            </w:pPr>
            <w:r>
              <w:rPr>
                <w:w w:val="105"/>
                <w:sz w:val="13"/>
              </w:rPr>
              <w:t>Almoloya del Río</w:t>
            </w:r>
          </w:p>
        </w:tc>
        <w:tc>
          <w:tcPr>
            <w:tcW w:w="1401" w:type="dxa"/>
            <w:shd w:val="clear" w:color="auto" w:fill="F1DCDB"/>
          </w:tcPr>
          <w:p>
            <w:pPr>
              <w:pStyle w:val="TableParagraph"/>
              <w:spacing w:before="5"/>
              <w:ind w:right="267"/>
              <w:jc w:val="right"/>
              <w:rPr>
                <w:sz w:val="13"/>
              </w:rPr>
            </w:pPr>
            <w:r>
              <w:rPr>
                <w:w w:val="105"/>
                <w:sz w:val="13"/>
              </w:rPr>
              <w:t>10 886</w:t>
            </w:r>
          </w:p>
        </w:tc>
        <w:tc>
          <w:tcPr>
            <w:tcW w:w="1115" w:type="dxa"/>
            <w:shd w:val="clear" w:color="auto" w:fill="F1DCDB"/>
          </w:tcPr>
          <w:p>
            <w:pPr>
              <w:pStyle w:val="TableParagraph"/>
              <w:spacing w:before="5"/>
              <w:ind w:right="18"/>
              <w:jc w:val="right"/>
              <w:rPr>
                <w:sz w:val="13"/>
              </w:rPr>
            </w:pPr>
            <w:r>
              <w:rPr>
                <w:w w:val="105"/>
                <w:sz w:val="13"/>
              </w:rPr>
              <w:t>-1.14202</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14.768</w:t>
            </w:r>
          </w:p>
        </w:tc>
        <w:tc>
          <w:tcPr>
            <w:tcW w:w="1161" w:type="dxa"/>
            <w:shd w:val="clear" w:color="auto" w:fill="F1DCDB"/>
          </w:tcPr>
          <w:p>
            <w:pPr>
              <w:pStyle w:val="TableParagraph"/>
              <w:spacing w:before="5"/>
              <w:ind w:right="456"/>
              <w:jc w:val="right"/>
              <w:rPr>
                <w:sz w:val="13"/>
              </w:rPr>
            </w:pPr>
            <w:r>
              <w:rPr>
                <w:w w:val="105"/>
                <w:sz w:val="13"/>
              </w:rPr>
              <w:t>75</w:t>
            </w:r>
          </w:p>
        </w:tc>
        <w:tc>
          <w:tcPr>
            <w:tcW w:w="943" w:type="dxa"/>
            <w:shd w:val="clear" w:color="auto" w:fill="F1DCDB"/>
          </w:tcPr>
          <w:p>
            <w:pPr>
              <w:pStyle w:val="TableParagraph"/>
              <w:spacing w:before="5"/>
              <w:ind w:left="290" w:right="241"/>
              <w:jc w:val="center"/>
              <w:rPr>
                <w:sz w:val="13"/>
              </w:rPr>
            </w:pPr>
            <w:r>
              <w:rPr>
                <w:w w:val="105"/>
                <w:sz w:val="13"/>
              </w:rPr>
              <w:t>2 128</w:t>
            </w:r>
          </w:p>
        </w:tc>
      </w:tr>
      <w:tr>
        <w:trPr>
          <w:trHeight w:val="175"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5"/>
              <w:jc w:val="center"/>
              <w:rPr>
                <w:sz w:val="13"/>
              </w:rPr>
            </w:pPr>
            <w:r>
              <w:rPr>
                <w:w w:val="105"/>
                <w:sz w:val="13"/>
              </w:rPr>
              <w:t>009</w:t>
            </w:r>
          </w:p>
        </w:tc>
        <w:tc>
          <w:tcPr>
            <w:tcW w:w="1897" w:type="dxa"/>
          </w:tcPr>
          <w:p>
            <w:pPr>
              <w:pStyle w:val="TableParagraph"/>
              <w:spacing w:before="5"/>
              <w:ind w:left="20"/>
              <w:rPr>
                <w:sz w:val="13"/>
              </w:rPr>
            </w:pPr>
            <w:r>
              <w:rPr>
                <w:w w:val="105"/>
                <w:sz w:val="13"/>
              </w:rPr>
              <w:t>Amecameca</w:t>
            </w:r>
          </w:p>
        </w:tc>
        <w:tc>
          <w:tcPr>
            <w:tcW w:w="1401" w:type="dxa"/>
          </w:tcPr>
          <w:p>
            <w:pPr>
              <w:pStyle w:val="TableParagraph"/>
              <w:spacing w:before="5"/>
              <w:ind w:right="267"/>
              <w:jc w:val="right"/>
              <w:rPr>
                <w:sz w:val="13"/>
              </w:rPr>
            </w:pPr>
            <w:r>
              <w:rPr>
                <w:w w:val="105"/>
                <w:sz w:val="13"/>
              </w:rPr>
              <w:t>48 421</w:t>
            </w:r>
          </w:p>
        </w:tc>
        <w:tc>
          <w:tcPr>
            <w:tcW w:w="1115" w:type="dxa"/>
          </w:tcPr>
          <w:p>
            <w:pPr>
              <w:pStyle w:val="TableParagraph"/>
              <w:spacing w:before="5"/>
              <w:ind w:right="18"/>
              <w:jc w:val="right"/>
              <w:rPr>
                <w:sz w:val="13"/>
              </w:rPr>
            </w:pPr>
            <w:r>
              <w:rPr>
                <w:w w:val="105"/>
                <w:sz w:val="13"/>
              </w:rPr>
              <w:t>-1.16095</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14.554</w:t>
            </w:r>
          </w:p>
        </w:tc>
        <w:tc>
          <w:tcPr>
            <w:tcW w:w="1161" w:type="dxa"/>
          </w:tcPr>
          <w:p>
            <w:pPr>
              <w:pStyle w:val="TableParagraph"/>
              <w:spacing w:before="5"/>
              <w:ind w:right="456"/>
              <w:jc w:val="right"/>
              <w:rPr>
                <w:sz w:val="13"/>
              </w:rPr>
            </w:pPr>
            <w:r>
              <w:rPr>
                <w:w w:val="105"/>
                <w:sz w:val="13"/>
              </w:rPr>
              <w:t>80</w:t>
            </w:r>
          </w:p>
        </w:tc>
        <w:tc>
          <w:tcPr>
            <w:tcW w:w="943" w:type="dxa"/>
          </w:tcPr>
          <w:p>
            <w:pPr>
              <w:pStyle w:val="TableParagraph"/>
              <w:spacing w:before="5"/>
              <w:ind w:left="290" w:right="241"/>
              <w:jc w:val="center"/>
              <w:rPr>
                <w:sz w:val="13"/>
              </w:rPr>
            </w:pPr>
            <w:r>
              <w:rPr>
                <w:w w:val="105"/>
                <w:sz w:val="13"/>
              </w:rPr>
              <w:t>2 140</w:t>
            </w:r>
          </w:p>
        </w:tc>
      </w:tr>
      <w:tr>
        <w:trPr>
          <w:trHeight w:val="173"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010</w:t>
            </w:r>
          </w:p>
        </w:tc>
        <w:tc>
          <w:tcPr>
            <w:tcW w:w="1897" w:type="dxa"/>
            <w:shd w:val="clear" w:color="auto" w:fill="F1DCDB"/>
          </w:tcPr>
          <w:p>
            <w:pPr>
              <w:pStyle w:val="TableParagraph"/>
              <w:spacing w:before="5"/>
              <w:ind w:left="20"/>
              <w:rPr>
                <w:sz w:val="13"/>
              </w:rPr>
            </w:pPr>
            <w:r>
              <w:rPr>
                <w:w w:val="105"/>
                <w:sz w:val="13"/>
              </w:rPr>
              <w:t>Apaxco</w:t>
            </w:r>
          </w:p>
        </w:tc>
        <w:tc>
          <w:tcPr>
            <w:tcW w:w="1401" w:type="dxa"/>
            <w:shd w:val="clear" w:color="auto" w:fill="F1DCDB"/>
          </w:tcPr>
          <w:p>
            <w:pPr>
              <w:pStyle w:val="TableParagraph"/>
              <w:spacing w:before="5"/>
              <w:ind w:right="267"/>
              <w:jc w:val="right"/>
              <w:rPr>
                <w:sz w:val="13"/>
              </w:rPr>
            </w:pPr>
            <w:r>
              <w:rPr>
                <w:w w:val="105"/>
                <w:sz w:val="13"/>
              </w:rPr>
              <w:t>27 521</w:t>
            </w:r>
          </w:p>
        </w:tc>
        <w:tc>
          <w:tcPr>
            <w:tcW w:w="1115" w:type="dxa"/>
            <w:shd w:val="clear" w:color="auto" w:fill="F1DCDB"/>
          </w:tcPr>
          <w:p>
            <w:pPr>
              <w:pStyle w:val="TableParagraph"/>
              <w:spacing w:before="5"/>
              <w:ind w:right="18"/>
              <w:jc w:val="right"/>
              <w:rPr>
                <w:sz w:val="13"/>
              </w:rPr>
            </w:pPr>
            <w:r>
              <w:rPr>
                <w:w w:val="105"/>
                <w:sz w:val="13"/>
              </w:rPr>
              <w:t>-1.16208</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14.541</w:t>
            </w:r>
          </w:p>
        </w:tc>
        <w:tc>
          <w:tcPr>
            <w:tcW w:w="1161" w:type="dxa"/>
            <w:shd w:val="clear" w:color="auto" w:fill="F1DCDB"/>
          </w:tcPr>
          <w:p>
            <w:pPr>
              <w:pStyle w:val="TableParagraph"/>
              <w:spacing w:before="5"/>
              <w:ind w:right="456"/>
              <w:jc w:val="right"/>
              <w:rPr>
                <w:sz w:val="13"/>
              </w:rPr>
            </w:pPr>
            <w:r>
              <w:rPr>
                <w:w w:val="105"/>
                <w:sz w:val="13"/>
              </w:rPr>
              <w:t>81</w:t>
            </w:r>
          </w:p>
        </w:tc>
        <w:tc>
          <w:tcPr>
            <w:tcW w:w="943" w:type="dxa"/>
            <w:shd w:val="clear" w:color="auto" w:fill="F1DCDB"/>
          </w:tcPr>
          <w:p>
            <w:pPr>
              <w:pStyle w:val="TableParagraph"/>
              <w:spacing w:before="5"/>
              <w:ind w:left="290" w:right="241"/>
              <w:jc w:val="center"/>
              <w:rPr>
                <w:sz w:val="13"/>
              </w:rPr>
            </w:pPr>
            <w:r>
              <w:rPr>
                <w:w w:val="105"/>
                <w:sz w:val="13"/>
              </w:rPr>
              <w:t>2 141</w:t>
            </w:r>
          </w:p>
        </w:tc>
      </w:tr>
      <w:tr>
        <w:trPr>
          <w:trHeight w:val="174"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3"/>
              <w:jc w:val="center"/>
              <w:rPr>
                <w:sz w:val="13"/>
              </w:rPr>
            </w:pPr>
            <w:r>
              <w:rPr>
                <w:w w:val="105"/>
                <w:sz w:val="13"/>
              </w:rPr>
              <w:t>011</w:t>
            </w:r>
          </w:p>
        </w:tc>
        <w:tc>
          <w:tcPr>
            <w:tcW w:w="1897" w:type="dxa"/>
          </w:tcPr>
          <w:p>
            <w:pPr>
              <w:pStyle w:val="TableParagraph"/>
              <w:spacing w:before="5"/>
              <w:ind w:left="20"/>
              <w:rPr>
                <w:sz w:val="13"/>
              </w:rPr>
            </w:pPr>
            <w:r>
              <w:rPr>
                <w:w w:val="105"/>
                <w:sz w:val="13"/>
              </w:rPr>
              <w:t>Atenco</w:t>
            </w:r>
          </w:p>
        </w:tc>
        <w:tc>
          <w:tcPr>
            <w:tcW w:w="1401" w:type="dxa"/>
          </w:tcPr>
          <w:p>
            <w:pPr>
              <w:pStyle w:val="TableParagraph"/>
              <w:spacing w:before="5"/>
              <w:ind w:right="267"/>
              <w:jc w:val="right"/>
              <w:rPr>
                <w:sz w:val="13"/>
              </w:rPr>
            </w:pPr>
            <w:r>
              <w:rPr>
                <w:w w:val="105"/>
                <w:sz w:val="13"/>
              </w:rPr>
              <w:t>56 243</w:t>
            </w:r>
          </w:p>
        </w:tc>
        <w:tc>
          <w:tcPr>
            <w:tcW w:w="1115" w:type="dxa"/>
          </w:tcPr>
          <w:p>
            <w:pPr>
              <w:pStyle w:val="TableParagraph"/>
              <w:spacing w:before="5"/>
              <w:ind w:right="18"/>
              <w:jc w:val="right"/>
              <w:rPr>
                <w:sz w:val="13"/>
              </w:rPr>
            </w:pPr>
            <w:r>
              <w:rPr>
                <w:w w:val="105"/>
                <w:sz w:val="13"/>
              </w:rPr>
              <w:t>-1.10953</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15.135</w:t>
            </w:r>
          </w:p>
        </w:tc>
        <w:tc>
          <w:tcPr>
            <w:tcW w:w="1161" w:type="dxa"/>
          </w:tcPr>
          <w:p>
            <w:pPr>
              <w:pStyle w:val="TableParagraph"/>
              <w:spacing w:before="5"/>
              <w:ind w:right="456"/>
              <w:jc w:val="right"/>
              <w:rPr>
                <w:sz w:val="13"/>
              </w:rPr>
            </w:pPr>
            <w:r>
              <w:rPr>
                <w:w w:val="105"/>
                <w:sz w:val="13"/>
              </w:rPr>
              <w:t>71</w:t>
            </w:r>
          </w:p>
        </w:tc>
        <w:tc>
          <w:tcPr>
            <w:tcW w:w="943" w:type="dxa"/>
          </w:tcPr>
          <w:p>
            <w:pPr>
              <w:pStyle w:val="TableParagraph"/>
              <w:spacing w:before="5"/>
              <w:ind w:left="290" w:right="241"/>
              <w:jc w:val="center"/>
              <w:rPr>
                <w:sz w:val="13"/>
              </w:rPr>
            </w:pPr>
            <w:r>
              <w:rPr>
                <w:w w:val="105"/>
                <w:sz w:val="13"/>
              </w:rPr>
              <w:t>2 101</w:t>
            </w:r>
          </w:p>
        </w:tc>
      </w:tr>
      <w:tr>
        <w:trPr>
          <w:trHeight w:val="174" w:hRule="exact"/>
        </w:trPr>
        <w:tc>
          <w:tcPr>
            <w:tcW w:w="1400" w:type="dxa"/>
            <w:shd w:val="clear" w:color="auto" w:fill="F1DCDB"/>
          </w:tcPr>
          <w:p>
            <w:pPr>
              <w:pStyle w:val="TableParagraph"/>
              <w:spacing w:before="6"/>
              <w:ind w:left="603" w:right="594"/>
              <w:jc w:val="center"/>
              <w:rPr>
                <w:sz w:val="13"/>
              </w:rPr>
            </w:pPr>
            <w:r>
              <w:rPr>
                <w:w w:val="105"/>
                <w:sz w:val="13"/>
              </w:rPr>
              <w:t>15</w:t>
            </w:r>
          </w:p>
        </w:tc>
        <w:tc>
          <w:tcPr>
            <w:tcW w:w="1401" w:type="dxa"/>
            <w:shd w:val="clear" w:color="auto" w:fill="F1DCDB"/>
          </w:tcPr>
          <w:p>
            <w:pPr>
              <w:pStyle w:val="TableParagraph"/>
              <w:spacing w:before="6"/>
              <w:ind w:left="34" w:right="25"/>
              <w:jc w:val="center"/>
              <w:rPr>
                <w:sz w:val="13"/>
              </w:rPr>
            </w:pPr>
            <w:r>
              <w:rPr>
                <w:w w:val="105"/>
                <w:sz w:val="13"/>
              </w:rPr>
              <w:t>012</w:t>
            </w:r>
          </w:p>
        </w:tc>
        <w:tc>
          <w:tcPr>
            <w:tcW w:w="1897" w:type="dxa"/>
            <w:shd w:val="clear" w:color="auto" w:fill="F1DCDB"/>
          </w:tcPr>
          <w:p>
            <w:pPr>
              <w:pStyle w:val="TableParagraph"/>
              <w:spacing w:before="6"/>
              <w:ind w:left="20"/>
              <w:rPr>
                <w:sz w:val="13"/>
              </w:rPr>
            </w:pPr>
            <w:r>
              <w:rPr>
                <w:w w:val="105"/>
                <w:sz w:val="13"/>
              </w:rPr>
              <w:t>Atizapán</w:t>
            </w:r>
          </w:p>
        </w:tc>
        <w:tc>
          <w:tcPr>
            <w:tcW w:w="1401" w:type="dxa"/>
            <w:shd w:val="clear" w:color="auto" w:fill="F1DCDB"/>
          </w:tcPr>
          <w:p>
            <w:pPr>
              <w:pStyle w:val="TableParagraph"/>
              <w:spacing w:before="6"/>
              <w:ind w:right="267"/>
              <w:jc w:val="right"/>
              <w:rPr>
                <w:sz w:val="13"/>
              </w:rPr>
            </w:pPr>
            <w:r>
              <w:rPr>
                <w:w w:val="105"/>
                <w:sz w:val="13"/>
              </w:rPr>
              <w:t>10 299</w:t>
            </w:r>
          </w:p>
        </w:tc>
        <w:tc>
          <w:tcPr>
            <w:tcW w:w="1115" w:type="dxa"/>
            <w:shd w:val="clear" w:color="auto" w:fill="F1DCDB"/>
          </w:tcPr>
          <w:p>
            <w:pPr>
              <w:pStyle w:val="TableParagraph"/>
              <w:spacing w:before="6"/>
              <w:ind w:right="18"/>
              <w:jc w:val="right"/>
              <w:rPr>
                <w:sz w:val="13"/>
              </w:rPr>
            </w:pPr>
            <w:r>
              <w:rPr>
                <w:w w:val="105"/>
                <w:sz w:val="13"/>
              </w:rPr>
              <w:t>-0.90669</w:t>
            </w:r>
          </w:p>
        </w:tc>
        <w:tc>
          <w:tcPr>
            <w:tcW w:w="1081" w:type="dxa"/>
            <w:shd w:val="clear" w:color="auto" w:fill="F1DCDB"/>
          </w:tcPr>
          <w:p>
            <w:pPr>
              <w:pStyle w:val="TableParagraph"/>
              <w:spacing w:before="6"/>
              <w:ind w:left="367" w:right="355"/>
              <w:jc w:val="center"/>
              <w:rPr>
                <w:sz w:val="13"/>
              </w:rPr>
            </w:pPr>
            <w:r>
              <w:rPr>
                <w:w w:val="105"/>
                <w:sz w:val="13"/>
              </w:rPr>
              <w:t>Bajo</w:t>
            </w:r>
          </w:p>
        </w:tc>
        <w:tc>
          <w:tcPr>
            <w:tcW w:w="1140" w:type="dxa"/>
            <w:shd w:val="clear" w:color="auto" w:fill="F1DCDB"/>
          </w:tcPr>
          <w:p>
            <w:pPr>
              <w:pStyle w:val="TableParagraph"/>
              <w:spacing w:before="6"/>
              <w:ind w:left="439"/>
              <w:rPr>
                <w:sz w:val="13"/>
              </w:rPr>
            </w:pPr>
            <w:r>
              <w:rPr>
                <w:w w:val="105"/>
                <w:sz w:val="13"/>
              </w:rPr>
              <w:t>17.427</w:t>
            </w:r>
          </w:p>
        </w:tc>
        <w:tc>
          <w:tcPr>
            <w:tcW w:w="1161" w:type="dxa"/>
            <w:shd w:val="clear" w:color="auto" w:fill="F1DCDB"/>
          </w:tcPr>
          <w:p>
            <w:pPr>
              <w:pStyle w:val="TableParagraph"/>
              <w:spacing w:before="6"/>
              <w:ind w:right="456"/>
              <w:jc w:val="right"/>
              <w:rPr>
                <w:sz w:val="13"/>
              </w:rPr>
            </w:pPr>
            <w:r>
              <w:rPr>
                <w:w w:val="105"/>
                <w:sz w:val="13"/>
              </w:rPr>
              <w:t>65</w:t>
            </w:r>
          </w:p>
        </w:tc>
        <w:tc>
          <w:tcPr>
            <w:tcW w:w="943" w:type="dxa"/>
            <w:shd w:val="clear" w:color="auto" w:fill="F1DCDB"/>
          </w:tcPr>
          <w:p>
            <w:pPr>
              <w:pStyle w:val="TableParagraph"/>
              <w:spacing w:before="6"/>
              <w:ind w:left="290" w:right="241"/>
              <w:jc w:val="center"/>
              <w:rPr>
                <w:sz w:val="13"/>
              </w:rPr>
            </w:pPr>
            <w:r>
              <w:rPr>
                <w:w w:val="105"/>
                <w:sz w:val="13"/>
              </w:rPr>
              <w:t>1 958</w:t>
            </w:r>
          </w:p>
        </w:tc>
      </w:tr>
      <w:tr>
        <w:trPr>
          <w:trHeight w:val="174"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5"/>
              <w:jc w:val="center"/>
              <w:rPr>
                <w:sz w:val="13"/>
              </w:rPr>
            </w:pPr>
            <w:r>
              <w:rPr>
                <w:w w:val="105"/>
                <w:sz w:val="13"/>
              </w:rPr>
              <w:t>017</w:t>
            </w:r>
          </w:p>
        </w:tc>
        <w:tc>
          <w:tcPr>
            <w:tcW w:w="1897" w:type="dxa"/>
          </w:tcPr>
          <w:p>
            <w:pPr>
              <w:pStyle w:val="TableParagraph"/>
              <w:spacing w:before="5"/>
              <w:ind w:left="20"/>
              <w:rPr>
                <w:sz w:val="13"/>
              </w:rPr>
            </w:pPr>
            <w:r>
              <w:rPr>
                <w:w w:val="105"/>
                <w:sz w:val="13"/>
              </w:rPr>
              <w:t>Ayapango</w:t>
            </w:r>
          </w:p>
        </w:tc>
        <w:tc>
          <w:tcPr>
            <w:tcW w:w="1401" w:type="dxa"/>
          </w:tcPr>
          <w:p>
            <w:pPr>
              <w:pStyle w:val="TableParagraph"/>
              <w:spacing w:before="5"/>
              <w:ind w:right="266"/>
              <w:jc w:val="right"/>
              <w:rPr>
                <w:sz w:val="13"/>
              </w:rPr>
            </w:pPr>
            <w:r>
              <w:rPr>
                <w:w w:val="105"/>
                <w:sz w:val="13"/>
              </w:rPr>
              <w:t>8 864</w:t>
            </w:r>
          </w:p>
        </w:tc>
        <w:tc>
          <w:tcPr>
            <w:tcW w:w="1115" w:type="dxa"/>
          </w:tcPr>
          <w:p>
            <w:pPr>
              <w:pStyle w:val="TableParagraph"/>
              <w:spacing w:before="5"/>
              <w:ind w:right="18"/>
              <w:jc w:val="right"/>
              <w:rPr>
                <w:sz w:val="13"/>
              </w:rPr>
            </w:pPr>
            <w:r>
              <w:rPr>
                <w:w w:val="105"/>
                <w:sz w:val="13"/>
              </w:rPr>
              <w:t>-0.79219</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18.721</w:t>
            </w:r>
          </w:p>
        </w:tc>
        <w:tc>
          <w:tcPr>
            <w:tcW w:w="1161" w:type="dxa"/>
          </w:tcPr>
          <w:p>
            <w:pPr>
              <w:pStyle w:val="TableParagraph"/>
              <w:spacing w:before="5"/>
              <w:ind w:right="456"/>
              <w:jc w:val="right"/>
              <w:rPr>
                <w:sz w:val="13"/>
              </w:rPr>
            </w:pPr>
            <w:r>
              <w:rPr>
                <w:w w:val="105"/>
                <w:sz w:val="13"/>
              </w:rPr>
              <w:t>58</w:t>
            </w:r>
          </w:p>
        </w:tc>
        <w:tc>
          <w:tcPr>
            <w:tcW w:w="943" w:type="dxa"/>
          </w:tcPr>
          <w:p>
            <w:pPr>
              <w:pStyle w:val="TableParagraph"/>
              <w:spacing w:before="5"/>
              <w:ind w:left="290" w:right="241"/>
              <w:jc w:val="center"/>
              <w:rPr>
                <w:sz w:val="13"/>
              </w:rPr>
            </w:pPr>
            <w:r>
              <w:rPr>
                <w:w w:val="105"/>
                <w:sz w:val="13"/>
              </w:rPr>
              <w:t>1 870</w:t>
            </w:r>
          </w:p>
        </w:tc>
      </w:tr>
      <w:tr>
        <w:trPr>
          <w:trHeight w:val="174"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018</w:t>
            </w:r>
          </w:p>
        </w:tc>
        <w:tc>
          <w:tcPr>
            <w:tcW w:w="1897" w:type="dxa"/>
            <w:shd w:val="clear" w:color="auto" w:fill="F1DCDB"/>
          </w:tcPr>
          <w:p>
            <w:pPr>
              <w:pStyle w:val="TableParagraph"/>
              <w:spacing w:before="5"/>
              <w:ind w:left="20"/>
              <w:rPr>
                <w:sz w:val="13"/>
              </w:rPr>
            </w:pPr>
            <w:r>
              <w:rPr>
                <w:w w:val="105"/>
                <w:sz w:val="13"/>
              </w:rPr>
              <w:t>Calimaya</w:t>
            </w:r>
          </w:p>
        </w:tc>
        <w:tc>
          <w:tcPr>
            <w:tcW w:w="1401" w:type="dxa"/>
            <w:shd w:val="clear" w:color="auto" w:fill="F1DCDB"/>
          </w:tcPr>
          <w:p>
            <w:pPr>
              <w:pStyle w:val="TableParagraph"/>
              <w:spacing w:before="5"/>
              <w:ind w:right="267"/>
              <w:jc w:val="right"/>
              <w:rPr>
                <w:sz w:val="13"/>
              </w:rPr>
            </w:pPr>
            <w:r>
              <w:rPr>
                <w:w w:val="105"/>
                <w:sz w:val="13"/>
              </w:rPr>
              <w:t>47 033</w:t>
            </w:r>
          </w:p>
        </w:tc>
        <w:tc>
          <w:tcPr>
            <w:tcW w:w="1115" w:type="dxa"/>
            <w:shd w:val="clear" w:color="auto" w:fill="F1DCDB"/>
          </w:tcPr>
          <w:p>
            <w:pPr>
              <w:pStyle w:val="TableParagraph"/>
              <w:spacing w:before="5"/>
              <w:ind w:right="18"/>
              <w:jc w:val="right"/>
              <w:rPr>
                <w:sz w:val="13"/>
              </w:rPr>
            </w:pPr>
            <w:r>
              <w:rPr>
                <w:w w:val="105"/>
                <w:sz w:val="13"/>
              </w:rPr>
              <w:t>-1.17279</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14.420</w:t>
            </w:r>
          </w:p>
        </w:tc>
        <w:tc>
          <w:tcPr>
            <w:tcW w:w="1161" w:type="dxa"/>
            <w:shd w:val="clear" w:color="auto" w:fill="F1DCDB"/>
          </w:tcPr>
          <w:p>
            <w:pPr>
              <w:pStyle w:val="TableParagraph"/>
              <w:spacing w:before="5"/>
              <w:ind w:right="456"/>
              <w:jc w:val="right"/>
              <w:rPr>
                <w:sz w:val="13"/>
              </w:rPr>
            </w:pPr>
            <w:r>
              <w:rPr>
                <w:w w:val="105"/>
                <w:sz w:val="13"/>
              </w:rPr>
              <w:t>82</w:t>
            </w:r>
          </w:p>
        </w:tc>
        <w:tc>
          <w:tcPr>
            <w:tcW w:w="943" w:type="dxa"/>
            <w:shd w:val="clear" w:color="auto" w:fill="F1DCDB"/>
          </w:tcPr>
          <w:p>
            <w:pPr>
              <w:pStyle w:val="TableParagraph"/>
              <w:spacing w:before="5"/>
              <w:ind w:left="290" w:right="241"/>
              <w:jc w:val="center"/>
              <w:rPr>
                <w:sz w:val="13"/>
              </w:rPr>
            </w:pPr>
            <w:r>
              <w:rPr>
                <w:w w:val="105"/>
                <w:sz w:val="13"/>
              </w:rPr>
              <w:t>2 152</w:t>
            </w:r>
          </w:p>
        </w:tc>
      </w:tr>
      <w:tr>
        <w:trPr>
          <w:trHeight w:val="174"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5"/>
              <w:jc w:val="center"/>
              <w:rPr>
                <w:sz w:val="13"/>
              </w:rPr>
            </w:pPr>
            <w:r>
              <w:rPr>
                <w:w w:val="105"/>
                <w:sz w:val="13"/>
              </w:rPr>
              <w:t>023</w:t>
            </w:r>
          </w:p>
        </w:tc>
        <w:tc>
          <w:tcPr>
            <w:tcW w:w="1897" w:type="dxa"/>
          </w:tcPr>
          <w:p>
            <w:pPr>
              <w:pStyle w:val="TableParagraph"/>
              <w:spacing w:before="5"/>
              <w:ind w:left="20"/>
              <w:rPr>
                <w:sz w:val="13"/>
              </w:rPr>
            </w:pPr>
            <w:r>
              <w:rPr>
                <w:w w:val="105"/>
                <w:sz w:val="13"/>
              </w:rPr>
              <w:t>Coyotepec</w:t>
            </w:r>
          </w:p>
        </w:tc>
        <w:tc>
          <w:tcPr>
            <w:tcW w:w="1401" w:type="dxa"/>
          </w:tcPr>
          <w:p>
            <w:pPr>
              <w:pStyle w:val="TableParagraph"/>
              <w:spacing w:before="5"/>
              <w:ind w:right="267"/>
              <w:jc w:val="right"/>
              <w:rPr>
                <w:sz w:val="13"/>
              </w:rPr>
            </w:pPr>
            <w:r>
              <w:rPr>
                <w:w w:val="105"/>
                <w:sz w:val="13"/>
              </w:rPr>
              <w:t>39 030</w:t>
            </w:r>
          </w:p>
        </w:tc>
        <w:tc>
          <w:tcPr>
            <w:tcW w:w="1115" w:type="dxa"/>
          </w:tcPr>
          <w:p>
            <w:pPr>
              <w:pStyle w:val="TableParagraph"/>
              <w:spacing w:before="5"/>
              <w:ind w:right="18"/>
              <w:jc w:val="right"/>
              <w:rPr>
                <w:sz w:val="13"/>
              </w:rPr>
            </w:pPr>
            <w:r>
              <w:rPr>
                <w:w w:val="105"/>
                <w:sz w:val="13"/>
              </w:rPr>
              <w:t>-1.17292</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14.419</w:t>
            </w:r>
          </w:p>
        </w:tc>
        <w:tc>
          <w:tcPr>
            <w:tcW w:w="1161" w:type="dxa"/>
          </w:tcPr>
          <w:p>
            <w:pPr>
              <w:pStyle w:val="TableParagraph"/>
              <w:spacing w:before="5"/>
              <w:ind w:right="456"/>
              <w:jc w:val="right"/>
              <w:rPr>
                <w:sz w:val="13"/>
              </w:rPr>
            </w:pPr>
            <w:r>
              <w:rPr>
                <w:w w:val="105"/>
                <w:sz w:val="13"/>
              </w:rPr>
              <w:t>83</w:t>
            </w:r>
          </w:p>
        </w:tc>
        <w:tc>
          <w:tcPr>
            <w:tcW w:w="943" w:type="dxa"/>
          </w:tcPr>
          <w:p>
            <w:pPr>
              <w:pStyle w:val="TableParagraph"/>
              <w:spacing w:before="5"/>
              <w:ind w:left="290" w:right="241"/>
              <w:jc w:val="center"/>
              <w:rPr>
                <w:sz w:val="13"/>
              </w:rPr>
            </w:pPr>
            <w:r>
              <w:rPr>
                <w:w w:val="105"/>
                <w:sz w:val="13"/>
              </w:rPr>
              <w:t>2 153</w:t>
            </w:r>
          </w:p>
        </w:tc>
      </w:tr>
      <w:tr>
        <w:trPr>
          <w:trHeight w:val="174"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025</w:t>
            </w:r>
          </w:p>
        </w:tc>
        <w:tc>
          <w:tcPr>
            <w:tcW w:w="1897" w:type="dxa"/>
            <w:shd w:val="clear" w:color="auto" w:fill="F1DCDB"/>
          </w:tcPr>
          <w:p>
            <w:pPr>
              <w:pStyle w:val="TableParagraph"/>
              <w:spacing w:before="5"/>
              <w:ind w:left="20"/>
              <w:rPr>
                <w:sz w:val="13"/>
              </w:rPr>
            </w:pPr>
            <w:r>
              <w:rPr>
                <w:w w:val="105"/>
                <w:sz w:val="13"/>
              </w:rPr>
              <w:t>Chalco</w:t>
            </w:r>
          </w:p>
        </w:tc>
        <w:tc>
          <w:tcPr>
            <w:tcW w:w="1401" w:type="dxa"/>
            <w:shd w:val="clear" w:color="auto" w:fill="F1DCDB"/>
          </w:tcPr>
          <w:p>
            <w:pPr>
              <w:pStyle w:val="TableParagraph"/>
              <w:spacing w:before="5"/>
              <w:ind w:right="268"/>
              <w:jc w:val="right"/>
              <w:rPr>
                <w:sz w:val="13"/>
              </w:rPr>
            </w:pPr>
            <w:r>
              <w:rPr>
                <w:w w:val="105"/>
                <w:sz w:val="13"/>
              </w:rPr>
              <w:t>310 130</w:t>
            </w:r>
          </w:p>
        </w:tc>
        <w:tc>
          <w:tcPr>
            <w:tcW w:w="1115" w:type="dxa"/>
            <w:shd w:val="clear" w:color="auto" w:fill="F1DCDB"/>
          </w:tcPr>
          <w:p>
            <w:pPr>
              <w:pStyle w:val="TableParagraph"/>
              <w:spacing w:before="5"/>
              <w:ind w:right="18"/>
              <w:jc w:val="right"/>
              <w:rPr>
                <w:sz w:val="13"/>
              </w:rPr>
            </w:pPr>
            <w:r>
              <w:rPr>
                <w:w w:val="105"/>
                <w:sz w:val="13"/>
              </w:rPr>
              <w:t>-1.24126</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13.647</w:t>
            </w:r>
          </w:p>
        </w:tc>
        <w:tc>
          <w:tcPr>
            <w:tcW w:w="1161" w:type="dxa"/>
            <w:shd w:val="clear" w:color="auto" w:fill="F1DCDB"/>
          </w:tcPr>
          <w:p>
            <w:pPr>
              <w:pStyle w:val="TableParagraph"/>
              <w:spacing w:before="5"/>
              <w:ind w:right="456"/>
              <w:jc w:val="right"/>
              <w:rPr>
                <w:sz w:val="13"/>
              </w:rPr>
            </w:pPr>
            <w:r>
              <w:rPr>
                <w:w w:val="105"/>
                <w:sz w:val="13"/>
              </w:rPr>
              <w:t>87</w:t>
            </w:r>
          </w:p>
        </w:tc>
        <w:tc>
          <w:tcPr>
            <w:tcW w:w="943" w:type="dxa"/>
            <w:shd w:val="clear" w:color="auto" w:fill="F1DCDB"/>
          </w:tcPr>
          <w:p>
            <w:pPr>
              <w:pStyle w:val="TableParagraph"/>
              <w:spacing w:before="5"/>
              <w:ind w:left="290" w:right="241"/>
              <w:jc w:val="center"/>
              <w:rPr>
                <w:sz w:val="13"/>
              </w:rPr>
            </w:pPr>
            <w:r>
              <w:rPr>
                <w:w w:val="105"/>
                <w:sz w:val="13"/>
              </w:rPr>
              <w:t>2 189</w:t>
            </w:r>
          </w:p>
        </w:tc>
      </w:tr>
      <w:tr>
        <w:trPr>
          <w:trHeight w:val="174"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5"/>
              <w:jc w:val="center"/>
              <w:rPr>
                <w:sz w:val="13"/>
              </w:rPr>
            </w:pPr>
            <w:r>
              <w:rPr>
                <w:w w:val="105"/>
                <w:sz w:val="13"/>
              </w:rPr>
              <w:t>028</w:t>
            </w:r>
          </w:p>
        </w:tc>
        <w:tc>
          <w:tcPr>
            <w:tcW w:w="1897" w:type="dxa"/>
          </w:tcPr>
          <w:p>
            <w:pPr>
              <w:pStyle w:val="TableParagraph"/>
              <w:spacing w:before="5"/>
              <w:ind w:left="20"/>
              <w:rPr>
                <w:sz w:val="13"/>
              </w:rPr>
            </w:pPr>
            <w:r>
              <w:rPr>
                <w:w w:val="105"/>
                <w:sz w:val="13"/>
              </w:rPr>
              <w:t>Chiautla</w:t>
            </w:r>
          </w:p>
        </w:tc>
        <w:tc>
          <w:tcPr>
            <w:tcW w:w="1401" w:type="dxa"/>
          </w:tcPr>
          <w:p>
            <w:pPr>
              <w:pStyle w:val="TableParagraph"/>
              <w:spacing w:before="5"/>
              <w:ind w:right="267"/>
              <w:jc w:val="right"/>
              <w:rPr>
                <w:sz w:val="13"/>
              </w:rPr>
            </w:pPr>
            <w:r>
              <w:rPr>
                <w:w w:val="105"/>
                <w:sz w:val="13"/>
              </w:rPr>
              <w:t>26 191</w:t>
            </w:r>
          </w:p>
        </w:tc>
        <w:tc>
          <w:tcPr>
            <w:tcW w:w="1115" w:type="dxa"/>
          </w:tcPr>
          <w:p>
            <w:pPr>
              <w:pStyle w:val="TableParagraph"/>
              <w:spacing w:before="5"/>
              <w:ind w:right="18"/>
              <w:jc w:val="right"/>
              <w:rPr>
                <w:sz w:val="13"/>
              </w:rPr>
            </w:pPr>
            <w:r>
              <w:rPr>
                <w:w w:val="105"/>
                <w:sz w:val="13"/>
              </w:rPr>
              <w:t>-1.19418</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14.179</w:t>
            </w:r>
          </w:p>
        </w:tc>
        <w:tc>
          <w:tcPr>
            <w:tcW w:w="1161" w:type="dxa"/>
          </w:tcPr>
          <w:p>
            <w:pPr>
              <w:pStyle w:val="TableParagraph"/>
              <w:spacing w:before="5"/>
              <w:ind w:right="456"/>
              <w:jc w:val="right"/>
              <w:rPr>
                <w:sz w:val="13"/>
              </w:rPr>
            </w:pPr>
            <w:r>
              <w:rPr>
                <w:w w:val="105"/>
                <w:sz w:val="13"/>
              </w:rPr>
              <w:t>84</w:t>
            </w:r>
          </w:p>
        </w:tc>
        <w:tc>
          <w:tcPr>
            <w:tcW w:w="943" w:type="dxa"/>
          </w:tcPr>
          <w:p>
            <w:pPr>
              <w:pStyle w:val="TableParagraph"/>
              <w:spacing w:before="5"/>
              <w:ind w:left="290" w:right="241"/>
              <w:jc w:val="center"/>
              <w:rPr>
                <w:sz w:val="13"/>
              </w:rPr>
            </w:pPr>
            <w:r>
              <w:rPr>
                <w:w w:val="105"/>
                <w:sz w:val="13"/>
              </w:rPr>
              <w:t>2 165</w:t>
            </w:r>
          </w:p>
        </w:tc>
      </w:tr>
      <w:tr>
        <w:trPr>
          <w:trHeight w:val="174"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031</w:t>
            </w:r>
          </w:p>
        </w:tc>
        <w:tc>
          <w:tcPr>
            <w:tcW w:w="1897" w:type="dxa"/>
            <w:shd w:val="clear" w:color="auto" w:fill="F1DCDB"/>
          </w:tcPr>
          <w:p>
            <w:pPr>
              <w:pStyle w:val="TableParagraph"/>
              <w:spacing w:before="5"/>
              <w:ind w:left="20"/>
              <w:rPr>
                <w:sz w:val="13"/>
              </w:rPr>
            </w:pPr>
            <w:r>
              <w:rPr>
                <w:w w:val="105"/>
                <w:sz w:val="13"/>
              </w:rPr>
              <w:t>Chimalhuacán</w:t>
            </w:r>
          </w:p>
        </w:tc>
        <w:tc>
          <w:tcPr>
            <w:tcW w:w="1401" w:type="dxa"/>
            <w:shd w:val="clear" w:color="auto" w:fill="F1DCDB"/>
          </w:tcPr>
          <w:p>
            <w:pPr>
              <w:pStyle w:val="TableParagraph"/>
              <w:spacing w:before="5"/>
              <w:ind w:right="268"/>
              <w:jc w:val="right"/>
              <w:rPr>
                <w:sz w:val="13"/>
              </w:rPr>
            </w:pPr>
            <w:r>
              <w:rPr>
                <w:w w:val="105"/>
                <w:sz w:val="13"/>
              </w:rPr>
              <w:t>614 453</w:t>
            </w:r>
          </w:p>
        </w:tc>
        <w:tc>
          <w:tcPr>
            <w:tcW w:w="1115" w:type="dxa"/>
            <w:shd w:val="clear" w:color="auto" w:fill="F1DCDB"/>
          </w:tcPr>
          <w:p>
            <w:pPr>
              <w:pStyle w:val="TableParagraph"/>
              <w:spacing w:before="5"/>
              <w:ind w:right="18"/>
              <w:jc w:val="right"/>
              <w:rPr>
                <w:sz w:val="13"/>
              </w:rPr>
            </w:pPr>
            <w:r>
              <w:rPr>
                <w:w w:val="105"/>
                <w:sz w:val="13"/>
              </w:rPr>
              <w:t>-1.10318</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15.207</w:t>
            </w:r>
          </w:p>
        </w:tc>
        <w:tc>
          <w:tcPr>
            <w:tcW w:w="1161" w:type="dxa"/>
            <w:shd w:val="clear" w:color="auto" w:fill="F1DCDB"/>
          </w:tcPr>
          <w:p>
            <w:pPr>
              <w:pStyle w:val="TableParagraph"/>
              <w:spacing w:before="5"/>
              <w:ind w:right="456"/>
              <w:jc w:val="right"/>
              <w:rPr>
                <w:sz w:val="13"/>
              </w:rPr>
            </w:pPr>
            <w:r>
              <w:rPr>
                <w:w w:val="105"/>
                <w:sz w:val="13"/>
              </w:rPr>
              <w:t>70</w:t>
            </w:r>
          </w:p>
        </w:tc>
        <w:tc>
          <w:tcPr>
            <w:tcW w:w="943" w:type="dxa"/>
            <w:shd w:val="clear" w:color="auto" w:fill="F1DCDB"/>
          </w:tcPr>
          <w:p>
            <w:pPr>
              <w:pStyle w:val="TableParagraph"/>
              <w:spacing w:before="5"/>
              <w:ind w:left="290" w:right="241"/>
              <w:jc w:val="center"/>
              <w:rPr>
                <w:sz w:val="13"/>
              </w:rPr>
            </w:pPr>
            <w:r>
              <w:rPr>
                <w:w w:val="105"/>
                <w:sz w:val="13"/>
              </w:rPr>
              <w:t>2 097</w:t>
            </w:r>
          </w:p>
        </w:tc>
      </w:tr>
      <w:tr>
        <w:trPr>
          <w:trHeight w:val="174" w:hRule="exact"/>
        </w:trPr>
        <w:tc>
          <w:tcPr>
            <w:tcW w:w="1400" w:type="dxa"/>
          </w:tcPr>
          <w:p>
            <w:pPr>
              <w:pStyle w:val="TableParagraph"/>
              <w:spacing w:before="6"/>
              <w:ind w:left="603" w:right="594"/>
              <w:jc w:val="center"/>
              <w:rPr>
                <w:sz w:val="13"/>
              </w:rPr>
            </w:pPr>
            <w:r>
              <w:rPr>
                <w:w w:val="105"/>
                <w:sz w:val="13"/>
              </w:rPr>
              <w:t>15</w:t>
            </w:r>
          </w:p>
        </w:tc>
        <w:tc>
          <w:tcPr>
            <w:tcW w:w="1401" w:type="dxa"/>
          </w:tcPr>
          <w:p>
            <w:pPr>
              <w:pStyle w:val="TableParagraph"/>
              <w:spacing w:before="6"/>
              <w:ind w:left="34" w:right="25"/>
              <w:jc w:val="center"/>
              <w:rPr>
                <w:sz w:val="13"/>
              </w:rPr>
            </w:pPr>
            <w:r>
              <w:rPr>
                <w:w w:val="105"/>
                <w:sz w:val="13"/>
              </w:rPr>
              <w:t>036</w:t>
            </w:r>
          </w:p>
        </w:tc>
        <w:tc>
          <w:tcPr>
            <w:tcW w:w="1897" w:type="dxa"/>
          </w:tcPr>
          <w:p>
            <w:pPr>
              <w:pStyle w:val="TableParagraph"/>
              <w:spacing w:before="6"/>
              <w:ind w:left="20"/>
              <w:rPr>
                <w:sz w:val="13"/>
              </w:rPr>
            </w:pPr>
            <w:r>
              <w:rPr>
                <w:w w:val="105"/>
                <w:sz w:val="13"/>
              </w:rPr>
              <w:t>Hueypoxtla</w:t>
            </w:r>
          </w:p>
        </w:tc>
        <w:tc>
          <w:tcPr>
            <w:tcW w:w="1401" w:type="dxa"/>
          </w:tcPr>
          <w:p>
            <w:pPr>
              <w:pStyle w:val="TableParagraph"/>
              <w:spacing w:before="6"/>
              <w:ind w:right="267"/>
              <w:jc w:val="right"/>
              <w:rPr>
                <w:sz w:val="13"/>
              </w:rPr>
            </w:pPr>
            <w:r>
              <w:rPr>
                <w:w w:val="105"/>
                <w:sz w:val="13"/>
              </w:rPr>
              <w:t>39 864</w:t>
            </w:r>
          </w:p>
        </w:tc>
        <w:tc>
          <w:tcPr>
            <w:tcW w:w="1115" w:type="dxa"/>
          </w:tcPr>
          <w:p>
            <w:pPr>
              <w:pStyle w:val="TableParagraph"/>
              <w:spacing w:before="6"/>
              <w:ind w:right="18"/>
              <w:jc w:val="right"/>
              <w:rPr>
                <w:sz w:val="13"/>
              </w:rPr>
            </w:pPr>
            <w:r>
              <w:rPr>
                <w:w w:val="105"/>
                <w:sz w:val="13"/>
              </w:rPr>
              <w:t>-0.83429</w:t>
            </w:r>
          </w:p>
        </w:tc>
        <w:tc>
          <w:tcPr>
            <w:tcW w:w="1081" w:type="dxa"/>
          </w:tcPr>
          <w:p>
            <w:pPr>
              <w:pStyle w:val="TableParagraph"/>
              <w:spacing w:before="6"/>
              <w:ind w:left="367" w:right="355"/>
              <w:jc w:val="center"/>
              <w:rPr>
                <w:sz w:val="13"/>
              </w:rPr>
            </w:pPr>
            <w:r>
              <w:rPr>
                <w:w w:val="105"/>
                <w:sz w:val="13"/>
              </w:rPr>
              <w:t>Bajo</w:t>
            </w:r>
          </w:p>
        </w:tc>
        <w:tc>
          <w:tcPr>
            <w:tcW w:w="1140" w:type="dxa"/>
          </w:tcPr>
          <w:p>
            <w:pPr>
              <w:pStyle w:val="TableParagraph"/>
              <w:spacing w:before="6"/>
              <w:ind w:left="439"/>
              <w:rPr>
                <w:sz w:val="13"/>
              </w:rPr>
            </w:pPr>
            <w:r>
              <w:rPr>
                <w:w w:val="105"/>
                <w:sz w:val="13"/>
              </w:rPr>
              <w:t>18.245</w:t>
            </w:r>
          </w:p>
        </w:tc>
        <w:tc>
          <w:tcPr>
            <w:tcW w:w="1161" w:type="dxa"/>
          </w:tcPr>
          <w:p>
            <w:pPr>
              <w:pStyle w:val="TableParagraph"/>
              <w:spacing w:before="6"/>
              <w:ind w:right="456"/>
              <w:jc w:val="right"/>
              <w:rPr>
                <w:sz w:val="13"/>
              </w:rPr>
            </w:pPr>
            <w:r>
              <w:rPr>
                <w:w w:val="105"/>
                <w:sz w:val="13"/>
              </w:rPr>
              <w:t>60</w:t>
            </w:r>
          </w:p>
        </w:tc>
        <w:tc>
          <w:tcPr>
            <w:tcW w:w="943" w:type="dxa"/>
          </w:tcPr>
          <w:p>
            <w:pPr>
              <w:pStyle w:val="TableParagraph"/>
              <w:spacing w:before="6"/>
              <w:ind w:left="290" w:right="241"/>
              <w:jc w:val="center"/>
              <w:rPr>
                <w:sz w:val="13"/>
              </w:rPr>
            </w:pPr>
            <w:r>
              <w:rPr>
                <w:w w:val="105"/>
                <w:sz w:val="13"/>
              </w:rPr>
              <w:t>1 900</w:t>
            </w:r>
          </w:p>
        </w:tc>
      </w:tr>
      <w:tr>
        <w:trPr>
          <w:trHeight w:val="174"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046</w:t>
            </w:r>
          </w:p>
        </w:tc>
        <w:tc>
          <w:tcPr>
            <w:tcW w:w="1897" w:type="dxa"/>
            <w:shd w:val="clear" w:color="auto" w:fill="F1DCDB"/>
          </w:tcPr>
          <w:p>
            <w:pPr>
              <w:pStyle w:val="TableParagraph"/>
              <w:spacing w:before="5"/>
              <w:ind w:left="20"/>
              <w:rPr>
                <w:sz w:val="13"/>
              </w:rPr>
            </w:pPr>
            <w:r>
              <w:rPr>
                <w:w w:val="105"/>
                <w:sz w:val="13"/>
              </w:rPr>
              <w:t>Jilotzingo</w:t>
            </w:r>
          </w:p>
        </w:tc>
        <w:tc>
          <w:tcPr>
            <w:tcW w:w="1401" w:type="dxa"/>
            <w:shd w:val="clear" w:color="auto" w:fill="F1DCDB"/>
          </w:tcPr>
          <w:p>
            <w:pPr>
              <w:pStyle w:val="TableParagraph"/>
              <w:spacing w:before="5"/>
              <w:ind w:right="267"/>
              <w:jc w:val="right"/>
              <w:rPr>
                <w:sz w:val="13"/>
              </w:rPr>
            </w:pPr>
            <w:r>
              <w:rPr>
                <w:w w:val="105"/>
                <w:sz w:val="13"/>
              </w:rPr>
              <w:t>17 970</w:t>
            </w:r>
          </w:p>
        </w:tc>
        <w:tc>
          <w:tcPr>
            <w:tcW w:w="1115" w:type="dxa"/>
            <w:shd w:val="clear" w:color="auto" w:fill="F1DCDB"/>
          </w:tcPr>
          <w:p>
            <w:pPr>
              <w:pStyle w:val="TableParagraph"/>
              <w:spacing w:before="5"/>
              <w:ind w:right="18"/>
              <w:jc w:val="right"/>
              <w:rPr>
                <w:sz w:val="13"/>
              </w:rPr>
            </w:pPr>
            <w:r>
              <w:rPr>
                <w:w w:val="105"/>
                <w:sz w:val="13"/>
              </w:rPr>
              <w:t>-0.91697</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50"/>
              <w:rPr>
                <w:sz w:val="13"/>
              </w:rPr>
            </w:pPr>
            <w:r>
              <w:rPr>
                <w:w w:val="105"/>
                <w:sz w:val="13"/>
              </w:rPr>
              <w:t>17.311</w:t>
            </w:r>
          </w:p>
        </w:tc>
        <w:tc>
          <w:tcPr>
            <w:tcW w:w="1161" w:type="dxa"/>
            <w:shd w:val="clear" w:color="auto" w:fill="F1DCDB"/>
          </w:tcPr>
          <w:p>
            <w:pPr>
              <w:pStyle w:val="TableParagraph"/>
              <w:spacing w:before="5"/>
              <w:ind w:right="456"/>
              <w:jc w:val="right"/>
              <w:rPr>
                <w:sz w:val="13"/>
              </w:rPr>
            </w:pPr>
            <w:r>
              <w:rPr>
                <w:w w:val="105"/>
                <w:sz w:val="13"/>
              </w:rPr>
              <w:t>66</w:t>
            </w:r>
          </w:p>
        </w:tc>
        <w:tc>
          <w:tcPr>
            <w:tcW w:w="943" w:type="dxa"/>
            <w:shd w:val="clear" w:color="auto" w:fill="F1DCDB"/>
          </w:tcPr>
          <w:p>
            <w:pPr>
              <w:pStyle w:val="TableParagraph"/>
              <w:spacing w:before="5"/>
              <w:ind w:left="290" w:right="241"/>
              <w:jc w:val="center"/>
              <w:rPr>
                <w:sz w:val="13"/>
              </w:rPr>
            </w:pPr>
            <w:r>
              <w:rPr>
                <w:w w:val="105"/>
                <w:sz w:val="13"/>
              </w:rPr>
              <w:t>1 967</w:t>
            </w:r>
          </w:p>
        </w:tc>
      </w:tr>
      <w:tr>
        <w:trPr>
          <w:trHeight w:val="174"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5"/>
              <w:jc w:val="center"/>
              <w:rPr>
                <w:sz w:val="13"/>
              </w:rPr>
            </w:pPr>
            <w:r>
              <w:rPr>
                <w:w w:val="105"/>
                <w:sz w:val="13"/>
              </w:rPr>
              <w:t>050</w:t>
            </w:r>
          </w:p>
        </w:tc>
        <w:tc>
          <w:tcPr>
            <w:tcW w:w="1897" w:type="dxa"/>
          </w:tcPr>
          <w:p>
            <w:pPr>
              <w:pStyle w:val="TableParagraph"/>
              <w:spacing w:before="5"/>
              <w:ind w:left="20"/>
              <w:rPr>
                <w:sz w:val="13"/>
              </w:rPr>
            </w:pPr>
            <w:r>
              <w:rPr>
                <w:w w:val="105"/>
                <w:sz w:val="13"/>
              </w:rPr>
              <w:t>Juchitepec</w:t>
            </w:r>
          </w:p>
        </w:tc>
        <w:tc>
          <w:tcPr>
            <w:tcW w:w="1401" w:type="dxa"/>
          </w:tcPr>
          <w:p>
            <w:pPr>
              <w:pStyle w:val="TableParagraph"/>
              <w:spacing w:before="5"/>
              <w:ind w:right="267"/>
              <w:jc w:val="right"/>
              <w:rPr>
                <w:sz w:val="13"/>
              </w:rPr>
            </w:pPr>
            <w:r>
              <w:rPr>
                <w:w w:val="105"/>
                <w:sz w:val="13"/>
              </w:rPr>
              <w:t>23 497</w:t>
            </w:r>
          </w:p>
        </w:tc>
        <w:tc>
          <w:tcPr>
            <w:tcW w:w="1115" w:type="dxa"/>
          </w:tcPr>
          <w:p>
            <w:pPr>
              <w:pStyle w:val="TableParagraph"/>
              <w:spacing w:before="5"/>
              <w:ind w:right="18"/>
              <w:jc w:val="right"/>
              <w:rPr>
                <w:sz w:val="13"/>
              </w:rPr>
            </w:pPr>
            <w:r>
              <w:rPr>
                <w:w w:val="105"/>
                <w:sz w:val="13"/>
              </w:rPr>
              <w:t>-0.86574</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17.890</w:t>
            </w:r>
          </w:p>
        </w:tc>
        <w:tc>
          <w:tcPr>
            <w:tcW w:w="1161" w:type="dxa"/>
          </w:tcPr>
          <w:p>
            <w:pPr>
              <w:pStyle w:val="TableParagraph"/>
              <w:spacing w:before="5"/>
              <w:ind w:right="456"/>
              <w:jc w:val="right"/>
              <w:rPr>
                <w:sz w:val="13"/>
              </w:rPr>
            </w:pPr>
            <w:r>
              <w:rPr>
                <w:w w:val="105"/>
                <w:sz w:val="13"/>
              </w:rPr>
              <w:t>61</w:t>
            </w:r>
          </w:p>
        </w:tc>
        <w:tc>
          <w:tcPr>
            <w:tcW w:w="943" w:type="dxa"/>
          </w:tcPr>
          <w:p>
            <w:pPr>
              <w:pStyle w:val="TableParagraph"/>
              <w:spacing w:before="5"/>
              <w:ind w:left="290" w:right="241"/>
              <w:jc w:val="center"/>
              <w:rPr>
                <w:sz w:val="13"/>
              </w:rPr>
            </w:pPr>
            <w:r>
              <w:rPr>
                <w:w w:val="105"/>
                <w:sz w:val="13"/>
              </w:rPr>
              <w:t>1 928</w:t>
            </w:r>
          </w:p>
        </w:tc>
      </w:tr>
      <w:tr>
        <w:trPr>
          <w:trHeight w:val="174"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059</w:t>
            </w:r>
          </w:p>
        </w:tc>
        <w:tc>
          <w:tcPr>
            <w:tcW w:w="1897" w:type="dxa"/>
            <w:shd w:val="clear" w:color="auto" w:fill="F1DCDB"/>
          </w:tcPr>
          <w:p>
            <w:pPr>
              <w:pStyle w:val="TableParagraph"/>
              <w:spacing w:before="5"/>
              <w:ind w:left="20"/>
              <w:rPr>
                <w:sz w:val="13"/>
              </w:rPr>
            </w:pPr>
            <w:r>
              <w:rPr>
                <w:w w:val="105"/>
                <w:sz w:val="13"/>
              </w:rPr>
              <w:t>Nextlalpan</w:t>
            </w:r>
          </w:p>
        </w:tc>
        <w:tc>
          <w:tcPr>
            <w:tcW w:w="1401" w:type="dxa"/>
            <w:shd w:val="clear" w:color="auto" w:fill="F1DCDB"/>
          </w:tcPr>
          <w:p>
            <w:pPr>
              <w:pStyle w:val="TableParagraph"/>
              <w:spacing w:before="5"/>
              <w:ind w:right="267"/>
              <w:jc w:val="right"/>
              <w:rPr>
                <w:sz w:val="13"/>
              </w:rPr>
            </w:pPr>
            <w:r>
              <w:rPr>
                <w:w w:val="105"/>
                <w:sz w:val="13"/>
              </w:rPr>
              <w:t>34 374</w:t>
            </w:r>
          </w:p>
        </w:tc>
        <w:tc>
          <w:tcPr>
            <w:tcW w:w="1115" w:type="dxa"/>
            <w:shd w:val="clear" w:color="auto" w:fill="F1DCDB"/>
          </w:tcPr>
          <w:p>
            <w:pPr>
              <w:pStyle w:val="TableParagraph"/>
              <w:spacing w:before="5"/>
              <w:ind w:right="17"/>
              <w:jc w:val="right"/>
              <w:rPr>
                <w:sz w:val="13"/>
              </w:rPr>
            </w:pPr>
            <w:r>
              <w:rPr>
                <w:w w:val="105"/>
                <w:sz w:val="13"/>
              </w:rPr>
              <w:t>-1.11690</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15.052</w:t>
            </w:r>
          </w:p>
        </w:tc>
        <w:tc>
          <w:tcPr>
            <w:tcW w:w="1161" w:type="dxa"/>
            <w:shd w:val="clear" w:color="auto" w:fill="F1DCDB"/>
          </w:tcPr>
          <w:p>
            <w:pPr>
              <w:pStyle w:val="TableParagraph"/>
              <w:spacing w:before="5"/>
              <w:ind w:right="456"/>
              <w:jc w:val="right"/>
              <w:rPr>
                <w:sz w:val="13"/>
              </w:rPr>
            </w:pPr>
            <w:r>
              <w:rPr>
                <w:w w:val="105"/>
                <w:sz w:val="13"/>
              </w:rPr>
              <w:t>73</w:t>
            </w:r>
          </w:p>
        </w:tc>
        <w:tc>
          <w:tcPr>
            <w:tcW w:w="943" w:type="dxa"/>
            <w:shd w:val="clear" w:color="auto" w:fill="F1DCDB"/>
          </w:tcPr>
          <w:p>
            <w:pPr>
              <w:pStyle w:val="TableParagraph"/>
              <w:spacing w:before="5"/>
              <w:ind w:left="298" w:right="229"/>
              <w:jc w:val="center"/>
              <w:rPr>
                <w:sz w:val="13"/>
              </w:rPr>
            </w:pPr>
            <w:r>
              <w:rPr>
                <w:w w:val="105"/>
                <w:sz w:val="13"/>
              </w:rPr>
              <w:t>2 111</w:t>
            </w:r>
          </w:p>
        </w:tc>
      </w:tr>
      <w:tr>
        <w:trPr>
          <w:trHeight w:val="174"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5"/>
              <w:jc w:val="center"/>
              <w:rPr>
                <w:sz w:val="13"/>
              </w:rPr>
            </w:pPr>
            <w:r>
              <w:rPr>
                <w:w w:val="105"/>
                <w:sz w:val="13"/>
              </w:rPr>
              <w:t>061</w:t>
            </w:r>
          </w:p>
        </w:tc>
        <w:tc>
          <w:tcPr>
            <w:tcW w:w="1897" w:type="dxa"/>
          </w:tcPr>
          <w:p>
            <w:pPr>
              <w:pStyle w:val="TableParagraph"/>
              <w:spacing w:before="5"/>
              <w:ind w:left="20"/>
              <w:rPr>
                <w:sz w:val="13"/>
              </w:rPr>
            </w:pPr>
            <w:r>
              <w:rPr>
                <w:w w:val="105"/>
                <w:sz w:val="13"/>
              </w:rPr>
              <w:t>Nopaltepec</w:t>
            </w:r>
          </w:p>
        </w:tc>
        <w:tc>
          <w:tcPr>
            <w:tcW w:w="1401" w:type="dxa"/>
          </w:tcPr>
          <w:p>
            <w:pPr>
              <w:pStyle w:val="TableParagraph"/>
              <w:spacing w:before="5"/>
              <w:ind w:right="266"/>
              <w:jc w:val="right"/>
              <w:rPr>
                <w:sz w:val="13"/>
              </w:rPr>
            </w:pPr>
            <w:r>
              <w:rPr>
                <w:w w:val="105"/>
                <w:sz w:val="13"/>
              </w:rPr>
              <w:t>8 895</w:t>
            </w:r>
          </w:p>
        </w:tc>
        <w:tc>
          <w:tcPr>
            <w:tcW w:w="1115" w:type="dxa"/>
          </w:tcPr>
          <w:p>
            <w:pPr>
              <w:pStyle w:val="TableParagraph"/>
              <w:spacing w:before="5"/>
              <w:ind w:right="18"/>
              <w:jc w:val="right"/>
              <w:rPr>
                <w:sz w:val="13"/>
              </w:rPr>
            </w:pPr>
            <w:r>
              <w:rPr>
                <w:w w:val="105"/>
                <w:sz w:val="13"/>
              </w:rPr>
              <w:t>-0.70631</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19.691</w:t>
            </w:r>
          </w:p>
        </w:tc>
        <w:tc>
          <w:tcPr>
            <w:tcW w:w="1161" w:type="dxa"/>
          </w:tcPr>
          <w:p>
            <w:pPr>
              <w:pStyle w:val="TableParagraph"/>
              <w:spacing w:before="5"/>
              <w:ind w:right="456"/>
              <w:jc w:val="right"/>
              <w:rPr>
                <w:sz w:val="13"/>
              </w:rPr>
            </w:pPr>
            <w:r>
              <w:rPr>
                <w:w w:val="105"/>
                <w:sz w:val="13"/>
              </w:rPr>
              <w:t>52</w:t>
            </w:r>
          </w:p>
        </w:tc>
        <w:tc>
          <w:tcPr>
            <w:tcW w:w="943" w:type="dxa"/>
          </w:tcPr>
          <w:p>
            <w:pPr>
              <w:pStyle w:val="TableParagraph"/>
              <w:spacing w:before="5"/>
              <w:ind w:left="290" w:right="241"/>
              <w:jc w:val="center"/>
              <w:rPr>
                <w:sz w:val="13"/>
              </w:rPr>
            </w:pPr>
            <w:r>
              <w:rPr>
                <w:w w:val="105"/>
                <w:sz w:val="13"/>
              </w:rPr>
              <w:t>1 799</w:t>
            </w:r>
          </w:p>
        </w:tc>
      </w:tr>
      <w:tr>
        <w:trPr>
          <w:trHeight w:val="174"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065</w:t>
            </w:r>
          </w:p>
        </w:tc>
        <w:tc>
          <w:tcPr>
            <w:tcW w:w="1897" w:type="dxa"/>
            <w:shd w:val="clear" w:color="auto" w:fill="F1DCDB"/>
          </w:tcPr>
          <w:p>
            <w:pPr>
              <w:pStyle w:val="TableParagraph"/>
              <w:spacing w:before="5"/>
              <w:ind w:left="20"/>
              <w:rPr>
                <w:sz w:val="13"/>
              </w:rPr>
            </w:pPr>
            <w:r>
              <w:rPr>
                <w:w w:val="105"/>
                <w:sz w:val="13"/>
              </w:rPr>
              <w:t>Otumba</w:t>
            </w:r>
          </w:p>
        </w:tc>
        <w:tc>
          <w:tcPr>
            <w:tcW w:w="1401" w:type="dxa"/>
            <w:shd w:val="clear" w:color="auto" w:fill="F1DCDB"/>
          </w:tcPr>
          <w:p>
            <w:pPr>
              <w:pStyle w:val="TableParagraph"/>
              <w:spacing w:before="5"/>
              <w:ind w:right="267"/>
              <w:jc w:val="right"/>
              <w:rPr>
                <w:sz w:val="13"/>
              </w:rPr>
            </w:pPr>
            <w:r>
              <w:rPr>
                <w:w w:val="105"/>
                <w:sz w:val="13"/>
              </w:rPr>
              <w:t>34 232</w:t>
            </w:r>
          </w:p>
        </w:tc>
        <w:tc>
          <w:tcPr>
            <w:tcW w:w="1115" w:type="dxa"/>
            <w:shd w:val="clear" w:color="auto" w:fill="F1DCDB"/>
          </w:tcPr>
          <w:p>
            <w:pPr>
              <w:pStyle w:val="TableParagraph"/>
              <w:spacing w:before="5"/>
              <w:ind w:right="18"/>
              <w:jc w:val="right"/>
              <w:rPr>
                <w:sz w:val="13"/>
              </w:rPr>
            </w:pPr>
            <w:r>
              <w:rPr>
                <w:w w:val="105"/>
                <w:sz w:val="13"/>
              </w:rPr>
              <w:t>-0.81335</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18.482</w:t>
            </w:r>
          </w:p>
        </w:tc>
        <w:tc>
          <w:tcPr>
            <w:tcW w:w="1161" w:type="dxa"/>
            <w:shd w:val="clear" w:color="auto" w:fill="F1DCDB"/>
          </w:tcPr>
          <w:p>
            <w:pPr>
              <w:pStyle w:val="TableParagraph"/>
              <w:spacing w:before="5"/>
              <w:ind w:right="456"/>
              <w:jc w:val="right"/>
              <w:rPr>
                <w:sz w:val="13"/>
              </w:rPr>
            </w:pPr>
            <w:r>
              <w:rPr>
                <w:w w:val="105"/>
                <w:sz w:val="13"/>
              </w:rPr>
              <w:t>59</w:t>
            </w:r>
          </w:p>
        </w:tc>
        <w:tc>
          <w:tcPr>
            <w:tcW w:w="943" w:type="dxa"/>
            <w:shd w:val="clear" w:color="auto" w:fill="F1DCDB"/>
          </w:tcPr>
          <w:p>
            <w:pPr>
              <w:pStyle w:val="TableParagraph"/>
              <w:spacing w:before="5"/>
              <w:ind w:left="290" w:right="241"/>
              <w:jc w:val="center"/>
              <w:rPr>
                <w:sz w:val="13"/>
              </w:rPr>
            </w:pPr>
            <w:r>
              <w:rPr>
                <w:w w:val="105"/>
                <w:sz w:val="13"/>
              </w:rPr>
              <w:t>1 886</w:t>
            </w:r>
          </w:p>
        </w:tc>
      </w:tr>
      <w:tr>
        <w:trPr>
          <w:trHeight w:val="173"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5"/>
              <w:jc w:val="center"/>
              <w:rPr>
                <w:sz w:val="13"/>
              </w:rPr>
            </w:pPr>
            <w:r>
              <w:rPr>
                <w:w w:val="105"/>
                <w:sz w:val="13"/>
              </w:rPr>
              <w:t>068</w:t>
            </w:r>
          </w:p>
        </w:tc>
        <w:tc>
          <w:tcPr>
            <w:tcW w:w="1897" w:type="dxa"/>
          </w:tcPr>
          <w:p>
            <w:pPr>
              <w:pStyle w:val="TableParagraph"/>
              <w:spacing w:before="5"/>
              <w:ind w:left="20"/>
              <w:rPr>
                <w:sz w:val="13"/>
              </w:rPr>
            </w:pPr>
            <w:r>
              <w:rPr>
                <w:w w:val="105"/>
                <w:sz w:val="13"/>
              </w:rPr>
              <w:t>Ozumba</w:t>
            </w:r>
          </w:p>
        </w:tc>
        <w:tc>
          <w:tcPr>
            <w:tcW w:w="1401" w:type="dxa"/>
          </w:tcPr>
          <w:p>
            <w:pPr>
              <w:pStyle w:val="TableParagraph"/>
              <w:spacing w:before="5"/>
              <w:ind w:right="267"/>
              <w:jc w:val="right"/>
              <w:rPr>
                <w:sz w:val="13"/>
              </w:rPr>
            </w:pPr>
            <w:r>
              <w:rPr>
                <w:w w:val="105"/>
                <w:sz w:val="13"/>
              </w:rPr>
              <w:t>27 207</w:t>
            </w:r>
          </w:p>
        </w:tc>
        <w:tc>
          <w:tcPr>
            <w:tcW w:w="1115" w:type="dxa"/>
          </w:tcPr>
          <w:p>
            <w:pPr>
              <w:pStyle w:val="TableParagraph"/>
              <w:spacing w:before="5"/>
              <w:ind w:right="18"/>
              <w:jc w:val="right"/>
              <w:rPr>
                <w:sz w:val="13"/>
              </w:rPr>
            </w:pPr>
            <w:r>
              <w:rPr>
                <w:w w:val="105"/>
                <w:sz w:val="13"/>
              </w:rPr>
              <w:t>-0.74845</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19.215</w:t>
            </w:r>
          </w:p>
        </w:tc>
        <w:tc>
          <w:tcPr>
            <w:tcW w:w="1161" w:type="dxa"/>
          </w:tcPr>
          <w:p>
            <w:pPr>
              <w:pStyle w:val="TableParagraph"/>
              <w:spacing w:before="5"/>
              <w:ind w:right="456"/>
              <w:jc w:val="right"/>
              <w:rPr>
                <w:sz w:val="13"/>
              </w:rPr>
            </w:pPr>
            <w:r>
              <w:rPr>
                <w:w w:val="105"/>
                <w:sz w:val="13"/>
              </w:rPr>
              <w:t>54</w:t>
            </w:r>
          </w:p>
        </w:tc>
        <w:tc>
          <w:tcPr>
            <w:tcW w:w="943" w:type="dxa"/>
          </w:tcPr>
          <w:p>
            <w:pPr>
              <w:pStyle w:val="TableParagraph"/>
              <w:spacing w:before="5"/>
              <w:ind w:left="290" w:right="241"/>
              <w:jc w:val="center"/>
              <w:rPr>
                <w:sz w:val="13"/>
              </w:rPr>
            </w:pPr>
            <w:r>
              <w:rPr>
                <w:w w:val="105"/>
                <w:sz w:val="13"/>
              </w:rPr>
              <w:t>1 827</w:t>
            </w:r>
          </w:p>
        </w:tc>
      </w:tr>
      <w:tr>
        <w:trPr>
          <w:trHeight w:val="175" w:hRule="exact"/>
        </w:trPr>
        <w:tc>
          <w:tcPr>
            <w:tcW w:w="1400" w:type="dxa"/>
            <w:shd w:val="clear" w:color="auto" w:fill="F1DCDB"/>
          </w:tcPr>
          <w:p>
            <w:pPr>
              <w:pStyle w:val="TableParagraph"/>
              <w:spacing w:before="6"/>
              <w:ind w:left="603" w:right="594"/>
              <w:jc w:val="center"/>
              <w:rPr>
                <w:sz w:val="13"/>
              </w:rPr>
            </w:pPr>
            <w:r>
              <w:rPr>
                <w:w w:val="105"/>
                <w:sz w:val="13"/>
              </w:rPr>
              <w:t>15</w:t>
            </w:r>
          </w:p>
        </w:tc>
        <w:tc>
          <w:tcPr>
            <w:tcW w:w="1401" w:type="dxa"/>
            <w:shd w:val="clear" w:color="auto" w:fill="F1DCDB"/>
          </w:tcPr>
          <w:p>
            <w:pPr>
              <w:pStyle w:val="TableParagraph"/>
              <w:spacing w:before="6"/>
              <w:ind w:left="34" w:right="25"/>
              <w:jc w:val="center"/>
              <w:rPr>
                <w:sz w:val="13"/>
              </w:rPr>
            </w:pPr>
            <w:r>
              <w:rPr>
                <w:w w:val="105"/>
                <w:sz w:val="13"/>
              </w:rPr>
              <w:t>069</w:t>
            </w:r>
          </w:p>
        </w:tc>
        <w:tc>
          <w:tcPr>
            <w:tcW w:w="1897" w:type="dxa"/>
            <w:shd w:val="clear" w:color="auto" w:fill="F1DCDB"/>
          </w:tcPr>
          <w:p>
            <w:pPr>
              <w:pStyle w:val="TableParagraph"/>
              <w:spacing w:before="6"/>
              <w:ind w:left="20"/>
              <w:rPr>
                <w:sz w:val="13"/>
              </w:rPr>
            </w:pPr>
            <w:r>
              <w:rPr>
                <w:w w:val="105"/>
                <w:sz w:val="13"/>
              </w:rPr>
              <w:t>Papalotla</w:t>
            </w:r>
          </w:p>
        </w:tc>
        <w:tc>
          <w:tcPr>
            <w:tcW w:w="1401" w:type="dxa"/>
            <w:shd w:val="clear" w:color="auto" w:fill="F1DCDB"/>
          </w:tcPr>
          <w:p>
            <w:pPr>
              <w:pStyle w:val="TableParagraph"/>
              <w:spacing w:before="6"/>
              <w:ind w:right="266"/>
              <w:jc w:val="right"/>
              <w:rPr>
                <w:sz w:val="13"/>
              </w:rPr>
            </w:pPr>
            <w:r>
              <w:rPr>
                <w:w w:val="105"/>
                <w:sz w:val="13"/>
              </w:rPr>
              <w:t>4 147</w:t>
            </w:r>
          </w:p>
        </w:tc>
        <w:tc>
          <w:tcPr>
            <w:tcW w:w="1115" w:type="dxa"/>
            <w:shd w:val="clear" w:color="auto" w:fill="F1DCDB"/>
          </w:tcPr>
          <w:p>
            <w:pPr>
              <w:pStyle w:val="TableParagraph"/>
              <w:spacing w:before="6"/>
              <w:ind w:right="18"/>
              <w:jc w:val="right"/>
              <w:rPr>
                <w:sz w:val="13"/>
              </w:rPr>
            </w:pPr>
            <w:r>
              <w:rPr>
                <w:w w:val="105"/>
                <w:sz w:val="13"/>
              </w:rPr>
              <w:t>-1.13023</w:t>
            </w:r>
          </w:p>
        </w:tc>
        <w:tc>
          <w:tcPr>
            <w:tcW w:w="1081" w:type="dxa"/>
            <w:shd w:val="clear" w:color="auto" w:fill="F1DCDB"/>
          </w:tcPr>
          <w:p>
            <w:pPr>
              <w:pStyle w:val="TableParagraph"/>
              <w:spacing w:before="6"/>
              <w:ind w:left="367" w:right="355"/>
              <w:jc w:val="center"/>
              <w:rPr>
                <w:sz w:val="13"/>
              </w:rPr>
            </w:pPr>
            <w:r>
              <w:rPr>
                <w:w w:val="105"/>
                <w:sz w:val="13"/>
              </w:rPr>
              <w:t>Bajo</w:t>
            </w:r>
          </w:p>
        </w:tc>
        <w:tc>
          <w:tcPr>
            <w:tcW w:w="1140" w:type="dxa"/>
            <w:shd w:val="clear" w:color="auto" w:fill="F1DCDB"/>
          </w:tcPr>
          <w:p>
            <w:pPr>
              <w:pStyle w:val="TableParagraph"/>
              <w:spacing w:before="6"/>
              <w:ind w:left="439"/>
              <w:rPr>
                <w:sz w:val="13"/>
              </w:rPr>
            </w:pPr>
            <w:r>
              <w:rPr>
                <w:w w:val="105"/>
                <w:sz w:val="13"/>
              </w:rPr>
              <w:t>14.901</w:t>
            </w:r>
          </w:p>
        </w:tc>
        <w:tc>
          <w:tcPr>
            <w:tcW w:w="1161" w:type="dxa"/>
            <w:shd w:val="clear" w:color="auto" w:fill="F1DCDB"/>
          </w:tcPr>
          <w:p>
            <w:pPr>
              <w:pStyle w:val="TableParagraph"/>
              <w:spacing w:before="6"/>
              <w:ind w:right="456"/>
              <w:jc w:val="right"/>
              <w:rPr>
                <w:sz w:val="13"/>
              </w:rPr>
            </w:pPr>
            <w:r>
              <w:rPr>
                <w:w w:val="105"/>
                <w:sz w:val="13"/>
              </w:rPr>
              <w:t>74</w:t>
            </w:r>
          </w:p>
        </w:tc>
        <w:tc>
          <w:tcPr>
            <w:tcW w:w="943" w:type="dxa"/>
            <w:shd w:val="clear" w:color="auto" w:fill="F1DCDB"/>
          </w:tcPr>
          <w:p>
            <w:pPr>
              <w:pStyle w:val="TableParagraph"/>
              <w:spacing w:before="6"/>
              <w:ind w:left="290" w:right="241"/>
              <w:jc w:val="center"/>
              <w:rPr>
                <w:sz w:val="13"/>
              </w:rPr>
            </w:pPr>
            <w:r>
              <w:rPr>
                <w:w w:val="105"/>
                <w:sz w:val="13"/>
              </w:rPr>
              <w:t>2 122</w:t>
            </w:r>
          </w:p>
        </w:tc>
      </w:tr>
      <w:tr>
        <w:trPr>
          <w:trHeight w:val="173"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5"/>
              <w:jc w:val="center"/>
              <w:rPr>
                <w:sz w:val="13"/>
              </w:rPr>
            </w:pPr>
            <w:r>
              <w:rPr>
                <w:w w:val="105"/>
                <w:sz w:val="13"/>
              </w:rPr>
              <w:t>070</w:t>
            </w:r>
          </w:p>
        </w:tc>
        <w:tc>
          <w:tcPr>
            <w:tcW w:w="1897" w:type="dxa"/>
          </w:tcPr>
          <w:p>
            <w:pPr>
              <w:pStyle w:val="TableParagraph"/>
              <w:spacing w:before="5"/>
              <w:ind w:left="20"/>
              <w:rPr>
                <w:sz w:val="13"/>
              </w:rPr>
            </w:pPr>
            <w:r>
              <w:rPr>
                <w:w w:val="105"/>
                <w:sz w:val="13"/>
              </w:rPr>
              <w:t>La Paz</w:t>
            </w:r>
          </w:p>
        </w:tc>
        <w:tc>
          <w:tcPr>
            <w:tcW w:w="1401" w:type="dxa"/>
          </w:tcPr>
          <w:p>
            <w:pPr>
              <w:pStyle w:val="TableParagraph"/>
              <w:spacing w:before="5"/>
              <w:ind w:right="268"/>
              <w:jc w:val="right"/>
              <w:rPr>
                <w:sz w:val="13"/>
              </w:rPr>
            </w:pPr>
            <w:r>
              <w:rPr>
                <w:w w:val="105"/>
                <w:sz w:val="13"/>
              </w:rPr>
              <w:t>253 845</w:t>
            </w:r>
          </w:p>
        </w:tc>
        <w:tc>
          <w:tcPr>
            <w:tcW w:w="1115" w:type="dxa"/>
          </w:tcPr>
          <w:p>
            <w:pPr>
              <w:pStyle w:val="TableParagraph"/>
              <w:spacing w:before="5"/>
              <w:ind w:right="18"/>
              <w:jc w:val="right"/>
              <w:rPr>
                <w:sz w:val="13"/>
              </w:rPr>
            </w:pPr>
            <w:r>
              <w:rPr>
                <w:w w:val="105"/>
                <w:sz w:val="13"/>
              </w:rPr>
              <w:t>-1.22106</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13.875</w:t>
            </w:r>
          </w:p>
        </w:tc>
        <w:tc>
          <w:tcPr>
            <w:tcW w:w="1161" w:type="dxa"/>
          </w:tcPr>
          <w:p>
            <w:pPr>
              <w:pStyle w:val="TableParagraph"/>
              <w:spacing w:before="5"/>
              <w:ind w:right="456"/>
              <w:jc w:val="right"/>
              <w:rPr>
                <w:sz w:val="13"/>
              </w:rPr>
            </w:pPr>
            <w:r>
              <w:rPr>
                <w:w w:val="105"/>
                <w:sz w:val="13"/>
              </w:rPr>
              <w:t>85</w:t>
            </w:r>
          </w:p>
        </w:tc>
        <w:tc>
          <w:tcPr>
            <w:tcW w:w="943" w:type="dxa"/>
          </w:tcPr>
          <w:p>
            <w:pPr>
              <w:pStyle w:val="TableParagraph"/>
              <w:spacing w:before="5"/>
              <w:ind w:left="290" w:right="241"/>
              <w:jc w:val="center"/>
              <w:rPr>
                <w:sz w:val="13"/>
              </w:rPr>
            </w:pPr>
            <w:r>
              <w:rPr>
                <w:w w:val="105"/>
                <w:sz w:val="13"/>
              </w:rPr>
              <w:t>2 180</w:t>
            </w:r>
          </w:p>
        </w:tc>
      </w:tr>
      <w:tr>
        <w:trPr>
          <w:trHeight w:val="175"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075</w:t>
            </w:r>
          </w:p>
        </w:tc>
        <w:tc>
          <w:tcPr>
            <w:tcW w:w="1897" w:type="dxa"/>
            <w:shd w:val="clear" w:color="auto" w:fill="F1DCDB"/>
          </w:tcPr>
          <w:p>
            <w:pPr>
              <w:pStyle w:val="TableParagraph"/>
              <w:spacing w:before="5"/>
              <w:ind w:left="20"/>
              <w:rPr>
                <w:sz w:val="13"/>
              </w:rPr>
            </w:pPr>
            <w:r>
              <w:rPr>
                <w:w w:val="105"/>
                <w:sz w:val="13"/>
              </w:rPr>
              <w:t>San Martín de las Pirámides</w:t>
            </w:r>
          </w:p>
        </w:tc>
        <w:tc>
          <w:tcPr>
            <w:tcW w:w="1401" w:type="dxa"/>
            <w:shd w:val="clear" w:color="auto" w:fill="F1DCDB"/>
          </w:tcPr>
          <w:p>
            <w:pPr>
              <w:pStyle w:val="TableParagraph"/>
              <w:spacing w:before="5"/>
              <w:ind w:right="267"/>
              <w:jc w:val="right"/>
              <w:rPr>
                <w:sz w:val="13"/>
              </w:rPr>
            </w:pPr>
            <w:r>
              <w:rPr>
                <w:w w:val="105"/>
                <w:sz w:val="13"/>
              </w:rPr>
              <w:t>24 851</w:t>
            </w:r>
          </w:p>
        </w:tc>
        <w:tc>
          <w:tcPr>
            <w:tcW w:w="1115" w:type="dxa"/>
            <w:shd w:val="clear" w:color="auto" w:fill="F1DCDB"/>
          </w:tcPr>
          <w:p>
            <w:pPr>
              <w:pStyle w:val="TableParagraph"/>
              <w:spacing w:before="5"/>
              <w:ind w:right="18"/>
              <w:jc w:val="right"/>
              <w:rPr>
                <w:sz w:val="13"/>
              </w:rPr>
            </w:pPr>
            <w:r>
              <w:rPr>
                <w:w w:val="105"/>
                <w:sz w:val="13"/>
              </w:rPr>
              <w:t>-1.14975</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14.681</w:t>
            </w:r>
          </w:p>
        </w:tc>
        <w:tc>
          <w:tcPr>
            <w:tcW w:w="1161" w:type="dxa"/>
            <w:shd w:val="clear" w:color="auto" w:fill="F1DCDB"/>
          </w:tcPr>
          <w:p>
            <w:pPr>
              <w:pStyle w:val="TableParagraph"/>
              <w:spacing w:before="5"/>
              <w:ind w:right="456"/>
              <w:jc w:val="right"/>
              <w:rPr>
                <w:sz w:val="13"/>
              </w:rPr>
            </w:pPr>
            <w:r>
              <w:rPr>
                <w:w w:val="105"/>
                <w:sz w:val="13"/>
              </w:rPr>
              <w:t>77</w:t>
            </w:r>
          </w:p>
        </w:tc>
        <w:tc>
          <w:tcPr>
            <w:tcW w:w="943" w:type="dxa"/>
            <w:shd w:val="clear" w:color="auto" w:fill="F1DCDB"/>
          </w:tcPr>
          <w:p>
            <w:pPr>
              <w:pStyle w:val="TableParagraph"/>
              <w:spacing w:before="5"/>
              <w:ind w:left="290" w:right="241"/>
              <w:jc w:val="center"/>
              <w:rPr>
                <w:sz w:val="13"/>
              </w:rPr>
            </w:pPr>
            <w:r>
              <w:rPr>
                <w:w w:val="105"/>
                <w:sz w:val="13"/>
              </w:rPr>
              <w:t>2 135</w:t>
            </w:r>
          </w:p>
        </w:tc>
      </w:tr>
      <w:tr>
        <w:trPr>
          <w:trHeight w:val="173" w:hRule="exact"/>
        </w:trPr>
        <w:tc>
          <w:tcPr>
            <w:tcW w:w="1400" w:type="dxa"/>
          </w:tcPr>
          <w:p>
            <w:pPr>
              <w:pStyle w:val="TableParagraph"/>
              <w:spacing w:before="5"/>
              <w:ind w:left="603" w:right="594"/>
              <w:jc w:val="center"/>
              <w:rPr>
                <w:sz w:val="13"/>
              </w:rPr>
            </w:pPr>
            <w:r>
              <w:rPr>
                <w:w w:val="105"/>
                <w:sz w:val="13"/>
              </w:rPr>
              <w:t>15</w:t>
            </w:r>
          </w:p>
        </w:tc>
        <w:tc>
          <w:tcPr>
            <w:tcW w:w="1401" w:type="dxa"/>
          </w:tcPr>
          <w:p>
            <w:pPr>
              <w:pStyle w:val="TableParagraph"/>
              <w:spacing w:before="5"/>
              <w:ind w:left="34" w:right="25"/>
              <w:jc w:val="center"/>
              <w:rPr>
                <w:sz w:val="13"/>
              </w:rPr>
            </w:pPr>
            <w:r>
              <w:rPr>
                <w:w w:val="105"/>
                <w:sz w:val="13"/>
              </w:rPr>
              <w:t>083</w:t>
            </w:r>
          </w:p>
        </w:tc>
        <w:tc>
          <w:tcPr>
            <w:tcW w:w="1897" w:type="dxa"/>
          </w:tcPr>
          <w:p>
            <w:pPr>
              <w:pStyle w:val="TableParagraph"/>
              <w:spacing w:before="5"/>
              <w:ind w:left="20"/>
              <w:rPr>
                <w:sz w:val="13"/>
              </w:rPr>
            </w:pPr>
            <w:r>
              <w:rPr>
                <w:w w:val="105"/>
                <w:sz w:val="13"/>
              </w:rPr>
              <w:t>Temamatla</w:t>
            </w:r>
          </w:p>
        </w:tc>
        <w:tc>
          <w:tcPr>
            <w:tcW w:w="1401" w:type="dxa"/>
          </w:tcPr>
          <w:p>
            <w:pPr>
              <w:pStyle w:val="TableParagraph"/>
              <w:spacing w:before="5"/>
              <w:ind w:right="265"/>
              <w:jc w:val="right"/>
              <w:rPr>
                <w:sz w:val="13"/>
              </w:rPr>
            </w:pPr>
            <w:r>
              <w:rPr>
                <w:w w:val="105"/>
                <w:sz w:val="13"/>
              </w:rPr>
              <w:t>11 206</w:t>
            </w:r>
          </w:p>
        </w:tc>
        <w:tc>
          <w:tcPr>
            <w:tcW w:w="1115" w:type="dxa"/>
          </w:tcPr>
          <w:p>
            <w:pPr>
              <w:pStyle w:val="TableParagraph"/>
              <w:spacing w:before="5"/>
              <w:ind w:right="18"/>
              <w:jc w:val="right"/>
              <w:rPr>
                <w:sz w:val="13"/>
              </w:rPr>
            </w:pPr>
            <w:r>
              <w:rPr>
                <w:w w:val="105"/>
                <w:sz w:val="13"/>
              </w:rPr>
              <w:t>-1.15380</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14.635</w:t>
            </w:r>
          </w:p>
        </w:tc>
        <w:tc>
          <w:tcPr>
            <w:tcW w:w="1161" w:type="dxa"/>
          </w:tcPr>
          <w:p>
            <w:pPr>
              <w:pStyle w:val="TableParagraph"/>
              <w:spacing w:before="5"/>
              <w:ind w:right="456"/>
              <w:jc w:val="right"/>
              <w:rPr>
                <w:sz w:val="13"/>
              </w:rPr>
            </w:pPr>
            <w:r>
              <w:rPr>
                <w:w w:val="105"/>
                <w:sz w:val="13"/>
              </w:rPr>
              <w:t>78</w:t>
            </w:r>
          </w:p>
        </w:tc>
        <w:tc>
          <w:tcPr>
            <w:tcW w:w="943" w:type="dxa"/>
          </w:tcPr>
          <w:p>
            <w:pPr>
              <w:pStyle w:val="TableParagraph"/>
              <w:spacing w:before="5"/>
              <w:ind w:left="290" w:right="241"/>
              <w:jc w:val="center"/>
              <w:rPr>
                <w:sz w:val="13"/>
              </w:rPr>
            </w:pPr>
            <w:r>
              <w:rPr>
                <w:w w:val="105"/>
                <w:sz w:val="13"/>
              </w:rPr>
              <w:t>2 137</w:t>
            </w:r>
          </w:p>
        </w:tc>
      </w:tr>
      <w:tr>
        <w:trPr>
          <w:trHeight w:val="174" w:hRule="exact"/>
        </w:trPr>
        <w:tc>
          <w:tcPr>
            <w:tcW w:w="1400" w:type="dxa"/>
            <w:shd w:val="clear" w:color="auto" w:fill="F1DCDB"/>
          </w:tcPr>
          <w:p>
            <w:pPr>
              <w:pStyle w:val="TableParagraph"/>
              <w:spacing w:before="5"/>
              <w:ind w:left="603" w:right="594"/>
              <w:jc w:val="center"/>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084</w:t>
            </w:r>
          </w:p>
        </w:tc>
        <w:tc>
          <w:tcPr>
            <w:tcW w:w="1897" w:type="dxa"/>
            <w:shd w:val="clear" w:color="auto" w:fill="F1DCDB"/>
          </w:tcPr>
          <w:p>
            <w:pPr>
              <w:pStyle w:val="TableParagraph"/>
              <w:spacing w:before="5"/>
              <w:ind w:left="20"/>
              <w:rPr>
                <w:sz w:val="13"/>
              </w:rPr>
            </w:pPr>
            <w:r>
              <w:rPr>
                <w:w w:val="105"/>
                <w:sz w:val="13"/>
              </w:rPr>
              <w:t>Temascalapa</w:t>
            </w:r>
          </w:p>
        </w:tc>
        <w:tc>
          <w:tcPr>
            <w:tcW w:w="1401" w:type="dxa"/>
            <w:shd w:val="clear" w:color="auto" w:fill="F1DCDB"/>
          </w:tcPr>
          <w:p>
            <w:pPr>
              <w:pStyle w:val="TableParagraph"/>
              <w:spacing w:before="5"/>
              <w:ind w:right="267"/>
              <w:jc w:val="right"/>
              <w:rPr>
                <w:sz w:val="13"/>
              </w:rPr>
            </w:pPr>
            <w:r>
              <w:rPr>
                <w:w w:val="105"/>
                <w:sz w:val="13"/>
              </w:rPr>
              <w:t>35 987</w:t>
            </w:r>
          </w:p>
        </w:tc>
        <w:tc>
          <w:tcPr>
            <w:tcW w:w="1115" w:type="dxa"/>
            <w:shd w:val="clear" w:color="auto" w:fill="F1DCDB"/>
          </w:tcPr>
          <w:p>
            <w:pPr>
              <w:pStyle w:val="TableParagraph"/>
              <w:spacing w:before="5"/>
              <w:ind w:right="18"/>
              <w:jc w:val="right"/>
              <w:rPr>
                <w:sz w:val="13"/>
              </w:rPr>
            </w:pPr>
            <w:r>
              <w:rPr>
                <w:w w:val="105"/>
                <w:sz w:val="13"/>
              </w:rPr>
              <w:t>-0.87029</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17.839</w:t>
            </w:r>
          </w:p>
        </w:tc>
        <w:tc>
          <w:tcPr>
            <w:tcW w:w="1161" w:type="dxa"/>
            <w:shd w:val="clear" w:color="auto" w:fill="F1DCDB"/>
          </w:tcPr>
          <w:p>
            <w:pPr>
              <w:pStyle w:val="TableParagraph"/>
              <w:spacing w:before="5"/>
              <w:ind w:right="456"/>
              <w:jc w:val="right"/>
              <w:rPr>
                <w:sz w:val="13"/>
              </w:rPr>
            </w:pPr>
            <w:r>
              <w:rPr>
                <w:w w:val="105"/>
                <w:sz w:val="13"/>
              </w:rPr>
              <w:t>62</w:t>
            </w:r>
          </w:p>
        </w:tc>
        <w:tc>
          <w:tcPr>
            <w:tcW w:w="943" w:type="dxa"/>
            <w:shd w:val="clear" w:color="auto" w:fill="F1DCDB"/>
          </w:tcPr>
          <w:p>
            <w:pPr>
              <w:pStyle w:val="TableParagraph"/>
              <w:spacing w:before="5"/>
              <w:ind w:left="290" w:right="241"/>
              <w:jc w:val="center"/>
              <w:rPr>
                <w:sz w:val="13"/>
              </w:rPr>
            </w:pPr>
            <w:r>
              <w:rPr>
                <w:w w:val="105"/>
                <w:sz w:val="13"/>
              </w:rPr>
              <w:t>1 930</w:t>
            </w:r>
          </w:p>
        </w:tc>
      </w:tr>
      <w:tr>
        <w:trPr>
          <w:trHeight w:val="174" w:hRule="exact"/>
        </w:trPr>
        <w:tc>
          <w:tcPr>
            <w:tcW w:w="1400" w:type="dxa"/>
          </w:tcPr>
          <w:p>
            <w:pPr>
              <w:pStyle w:val="TableParagraph"/>
              <w:spacing w:before="6"/>
              <w:ind w:left="603" w:right="594"/>
              <w:jc w:val="center"/>
              <w:rPr>
                <w:sz w:val="13"/>
              </w:rPr>
            </w:pPr>
            <w:r>
              <w:rPr>
                <w:w w:val="105"/>
                <w:sz w:val="13"/>
              </w:rPr>
              <w:t>15</w:t>
            </w:r>
          </w:p>
        </w:tc>
        <w:tc>
          <w:tcPr>
            <w:tcW w:w="1401" w:type="dxa"/>
          </w:tcPr>
          <w:p>
            <w:pPr>
              <w:pStyle w:val="TableParagraph"/>
              <w:spacing w:before="6"/>
              <w:ind w:left="34" w:right="25"/>
              <w:jc w:val="center"/>
              <w:rPr>
                <w:sz w:val="13"/>
              </w:rPr>
            </w:pPr>
            <w:r>
              <w:rPr>
                <w:w w:val="105"/>
                <w:sz w:val="13"/>
              </w:rPr>
              <w:t>089</w:t>
            </w:r>
          </w:p>
        </w:tc>
        <w:tc>
          <w:tcPr>
            <w:tcW w:w="1897" w:type="dxa"/>
          </w:tcPr>
          <w:p>
            <w:pPr>
              <w:pStyle w:val="TableParagraph"/>
              <w:spacing w:before="6"/>
              <w:ind w:left="20"/>
              <w:rPr>
                <w:sz w:val="13"/>
              </w:rPr>
            </w:pPr>
            <w:r>
              <w:rPr>
                <w:w w:val="105"/>
                <w:sz w:val="13"/>
              </w:rPr>
              <w:t>Tenango del Aire</w:t>
            </w:r>
          </w:p>
        </w:tc>
        <w:tc>
          <w:tcPr>
            <w:tcW w:w="1401" w:type="dxa"/>
          </w:tcPr>
          <w:p>
            <w:pPr>
              <w:pStyle w:val="TableParagraph"/>
              <w:spacing w:before="6"/>
              <w:ind w:right="267"/>
              <w:jc w:val="right"/>
              <w:rPr>
                <w:sz w:val="13"/>
              </w:rPr>
            </w:pPr>
            <w:r>
              <w:rPr>
                <w:w w:val="105"/>
                <w:sz w:val="13"/>
              </w:rPr>
              <w:t>10 578</w:t>
            </w:r>
          </w:p>
        </w:tc>
        <w:tc>
          <w:tcPr>
            <w:tcW w:w="1115" w:type="dxa"/>
          </w:tcPr>
          <w:p>
            <w:pPr>
              <w:pStyle w:val="TableParagraph"/>
              <w:spacing w:before="6"/>
              <w:ind w:right="17"/>
              <w:jc w:val="right"/>
              <w:rPr>
                <w:sz w:val="13"/>
              </w:rPr>
            </w:pPr>
            <w:r>
              <w:rPr>
                <w:w w:val="105"/>
                <w:sz w:val="13"/>
              </w:rPr>
              <w:t>-1.11649</w:t>
            </w:r>
          </w:p>
        </w:tc>
        <w:tc>
          <w:tcPr>
            <w:tcW w:w="1081" w:type="dxa"/>
          </w:tcPr>
          <w:p>
            <w:pPr>
              <w:pStyle w:val="TableParagraph"/>
              <w:spacing w:before="6"/>
              <w:ind w:left="367" w:right="355"/>
              <w:jc w:val="center"/>
              <w:rPr>
                <w:sz w:val="13"/>
              </w:rPr>
            </w:pPr>
            <w:r>
              <w:rPr>
                <w:w w:val="105"/>
                <w:sz w:val="13"/>
              </w:rPr>
              <w:t>Bajo</w:t>
            </w:r>
          </w:p>
        </w:tc>
        <w:tc>
          <w:tcPr>
            <w:tcW w:w="1140" w:type="dxa"/>
          </w:tcPr>
          <w:p>
            <w:pPr>
              <w:pStyle w:val="TableParagraph"/>
              <w:spacing w:before="6"/>
              <w:ind w:left="439"/>
              <w:rPr>
                <w:sz w:val="13"/>
              </w:rPr>
            </w:pPr>
            <w:r>
              <w:rPr>
                <w:w w:val="105"/>
                <w:sz w:val="13"/>
              </w:rPr>
              <w:t>15.057</w:t>
            </w:r>
          </w:p>
        </w:tc>
        <w:tc>
          <w:tcPr>
            <w:tcW w:w="1161" w:type="dxa"/>
          </w:tcPr>
          <w:p>
            <w:pPr>
              <w:pStyle w:val="TableParagraph"/>
              <w:spacing w:before="6"/>
              <w:ind w:right="456"/>
              <w:jc w:val="right"/>
              <w:rPr>
                <w:sz w:val="13"/>
              </w:rPr>
            </w:pPr>
            <w:r>
              <w:rPr>
                <w:w w:val="105"/>
                <w:sz w:val="13"/>
              </w:rPr>
              <w:t>72</w:t>
            </w:r>
          </w:p>
        </w:tc>
        <w:tc>
          <w:tcPr>
            <w:tcW w:w="943" w:type="dxa"/>
          </w:tcPr>
          <w:p>
            <w:pPr>
              <w:pStyle w:val="TableParagraph"/>
              <w:spacing w:before="6"/>
              <w:ind w:left="298" w:right="236"/>
              <w:jc w:val="center"/>
              <w:rPr>
                <w:sz w:val="13"/>
              </w:rPr>
            </w:pPr>
            <w:r>
              <w:rPr>
                <w:w w:val="105"/>
                <w:sz w:val="13"/>
              </w:rPr>
              <w:t>2 110</w:t>
            </w:r>
          </w:p>
        </w:tc>
      </w:tr>
    </w:tbl>
    <w:p>
      <w:pPr>
        <w:pStyle w:val="BodyText"/>
        <w:rPr>
          <w:b/>
          <w:sz w:val="20"/>
        </w:rPr>
      </w:pPr>
    </w:p>
    <w:p>
      <w:pPr>
        <w:pStyle w:val="BodyText"/>
        <w:rPr>
          <w:b/>
          <w:sz w:val="20"/>
        </w:rPr>
      </w:pPr>
    </w:p>
    <w:p>
      <w:pPr>
        <w:pStyle w:val="BodyText"/>
        <w:spacing w:before="7"/>
        <w:rPr>
          <w:b/>
          <w:sz w:val="20"/>
        </w:rPr>
      </w:pPr>
    </w:p>
    <w:p>
      <w:pPr>
        <w:spacing w:before="1"/>
        <w:ind w:left="222" w:right="0" w:firstLine="0"/>
        <w:jc w:val="left"/>
        <w:rPr>
          <w:sz w:val="20"/>
        </w:rPr>
      </w:pPr>
      <w:r>
        <w:rPr>
          <w:b/>
          <w:sz w:val="20"/>
        </w:rPr>
        <w:t>Fuente</w:t>
      </w:r>
      <w:r>
        <w:rPr>
          <w:sz w:val="20"/>
        </w:rPr>
        <w:t>: Estimaciones del CONEVAL con base en el Censo de Población y Vivienda 2010.</w:t>
      </w:r>
    </w:p>
    <w:p>
      <w:pPr>
        <w:spacing w:after="0"/>
        <w:jc w:val="left"/>
        <w:rPr>
          <w:sz w:val="20"/>
        </w:rPr>
        <w:sectPr>
          <w:pgSz w:w="15840" w:h="12240" w:orient="landscape"/>
          <w:pgMar w:header="0" w:footer="992" w:top="1140" w:bottom="1180" w:left="2060" w:right="2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spacing w:before="1"/>
        <w:ind w:left="2102"/>
      </w:pPr>
      <w:r>
        <w:rPr/>
        <w:t>Continuación.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spacing w:before="90" w:after="8"/>
        <w:ind w:left="3867" w:right="0" w:firstLine="0"/>
        <w:jc w:val="left"/>
        <w:rPr>
          <w:b/>
          <w:sz w:val="13"/>
        </w:rPr>
      </w:pPr>
      <w:r>
        <w:rPr>
          <w:b/>
          <w:w w:val="105"/>
          <w:sz w:val="13"/>
        </w:rPr>
        <w:t>Marginación. Municipios del Estado de México en Grado Bajo</w:t>
      </w:r>
    </w:p>
    <w:p>
      <w:pPr>
        <w:pStyle w:val="BodyText"/>
        <w:spacing w:line="20" w:lineRule="exact"/>
        <w:ind w:left="102"/>
        <w:rPr>
          <w:sz w:val="2"/>
        </w:rPr>
      </w:pPr>
      <w:r>
        <w:rPr>
          <w:sz w:val="2"/>
        </w:rPr>
        <w:pict>
          <v:group style="width:577.65pt;height:.550pt;mso-position-horizontal-relative:char;mso-position-vertical-relative:line" coordorigin="0,0" coordsize="11553,11">
            <v:shape style="position:absolute;left:6;top:6;width:11542;height:2" coordorigin="6,6" coordsize="11542,0" path="m6,6l6,6,11547,6e" filled="false" stroked="true" strokeweight=".528486pt" strokecolor="#000000">
              <v:path arrowok="t"/>
            </v:shape>
          </v:group>
        </w:pict>
      </w:r>
      <w:r>
        <w:rPr>
          <w:sz w:val="2"/>
        </w:rPr>
      </w:r>
    </w:p>
    <w:p>
      <w:pPr>
        <w:pStyle w:val="BodyText"/>
        <w:spacing w:before="6"/>
        <w:rPr>
          <w:b/>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0"/>
        <w:gridCol w:w="1401"/>
        <w:gridCol w:w="1897"/>
        <w:gridCol w:w="1401"/>
        <w:gridCol w:w="1115"/>
        <w:gridCol w:w="1081"/>
        <w:gridCol w:w="1140"/>
        <w:gridCol w:w="1161"/>
        <w:gridCol w:w="943"/>
      </w:tblGrid>
      <w:tr>
        <w:trPr>
          <w:trHeight w:val="696" w:hRule="exact"/>
        </w:trPr>
        <w:tc>
          <w:tcPr>
            <w:tcW w:w="1400" w:type="dxa"/>
          </w:tcPr>
          <w:p>
            <w:pPr>
              <w:pStyle w:val="TableParagraph"/>
              <w:spacing w:line="280" w:lineRule="auto" w:before="5"/>
              <w:ind w:left="375" w:right="59" w:hanging="301"/>
              <w:rPr>
                <w:b/>
                <w:sz w:val="13"/>
              </w:rPr>
            </w:pPr>
            <w:r>
              <w:rPr>
                <w:b/>
                <w:w w:val="105"/>
                <w:sz w:val="13"/>
              </w:rPr>
              <w:t>Clave de la entidad federativa</w:t>
            </w:r>
          </w:p>
        </w:tc>
        <w:tc>
          <w:tcPr>
            <w:tcW w:w="1401" w:type="dxa"/>
          </w:tcPr>
          <w:p>
            <w:pPr>
              <w:pStyle w:val="TableParagraph"/>
              <w:spacing w:before="5"/>
              <w:ind w:left="34" w:right="34"/>
              <w:jc w:val="center"/>
              <w:rPr>
                <w:b/>
                <w:sz w:val="13"/>
              </w:rPr>
            </w:pPr>
            <w:r>
              <w:rPr>
                <w:b/>
                <w:w w:val="105"/>
                <w:sz w:val="13"/>
              </w:rPr>
              <w:t>Clave del municipio</w:t>
            </w:r>
          </w:p>
        </w:tc>
        <w:tc>
          <w:tcPr>
            <w:tcW w:w="1897" w:type="dxa"/>
          </w:tcPr>
          <w:p>
            <w:pPr>
              <w:pStyle w:val="TableParagraph"/>
              <w:rPr>
                <w:b/>
                <w:sz w:val="14"/>
              </w:rPr>
            </w:pPr>
          </w:p>
          <w:p>
            <w:pPr>
              <w:pStyle w:val="TableParagraph"/>
              <w:spacing w:before="104"/>
              <w:ind w:left="626"/>
              <w:rPr>
                <w:b/>
                <w:sz w:val="13"/>
              </w:rPr>
            </w:pPr>
            <w:r>
              <w:rPr>
                <w:b/>
                <w:w w:val="105"/>
                <w:sz w:val="13"/>
              </w:rPr>
              <w:t>Municipio</w:t>
            </w:r>
          </w:p>
        </w:tc>
        <w:tc>
          <w:tcPr>
            <w:tcW w:w="1401" w:type="dxa"/>
          </w:tcPr>
          <w:p>
            <w:pPr>
              <w:pStyle w:val="TableParagraph"/>
              <w:spacing w:line="280" w:lineRule="auto" w:before="5"/>
              <w:ind w:left="554" w:right="348" w:hanging="184"/>
              <w:rPr>
                <w:b/>
                <w:sz w:val="13"/>
              </w:rPr>
            </w:pPr>
            <w:r>
              <w:rPr>
                <w:b/>
                <w:w w:val="105"/>
                <w:sz w:val="13"/>
              </w:rPr>
              <w:t>Población total</w:t>
            </w:r>
          </w:p>
        </w:tc>
        <w:tc>
          <w:tcPr>
            <w:tcW w:w="1115" w:type="dxa"/>
          </w:tcPr>
          <w:p>
            <w:pPr>
              <w:pStyle w:val="TableParagraph"/>
              <w:spacing w:line="280" w:lineRule="auto" w:before="5"/>
              <w:ind w:left="145" w:right="127" w:firstLine="111"/>
              <w:rPr>
                <w:b/>
                <w:sz w:val="13"/>
              </w:rPr>
            </w:pPr>
            <w:r>
              <w:rPr>
                <w:b/>
                <w:w w:val="105"/>
                <w:sz w:val="13"/>
              </w:rPr>
              <w:t>Índice de marginación</w:t>
            </w:r>
          </w:p>
        </w:tc>
        <w:tc>
          <w:tcPr>
            <w:tcW w:w="1081" w:type="dxa"/>
          </w:tcPr>
          <w:p>
            <w:pPr>
              <w:pStyle w:val="TableParagraph"/>
              <w:spacing w:line="280" w:lineRule="auto" w:before="5"/>
              <w:ind w:left="131" w:right="107" w:firstLine="106"/>
              <w:rPr>
                <w:b/>
                <w:sz w:val="13"/>
              </w:rPr>
            </w:pPr>
            <w:r>
              <w:rPr>
                <w:b/>
                <w:w w:val="105"/>
                <w:sz w:val="13"/>
              </w:rPr>
              <w:t>Grado de marginación</w:t>
            </w:r>
          </w:p>
        </w:tc>
        <w:tc>
          <w:tcPr>
            <w:tcW w:w="1140" w:type="dxa"/>
          </w:tcPr>
          <w:p>
            <w:pPr>
              <w:pStyle w:val="TableParagraph"/>
              <w:spacing w:line="278" w:lineRule="auto" w:before="5"/>
              <w:ind w:left="157" w:right="152" w:hanging="2"/>
              <w:jc w:val="center"/>
              <w:rPr>
                <w:b/>
                <w:sz w:val="13"/>
              </w:rPr>
            </w:pPr>
            <w:r>
              <w:rPr>
                <w:b/>
                <w:w w:val="105"/>
                <w:sz w:val="13"/>
              </w:rPr>
              <w:t>Índice de marginación escala</w:t>
            </w:r>
          </w:p>
          <w:p>
            <w:pPr>
              <w:pStyle w:val="TableParagraph"/>
              <w:spacing w:before="2"/>
              <w:ind w:left="317" w:right="315"/>
              <w:jc w:val="center"/>
              <w:rPr>
                <w:b/>
                <w:sz w:val="13"/>
              </w:rPr>
            </w:pPr>
            <w:r>
              <w:rPr>
                <w:b/>
                <w:w w:val="105"/>
                <w:sz w:val="13"/>
              </w:rPr>
              <w:t>0 a 100</w:t>
            </w:r>
          </w:p>
        </w:tc>
        <w:tc>
          <w:tcPr>
            <w:tcW w:w="1161" w:type="dxa"/>
          </w:tcPr>
          <w:p>
            <w:pPr>
              <w:pStyle w:val="TableParagraph"/>
              <w:spacing w:line="278" w:lineRule="auto" w:before="5"/>
              <w:ind w:left="21" w:right="25"/>
              <w:jc w:val="center"/>
              <w:rPr>
                <w:b/>
                <w:sz w:val="13"/>
              </w:rPr>
            </w:pPr>
            <w:r>
              <w:rPr>
                <w:b/>
                <w:w w:val="105"/>
                <w:sz w:val="13"/>
              </w:rPr>
              <w:t>Lugar que ocupa en el contexto estatal</w:t>
            </w:r>
          </w:p>
        </w:tc>
        <w:tc>
          <w:tcPr>
            <w:tcW w:w="943" w:type="dxa"/>
          </w:tcPr>
          <w:p>
            <w:pPr>
              <w:pStyle w:val="TableParagraph"/>
              <w:spacing w:line="278" w:lineRule="auto" w:before="5"/>
              <w:ind w:left="89" w:right="88" w:firstLine="4"/>
              <w:jc w:val="center"/>
              <w:rPr>
                <w:b/>
                <w:sz w:val="13"/>
              </w:rPr>
            </w:pPr>
            <w:r>
              <w:rPr>
                <w:b/>
                <w:w w:val="105"/>
                <w:sz w:val="13"/>
              </w:rPr>
              <w:t>Lugar que ocupa en el contexto nacional</w:t>
            </w:r>
          </w:p>
        </w:tc>
      </w:tr>
      <w:tr>
        <w:trPr>
          <w:trHeight w:val="173" w:hRule="exact"/>
        </w:trPr>
        <w:tc>
          <w:tcPr>
            <w:tcW w:w="1400" w:type="dxa"/>
          </w:tcPr>
          <w:p>
            <w:pPr/>
          </w:p>
        </w:tc>
        <w:tc>
          <w:tcPr>
            <w:tcW w:w="1401" w:type="dxa"/>
          </w:tcPr>
          <w:p>
            <w:pPr/>
          </w:p>
        </w:tc>
        <w:tc>
          <w:tcPr>
            <w:tcW w:w="1897" w:type="dxa"/>
          </w:tcPr>
          <w:p>
            <w:pPr/>
          </w:p>
        </w:tc>
        <w:tc>
          <w:tcPr>
            <w:tcW w:w="1401" w:type="dxa"/>
          </w:tcPr>
          <w:p>
            <w:pPr/>
          </w:p>
        </w:tc>
        <w:tc>
          <w:tcPr>
            <w:tcW w:w="1115" w:type="dxa"/>
          </w:tcPr>
          <w:p>
            <w:pPr>
              <w:pStyle w:val="TableParagraph"/>
              <w:spacing w:before="5"/>
              <w:ind w:left="384" w:right="375"/>
              <w:jc w:val="center"/>
              <w:rPr>
                <w:b/>
                <w:sz w:val="13"/>
              </w:rPr>
            </w:pPr>
            <w:r>
              <w:rPr>
                <w:b/>
                <w:w w:val="105"/>
                <w:sz w:val="13"/>
              </w:rPr>
              <w:t>2010</w:t>
            </w:r>
          </w:p>
        </w:tc>
        <w:tc>
          <w:tcPr>
            <w:tcW w:w="1081" w:type="dxa"/>
          </w:tcPr>
          <w:p>
            <w:pPr>
              <w:pStyle w:val="TableParagraph"/>
              <w:spacing w:before="5"/>
              <w:ind w:left="367" w:right="358"/>
              <w:jc w:val="center"/>
              <w:rPr>
                <w:b/>
                <w:sz w:val="13"/>
              </w:rPr>
            </w:pPr>
            <w:r>
              <w:rPr>
                <w:b/>
                <w:w w:val="105"/>
                <w:sz w:val="13"/>
              </w:rPr>
              <w:t>2010</w:t>
            </w:r>
          </w:p>
        </w:tc>
        <w:tc>
          <w:tcPr>
            <w:tcW w:w="1140" w:type="dxa"/>
          </w:tcPr>
          <w:p>
            <w:pPr>
              <w:pStyle w:val="TableParagraph"/>
              <w:spacing w:before="5"/>
              <w:ind w:left="414"/>
              <w:rPr>
                <w:b/>
                <w:sz w:val="13"/>
              </w:rPr>
            </w:pPr>
            <w:r>
              <w:rPr>
                <w:b/>
                <w:w w:val="105"/>
                <w:sz w:val="13"/>
              </w:rPr>
              <w:t>2010</w:t>
            </w:r>
          </w:p>
        </w:tc>
        <w:tc>
          <w:tcPr>
            <w:tcW w:w="1161" w:type="dxa"/>
          </w:tcPr>
          <w:p>
            <w:pPr>
              <w:pStyle w:val="TableParagraph"/>
              <w:spacing w:before="5"/>
              <w:ind w:right="417"/>
              <w:jc w:val="right"/>
              <w:rPr>
                <w:b/>
                <w:sz w:val="13"/>
              </w:rPr>
            </w:pPr>
            <w:r>
              <w:rPr>
                <w:b/>
                <w:w w:val="105"/>
                <w:sz w:val="13"/>
              </w:rPr>
              <w:t>2010</w:t>
            </w:r>
          </w:p>
        </w:tc>
        <w:tc>
          <w:tcPr>
            <w:tcW w:w="943" w:type="dxa"/>
          </w:tcPr>
          <w:p>
            <w:pPr>
              <w:pStyle w:val="TableParagraph"/>
              <w:spacing w:before="5"/>
              <w:ind w:left="249" w:right="241"/>
              <w:jc w:val="center"/>
              <w:rPr>
                <w:b/>
                <w:sz w:val="13"/>
              </w:rPr>
            </w:pPr>
            <w:r>
              <w:rPr>
                <w:b/>
                <w:w w:val="105"/>
                <w:sz w:val="13"/>
              </w:rPr>
              <w:t>2010</w:t>
            </w:r>
          </w:p>
        </w:tc>
      </w:tr>
      <w:tr>
        <w:trPr>
          <w:trHeight w:val="175" w:hRule="exact"/>
        </w:trPr>
        <w:tc>
          <w:tcPr>
            <w:tcW w:w="1400" w:type="dxa"/>
            <w:shd w:val="clear" w:color="auto" w:fill="F1DCDB"/>
          </w:tcPr>
          <w:p>
            <w:pPr>
              <w:pStyle w:val="TableParagraph"/>
              <w:spacing w:before="6"/>
              <w:ind w:left="623" w:right="59"/>
              <w:rPr>
                <w:sz w:val="13"/>
              </w:rPr>
            </w:pPr>
            <w:r>
              <w:rPr>
                <w:w w:val="105"/>
                <w:sz w:val="13"/>
              </w:rPr>
              <w:t>15</w:t>
            </w:r>
          </w:p>
        </w:tc>
        <w:tc>
          <w:tcPr>
            <w:tcW w:w="1401" w:type="dxa"/>
            <w:shd w:val="clear" w:color="auto" w:fill="F1DCDB"/>
          </w:tcPr>
          <w:p>
            <w:pPr>
              <w:pStyle w:val="TableParagraph"/>
              <w:spacing w:before="6"/>
              <w:ind w:left="34" w:right="25"/>
              <w:jc w:val="center"/>
              <w:rPr>
                <w:sz w:val="13"/>
              </w:rPr>
            </w:pPr>
            <w:r>
              <w:rPr>
                <w:w w:val="105"/>
                <w:sz w:val="13"/>
              </w:rPr>
              <w:t>090</w:t>
            </w:r>
          </w:p>
        </w:tc>
        <w:tc>
          <w:tcPr>
            <w:tcW w:w="1897" w:type="dxa"/>
            <w:shd w:val="clear" w:color="auto" w:fill="F1DCDB"/>
          </w:tcPr>
          <w:p>
            <w:pPr>
              <w:pStyle w:val="TableParagraph"/>
              <w:spacing w:before="6"/>
              <w:ind w:left="20"/>
              <w:rPr>
                <w:sz w:val="13"/>
              </w:rPr>
            </w:pPr>
            <w:r>
              <w:rPr>
                <w:w w:val="105"/>
                <w:sz w:val="13"/>
              </w:rPr>
              <w:t>Tenango del Valle</w:t>
            </w:r>
          </w:p>
        </w:tc>
        <w:tc>
          <w:tcPr>
            <w:tcW w:w="1401" w:type="dxa"/>
            <w:shd w:val="clear" w:color="auto" w:fill="F1DCDB"/>
          </w:tcPr>
          <w:p>
            <w:pPr>
              <w:pStyle w:val="TableParagraph"/>
              <w:spacing w:before="6"/>
              <w:ind w:right="267"/>
              <w:jc w:val="right"/>
              <w:rPr>
                <w:sz w:val="13"/>
              </w:rPr>
            </w:pPr>
            <w:r>
              <w:rPr>
                <w:w w:val="105"/>
                <w:sz w:val="13"/>
              </w:rPr>
              <w:t>77 965</w:t>
            </w:r>
          </w:p>
        </w:tc>
        <w:tc>
          <w:tcPr>
            <w:tcW w:w="1115" w:type="dxa"/>
            <w:shd w:val="clear" w:color="auto" w:fill="F1DCDB"/>
          </w:tcPr>
          <w:p>
            <w:pPr>
              <w:pStyle w:val="TableParagraph"/>
              <w:spacing w:before="6"/>
              <w:ind w:right="18"/>
              <w:jc w:val="right"/>
              <w:rPr>
                <w:sz w:val="13"/>
              </w:rPr>
            </w:pPr>
            <w:r>
              <w:rPr>
                <w:w w:val="105"/>
                <w:sz w:val="13"/>
              </w:rPr>
              <w:t>-0.75343</w:t>
            </w:r>
          </w:p>
        </w:tc>
        <w:tc>
          <w:tcPr>
            <w:tcW w:w="1081" w:type="dxa"/>
            <w:shd w:val="clear" w:color="auto" w:fill="F1DCDB"/>
          </w:tcPr>
          <w:p>
            <w:pPr>
              <w:pStyle w:val="TableParagraph"/>
              <w:spacing w:before="6"/>
              <w:ind w:left="367" w:right="355"/>
              <w:jc w:val="center"/>
              <w:rPr>
                <w:sz w:val="13"/>
              </w:rPr>
            </w:pPr>
            <w:r>
              <w:rPr>
                <w:w w:val="105"/>
                <w:sz w:val="13"/>
              </w:rPr>
              <w:t>Bajo</w:t>
            </w:r>
          </w:p>
        </w:tc>
        <w:tc>
          <w:tcPr>
            <w:tcW w:w="1140" w:type="dxa"/>
            <w:shd w:val="clear" w:color="auto" w:fill="F1DCDB"/>
          </w:tcPr>
          <w:p>
            <w:pPr>
              <w:pStyle w:val="TableParagraph"/>
              <w:spacing w:before="6"/>
              <w:ind w:left="439"/>
              <w:rPr>
                <w:sz w:val="13"/>
              </w:rPr>
            </w:pPr>
            <w:r>
              <w:rPr>
                <w:w w:val="105"/>
                <w:sz w:val="13"/>
              </w:rPr>
              <w:t>19.159</w:t>
            </w:r>
          </w:p>
        </w:tc>
        <w:tc>
          <w:tcPr>
            <w:tcW w:w="1161" w:type="dxa"/>
            <w:shd w:val="clear" w:color="auto" w:fill="F1DCDB"/>
          </w:tcPr>
          <w:p>
            <w:pPr>
              <w:pStyle w:val="TableParagraph"/>
              <w:spacing w:before="6"/>
              <w:ind w:right="456"/>
              <w:jc w:val="right"/>
              <w:rPr>
                <w:sz w:val="13"/>
              </w:rPr>
            </w:pPr>
            <w:r>
              <w:rPr>
                <w:w w:val="105"/>
                <w:sz w:val="13"/>
              </w:rPr>
              <w:t>55</w:t>
            </w:r>
          </w:p>
        </w:tc>
        <w:tc>
          <w:tcPr>
            <w:tcW w:w="943" w:type="dxa"/>
            <w:shd w:val="clear" w:color="auto" w:fill="F1DCDB"/>
          </w:tcPr>
          <w:p>
            <w:pPr>
              <w:pStyle w:val="TableParagraph"/>
              <w:spacing w:before="6"/>
              <w:ind w:left="290" w:right="241"/>
              <w:jc w:val="center"/>
              <w:rPr>
                <w:sz w:val="13"/>
              </w:rPr>
            </w:pPr>
            <w:r>
              <w:rPr>
                <w:w w:val="105"/>
                <w:sz w:val="13"/>
              </w:rPr>
              <w:t>1 834</w:t>
            </w:r>
          </w:p>
        </w:tc>
      </w:tr>
      <w:tr>
        <w:trPr>
          <w:trHeight w:val="173" w:hRule="exact"/>
        </w:trPr>
        <w:tc>
          <w:tcPr>
            <w:tcW w:w="1400" w:type="dxa"/>
          </w:tcPr>
          <w:p>
            <w:pPr>
              <w:pStyle w:val="TableParagraph"/>
              <w:spacing w:before="5"/>
              <w:ind w:left="623" w:right="59"/>
              <w:rPr>
                <w:sz w:val="13"/>
              </w:rPr>
            </w:pPr>
            <w:r>
              <w:rPr>
                <w:w w:val="105"/>
                <w:sz w:val="13"/>
              </w:rPr>
              <w:t>15</w:t>
            </w:r>
          </w:p>
        </w:tc>
        <w:tc>
          <w:tcPr>
            <w:tcW w:w="1401" w:type="dxa"/>
          </w:tcPr>
          <w:p>
            <w:pPr>
              <w:pStyle w:val="TableParagraph"/>
              <w:spacing w:before="5"/>
              <w:ind w:left="34" w:right="25"/>
              <w:jc w:val="center"/>
              <w:rPr>
                <w:sz w:val="13"/>
              </w:rPr>
            </w:pPr>
            <w:r>
              <w:rPr>
                <w:w w:val="105"/>
                <w:sz w:val="13"/>
              </w:rPr>
              <w:t>093</w:t>
            </w:r>
          </w:p>
        </w:tc>
        <w:tc>
          <w:tcPr>
            <w:tcW w:w="1897" w:type="dxa"/>
          </w:tcPr>
          <w:p>
            <w:pPr>
              <w:pStyle w:val="TableParagraph"/>
              <w:spacing w:before="5"/>
              <w:ind w:left="20"/>
              <w:rPr>
                <w:sz w:val="13"/>
              </w:rPr>
            </w:pPr>
            <w:r>
              <w:rPr>
                <w:w w:val="105"/>
                <w:sz w:val="13"/>
              </w:rPr>
              <w:t>Tepetlaoxtoc</w:t>
            </w:r>
          </w:p>
        </w:tc>
        <w:tc>
          <w:tcPr>
            <w:tcW w:w="1401" w:type="dxa"/>
          </w:tcPr>
          <w:p>
            <w:pPr>
              <w:pStyle w:val="TableParagraph"/>
              <w:spacing w:before="5"/>
              <w:ind w:right="267"/>
              <w:jc w:val="right"/>
              <w:rPr>
                <w:sz w:val="13"/>
              </w:rPr>
            </w:pPr>
            <w:r>
              <w:rPr>
                <w:w w:val="105"/>
                <w:sz w:val="13"/>
              </w:rPr>
              <w:t>27 944</w:t>
            </w:r>
          </w:p>
        </w:tc>
        <w:tc>
          <w:tcPr>
            <w:tcW w:w="1115" w:type="dxa"/>
          </w:tcPr>
          <w:p>
            <w:pPr>
              <w:pStyle w:val="TableParagraph"/>
              <w:spacing w:before="5"/>
              <w:ind w:right="18"/>
              <w:jc w:val="right"/>
              <w:rPr>
                <w:sz w:val="13"/>
              </w:rPr>
            </w:pPr>
            <w:r>
              <w:rPr>
                <w:w w:val="105"/>
                <w:sz w:val="13"/>
              </w:rPr>
              <w:t>-1.07983</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15.471</w:t>
            </w:r>
          </w:p>
        </w:tc>
        <w:tc>
          <w:tcPr>
            <w:tcW w:w="1161" w:type="dxa"/>
          </w:tcPr>
          <w:p>
            <w:pPr>
              <w:pStyle w:val="TableParagraph"/>
              <w:spacing w:before="5"/>
              <w:ind w:right="456"/>
              <w:jc w:val="right"/>
              <w:rPr>
                <w:sz w:val="13"/>
              </w:rPr>
            </w:pPr>
            <w:r>
              <w:rPr>
                <w:w w:val="105"/>
                <w:sz w:val="13"/>
              </w:rPr>
              <w:t>69</w:t>
            </w:r>
          </w:p>
        </w:tc>
        <w:tc>
          <w:tcPr>
            <w:tcW w:w="943" w:type="dxa"/>
          </w:tcPr>
          <w:p>
            <w:pPr>
              <w:pStyle w:val="TableParagraph"/>
              <w:spacing w:before="5"/>
              <w:ind w:left="290" w:right="241"/>
              <w:jc w:val="center"/>
              <w:rPr>
                <w:sz w:val="13"/>
              </w:rPr>
            </w:pPr>
            <w:r>
              <w:rPr>
                <w:w w:val="105"/>
                <w:sz w:val="13"/>
              </w:rPr>
              <w:t>2 087</w:t>
            </w:r>
          </w:p>
        </w:tc>
      </w:tr>
      <w:tr>
        <w:trPr>
          <w:trHeight w:val="175" w:hRule="exact"/>
        </w:trPr>
        <w:tc>
          <w:tcPr>
            <w:tcW w:w="1400" w:type="dxa"/>
            <w:shd w:val="clear" w:color="auto" w:fill="F1DCDB"/>
          </w:tcPr>
          <w:p>
            <w:pPr>
              <w:pStyle w:val="TableParagraph"/>
              <w:spacing w:before="5"/>
              <w:ind w:left="623" w:right="59"/>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094</w:t>
            </w:r>
          </w:p>
        </w:tc>
        <w:tc>
          <w:tcPr>
            <w:tcW w:w="1897" w:type="dxa"/>
            <w:shd w:val="clear" w:color="auto" w:fill="F1DCDB"/>
          </w:tcPr>
          <w:p>
            <w:pPr>
              <w:pStyle w:val="TableParagraph"/>
              <w:spacing w:before="5"/>
              <w:ind w:left="20"/>
              <w:rPr>
                <w:sz w:val="13"/>
              </w:rPr>
            </w:pPr>
            <w:r>
              <w:rPr>
                <w:w w:val="105"/>
                <w:sz w:val="13"/>
              </w:rPr>
              <w:t>Tepetlixpa</w:t>
            </w:r>
          </w:p>
        </w:tc>
        <w:tc>
          <w:tcPr>
            <w:tcW w:w="1401" w:type="dxa"/>
            <w:shd w:val="clear" w:color="auto" w:fill="F1DCDB"/>
          </w:tcPr>
          <w:p>
            <w:pPr>
              <w:pStyle w:val="TableParagraph"/>
              <w:spacing w:before="5"/>
              <w:ind w:right="267"/>
              <w:jc w:val="right"/>
              <w:rPr>
                <w:sz w:val="13"/>
              </w:rPr>
            </w:pPr>
            <w:r>
              <w:rPr>
                <w:w w:val="105"/>
                <w:sz w:val="13"/>
              </w:rPr>
              <w:t>18 327</w:t>
            </w:r>
          </w:p>
        </w:tc>
        <w:tc>
          <w:tcPr>
            <w:tcW w:w="1115" w:type="dxa"/>
            <w:shd w:val="clear" w:color="auto" w:fill="F1DCDB"/>
          </w:tcPr>
          <w:p>
            <w:pPr>
              <w:pStyle w:val="TableParagraph"/>
              <w:spacing w:before="5"/>
              <w:ind w:right="18"/>
              <w:jc w:val="right"/>
              <w:rPr>
                <w:sz w:val="13"/>
              </w:rPr>
            </w:pPr>
            <w:r>
              <w:rPr>
                <w:w w:val="105"/>
                <w:sz w:val="13"/>
              </w:rPr>
              <w:t>-0.74040</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19.306</w:t>
            </w:r>
          </w:p>
        </w:tc>
        <w:tc>
          <w:tcPr>
            <w:tcW w:w="1161" w:type="dxa"/>
            <w:shd w:val="clear" w:color="auto" w:fill="F1DCDB"/>
          </w:tcPr>
          <w:p>
            <w:pPr>
              <w:pStyle w:val="TableParagraph"/>
              <w:spacing w:before="5"/>
              <w:ind w:right="456"/>
              <w:jc w:val="right"/>
              <w:rPr>
                <w:sz w:val="13"/>
              </w:rPr>
            </w:pPr>
            <w:r>
              <w:rPr>
                <w:w w:val="105"/>
                <w:sz w:val="13"/>
              </w:rPr>
              <w:t>53</w:t>
            </w:r>
          </w:p>
        </w:tc>
        <w:tc>
          <w:tcPr>
            <w:tcW w:w="943" w:type="dxa"/>
            <w:shd w:val="clear" w:color="auto" w:fill="F1DCDB"/>
          </w:tcPr>
          <w:p>
            <w:pPr>
              <w:pStyle w:val="TableParagraph"/>
              <w:spacing w:before="5"/>
              <w:ind w:left="290" w:right="241"/>
              <w:jc w:val="center"/>
              <w:rPr>
                <w:sz w:val="13"/>
              </w:rPr>
            </w:pPr>
            <w:r>
              <w:rPr>
                <w:w w:val="105"/>
                <w:sz w:val="13"/>
              </w:rPr>
              <w:t>1 821</w:t>
            </w:r>
          </w:p>
        </w:tc>
      </w:tr>
      <w:tr>
        <w:trPr>
          <w:trHeight w:val="173" w:hRule="exact"/>
        </w:trPr>
        <w:tc>
          <w:tcPr>
            <w:tcW w:w="1400" w:type="dxa"/>
          </w:tcPr>
          <w:p>
            <w:pPr>
              <w:pStyle w:val="TableParagraph"/>
              <w:spacing w:before="5"/>
              <w:ind w:left="623" w:right="59"/>
              <w:rPr>
                <w:sz w:val="13"/>
              </w:rPr>
            </w:pPr>
            <w:r>
              <w:rPr>
                <w:w w:val="105"/>
                <w:sz w:val="13"/>
              </w:rPr>
              <w:t>15</w:t>
            </w:r>
          </w:p>
        </w:tc>
        <w:tc>
          <w:tcPr>
            <w:tcW w:w="1401" w:type="dxa"/>
          </w:tcPr>
          <w:p>
            <w:pPr>
              <w:pStyle w:val="TableParagraph"/>
              <w:spacing w:before="5"/>
              <w:ind w:left="34" w:right="25"/>
              <w:jc w:val="center"/>
              <w:rPr>
                <w:sz w:val="13"/>
              </w:rPr>
            </w:pPr>
            <w:r>
              <w:rPr>
                <w:w w:val="105"/>
                <w:sz w:val="13"/>
              </w:rPr>
              <w:t>098</w:t>
            </w:r>
          </w:p>
        </w:tc>
        <w:tc>
          <w:tcPr>
            <w:tcW w:w="1897" w:type="dxa"/>
          </w:tcPr>
          <w:p>
            <w:pPr>
              <w:pStyle w:val="TableParagraph"/>
              <w:spacing w:before="5"/>
              <w:ind w:left="20"/>
              <w:rPr>
                <w:sz w:val="13"/>
              </w:rPr>
            </w:pPr>
            <w:r>
              <w:rPr>
                <w:w w:val="105"/>
                <w:sz w:val="13"/>
              </w:rPr>
              <w:t>Texcalyacac</w:t>
            </w:r>
          </w:p>
        </w:tc>
        <w:tc>
          <w:tcPr>
            <w:tcW w:w="1401" w:type="dxa"/>
          </w:tcPr>
          <w:p>
            <w:pPr>
              <w:pStyle w:val="TableParagraph"/>
              <w:spacing w:before="5"/>
              <w:ind w:right="266"/>
              <w:jc w:val="right"/>
              <w:rPr>
                <w:sz w:val="13"/>
              </w:rPr>
            </w:pPr>
            <w:r>
              <w:rPr>
                <w:w w:val="105"/>
                <w:sz w:val="13"/>
              </w:rPr>
              <w:t>5 111</w:t>
            </w:r>
          </w:p>
        </w:tc>
        <w:tc>
          <w:tcPr>
            <w:tcW w:w="1115" w:type="dxa"/>
          </w:tcPr>
          <w:p>
            <w:pPr>
              <w:pStyle w:val="TableParagraph"/>
              <w:spacing w:before="5"/>
              <w:ind w:right="18"/>
              <w:jc w:val="right"/>
              <w:rPr>
                <w:sz w:val="13"/>
              </w:rPr>
            </w:pPr>
            <w:r>
              <w:rPr>
                <w:w w:val="105"/>
                <w:sz w:val="13"/>
              </w:rPr>
              <w:t>-0.88249</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17.701</w:t>
            </w:r>
          </w:p>
        </w:tc>
        <w:tc>
          <w:tcPr>
            <w:tcW w:w="1161" w:type="dxa"/>
          </w:tcPr>
          <w:p>
            <w:pPr>
              <w:pStyle w:val="TableParagraph"/>
              <w:spacing w:before="5"/>
              <w:ind w:right="456"/>
              <w:jc w:val="right"/>
              <w:rPr>
                <w:sz w:val="13"/>
              </w:rPr>
            </w:pPr>
            <w:r>
              <w:rPr>
                <w:w w:val="105"/>
                <w:sz w:val="13"/>
              </w:rPr>
              <w:t>63</w:t>
            </w:r>
          </w:p>
        </w:tc>
        <w:tc>
          <w:tcPr>
            <w:tcW w:w="943" w:type="dxa"/>
          </w:tcPr>
          <w:p>
            <w:pPr>
              <w:pStyle w:val="TableParagraph"/>
              <w:spacing w:before="5"/>
              <w:ind w:left="290" w:right="241"/>
              <w:jc w:val="center"/>
              <w:rPr>
                <w:sz w:val="13"/>
              </w:rPr>
            </w:pPr>
            <w:r>
              <w:rPr>
                <w:w w:val="105"/>
                <w:sz w:val="13"/>
              </w:rPr>
              <w:t>1 942</w:t>
            </w:r>
          </w:p>
        </w:tc>
      </w:tr>
      <w:tr>
        <w:trPr>
          <w:trHeight w:val="174" w:hRule="exact"/>
        </w:trPr>
        <w:tc>
          <w:tcPr>
            <w:tcW w:w="1400" w:type="dxa"/>
            <w:shd w:val="clear" w:color="auto" w:fill="F1DCDB"/>
          </w:tcPr>
          <w:p>
            <w:pPr>
              <w:pStyle w:val="TableParagraph"/>
              <w:spacing w:before="5"/>
              <w:ind w:left="623" w:right="59"/>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100</w:t>
            </w:r>
          </w:p>
        </w:tc>
        <w:tc>
          <w:tcPr>
            <w:tcW w:w="1897" w:type="dxa"/>
            <w:shd w:val="clear" w:color="auto" w:fill="F1DCDB"/>
          </w:tcPr>
          <w:p>
            <w:pPr>
              <w:pStyle w:val="TableParagraph"/>
              <w:spacing w:before="5"/>
              <w:ind w:left="20"/>
              <w:rPr>
                <w:sz w:val="13"/>
              </w:rPr>
            </w:pPr>
            <w:r>
              <w:rPr>
                <w:w w:val="105"/>
                <w:sz w:val="13"/>
              </w:rPr>
              <w:t>Tezoyuca</w:t>
            </w:r>
          </w:p>
        </w:tc>
        <w:tc>
          <w:tcPr>
            <w:tcW w:w="1401" w:type="dxa"/>
            <w:shd w:val="clear" w:color="auto" w:fill="F1DCDB"/>
          </w:tcPr>
          <w:p>
            <w:pPr>
              <w:pStyle w:val="TableParagraph"/>
              <w:spacing w:before="5"/>
              <w:ind w:right="267"/>
              <w:jc w:val="right"/>
              <w:rPr>
                <w:sz w:val="13"/>
              </w:rPr>
            </w:pPr>
            <w:r>
              <w:rPr>
                <w:w w:val="105"/>
                <w:sz w:val="13"/>
              </w:rPr>
              <w:t>35 199</w:t>
            </w:r>
          </w:p>
        </w:tc>
        <w:tc>
          <w:tcPr>
            <w:tcW w:w="1115" w:type="dxa"/>
            <w:shd w:val="clear" w:color="auto" w:fill="F1DCDB"/>
          </w:tcPr>
          <w:p>
            <w:pPr>
              <w:pStyle w:val="TableParagraph"/>
              <w:spacing w:before="5"/>
              <w:ind w:right="18"/>
              <w:jc w:val="right"/>
              <w:rPr>
                <w:sz w:val="13"/>
              </w:rPr>
            </w:pPr>
            <w:r>
              <w:rPr>
                <w:w w:val="105"/>
                <w:sz w:val="13"/>
              </w:rPr>
              <w:t>-1.00547</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50"/>
              <w:rPr>
                <w:sz w:val="13"/>
              </w:rPr>
            </w:pPr>
            <w:r>
              <w:rPr>
                <w:w w:val="105"/>
                <w:sz w:val="13"/>
              </w:rPr>
              <w:t>16.311</w:t>
            </w:r>
          </w:p>
        </w:tc>
        <w:tc>
          <w:tcPr>
            <w:tcW w:w="1161" w:type="dxa"/>
            <w:shd w:val="clear" w:color="auto" w:fill="F1DCDB"/>
          </w:tcPr>
          <w:p>
            <w:pPr>
              <w:pStyle w:val="TableParagraph"/>
              <w:spacing w:before="5"/>
              <w:ind w:right="456"/>
              <w:jc w:val="right"/>
              <w:rPr>
                <w:sz w:val="13"/>
              </w:rPr>
            </w:pPr>
            <w:r>
              <w:rPr>
                <w:w w:val="105"/>
                <w:sz w:val="13"/>
              </w:rPr>
              <w:t>67</w:t>
            </w:r>
          </w:p>
        </w:tc>
        <w:tc>
          <w:tcPr>
            <w:tcW w:w="943" w:type="dxa"/>
            <w:shd w:val="clear" w:color="auto" w:fill="F1DCDB"/>
          </w:tcPr>
          <w:p>
            <w:pPr>
              <w:pStyle w:val="TableParagraph"/>
              <w:spacing w:before="5"/>
              <w:ind w:left="290" w:right="241"/>
              <w:jc w:val="center"/>
              <w:rPr>
                <w:sz w:val="13"/>
              </w:rPr>
            </w:pPr>
            <w:r>
              <w:rPr>
                <w:w w:val="105"/>
                <w:sz w:val="13"/>
              </w:rPr>
              <w:t>2 042</w:t>
            </w:r>
          </w:p>
        </w:tc>
      </w:tr>
      <w:tr>
        <w:trPr>
          <w:trHeight w:val="174" w:hRule="exact"/>
        </w:trPr>
        <w:tc>
          <w:tcPr>
            <w:tcW w:w="1400" w:type="dxa"/>
          </w:tcPr>
          <w:p>
            <w:pPr>
              <w:pStyle w:val="TableParagraph"/>
              <w:spacing w:before="6"/>
              <w:ind w:left="623" w:right="59"/>
              <w:rPr>
                <w:sz w:val="13"/>
              </w:rPr>
            </w:pPr>
            <w:r>
              <w:rPr>
                <w:w w:val="105"/>
                <w:sz w:val="13"/>
              </w:rPr>
              <w:t>15</w:t>
            </w:r>
          </w:p>
        </w:tc>
        <w:tc>
          <w:tcPr>
            <w:tcW w:w="1401" w:type="dxa"/>
          </w:tcPr>
          <w:p>
            <w:pPr>
              <w:pStyle w:val="TableParagraph"/>
              <w:spacing w:before="6"/>
              <w:ind w:left="34" w:right="25"/>
              <w:jc w:val="center"/>
              <w:rPr>
                <w:sz w:val="13"/>
              </w:rPr>
            </w:pPr>
            <w:r>
              <w:rPr>
                <w:w w:val="105"/>
                <w:sz w:val="13"/>
              </w:rPr>
              <w:t>101</w:t>
            </w:r>
          </w:p>
        </w:tc>
        <w:tc>
          <w:tcPr>
            <w:tcW w:w="1897" w:type="dxa"/>
          </w:tcPr>
          <w:p>
            <w:pPr>
              <w:pStyle w:val="TableParagraph"/>
              <w:spacing w:before="6"/>
              <w:ind w:left="20"/>
              <w:rPr>
                <w:sz w:val="13"/>
              </w:rPr>
            </w:pPr>
            <w:r>
              <w:rPr>
                <w:w w:val="105"/>
                <w:sz w:val="13"/>
              </w:rPr>
              <w:t>Tianguistenco</w:t>
            </w:r>
          </w:p>
        </w:tc>
        <w:tc>
          <w:tcPr>
            <w:tcW w:w="1401" w:type="dxa"/>
          </w:tcPr>
          <w:p>
            <w:pPr>
              <w:pStyle w:val="TableParagraph"/>
              <w:spacing w:before="6"/>
              <w:ind w:right="267"/>
              <w:jc w:val="right"/>
              <w:rPr>
                <w:sz w:val="13"/>
              </w:rPr>
            </w:pPr>
            <w:r>
              <w:rPr>
                <w:w w:val="105"/>
                <w:sz w:val="13"/>
              </w:rPr>
              <w:t>70 682</w:t>
            </w:r>
          </w:p>
        </w:tc>
        <w:tc>
          <w:tcPr>
            <w:tcW w:w="1115" w:type="dxa"/>
          </w:tcPr>
          <w:p>
            <w:pPr>
              <w:pStyle w:val="TableParagraph"/>
              <w:spacing w:before="6"/>
              <w:ind w:right="18"/>
              <w:jc w:val="right"/>
              <w:rPr>
                <w:sz w:val="13"/>
              </w:rPr>
            </w:pPr>
            <w:r>
              <w:rPr>
                <w:w w:val="105"/>
                <w:sz w:val="13"/>
              </w:rPr>
              <w:t>-0.88564</w:t>
            </w:r>
          </w:p>
        </w:tc>
        <w:tc>
          <w:tcPr>
            <w:tcW w:w="1081" w:type="dxa"/>
          </w:tcPr>
          <w:p>
            <w:pPr>
              <w:pStyle w:val="TableParagraph"/>
              <w:spacing w:before="6"/>
              <w:ind w:left="367" w:right="355"/>
              <w:jc w:val="center"/>
              <w:rPr>
                <w:sz w:val="13"/>
              </w:rPr>
            </w:pPr>
            <w:r>
              <w:rPr>
                <w:w w:val="105"/>
                <w:sz w:val="13"/>
              </w:rPr>
              <w:t>Bajo</w:t>
            </w:r>
          </w:p>
        </w:tc>
        <w:tc>
          <w:tcPr>
            <w:tcW w:w="1140" w:type="dxa"/>
          </w:tcPr>
          <w:p>
            <w:pPr>
              <w:pStyle w:val="TableParagraph"/>
              <w:spacing w:before="6"/>
              <w:ind w:left="439"/>
              <w:rPr>
                <w:sz w:val="13"/>
              </w:rPr>
            </w:pPr>
            <w:r>
              <w:rPr>
                <w:w w:val="105"/>
                <w:sz w:val="13"/>
              </w:rPr>
              <w:t>17.665</w:t>
            </w:r>
          </w:p>
        </w:tc>
        <w:tc>
          <w:tcPr>
            <w:tcW w:w="1161" w:type="dxa"/>
          </w:tcPr>
          <w:p>
            <w:pPr>
              <w:pStyle w:val="TableParagraph"/>
              <w:spacing w:before="6"/>
              <w:ind w:right="456"/>
              <w:jc w:val="right"/>
              <w:rPr>
                <w:sz w:val="13"/>
              </w:rPr>
            </w:pPr>
            <w:r>
              <w:rPr>
                <w:w w:val="105"/>
                <w:sz w:val="13"/>
              </w:rPr>
              <w:t>64</w:t>
            </w:r>
          </w:p>
        </w:tc>
        <w:tc>
          <w:tcPr>
            <w:tcW w:w="943" w:type="dxa"/>
          </w:tcPr>
          <w:p>
            <w:pPr>
              <w:pStyle w:val="TableParagraph"/>
              <w:spacing w:before="6"/>
              <w:ind w:left="290" w:right="241"/>
              <w:jc w:val="center"/>
              <w:rPr>
                <w:sz w:val="13"/>
              </w:rPr>
            </w:pPr>
            <w:r>
              <w:rPr>
                <w:w w:val="105"/>
                <w:sz w:val="13"/>
              </w:rPr>
              <w:t>1 944</w:t>
            </w:r>
          </w:p>
        </w:tc>
      </w:tr>
      <w:tr>
        <w:trPr>
          <w:trHeight w:val="174" w:hRule="exact"/>
        </w:trPr>
        <w:tc>
          <w:tcPr>
            <w:tcW w:w="1400" w:type="dxa"/>
            <w:shd w:val="clear" w:color="auto" w:fill="F1DCDB"/>
          </w:tcPr>
          <w:p>
            <w:pPr>
              <w:pStyle w:val="TableParagraph"/>
              <w:spacing w:before="5"/>
              <w:ind w:left="623" w:right="59"/>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107</w:t>
            </w:r>
          </w:p>
        </w:tc>
        <w:tc>
          <w:tcPr>
            <w:tcW w:w="1897" w:type="dxa"/>
            <w:shd w:val="clear" w:color="auto" w:fill="F1DCDB"/>
          </w:tcPr>
          <w:p>
            <w:pPr>
              <w:pStyle w:val="TableParagraph"/>
              <w:spacing w:before="5"/>
              <w:ind w:left="20"/>
              <w:rPr>
                <w:sz w:val="13"/>
              </w:rPr>
            </w:pPr>
            <w:r>
              <w:rPr>
                <w:w w:val="105"/>
                <w:sz w:val="13"/>
              </w:rPr>
              <w:t>Tonatico</w:t>
            </w:r>
          </w:p>
        </w:tc>
        <w:tc>
          <w:tcPr>
            <w:tcW w:w="1401" w:type="dxa"/>
            <w:shd w:val="clear" w:color="auto" w:fill="F1DCDB"/>
          </w:tcPr>
          <w:p>
            <w:pPr>
              <w:pStyle w:val="TableParagraph"/>
              <w:spacing w:before="5"/>
              <w:ind w:right="267"/>
              <w:jc w:val="right"/>
              <w:rPr>
                <w:sz w:val="13"/>
              </w:rPr>
            </w:pPr>
            <w:r>
              <w:rPr>
                <w:w w:val="105"/>
                <w:sz w:val="13"/>
              </w:rPr>
              <w:t>12 099</w:t>
            </w:r>
          </w:p>
        </w:tc>
        <w:tc>
          <w:tcPr>
            <w:tcW w:w="1115" w:type="dxa"/>
            <w:shd w:val="clear" w:color="auto" w:fill="F1DCDB"/>
          </w:tcPr>
          <w:p>
            <w:pPr>
              <w:pStyle w:val="TableParagraph"/>
              <w:spacing w:before="5"/>
              <w:ind w:right="18"/>
              <w:jc w:val="right"/>
              <w:rPr>
                <w:sz w:val="13"/>
              </w:rPr>
            </w:pPr>
            <w:r>
              <w:rPr>
                <w:w w:val="105"/>
                <w:sz w:val="13"/>
              </w:rPr>
              <w:t>-0.76594</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19.018</w:t>
            </w:r>
          </w:p>
        </w:tc>
        <w:tc>
          <w:tcPr>
            <w:tcW w:w="1161" w:type="dxa"/>
            <w:shd w:val="clear" w:color="auto" w:fill="F1DCDB"/>
          </w:tcPr>
          <w:p>
            <w:pPr>
              <w:pStyle w:val="TableParagraph"/>
              <w:spacing w:before="5"/>
              <w:ind w:right="456"/>
              <w:jc w:val="right"/>
              <w:rPr>
                <w:sz w:val="13"/>
              </w:rPr>
            </w:pPr>
            <w:r>
              <w:rPr>
                <w:w w:val="105"/>
                <w:sz w:val="13"/>
              </w:rPr>
              <w:t>56</w:t>
            </w:r>
          </w:p>
        </w:tc>
        <w:tc>
          <w:tcPr>
            <w:tcW w:w="943" w:type="dxa"/>
            <w:shd w:val="clear" w:color="auto" w:fill="F1DCDB"/>
          </w:tcPr>
          <w:p>
            <w:pPr>
              <w:pStyle w:val="TableParagraph"/>
              <w:spacing w:before="5"/>
              <w:ind w:left="290" w:right="241"/>
              <w:jc w:val="center"/>
              <w:rPr>
                <w:sz w:val="13"/>
              </w:rPr>
            </w:pPr>
            <w:r>
              <w:rPr>
                <w:w w:val="105"/>
                <w:sz w:val="13"/>
              </w:rPr>
              <w:t>1 849</w:t>
            </w:r>
          </w:p>
        </w:tc>
      </w:tr>
      <w:tr>
        <w:trPr>
          <w:trHeight w:val="174" w:hRule="exact"/>
        </w:trPr>
        <w:tc>
          <w:tcPr>
            <w:tcW w:w="1400" w:type="dxa"/>
          </w:tcPr>
          <w:p>
            <w:pPr>
              <w:pStyle w:val="TableParagraph"/>
              <w:spacing w:before="5"/>
              <w:ind w:left="623" w:right="59"/>
              <w:rPr>
                <w:sz w:val="13"/>
              </w:rPr>
            </w:pPr>
            <w:r>
              <w:rPr>
                <w:w w:val="105"/>
                <w:sz w:val="13"/>
              </w:rPr>
              <w:t>15</w:t>
            </w:r>
          </w:p>
        </w:tc>
        <w:tc>
          <w:tcPr>
            <w:tcW w:w="1401" w:type="dxa"/>
          </w:tcPr>
          <w:p>
            <w:pPr>
              <w:pStyle w:val="TableParagraph"/>
              <w:spacing w:before="5"/>
              <w:ind w:left="34" w:right="23"/>
              <w:jc w:val="center"/>
              <w:rPr>
                <w:sz w:val="13"/>
              </w:rPr>
            </w:pPr>
            <w:r>
              <w:rPr>
                <w:w w:val="105"/>
                <w:sz w:val="13"/>
              </w:rPr>
              <w:t>110</w:t>
            </w:r>
          </w:p>
        </w:tc>
        <w:tc>
          <w:tcPr>
            <w:tcW w:w="1897" w:type="dxa"/>
          </w:tcPr>
          <w:p>
            <w:pPr>
              <w:pStyle w:val="TableParagraph"/>
              <w:spacing w:before="5"/>
              <w:ind w:left="20"/>
              <w:rPr>
                <w:sz w:val="13"/>
              </w:rPr>
            </w:pPr>
            <w:r>
              <w:rPr>
                <w:w w:val="105"/>
                <w:sz w:val="13"/>
              </w:rPr>
              <w:t>Valle de Bravo</w:t>
            </w:r>
          </w:p>
        </w:tc>
        <w:tc>
          <w:tcPr>
            <w:tcW w:w="1401" w:type="dxa"/>
          </w:tcPr>
          <w:p>
            <w:pPr>
              <w:pStyle w:val="TableParagraph"/>
              <w:spacing w:before="5"/>
              <w:ind w:right="267"/>
              <w:jc w:val="right"/>
              <w:rPr>
                <w:sz w:val="13"/>
              </w:rPr>
            </w:pPr>
            <w:r>
              <w:rPr>
                <w:w w:val="105"/>
                <w:sz w:val="13"/>
              </w:rPr>
              <w:t>61 599</w:t>
            </w:r>
          </w:p>
        </w:tc>
        <w:tc>
          <w:tcPr>
            <w:tcW w:w="1115" w:type="dxa"/>
          </w:tcPr>
          <w:p>
            <w:pPr>
              <w:pStyle w:val="TableParagraph"/>
              <w:spacing w:before="5"/>
              <w:ind w:right="18"/>
              <w:jc w:val="right"/>
              <w:rPr>
                <w:sz w:val="13"/>
              </w:rPr>
            </w:pPr>
            <w:r>
              <w:rPr>
                <w:w w:val="105"/>
                <w:sz w:val="13"/>
              </w:rPr>
              <w:t>-0.77928</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18.867</w:t>
            </w:r>
          </w:p>
        </w:tc>
        <w:tc>
          <w:tcPr>
            <w:tcW w:w="1161" w:type="dxa"/>
          </w:tcPr>
          <w:p>
            <w:pPr>
              <w:pStyle w:val="TableParagraph"/>
              <w:spacing w:before="5"/>
              <w:ind w:right="456"/>
              <w:jc w:val="right"/>
              <w:rPr>
                <w:sz w:val="13"/>
              </w:rPr>
            </w:pPr>
            <w:r>
              <w:rPr>
                <w:w w:val="105"/>
                <w:sz w:val="13"/>
              </w:rPr>
              <w:t>57</w:t>
            </w:r>
          </w:p>
        </w:tc>
        <w:tc>
          <w:tcPr>
            <w:tcW w:w="943" w:type="dxa"/>
          </w:tcPr>
          <w:p>
            <w:pPr>
              <w:pStyle w:val="TableParagraph"/>
              <w:spacing w:before="5"/>
              <w:ind w:left="290" w:right="241"/>
              <w:jc w:val="center"/>
              <w:rPr>
                <w:sz w:val="13"/>
              </w:rPr>
            </w:pPr>
            <w:r>
              <w:rPr>
                <w:w w:val="105"/>
                <w:sz w:val="13"/>
              </w:rPr>
              <w:t>1 857</w:t>
            </w:r>
          </w:p>
        </w:tc>
      </w:tr>
      <w:tr>
        <w:trPr>
          <w:trHeight w:val="174" w:hRule="exact"/>
        </w:trPr>
        <w:tc>
          <w:tcPr>
            <w:tcW w:w="1400" w:type="dxa"/>
            <w:shd w:val="clear" w:color="auto" w:fill="F1DCDB"/>
          </w:tcPr>
          <w:p>
            <w:pPr>
              <w:pStyle w:val="TableParagraph"/>
              <w:spacing w:before="5"/>
              <w:ind w:left="623" w:right="59"/>
              <w:rPr>
                <w:sz w:val="13"/>
              </w:rPr>
            </w:pPr>
            <w:r>
              <w:rPr>
                <w:w w:val="105"/>
                <w:sz w:val="13"/>
              </w:rPr>
              <w:t>15</w:t>
            </w:r>
          </w:p>
        </w:tc>
        <w:tc>
          <w:tcPr>
            <w:tcW w:w="1401" w:type="dxa"/>
            <w:shd w:val="clear" w:color="auto" w:fill="F1DCDB"/>
          </w:tcPr>
          <w:p>
            <w:pPr>
              <w:pStyle w:val="TableParagraph"/>
              <w:spacing w:before="5"/>
              <w:ind w:left="34" w:right="23"/>
              <w:jc w:val="center"/>
              <w:rPr>
                <w:sz w:val="13"/>
              </w:rPr>
            </w:pPr>
            <w:r>
              <w:rPr>
                <w:w w:val="105"/>
                <w:sz w:val="13"/>
              </w:rPr>
              <w:t>115</w:t>
            </w:r>
          </w:p>
        </w:tc>
        <w:tc>
          <w:tcPr>
            <w:tcW w:w="1897" w:type="dxa"/>
            <w:shd w:val="clear" w:color="auto" w:fill="F1DCDB"/>
          </w:tcPr>
          <w:p>
            <w:pPr>
              <w:pStyle w:val="TableParagraph"/>
              <w:spacing w:before="5"/>
              <w:ind w:left="20"/>
              <w:rPr>
                <w:sz w:val="13"/>
              </w:rPr>
            </w:pPr>
            <w:r>
              <w:rPr>
                <w:w w:val="105"/>
                <w:sz w:val="13"/>
              </w:rPr>
              <w:t>Xonacatlán</w:t>
            </w:r>
          </w:p>
        </w:tc>
        <w:tc>
          <w:tcPr>
            <w:tcW w:w="1401" w:type="dxa"/>
            <w:shd w:val="clear" w:color="auto" w:fill="F1DCDB"/>
          </w:tcPr>
          <w:p>
            <w:pPr>
              <w:pStyle w:val="TableParagraph"/>
              <w:spacing w:before="5"/>
              <w:ind w:right="267"/>
              <w:jc w:val="right"/>
              <w:rPr>
                <w:sz w:val="13"/>
              </w:rPr>
            </w:pPr>
            <w:r>
              <w:rPr>
                <w:w w:val="105"/>
                <w:sz w:val="13"/>
              </w:rPr>
              <w:t>46 331</w:t>
            </w:r>
          </w:p>
        </w:tc>
        <w:tc>
          <w:tcPr>
            <w:tcW w:w="1115" w:type="dxa"/>
            <w:shd w:val="clear" w:color="auto" w:fill="F1DCDB"/>
          </w:tcPr>
          <w:p>
            <w:pPr>
              <w:pStyle w:val="TableParagraph"/>
              <w:spacing w:before="5"/>
              <w:ind w:right="18"/>
              <w:jc w:val="right"/>
              <w:rPr>
                <w:sz w:val="13"/>
              </w:rPr>
            </w:pPr>
            <w:r>
              <w:rPr>
                <w:w w:val="105"/>
                <w:sz w:val="13"/>
              </w:rPr>
              <w:t>-1.14703</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50"/>
              <w:rPr>
                <w:sz w:val="13"/>
              </w:rPr>
            </w:pPr>
            <w:r>
              <w:rPr>
                <w:w w:val="105"/>
                <w:sz w:val="13"/>
              </w:rPr>
              <w:t>14.711</w:t>
            </w:r>
          </w:p>
        </w:tc>
        <w:tc>
          <w:tcPr>
            <w:tcW w:w="1161" w:type="dxa"/>
            <w:shd w:val="clear" w:color="auto" w:fill="F1DCDB"/>
          </w:tcPr>
          <w:p>
            <w:pPr>
              <w:pStyle w:val="TableParagraph"/>
              <w:spacing w:before="5"/>
              <w:ind w:right="456"/>
              <w:jc w:val="right"/>
              <w:rPr>
                <w:sz w:val="13"/>
              </w:rPr>
            </w:pPr>
            <w:r>
              <w:rPr>
                <w:w w:val="105"/>
                <w:sz w:val="13"/>
              </w:rPr>
              <w:t>76</w:t>
            </w:r>
          </w:p>
        </w:tc>
        <w:tc>
          <w:tcPr>
            <w:tcW w:w="943" w:type="dxa"/>
            <w:shd w:val="clear" w:color="auto" w:fill="F1DCDB"/>
          </w:tcPr>
          <w:p>
            <w:pPr>
              <w:pStyle w:val="TableParagraph"/>
              <w:spacing w:before="5"/>
              <w:ind w:left="290" w:right="241"/>
              <w:jc w:val="center"/>
              <w:rPr>
                <w:sz w:val="13"/>
              </w:rPr>
            </w:pPr>
            <w:r>
              <w:rPr>
                <w:w w:val="105"/>
                <w:sz w:val="13"/>
              </w:rPr>
              <w:t>2 132</w:t>
            </w:r>
          </w:p>
        </w:tc>
      </w:tr>
      <w:tr>
        <w:trPr>
          <w:trHeight w:val="174" w:hRule="exact"/>
        </w:trPr>
        <w:tc>
          <w:tcPr>
            <w:tcW w:w="1400" w:type="dxa"/>
          </w:tcPr>
          <w:p>
            <w:pPr>
              <w:pStyle w:val="TableParagraph"/>
              <w:spacing w:before="5"/>
              <w:ind w:left="623" w:right="59"/>
              <w:rPr>
                <w:sz w:val="13"/>
              </w:rPr>
            </w:pPr>
            <w:r>
              <w:rPr>
                <w:w w:val="105"/>
                <w:sz w:val="13"/>
              </w:rPr>
              <w:t>15</w:t>
            </w:r>
          </w:p>
        </w:tc>
        <w:tc>
          <w:tcPr>
            <w:tcW w:w="1401" w:type="dxa"/>
          </w:tcPr>
          <w:p>
            <w:pPr>
              <w:pStyle w:val="TableParagraph"/>
              <w:spacing w:before="5"/>
              <w:ind w:left="34" w:right="23"/>
              <w:jc w:val="center"/>
              <w:rPr>
                <w:sz w:val="13"/>
              </w:rPr>
            </w:pPr>
            <w:r>
              <w:rPr>
                <w:w w:val="105"/>
                <w:sz w:val="13"/>
              </w:rPr>
              <w:t>118</w:t>
            </w:r>
          </w:p>
        </w:tc>
        <w:tc>
          <w:tcPr>
            <w:tcW w:w="1897" w:type="dxa"/>
          </w:tcPr>
          <w:p>
            <w:pPr>
              <w:pStyle w:val="TableParagraph"/>
              <w:spacing w:before="5"/>
              <w:ind w:left="20"/>
              <w:rPr>
                <w:sz w:val="13"/>
              </w:rPr>
            </w:pPr>
            <w:r>
              <w:rPr>
                <w:w w:val="105"/>
                <w:sz w:val="13"/>
              </w:rPr>
              <w:t>Zinacantepec</w:t>
            </w:r>
          </w:p>
        </w:tc>
        <w:tc>
          <w:tcPr>
            <w:tcW w:w="1401" w:type="dxa"/>
          </w:tcPr>
          <w:p>
            <w:pPr>
              <w:pStyle w:val="TableParagraph"/>
              <w:spacing w:before="5"/>
              <w:ind w:right="268"/>
              <w:jc w:val="right"/>
              <w:rPr>
                <w:sz w:val="13"/>
              </w:rPr>
            </w:pPr>
            <w:r>
              <w:rPr>
                <w:w w:val="105"/>
                <w:sz w:val="13"/>
              </w:rPr>
              <w:t>167 759</w:t>
            </w:r>
          </w:p>
        </w:tc>
        <w:tc>
          <w:tcPr>
            <w:tcW w:w="1115" w:type="dxa"/>
          </w:tcPr>
          <w:p>
            <w:pPr>
              <w:pStyle w:val="TableParagraph"/>
              <w:spacing w:before="5"/>
              <w:ind w:right="18"/>
              <w:jc w:val="right"/>
              <w:rPr>
                <w:sz w:val="13"/>
              </w:rPr>
            </w:pPr>
            <w:r>
              <w:rPr>
                <w:w w:val="105"/>
                <w:sz w:val="13"/>
              </w:rPr>
              <w:t>-1.04388</w:t>
            </w:r>
          </w:p>
        </w:tc>
        <w:tc>
          <w:tcPr>
            <w:tcW w:w="1081" w:type="dxa"/>
          </w:tcPr>
          <w:p>
            <w:pPr>
              <w:pStyle w:val="TableParagraph"/>
              <w:spacing w:before="5"/>
              <w:ind w:left="367" w:right="355"/>
              <w:jc w:val="center"/>
              <w:rPr>
                <w:sz w:val="13"/>
              </w:rPr>
            </w:pPr>
            <w:r>
              <w:rPr>
                <w:w w:val="105"/>
                <w:sz w:val="13"/>
              </w:rPr>
              <w:t>Bajo</w:t>
            </w:r>
          </w:p>
        </w:tc>
        <w:tc>
          <w:tcPr>
            <w:tcW w:w="1140" w:type="dxa"/>
          </w:tcPr>
          <w:p>
            <w:pPr>
              <w:pStyle w:val="TableParagraph"/>
              <w:spacing w:before="5"/>
              <w:ind w:left="439"/>
              <w:rPr>
                <w:sz w:val="13"/>
              </w:rPr>
            </w:pPr>
            <w:r>
              <w:rPr>
                <w:w w:val="105"/>
                <w:sz w:val="13"/>
              </w:rPr>
              <w:t>15.877</w:t>
            </w:r>
          </w:p>
        </w:tc>
        <w:tc>
          <w:tcPr>
            <w:tcW w:w="1161" w:type="dxa"/>
          </w:tcPr>
          <w:p>
            <w:pPr>
              <w:pStyle w:val="TableParagraph"/>
              <w:spacing w:before="5"/>
              <w:ind w:right="456"/>
              <w:jc w:val="right"/>
              <w:rPr>
                <w:sz w:val="13"/>
              </w:rPr>
            </w:pPr>
            <w:r>
              <w:rPr>
                <w:w w:val="105"/>
                <w:sz w:val="13"/>
              </w:rPr>
              <w:t>68</w:t>
            </w:r>
          </w:p>
        </w:tc>
        <w:tc>
          <w:tcPr>
            <w:tcW w:w="943" w:type="dxa"/>
          </w:tcPr>
          <w:p>
            <w:pPr>
              <w:pStyle w:val="TableParagraph"/>
              <w:spacing w:before="5"/>
              <w:ind w:left="290" w:right="241"/>
              <w:jc w:val="center"/>
              <w:rPr>
                <w:sz w:val="13"/>
              </w:rPr>
            </w:pPr>
            <w:r>
              <w:rPr>
                <w:w w:val="105"/>
                <w:sz w:val="13"/>
              </w:rPr>
              <w:t>2 067</w:t>
            </w:r>
          </w:p>
        </w:tc>
      </w:tr>
      <w:tr>
        <w:trPr>
          <w:trHeight w:val="174" w:hRule="exact"/>
        </w:trPr>
        <w:tc>
          <w:tcPr>
            <w:tcW w:w="1400" w:type="dxa"/>
            <w:shd w:val="clear" w:color="auto" w:fill="F1DCDB"/>
          </w:tcPr>
          <w:p>
            <w:pPr>
              <w:pStyle w:val="TableParagraph"/>
              <w:spacing w:before="5"/>
              <w:ind w:left="623" w:right="59"/>
              <w:rPr>
                <w:sz w:val="13"/>
              </w:rPr>
            </w:pPr>
            <w:r>
              <w:rPr>
                <w:w w:val="105"/>
                <w:sz w:val="13"/>
              </w:rPr>
              <w:t>15</w:t>
            </w:r>
          </w:p>
        </w:tc>
        <w:tc>
          <w:tcPr>
            <w:tcW w:w="1401" w:type="dxa"/>
            <w:shd w:val="clear" w:color="auto" w:fill="F1DCDB"/>
          </w:tcPr>
          <w:p>
            <w:pPr>
              <w:pStyle w:val="TableParagraph"/>
              <w:spacing w:before="5"/>
              <w:ind w:left="34" w:right="25"/>
              <w:jc w:val="center"/>
              <w:rPr>
                <w:sz w:val="13"/>
              </w:rPr>
            </w:pPr>
            <w:r>
              <w:rPr>
                <w:w w:val="105"/>
                <w:sz w:val="13"/>
              </w:rPr>
              <w:t>122</w:t>
            </w:r>
          </w:p>
        </w:tc>
        <w:tc>
          <w:tcPr>
            <w:tcW w:w="1897" w:type="dxa"/>
            <w:shd w:val="clear" w:color="auto" w:fill="F1DCDB"/>
          </w:tcPr>
          <w:p>
            <w:pPr>
              <w:pStyle w:val="TableParagraph"/>
              <w:spacing w:before="5"/>
              <w:ind w:left="20"/>
              <w:rPr>
                <w:sz w:val="13"/>
              </w:rPr>
            </w:pPr>
            <w:r>
              <w:rPr>
                <w:w w:val="105"/>
                <w:sz w:val="13"/>
              </w:rPr>
              <w:t>Valle de Chalco Solidaridad</w:t>
            </w:r>
          </w:p>
        </w:tc>
        <w:tc>
          <w:tcPr>
            <w:tcW w:w="1401" w:type="dxa"/>
            <w:shd w:val="clear" w:color="auto" w:fill="F1DCDB"/>
          </w:tcPr>
          <w:p>
            <w:pPr>
              <w:pStyle w:val="TableParagraph"/>
              <w:spacing w:before="5"/>
              <w:ind w:right="268"/>
              <w:jc w:val="right"/>
              <w:rPr>
                <w:sz w:val="13"/>
              </w:rPr>
            </w:pPr>
            <w:r>
              <w:rPr>
                <w:w w:val="105"/>
                <w:sz w:val="13"/>
              </w:rPr>
              <w:t>357 645</w:t>
            </w:r>
          </w:p>
        </w:tc>
        <w:tc>
          <w:tcPr>
            <w:tcW w:w="1115" w:type="dxa"/>
            <w:shd w:val="clear" w:color="auto" w:fill="F1DCDB"/>
          </w:tcPr>
          <w:p>
            <w:pPr>
              <w:pStyle w:val="TableParagraph"/>
              <w:spacing w:before="5"/>
              <w:ind w:right="18"/>
              <w:jc w:val="right"/>
              <w:rPr>
                <w:sz w:val="13"/>
              </w:rPr>
            </w:pPr>
            <w:r>
              <w:rPr>
                <w:w w:val="105"/>
                <w:sz w:val="13"/>
              </w:rPr>
              <w:t>-1.22461</w:t>
            </w:r>
          </w:p>
        </w:tc>
        <w:tc>
          <w:tcPr>
            <w:tcW w:w="1081" w:type="dxa"/>
            <w:shd w:val="clear" w:color="auto" w:fill="F1DCDB"/>
          </w:tcPr>
          <w:p>
            <w:pPr>
              <w:pStyle w:val="TableParagraph"/>
              <w:spacing w:before="5"/>
              <w:ind w:left="367" w:right="355"/>
              <w:jc w:val="center"/>
              <w:rPr>
                <w:sz w:val="13"/>
              </w:rPr>
            </w:pPr>
            <w:r>
              <w:rPr>
                <w:w w:val="105"/>
                <w:sz w:val="13"/>
              </w:rPr>
              <w:t>Bajo</w:t>
            </w:r>
          </w:p>
        </w:tc>
        <w:tc>
          <w:tcPr>
            <w:tcW w:w="1140" w:type="dxa"/>
            <w:shd w:val="clear" w:color="auto" w:fill="F1DCDB"/>
          </w:tcPr>
          <w:p>
            <w:pPr>
              <w:pStyle w:val="TableParagraph"/>
              <w:spacing w:before="5"/>
              <w:ind w:left="439"/>
              <w:rPr>
                <w:sz w:val="13"/>
              </w:rPr>
            </w:pPr>
            <w:r>
              <w:rPr>
                <w:w w:val="105"/>
                <w:sz w:val="13"/>
              </w:rPr>
              <w:t>13.835</w:t>
            </w:r>
          </w:p>
        </w:tc>
        <w:tc>
          <w:tcPr>
            <w:tcW w:w="1161" w:type="dxa"/>
            <w:shd w:val="clear" w:color="auto" w:fill="F1DCDB"/>
          </w:tcPr>
          <w:p>
            <w:pPr>
              <w:pStyle w:val="TableParagraph"/>
              <w:spacing w:before="5"/>
              <w:ind w:right="456"/>
              <w:jc w:val="right"/>
              <w:rPr>
                <w:sz w:val="13"/>
              </w:rPr>
            </w:pPr>
            <w:r>
              <w:rPr>
                <w:w w:val="105"/>
                <w:sz w:val="13"/>
              </w:rPr>
              <w:t>86</w:t>
            </w:r>
          </w:p>
        </w:tc>
        <w:tc>
          <w:tcPr>
            <w:tcW w:w="943" w:type="dxa"/>
            <w:shd w:val="clear" w:color="auto" w:fill="F1DCDB"/>
          </w:tcPr>
          <w:p>
            <w:pPr>
              <w:pStyle w:val="TableParagraph"/>
              <w:spacing w:before="5"/>
              <w:ind w:left="290" w:right="241"/>
              <w:jc w:val="center"/>
              <w:rPr>
                <w:sz w:val="13"/>
              </w:rPr>
            </w:pPr>
            <w:r>
              <w:rPr>
                <w:w w:val="105"/>
                <w:sz w:val="13"/>
              </w:rPr>
              <w:t>2 182</w:t>
            </w:r>
          </w:p>
        </w:tc>
      </w:tr>
      <w:tr>
        <w:trPr>
          <w:trHeight w:val="204" w:hRule="exact"/>
        </w:trPr>
        <w:tc>
          <w:tcPr>
            <w:tcW w:w="1400" w:type="dxa"/>
            <w:tcBorders>
              <w:bottom w:val="double" w:sz="10" w:space="0" w:color="000000"/>
            </w:tcBorders>
          </w:tcPr>
          <w:p>
            <w:pPr>
              <w:pStyle w:val="TableParagraph"/>
              <w:spacing w:before="5"/>
              <w:ind w:left="623" w:right="59"/>
              <w:rPr>
                <w:sz w:val="13"/>
              </w:rPr>
            </w:pPr>
            <w:r>
              <w:rPr>
                <w:w w:val="105"/>
                <w:sz w:val="13"/>
              </w:rPr>
              <w:t>15</w:t>
            </w:r>
          </w:p>
        </w:tc>
        <w:tc>
          <w:tcPr>
            <w:tcW w:w="1401" w:type="dxa"/>
            <w:tcBorders>
              <w:bottom w:val="double" w:sz="10" w:space="0" w:color="000000"/>
            </w:tcBorders>
          </w:tcPr>
          <w:p>
            <w:pPr>
              <w:pStyle w:val="TableParagraph"/>
              <w:spacing w:before="5"/>
              <w:ind w:left="34" w:right="25"/>
              <w:jc w:val="center"/>
              <w:rPr>
                <w:sz w:val="13"/>
              </w:rPr>
            </w:pPr>
            <w:r>
              <w:rPr>
                <w:w w:val="105"/>
                <w:sz w:val="13"/>
              </w:rPr>
              <w:t>125</w:t>
            </w:r>
          </w:p>
        </w:tc>
        <w:tc>
          <w:tcPr>
            <w:tcW w:w="1897" w:type="dxa"/>
            <w:tcBorders>
              <w:bottom w:val="double" w:sz="10" w:space="0" w:color="000000"/>
            </w:tcBorders>
          </w:tcPr>
          <w:p>
            <w:pPr>
              <w:pStyle w:val="TableParagraph"/>
              <w:spacing w:before="5"/>
              <w:ind w:left="20"/>
              <w:rPr>
                <w:sz w:val="13"/>
              </w:rPr>
            </w:pPr>
            <w:r>
              <w:rPr>
                <w:w w:val="105"/>
                <w:sz w:val="13"/>
              </w:rPr>
              <w:t>Tonanitla</w:t>
            </w:r>
          </w:p>
        </w:tc>
        <w:tc>
          <w:tcPr>
            <w:tcW w:w="1401" w:type="dxa"/>
            <w:tcBorders>
              <w:bottom w:val="double" w:sz="10" w:space="0" w:color="000000"/>
            </w:tcBorders>
          </w:tcPr>
          <w:p>
            <w:pPr>
              <w:pStyle w:val="TableParagraph"/>
              <w:spacing w:before="5"/>
              <w:ind w:right="267"/>
              <w:jc w:val="right"/>
              <w:rPr>
                <w:sz w:val="13"/>
              </w:rPr>
            </w:pPr>
            <w:r>
              <w:rPr>
                <w:w w:val="105"/>
                <w:sz w:val="13"/>
              </w:rPr>
              <w:t>10 216</w:t>
            </w:r>
          </w:p>
        </w:tc>
        <w:tc>
          <w:tcPr>
            <w:tcW w:w="1115" w:type="dxa"/>
            <w:tcBorders>
              <w:bottom w:val="double" w:sz="10" w:space="0" w:color="000000"/>
            </w:tcBorders>
          </w:tcPr>
          <w:p>
            <w:pPr>
              <w:pStyle w:val="TableParagraph"/>
              <w:spacing w:before="5"/>
              <w:ind w:right="18"/>
              <w:jc w:val="right"/>
              <w:rPr>
                <w:sz w:val="13"/>
              </w:rPr>
            </w:pPr>
            <w:r>
              <w:rPr>
                <w:w w:val="105"/>
                <w:sz w:val="13"/>
              </w:rPr>
              <w:t>-1.15873</w:t>
            </w:r>
          </w:p>
        </w:tc>
        <w:tc>
          <w:tcPr>
            <w:tcW w:w="1081" w:type="dxa"/>
            <w:tcBorders>
              <w:bottom w:val="double" w:sz="10" w:space="0" w:color="000000"/>
            </w:tcBorders>
          </w:tcPr>
          <w:p>
            <w:pPr>
              <w:pStyle w:val="TableParagraph"/>
              <w:spacing w:before="5"/>
              <w:ind w:left="367" w:right="355"/>
              <w:jc w:val="center"/>
              <w:rPr>
                <w:sz w:val="13"/>
              </w:rPr>
            </w:pPr>
            <w:r>
              <w:rPr>
                <w:w w:val="105"/>
                <w:sz w:val="13"/>
              </w:rPr>
              <w:t>Bajo</w:t>
            </w:r>
          </w:p>
        </w:tc>
        <w:tc>
          <w:tcPr>
            <w:tcW w:w="1140" w:type="dxa"/>
            <w:tcBorders>
              <w:bottom w:val="double" w:sz="10" w:space="0" w:color="000000"/>
            </w:tcBorders>
          </w:tcPr>
          <w:p>
            <w:pPr>
              <w:pStyle w:val="TableParagraph"/>
              <w:spacing w:before="5"/>
              <w:ind w:left="439"/>
              <w:rPr>
                <w:sz w:val="13"/>
              </w:rPr>
            </w:pPr>
            <w:r>
              <w:rPr>
                <w:w w:val="105"/>
                <w:sz w:val="13"/>
              </w:rPr>
              <w:t>14.579</w:t>
            </w:r>
          </w:p>
        </w:tc>
        <w:tc>
          <w:tcPr>
            <w:tcW w:w="1161" w:type="dxa"/>
            <w:tcBorders>
              <w:bottom w:val="double" w:sz="10" w:space="0" w:color="000000"/>
            </w:tcBorders>
          </w:tcPr>
          <w:p>
            <w:pPr>
              <w:pStyle w:val="TableParagraph"/>
              <w:spacing w:before="5"/>
              <w:ind w:right="456"/>
              <w:jc w:val="right"/>
              <w:rPr>
                <w:sz w:val="13"/>
              </w:rPr>
            </w:pPr>
            <w:r>
              <w:rPr>
                <w:w w:val="105"/>
                <w:sz w:val="13"/>
              </w:rPr>
              <w:t>79</w:t>
            </w:r>
          </w:p>
        </w:tc>
        <w:tc>
          <w:tcPr>
            <w:tcW w:w="943" w:type="dxa"/>
            <w:tcBorders>
              <w:bottom w:val="double" w:sz="10" w:space="0" w:color="000000"/>
            </w:tcBorders>
          </w:tcPr>
          <w:p>
            <w:pPr>
              <w:pStyle w:val="TableParagraph"/>
              <w:spacing w:before="5"/>
              <w:ind w:left="290" w:right="241"/>
              <w:jc w:val="center"/>
              <w:rPr>
                <w:sz w:val="13"/>
              </w:rPr>
            </w:pPr>
            <w:r>
              <w:rPr>
                <w:w w:val="105"/>
                <w:sz w:val="13"/>
              </w:rPr>
              <w:t>2 138</w:t>
            </w:r>
          </w:p>
        </w:tc>
      </w:tr>
    </w:tbl>
    <w:p>
      <w:pPr>
        <w:pStyle w:val="BodyText"/>
        <w:rPr>
          <w:b/>
          <w:sz w:val="20"/>
        </w:rPr>
      </w:pPr>
    </w:p>
    <w:p>
      <w:pPr>
        <w:pStyle w:val="BodyText"/>
        <w:rPr>
          <w:b/>
          <w:sz w:val="20"/>
        </w:rPr>
      </w:pPr>
    </w:p>
    <w:p>
      <w:pPr>
        <w:pStyle w:val="BodyText"/>
        <w:spacing w:before="11"/>
        <w:rPr>
          <w:b/>
          <w:sz w:val="21"/>
        </w:rPr>
      </w:pPr>
    </w:p>
    <w:p>
      <w:pPr>
        <w:spacing w:before="0"/>
        <w:ind w:left="182" w:right="0" w:firstLine="0"/>
        <w:jc w:val="left"/>
        <w:rPr>
          <w:sz w:val="20"/>
        </w:rPr>
      </w:pPr>
      <w:r>
        <w:rPr>
          <w:b/>
          <w:sz w:val="20"/>
        </w:rPr>
        <w:t>Fuente</w:t>
      </w:r>
      <w:r>
        <w:rPr>
          <w:sz w:val="20"/>
        </w:rPr>
        <w:t>: Estimaciones del CONEVAL con base en el Censo de Población y Vivienda 2010.</w:t>
      </w:r>
    </w:p>
    <w:p>
      <w:pPr>
        <w:spacing w:after="0"/>
        <w:jc w:val="left"/>
        <w:rPr>
          <w:sz w:val="20"/>
        </w:rPr>
        <w:sectPr>
          <w:footerReference w:type="default" r:id="rId61"/>
          <w:pgSz w:w="15840" w:h="12240" w:orient="landscape"/>
          <w:pgMar w:footer="992" w:header="0" w:top="1140" w:bottom="1180" w:left="2100" w:right="1980"/>
        </w:sectPr>
      </w:pPr>
    </w:p>
    <w:p>
      <w:pPr>
        <w:pStyle w:val="BodyText"/>
        <w:rPr>
          <w:sz w:val="20"/>
        </w:rPr>
      </w:pPr>
    </w:p>
    <w:p>
      <w:pPr>
        <w:pStyle w:val="BodyText"/>
        <w:rPr>
          <w:sz w:val="20"/>
        </w:rPr>
      </w:pPr>
    </w:p>
    <w:p>
      <w:pPr>
        <w:pStyle w:val="BodyText"/>
        <w:spacing w:before="6"/>
        <w:rPr>
          <w:sz w:val="25"/>
        </w:rPr>
      </w:pPr>
    </w:p>
    <w:p>
      <w:pPr>
        <w:spacing w:line="103" w:lineRule="exact" w:before="84"/>
        <w:ind w:left="160" w:right="0" w:firstLine="0"/>
        <w:jc w:val="center"/>
        <w:rPr>
          <w:b/>
          <w:sz w:val="13"/>
        </w:rPr>
      </w:pPr>
      <w:r>
        <w:rPr>
          <w:b/>
          <w:sz w:val="13"/>
        </w:rPr>
        <w:t>Marginación. Municipios del Estado de México en Grado Medio</w:t>
      </w:r>
    </w:p>
    <w:p>
      <w:pPr>
        <w:pStyle w:val="BodyText"/>
        <w:tabs>
          <w:tab w:pos="656" w:val="left" w:leader="none"/>
          <w:tab w:pos="8267" w:val="left" w:leader="none"/>
        </w:tabs>
        <w:spacing w:line="229" w:lineRule="exact"/>
        <w:ind w:left="154"/>
        <w:jc w:val="center"/>
      </w:pPr>
      <w:r>
        <w:rPr>
          <w:strike/>
          <w:w w:val="100"/>
        </w:rPr>
        <w:t> </w:t>
      </w:r>
      <w:r>
        <w:rPr>
          <w:strike/>
        </w:rPr>
        <w:tab/>
        <w:t>Anexo</w:t>
      </w:r>
      <w:r>
        <w:rPr>
          <w:strike/>
          <w:spacing w:val="-5"/>
        </w:rPr>
        <w:t> </w:t>
      </w:r>
      <w:r>
        <w:rPr>
          <w:strike/>
        </w:rPr>
        <w:t>10.</w:t>
        <w:tab/>
      </w:r>
    </w:p>
    <w:p>
      <w:pPr>
        <w:pStyle w:val="BodyText"/>
        <w:spacing w:before="2"/>
        <w:rPr>
          <w:sz w:val="13"/>
        </w:rPr>
      </w:pPr>
    </w:p>
    <w:tbl>
      <w:tblPr>
        <w:tblW w:w="0" w:type="auto"/>
        <w:jc w:val="left"/>
        <w:tblInd w:w="16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7"/>
        <w:gridCol w:w="707"/>
        <w:gridCol w:w="1555"/>
        <w:gridCol w:w="1065"/>
        <w:gridCol w:w="923"/>
        <w:gridCol w:w="848"/>
        <w:gridCol w:w="892"/>
        <w:gridCol w:w="707"/>
        <w:gridCol w:w="707"/>
      </w:tblGrid>
      <w:tr>
        <w:trPr>
          <w:trHeight w:val="985" w:hRule="exact"/>
        </w:trPr>
        <w:tc>
          <w:tcPr>
            <w:tcW w:w="707" w:type="dxa"/>
          </w:tcPr>
          <w:p>
            <w:pPr>
              <w:pStyle w:val="TableParagraph"/>
              <w:spacing w:line="264" w:lineRule="auto"/>
              <w:ind w:left="45" w:right="18" w:firstLine="40"/>
              <w:rPr>
                <w:b/>
                <w:sz w:val="13"/>
              </w:rPr>
            </w:pPr>
            <w:r>
              <w:rPr>
                <w:b/>
                <w:sz w:val="13"/>
              </w:rPr>
              <w:t>Clave de la entidad federativa</w:t>
            </w:r>
          </w:p>
        </w:tc>
        <w:tc>
          <w:tcPr>
            <w:tcW w:w="707" w:type="dxa"/>
          </w:tcPr>
          <w:p>
            <w:pPr>
              <w:pStyle w:val="TableParagraph"/>
              <w:spacing w:line="264" w:lineRule="auto"/>
              <w:ind w:left="43" w:right="20" w:firstLine="23"/>
              <w:rPr>
                <w:b/>
                <w:sz w:val="13"/>
              </w:rPr>
            </w:pPr>
            <w:r>
              <w:rPr>
                <w:b/>
                <w:sz w:val="13"/>
              </w:rPr>
              <w:t>Clave del municipio</w:t>
            </w:r>
          </w:p>
        </w:tc>
        <w:tc>
          <w:tcPr>
            <w:tcW w:w="1555" w:type="dxa"/>
          </w:tcPr>
          <w:p>
            <w:pPr>
              <w:pStyle w:val="TableParagraph"/>
              <w:rPr>
                <w:sz w:val="12"/>
              </w:rPr>
            </w:pPr>
          </w:p>
          <w:p>
            <w:pPr>
              <w:pStyle w:val="TableParagraph"/>
              <w:rPr>
                <w:sz w:val="12"/>
              </w:rPr>
            </w:pPr>
          </w:p>
          <w:p>
            <w:pPr>
              <w:pStyle w:val="TableParagraph"/>
              <w:spacing w:before="6"/>
              <w:rPr>
                <w:sz w:val="11"/>
              </w:rPr>
            </w:pPr>
          </w:p>
          <w:p>
            <w:pPr>
              <w:pStyle w:val="TableParagraph"/>
              <w:ind w:left="473"/>
              <w:rPr>
                <w:b/>
                <w:sz w:val="13"/>
              </w:rPr>
            </w:pPr>
            <w:r>
              <w:rPr>
                <w:b/>
                <w:sz w:val="13"/>
              </w:rPr>
              <w:t>Municipio</w:t>
            </w:r>
          </w:p>
        </w:tc>
        <w:tc>
          <w:tcPr>
            <w:tcW w:w="1065" w:type="dxa"/>
          </w:tcPr>
          <w:p>
            <w:pPr>
              <w:pStyle w:val="TableParagraph"/>
              <w:spacing w:line="264" w:lineRule="auto"/>
              <w:ind w:left="394" w:right="193" w:hanging="174"/>
              <w:rPr>
                <w:b/>
                <w:sz w:val="13"/>
              </w:rPr>
            </w:pPr>
            <w:r>
              <w:rPr>
                <w:b/>
                <w:sz w:val="13"/>
              </w:rPr>
              <w:t>Población total</w:t>
            </w:r>
          </w:p>
        </w:tc>
        <w:tc>
          <w:tcPr>
            <w:tcW w:w="923" w:type="dxa"/>
          </w:tcPr>
          <w:p>
            <w:pPr>
              <w:pStyle w:val="TableParagraph"/>
              <w:spacing w:line="264" w:lineRule="auto"/>
              <w:ind w:left="73" w:firstLine="104"/>
              <w:rPr>
                <w:b/>
                <w:sz w:val="13"/>
              </w:rPr>
            </w:pPr>
            <w:r>
              <w:rPr>
                <w:b/>
                <w:sz w:val="13"/>
              </w:rPr>
              <w:t>Índice de marginación</w:t>
            </w:r>
          </w:p>
        </w:tc>
        <w:tc>
          <w:tcPr>
            <w:tcW w:w="848" w:type="dxa"/>
          </w:tcPr>
          <w:p>
            <w:pPr>
              <w:pStyle w:val="TableParagraph"/>
              <w:spacing w:line="264" w:lineRule="auto"/>
              <w:ind w:left="35" w:right="10" w:firstLine="100"/>
              <w:rPr>
                <w:b/>
                <w:sz w:val="13"/>
              </w:rPr>
            </w:pPr>
            <w:r>
              <w:rPr>
                <w:b/>
                <w:sz w:val="13"/>
              </w:rPr>
              <w:t>Grado de marginación</w:t>
            </w:r>
          </w:p>
        </w:tc>
        <w:tc>
          <w:tcPr>
            <w:tcW w:w="892" w:type="dxa"/>
          </w:tcPr>
          <w:p>
            <w:pPr>
              <w:pStyle w:val="TableParagraph"/>
              <w:spacing w:line="264" w:lineRule="auto"/>
              <w:ind w:left="36" w:right="33"/>
              <w:jc w:val="center"/>
              <w:rPr>
                <w:b/>
                <w:sz w:val="13"/>
              </w:rPr>
            </w:pPr>
            <w:r>
              <w:rPr>
                <w:b/>
                <w:sz w:val="13"/>
              </w:rPr>
              <w:t>Índice de marginación escala</w:t>
            </w:r>
          </w:p>
          <w:p>
            <w:pPr>
              <w:pStyle w:val="TableParagraph"/>
              <w:ind w:left="33" w:right="33"/>
              <w:jc w:val="center"/>
              <w:rPr>
                <w:b/>
                <w:sz w:val="13"/>
              </w:rPr>
            </w:pPr>
            <w:r>
              <w:rPr>
                <w:b/>
                <w:sz w:val="13"/>
              </w:rPr>
              <w:t>0 a 100</w:t>
            </w:r>
          </w:p>
        </w:tc>
        <w:tc>
          <w:tcPr>
            <w:tcW w:w="707" w:type="dxa"/>
          </w:tcPr>
          <w:p>
            <w:pPr>
              <w:pStyle w:val="TableParagraph"/>
              <w:spacing w:line="264" w:lineRule="auto"/>
              <w:ind w:left="37" w:right="32"/>
              <w:jc w:val="center"/>
              <w:rPr>
                <w:b/>
                <w:sz w:val="13"/>
              </w:rPr>
            </w:pPr>
            <w:r>
              <w:rPr>
                <w:b/>
                <w:sz w:val="13"/>
              </w:rPr>
              <w:t>Lugar que ocupa en el     contexto estatal</w:t>
            </w:r>
          </w:p>
        </w:tc>
        <w:tc>
          <w:tcPr>
            <w:tcW w:w="707" w:type="dxa"/>
          </w:tcPr>
          <w:p>
            <w:pPr>
              <w:pStyle w:val="TableParagraph"/>
              <w:spacing w:line="264" w:lineRule="auto"/>
              <w:ind w:left="37" w:right="32"/>
              <w:jc w:val="center"/>
              <w:rPr>
                <w:b/>
                <w:sz w:val="13"/>
              </w:rPr>
            </w:pPr>
            <w:r>
              <w:rPr>
                <w:b/>
                <w:sz w:val="13"/>
              </w:rPr>
              <w:t>Lugar que ocupa en el     contexto nacional</w:t>
            </w:r>
          </w:p>
        </w:tc>
      </w:tr>
      <w:tr>
        <w:trPr>
          <w:trHeight w:val="164" w:hRule="exact"/>
        </w:trPr>
        <w:tc>
          <w:tcPr>
            <w:tcW w:w="707" w:type="dxa"/>
          </w:tcPr>
          <w:p>
            <w:pPr/>
          </w:p>
        </w:tc>
        <w:tc>
          <w:tcPr>
            <w:tcW w:w="707" w:type="dxa"/>
          </w:tcPr>
          <w:p>
            <w:pPr/>
          </w:p>
        </w:tc>
        <w:tc>
          <w:tcPr>
            <w:tcW w:w="1555" w:type="dxa"/>
          </w:tcPr>
          <w:p>
            <w:pPr/>
          </w:p>
        </w:tc>
        <w:tc>
          <w:tcPr>
            <w:tcW w:w="1065" w:type="dxa"/>
          </w:tcPr>
          <w:p>
            <w:pPr/>
          </w:p>
        </w:tc>
        <w:tc>
          <w:tcPr>
            <w:tcW w:w="923" w:type="dxa"/>
          </w:tcPr>
          <w:p>
            <w:pPr>
              <w:pStyle w:val="TableParagraph"/>
              <w:spacing w:line="148" w:lineRule="exact"/>
              <w:ind w:right="19"/>
              <w:jc w:val="right"/>
              <w:rPr>
                <w:b/>
                <w:sz w:val="13"/>
              </w:rPr>
            </w:pPr>
            <w:r>
              <w:rPr>
                <w:b/>
                <w:sz w:val="13"/>
              </w:rPr>
              <w:t>2010</w:t>
            </w:r>
          </w:p>
        </w:tc>
        <w:tc>
          <w:tcPr>
            <w:tcW w:w="848" w:type="dxa"/>
          </w:tcPr>
          <w:p>
            <w:pPr>
              <w:pStyle w:val="TableParagraph"/>
              <w:spacing w:line="148" w:lineRule="exact"/>
              <w:ind w:left="530" w:right="-1"/>
              <w:rPr>
                <w:b/>
                <w:sz w:val="13"/>
              </w:rPr>
            </w:pPr>
            <w:r>
              <w:rPr>
                <w:b/>
                <w:sz w:val="13"/>
              </w:rPr>
              <w:t>2010</w:t>
            </w:r>
          </w:p>
        </w:tc>
        <w:tc>
          <w:tcPr>
            <w:tcW w:w="892" w:type="dxa"/>
          </w:tcPr>
          <w:p>
            <w:pPr>
              <w:pStyle w:val="TableParagraph"/>
              <w:spacing w:line="148" w:lineRule="exact"/>
              <w:ind w:left="574" w:right="-2"/>
              <w:rPr>
                <w:b/>
                <w:sz w:val="13"/>
              </w:rPr>
            </w:pPr>
            <w:r>
              <w:rPr>
                <w:b/>
                <w:sz w:val="13"/>
              </w:rPr>
              <w:t>2010</w:t>
            </w:r>
          </w:p>
        </w:tc>
        <w:tc>
          <w:tcPr>
            <w:tcW w:w="707" w:type="dxa"/>
          </w:tcPr>
          <w:p>
            <w:pPr>
              <w:pStyle w:val="TableParagraph"/>
              <w:spacing w:line="148" w:lineRule="exact"/>
              <w:ind w:left="389" w:right="-1"/>
              <w:rPr>
                <w:b/>
                <w:sz w:val="13"/>
              </w:rPr>
            </w:pPr>
            <w:r>
              <w:rPr>
                <w:b/>
                <w:sz w:val="13"/>
              </w:rPr>
              <w:t>2010</w:t>
            </w:r>
          </w:p>
        </w:tc>
        <w:tc>
          <w:tcPr>
            <w:tcW w:w="707" w:type="dxa"/>
          </w:tcPr>
          <w:p>
            <w:pPr>
              <w:pStyle w:val="TableParagraph"/>
              <w:spacing w:line="148" w:lineRule="exact"/>
              <w:ind w:left="389" w:right="-1"/>
              <w:rPr>
                <w:b/>
                <w:sz w:val="13"/>
              </w:rPr>
            </w:pPr>
            <w:r>
              <w:rPr>
                <w:b/>
                <w:sz w:val="13"/>
              </w:rPr>
              <w:t>2010</w:t>
            </w:r>
          </w:p>
        </w:tc>
      </w:tr>
      <w:tr>
        <w:trPr>
          <w:trHeight w:val="164" w:hRule="exact"/>
        </w:trPr>
        <w:tc>
          <w:tcPr>
            <w:tcW w:w="707" w:type="dxa"/>
          </w:tcPr>
          <w:p>
            <w:pPr/>
          </w:p>
        </w:tc>
        <w:tc>
          <w:tcPr>
            <w:tcW w:w="707" w:type="dxa"/>
          </w:tcPr>
          <w:p>
            <w:pPr/>
          </w:p>
        </w:tc>
        <w:tc>
          <w:tcPr>
            <w:tcW w:w="1555" w:type="dxa"/>
          </w:tcPr>
          <w:p>
            <w:pPr>
              <w:pStyle w:val="TableParagraph"/>
              <w:ind w:left="537" w:right="526"/>
              <w:jc w:val="center"/>
              <w:rPr>
                <w:b/>
                <w:sz w:val="13"/>
              </w:rPr>
            </w:pPr>
            <w:r>
              <w:rPr>
                <w:b/>
                <w:sz w:val="13"/>
              </w:rPr>
              <w:t>México</w:t>
            </w:r>
          </w:p>
        </w:tc>
        <w:tc>
          <w:tcPr>
            <w:tcW w:w="1065" w:type="dxa"/>
          </w:tcPr>
          <w:p>
            <w:pPr>
              <w:pStyle w:val="TableParagraph"/>
              <w:ind w:right="259"/>
              <w:jc w:val="right"/>
              <w:rPr>
                <w:b/>
                <w:sz w:val="13"/>
              </w:rPr>
            </w:pPr>
            <w:r>
              <w:rPr>
                <w:b/>
                <w:sz w:val="13"/>
              </w:rPr>
              <w:t>15 175 862</w:t>
            </w:r>
          </w:p>
        </w:tc>
        <w:tc>
          <w:tcPr>
            <w:tcW w:w="923" w:type="dxa"/>
          </w:tcPr>
          <w:p>
            <w:pPr/>
          </w:p>
        </w:tc>
        <w:tc>
          <w:tcPr>
            <w:tcW w:w="848" w:type="dxa"/>
          </w:tcPr>
          <w:p>
            <w:pPr/>
          </w:p>
        </w:tc>
        <w:tc>
          <w:tcPr>
            <w:tcW w:w="892" w:type="dxa"/>
          </w:tcPr>
          <w:p>
            <w:pPr/>
          </w:p>
        </w:tc>
        <w:tc>
          <w:tcPr>
            <w:tcW w:w="707" w:type="dxa"/>
          </w:tcPr>
          <w:p>
            <w:pPr/>
          </w:p>
        </w:tc>
        <w:tc>
          <w:tcPr>
            <w:tcW w:w="707" w:type="dxa"/>
          </w:tcPr>
          <w:p>
            <w:pPr/>
          </w:p>
        </w:tc>
      </w:tr>
      <w:tr>
        <w:trPr>
          <w:trHeight w:val="164" w:hRule="exact"/>
        </w:trPr>
        <w:tc>
          <w:tcPr>
            <w:tcW w:w="707" w:type="dxa"/>
            <w:shd w:val="clear" w:color="auto" w:fill="F1DCDB"/>
          </w:tcPr>
          <w:p>
            <w:pPr>
              <w:pStyle w:val="TableParagraph"/>
              <w:spacing w:line="149" w:lineRule="exact"/>
              <w:ind w:right="272"/>
              <w:jc w:val="right"/>
              <w:rPr>
                <w:sz w:val="13"/>
              </w:rPr>
            </w:pPr>
            <w:r>
              <w:rPr>
                <w:sz w:val="13"/>
              </w:rPr>
              <w:t>15</w:t>
            </w:r>
          </w:p>
        </w:tc>
        <w:tc>
          <w:tcPr>
            <w:tcW w:w="707" w:type="dxa"/>
            <w:shd w:val="clear" w:color="auto" w:fill="F1DCDB"/>
          </w:tcPr>
          <w:p>
            <w:pPr>
              <w:pStyle w:val="TableParagraph"/>
              <w:spacing w:line="149" w:lineRule="exact"/>
              <w:ind w:left="220" w:right="216"/>
              <w:jc w:val="center"/>
              <w:rPr>
                <w:sz w:val="13"/>
              </w:rPr>
            </w:pPr>
            <w:r>
              <w:rPr>
                <w:sz w:val="13"/>
              </w:rPr>
              <w:t>001</w:t>
            </w:r>
          </w:p>
        </w:tc>
        <w:tc>
          <w:tcPr>
            <w:tcW w:w="1555" w:type="dxa"/>
            <w:shd w:val="clear" w:color="auto" w:fill="F1DCDB"/>
          </w:tcPr>
          <w:p>
            <w:pPr>
              <w:pStyle w:val="TableParagraph"/>
              <w:spacing w:line="149" w:lineRule="exact"/>
              <w:ind w:left="19"/>
              <w:rPr>
                <w:sz w:val="13"/>
              </w:rPr>
            </w:pPr>
            <w:r>
              <w:rPr>
                <w:sz w:val="13"/>
              </w:rPr>
              <w:t>Acambay</w:t>
            </w:r>
          </w:p>
        </w:tc>
        <w:tc>
          <w:tcPr>
            <w:tcW w:w="1065" w:type="dxa"/>
            <w:shd w:val="clear" w:color="auto" w:fill="F1DCDB"/>
          </w:tcPr>
          <w:p>
            <w:pPr>
              <w:pStyle w:val="TableParagraph"/>
              <w:spacing w:line="149" w:lineRule="exact"/>
              <w:ind w:right="257"/>
              <w:jc w:val="right"/>
              <w:rPr>
                <w:sz w:val="13"/>
              </w:rPr>
            </w:pPr>
            <w:r>
              <w:rPr>
                <w:sz w:val="13"/>
              </w:rPr>
              <w:t>60 918</w:t>
            </w:r>
          </w:p>
        </w:tc>
        <w:tc>
          <w:tcPr>
            <w:tcW w:w="923" w:type="dxa"/>
            <w:shd w:val="clear" w:color="auto" w:fill="F1DCDB"/>
          </w:tcPr>
          <w:p>
            <w:pPr>
              <w:pStyle w:val="TableParagraph"/>
              <w:spacing w:line="149" w:lineRule="exact"/>
              <w:ind w:right="23"/>
              <w:jc w:val="right"/>
              <w:rPr>
                <w:sz w:val="13"/>
              </w:rPr>
            </w:pPr>
            <w:r>
              <w:rPr>
                <w:sz w:val="13"/>
              </w:rPr>
              <w:t>0.30325</w:t>
            </w:r>
          </w:p>
        </w:tc>
        <w:tc>
          <w:tcPr>
            <w:tcW w:w="848" w:type="dxa"/>
            <w:shd w:val="clear" w:color="auto" w:fill="F1DCDB"/>
          </w:tcPr>
          <w:p>
            <w:pPr>
              <w:pStyle w:val="TableParagraph"/>
              <w:spacing w:line="149" w:lineRule="exact"/>
              <w:ind w:left="245" w:right="10"/>
              <w:rPr>
                <w:sz w:val="13"/>
              </w:rPr>
            </w:pPr>
            <w:r>
              <w:rPr>
                <w:sz w:val="13"/>
              </w:rPr>
              <w:t>Medio</w:t>
            </w:r>
          </w:p>
        </w:tc>
        <w:tc>
          <w:tcPr>
            <w:tcW w:w="892" w:type="dxa"/>
            <w:shd w:val="clear" w:color="auto" w:fill="F1DCDB"/>
          </w:tcPr>
          <w:p>
            <w:pPr>
              <w:pStyle w:val="TableParagraph"/>
              <w:spacing w:line="149" w:lineRule="exact"/>
              <w:ind w:left="230" w:right="-2"/>
              <w:rPr>
                <w:sz w:val="13"/>
              </w:rPr>
            </w:pPr>
            <w:r>
              <w:rPr>
                <w:sz w:val="13"/>
              </w:rPr>
              <w:t>31.099</w:t>
            </w:r>
          </w:p>
        </w:tc>
        <w:tc>
          <w:tcPr>
            <w:tcW w:w="707" w:type="dxa"/>
            <w:shd w:val="clear" w:color="auto" w:fill="F1DCDB"/>
          </w:tcPr>
          <w:p>
            <w:pPr>
              <w:pStyle w:val="TableParagraph"/>
              <w:spacing w:line="149" w:lineRule="exact"/>
              <w:ind w:left="314" w:right="-1"/>
              <w:rPr>
                <w:sz w:val="13"/>
              </w:rPr>
            </w:pPr>
            <w:r>
              <w:rPr>
                <w:sz w:val="13"/>
              </w:rPr>
              <w:t>15</w:t>
            </w:r>
          </w:p>
        </w:tc>
        <w:tc>
          <w:tcPr>
            <w:tcW w:w="707" w:type="dxa"/>
            <w:shd w:val="clear" w:color="auto" w:fill="F1DCDB"/>
          </w:tcPr>
          <w:p>
            <w:pPr>
              <w:pStyle w:val="TableParagraph"/>
              <w:spacing w:line="149" w:lineRule="exact"/>
              <w:ind w:left="225" w:right="-1"/>
              <w:rPr>
                <w:sz w:val="13"/>
              </w:rPr>
            </w:pPr>
            <w:r>
              <w:rPr>
                <w:sz w:val="13"/>
              </w:rPr>
              <w:t>926</w:t>
            </w:r>
          </w:p>
        </w:tc>
      </w:tr>
      <w:tr>
        <w:trPr>
          <w:trHeight w:val="164" w:hRule="exact"/>
        </w:trPr>
        <w:tc>
          <w:tcPr>
            <w:tcW w:w="707" w:type="dxa"/>
          </w:tcPr>
          <w:p>
            <w:pPr>
              <w:pStyle w:val="TableParagraph"/>
              <w:spacing w:line="149" w:lineRule="exact"/>
              <w:ind w:right="272"/>
              <w:jc w:val="right"/>
              <w:rPr>
                <w:sz w:val="13"/>
              </w:rPr>
            </w:pPr>
            <w:r>
              <w:rPr>
                <w:sz w:val="13"/>
              </w:rPr>
              <w:t>15</w:t>
            </w:r>
          </w:p>
        </w:tc>
        <w:tc>
          <w:tcPr>
            <w:tcW w:w="707" w:type="dxa"/>
          </w:tcPr>
          <w:p>
            <w:pPr>
              <w:pStyle w:val="TableParagraph"/>
              <w:spacing w:line="149" w:lineRule="exact"/>
              <w:ind w:left="220" w:right="216"/>
              <w:jc w:val="center"/>
              <w:rPr>
                <w:sz w:val="13"/>
              </w:rPr>
            </w:pPr>
            <w:r>
              <w:rPr>
                <w:sz w:val="13"/>
              </w:rPr>
              <w:t>003</w:t>
            </w:r>
          </w:p>
        </w:tc>
        <w:tc>
          <w:tcPr>
            <w:tcW w:w="1555" w:type="dxa"/>
          </w:tcPr>
          <w:p>
            <w:pPr>
              <w:pStyle w:val="TableParagraph"/>
              <w:spacing w:line="149" w:lineRule="exact"/>
              <w:ind w:left="19"/>
              <w:rPr>
                <w:sz w:val="13"/>
              </w:rPr>
            </w:pPr>
            <w:r>
              <w:rPr>
                <w:sz w:val="13"/>
              </w:rPr>
              <w:t>Aculco</w:t>
            </w:r>
          </w:p>
        </w:tc>
        <w:tc>
          <w:tcPr>
            <w:tcW w:w="1065" w:type="dxa"/>
          </w:tcPr>
          <w:p>
            <w:pPr>
              <w:pStyle w:val="TableParagraph"/>
              <w:spacing w:line="149" w:lineRule="exact"/>
              <w:ind w:right="257"/>
              <w:jc w:val="right"/>
              <w:rPr>
                <w:sz w:val="13"/>
              </w:rPr>
            </w:pPr>
            <w:r>
              <w:rPr>
                <w:sz w:val="13"/>
              </w:rPr>
              <w:t>44 823</w:t>
            </w:r>
          </w:p>
        </w:tc>
        <w:tc>
          <w:tcPr>
            <w:tcW w:w="923" w:type="dxa"/>
          </w:tcPr>
          <w:p>
            <w:pPr>
              <w:pStyle w:val="TableParagraph"/>
              <w:spacing w:line="149" w:lineRule="exact"/>
              <w:ind w:right="23"/>
              <w:jc w:val="right"/>
              <w:rPr>
                <w:sz w:val="13"/>
              </w:rPr>
            </w:pPr>
            <w:r>
              <w:rPr>
                <w:sz w:val="13"/>
              </w:rPr>
              <w:t>0.23760</w:t>
            </w:r>
          </w:p>
        </w:tc>
        <w:tc>
          <w:tcPr>
            <w:tcW w:w="848" w:type="dxa"/>
          </w:tcPr>
          <w:p>
            <w:pPr>
              <w:pStyle w:val="TableParagraph"/>
              <w:spacing w:line="149" w:lineRule="exact"/>
              <w:ind w:left="245" w:right="10"/>
              <w:rPr>
                <w:sz w:val="13"/>
              </w:rPr>
            </w:pPr>
            <w:r>
              <w:rPr>
                <w:sz w:val="13"/>
              </w:rPr>
              <w:t>Medio</w:t>
            </w:r>
          </w:p>
        </w:tc>
        <w:tc>
          <w:tcPr>
            <w:tcW w:w="892" w:type="dxa"/>
          </w:tcPr>
          <w:p>
            <w:pPr>
              <w:pStyle w:val="TableParagraph"/>
              <w:spacing w:line="149" w:lineRule="exact"/>
              <w:ind w:left="230" w:right="-2"/>
              <w:rPr>
                <w:sz w:val="13"/>
              </w:rPr>
            </w:pPr>
            <w:r>
              <w:rPr>
                <w:sz w:val="13"/>
              </w:rPr>
              <w:t>30.357</w:t>
            </w:r>
          </w:p>
        </w:tc>
        <w:tc>
          <w:tcPr>
            <w:tcW w:w="707" w:type="dxa"/>
          </w:tcPr>
          <w:p>
            <w:pPr>
              <w:pStyle w:val="TableParagraph"/>
              <w:spacing w:line="149" w:lineRule="exact"/>
              <w:ind w:left="314" w:right="-1"/>
              <w:rPr>
                <w:sz w:val="13"/>
              </w:rPr>
            </w:pPr>
            <w:r>
              <w:rPr>
                <w:sz w:val="13"/>
              </w:rPr>
              <w:t>16</w:t>
            </w:r>
          </w:p>
        </w:tc>
        <w:tc>
          <w:tcPr>
            <w:tcW w:w="707" w:type="dxa"/>
          </w:tcPr>
          <w:p>
            <w:pPr>
              <w:pStyle w:val="TableParagraph"/>
              <w:spacing w:line="149" w:lineRule="exact"/>
              <w:ind w:left="225" w:right="-1"/>
              <w:rPr>
                <w:sz w:val="13"/>
              </w:rPr>
            </w:pPr>
            <w:r>
              <w:rPr>
                <w:sz w:val="13"/>
              </w:rPr>
              <w:t>975</w:t>
            </w:r>
          </w:p>
        </w:tc>
      </w:tr>
      <w:tr>
        <w:trPr>
          <w:trHeight w:val="164" w:hRule="exact"/>
        </w:trPr>
        <w:tc>
          <w:tcPr>
            <w:tcW w:w="707" w:type="dxa"/>
            <w:shd w:val="clear" w:color="auto" w:fill="F1DCDB"/>
          </w:tcPr>
          <w:p>
            <w:pPr>
              <w:pStyle w:val="TableParagraph"/>
              <w:spacing w:line="149" w:lineRule="exact"/>
              <w:ind w:right="272"/>
              <w:jc w:val="right"/>
              <w:rPr>
                <w:sz w:val="13"/>
              </w:rPr>
            </w:pPr>
            <w:r>
              <w:rPr>
                <w:sz w:val="13"/>
              </w:rPr>
              <w:t>15</w:t>
            </w:r>
          </w:p>
        </w:tc>
        <w:tc>
          <w:tcPr>
            <w:tcW w:w="707" w:type="dxa"/>
            <w:shd w:val="clear" w:color="auto" w:fill="F1DCDB"/>
          </w:tcPr>
          <w:p>
            <w:pPr>
              <w:pStyle w:val="TableParagraph"/>
              <w:spacing w:line="149" w:lineRule="exact"/>
              <w:ind w:left="220" w:right="216"/>
              <w:jc w:val="center"/>
              <w:rPr>
                <w:sz w:val="13"/>
              </w:rPr>
            </w:pPr>
            <w:r>
              <w:rPr>
                <w:sz w:val="13"/>
              </w:rPr>
              <w:t>004</w:t>
            </w:r>
          </w:p>
        </w:tc>
        <w:tc>
          <w:tcPr>
            <w:tcW w:w="1555" w:type="dxa"/>
            <w:shd w:val="clear" w:color="auto" w:fill="F1DCDB"/>
          </w:tcPr>
          <w:p>
            <w:pPr>
              <w:pStyle w:val="TableParagraph"/>
              <w:spacing w:line="149" w:lineRule="exact"/>
              <w:ind w:left="19"/>
              <w:rPr>
                <w:sz w:val="13"/>
              </w:rPr>
            </w:pPr>
            <w:r>
              <w:rPr>
                <w:sz w:val="13"/>
              </w:rPr>
              <w:t>Almoloya de Alquisiras</w:t>
            </w:r>
          </w:p>
        </w:tc>
        <w:tc>
          <w:tcPr>
            <w:tcW w:w="1065" w:type="dxa"/>
            <w:shd w:val="clear" w:color="auto" w:fill="F1DCDB"/>
          </w:tcPr>
          <w:p>
            <w:pPr>
              <w:pStyle w:val="TableParagraph"/>
              <w:spacing w:line="149" w:lineRule="exact"/>
              <w:ind w:right="257"/>
              <w:jc w:val="right"/>
              <w:rPr>
                <w:sz w:val="13"/>
              </w:rPr>
            </w:pPr>
            <w:r>
              <w:rPr>
                <w:sz w:val="13"/>
              </w:rPr>
              <w:t>14 856</w:t>
            </w:r>
          </w:p>
        </w:tc>
        <w:tc>
          <w:tcPr>
            <w:tcW w:w="923" w:type="dxa"/>
            <w:shd w:val="clear" w:color="auto" w:fill="F1DCDB"/>
          </w:tcPr>
          <w:p>
            <w:pPr>
              <w:pStyle w:val="TableParagraph"/>
              <w:spacing w:line="149" w:lineRule="exact"/>
              <w:ind w:right="23"/>
              <w:jc w:val="right"/>
              <w:rPr>
                <w:sz w:val="13"/>
              </w:rPr>
            </w:pPr>
            <w:r>
              <w:rPr>
                <w:sz w:val="13"/>
              </w:rPr>
              <w:t>0.20888</w:t>
            </w:r>
          </w:p>
        </w:tc>
        <w:tc>
          <w:tcPr>
            <w:tcW w:w="848" w:type="dxa"/>
            <w:shd w:val="clear" w:color="auto" w:fill="F1DCDB"/>
          </w:tcPr>
          <w:p>
            <w:pPr>
              <w:pStyle w:val="TableParagraph"/>
              <w:spacing w:line="149" w:lineRule="exact"/>
              <w:ind w:left="245" w:right="10"/>
              <w:rPr>
                <w:sz w:val="13"/>
              </w:rPr>
            </w:pPr>
            <w:r>
              <w:rPr>
                <w:sz w:val="13"/>
              </w:rPr>
              <w:t>Medio</w:t>
            </w:r>
          </w:p>
        </w:tc>
        <w:tc>
          <w:tcPr>
            <w:tcW w:w="892" w:type="dxa"/>
            <w:shd w:val="clear" w:color="auto" w:fill="F1DCDB"/>
          </w:tcPr>
          <w:p>
            <w:pPr>
              <w:pStyle w:val="TableParagraph"/>
              <w:spacing w:line="149" w:lineRule="exact"/>
              <w:ind w:left="230" w:right="-2"/>
              <w:rPr>
                <w:sz w:val="13"/>
              </w:rPr>
            </w:pPr>
            <w:r>
              <w:rPr>
                <w:sz w:val="13"/>
              </w:rPr>
              <w:t>30.033</w:t>
            </w:r>
          </w:p>
        </w:tc>
        <w:tc>
          <w:tcPr>
            <w:tcW w:w="707" w:type="dxa"/>
            <w:shd w:val="clear" w:color="auto" w:fill="F1DCDB"/>
          </w:tcPr>
          <w:p>
            <w:pPr>
              <w:pStyle w:val="TableParagraph"/>
              <w:spacing w:line="149" w:lineRule="exact"/>
              <w:ind w:left="314" w:right="-1"/>
              <w:rPr>
                <w:sz w:val="13"/>
              </w:rPr>
            </w:pPr>
            <w:r>
              <w:rPr>
                <w:sz w:val="13"/>
              </w:rPr>
              <w:t>18</w:t>
            </w:r>
          </w:p>
        </w:tc>
        <w:tc>
          <w:tcPr>
            <w:tcW w:w="707" w:type="dxa"/>
            <w:shd w:val="clear" w:color="auto" w:fill="F1DCDB"/>
          </w:tcPr>
          <w:p>
            <w:pPr>
              <w:pStyle w:val="TableParagraph"/>
              <w:spacing w:line="149" w:lineRule="exact"/>
              <w:ind w:left="117" w:right="-1"/>
              <w:rPr>
                <w:sz w:val="13"/>
              </w:rPr>
            </w:pPr>
            <w:r>
              <w:rPr>
                <w:sz w:val="13"/>
              </w:rPr>
              <w:t>1 003</w:t>
            </w:r>
          </w:p>
        </w:tc>
      </w:tr>
      <w:tr>
        <w:trPr>
          <w:trHeight w:val="164" w:hRule="exact"/>
        </w:trPr>
        <w:tc>
          <w:tcPr>
            <w:tcW w:w="707" w:type="dxa"/>
          </w:tcPr>
          <w:p>
            <w:pPr>
              <w:pStyle w:val="TableParagraph"/>
              <w:ind w:right="272"/>
              <w:jc w:val="right"/>
              <w:rPr>
                <w:sz w:val="13"/>
              </w:rPr>
            </w:pPr>
            <w:r>
              <w:rPr>
                <w:sz w:val="13"/>
              </w:rPr>
              <w:t>15</w:t>
            </w:r>
          </w:p>
        </w:tc>
        <w:tc>
          <w:tcPr>
            <w:tcW w:w="707" w:type="dxa"/>
          </w:tcPr>
          <w:p>
            <w:pPr>
              <w:pStyle w:val="TableParagraph"/>
              <w:ind w:left="220" w:right="216"/>
              <w:jc w:val="center"/>
              <w:rPr>
                <w:sz w:val="13"/>
              </w:rPr>
            </w:pPr>
            <w:r>
              <w:rPr>
                <w:sz w:val="13"/>
              </w:rPr>
              <w:t>005</w:t>
            </w:r>
          </w:p>
        </w:tc>
        <w:tc>
          <w:tcPr>
            <w:tcW w:w="1555" w:type="dxa"/>
          </w:tcPr>
          <w:p>
            <w:pPr>
              <w:pStyle w:val="TableParagraph"/>
              <w:ind w:left="19"/>
              <w:rPr>
                <w:sz w:val="13"/>
              </w:rPr>
            </w:pPr>
            <w:r>
              <w:rPr>
                <w:sz w:val="13"/>
              </w:rPr>
              <w:t>Almoloya de Juárez</w:t>
            </w:r>
          </w:p>
        </w:tc>
        <w:tc>
          <w:tcPr>
            <w:tcW w:w="1065" w:type="dxa"/>
          </w:tcPr>
          <w:p>
            <w:pPr>
              <w:pStyle w:val="TableParagraph"/>
              <w:ind w:right="259"/>
              <w:jc w:val="right"/>
              <w:rPr>
                <w:sz w:val="13"/>
              </w:rPr>
            </w:pPr>
            <w:r>
              <w:rPr>
                <w:sz w:val="13"/>
              </w:rPr>
              <w:t>147 653</w:t>
            </w:r>
          </w:p>
        </w:tc>
        <w:tc>
          <w:tcPr>
            <w:tcW w:w="923" w:type="dxa"/>
          </w:tcPr>
          <w:p>
            <w:pPr>
              <w:pStyle w:val="TableParagraph"/>
              <w:ind w:right="18"/>
              <w:jc w:val="right"/>
              <w:rPr>
                <w:sz w:val="13"/>
              </w:rPr>
            </w:pPr>
            <w:r>
              <w:rPr>
                <w:sz w:val="13"/>
              </w:rPr>
              <w:t>-0.35190</w:t>
            </w:r>
          </w:p>
        </w:tc>
        <w:tc>
          <w:tcPr>
            <w:tcW w:w="848" w:type="dxa"/>
          </w:tcPr>
          <w:p>
            <w:pPr>
              <w:pStyle w:val="TableParagraph"/>
              <w:ind w:left="245" w:right="10"/>
              <w:rPr>
                <w:sz w:val="13"/>
              </w:rPr>
            </w:pPr>
            <w:r>
              <w:rPr>
                <w:sz w:val="13"/>
              </w:rPr>
              <w:t>Medio</w:t>
            </w:r>
          </w:p>
        </w:tc>
        <w:tc>
          <w:tcPr>
            <w:tcW w:w="892" w:type="dxa"/>
          </w:tcPr>
          <w:p>
            <w:pPr>
              <w:pStyle w:val="TableParagraph"/>
              <w:ind w:left="230" w:right="-2"/>
              <w:rPr>
                <w:sz w:val="13"/>
              </w:rPr>
            </w:pPr>
            <w:r>
              <w:rPr>
                <w:sz w:val="13"/>
              </w:rPr>
              <w:t>23.696</w:t>
            </w:r>
          </w:p>
        </w:tc>
        <w:tc>
          <w:tcPr>
            <w:tcW w:w="707" w:type="dxa"/>
          </w:tcPr>
          <w:p>
            <w:pPr>
              <w:pStyle w:val="TableParagraph"/>
              <w:ind w:left="314" w:right="-1"/>
              <w:rPr>
                <w:sz w:val="13"/>
              </w:rPr>
            </w:pPr>
            <w:r>
              <w:rPr>
                <w:sz w:val="13"/>
              </w:rPr>
              <w:t>40</w:t>
            </w:r>
          </w:p>
        </w:tc>
        <w:tc>
          <w:tcPr>
            <w:tcW w:w="707" w:type="dxa"/>
          </w:tcPr>
          <w:p>
            <w:pPr>
              <w:pStyle w:val="TableParagraph"/>
              <w:ind w:left="117" w:right="-1"/>
              <w:rPr>
                <w:sz w:val="13"/>
              </w:rPr>
            </w:pPr>
            <w:r>
              <w:rPr>
                <w:sz w:val="13"/>
              </w:rPr>
              <w:t>1 499</w:t>
            </w:r>
          </w:p>
        </w:tc>
      </w:tr>
      <w:tr>
        <w:trPr>
          <w:trHeight w:val="165" w:hRule="exact"/>
        </w:trPr>
        <w:tc>
          <w:tcPr>
            <w:tcW w:w="707" w:type="dxa"/>
            <w:shd w:val="clear" w:color="auto" w:fill="F1DCDB"/>
          </w:tcPr>
          <w:p>
            <w:pPr>
              <w:pStyle w:val="TableParagraph"/>
              <w:ind w:right="272"/>
              <w:jc w:val="right"/>
              <w:rPr>
                <w:sz w:val="13"/>
              </w:rPr>
            </w:pPr>
            <w:r>
              <w:rPr>
                <w:sz w:val="13"/>
              </w:rPr>
              <w:t>15</w:t>
            </w:r>
          </w:p>
        </w:tc>
        <w:tc>
          <w:tcPr>
            <w:tcW w:w="707" w:type="dxa"/>
            <w:shd w:val="clear" w:color="auto" w:fill="F1DCDB"/>
          </w:tcPr>
          <w:p>
            <w:pPr>
              <w:pStyle w:val="TableParagraph"/>
              <w:ind w:left="220" w:right="216"/>
              <w:jc w:val="center"/>
              <w:rPr>
                <w:sz w:val="13"/>
              </w:rPr>
            </w:pPr>
            <w:r>
              <w:rPr>
                <w:sz w:val="13"/>
              </w:rPr>
              <w:t>007</w:t>
            </w:r>
          </w:p>
        </w:tc>
        <w:tc>
          <w:tcPr>
            <w:tcW w:w="1555" w:type="dxa"/>
            <w:shd w:val="clear" w:color="auto" w:fill="F1DCDB"/>
          </w:tcPr>
          <w:p>
            <w:pPr>
              <w:pStyle w:val="TableParagraph"/>
              <w:ind w:left="19"/>
              <w:rPr>
                <w:sz w:val="13"/>
              </w:rPr>
            </w:pPr>
            <w:r>
              <w:rPr>
                <w:sz w:val="13"/>
              </w:rPr>
              <w:t>Amanalco</w:t>
            </w:r>
          </w:p>
        </w:tc>
        <w:tc>
          <w:tcPr>
            <w:tcW w:w="1065" w:type="dxa"/>
            <w:shd w:val="clear" w:color="auto" w:fill="F1DCDB"/>
          </w:tcPr>
          <w:p>
            <w:pPr>
              <w:pStyle w:val="TableParagraph"/>
              <w:ind w:right="257"/>
              <w:jc w:val="right"/>
              <w:rPr>
                <w:sz w:val="13"/>
              </w:rPr>
            </w:pPr>
            <w:r>
              <w:rPr>
                <w:sz w:val="13"/>
              </w:rPr>
              <w:t>22 868</w:t>
            </w:r>
          </w:p>
        </w:tc>
        <w:tc>
          <w:tcPr>
            <w:tcW w:w="923" w:type="dxa"/>
            <w:shd w:val="clear" w:color="auto" w:fill="F1DCDB"/>
          </w:tcPr>
          <w:p>
            <w:pPr>
              <w:pStyle w:val="TableParagraph"/>
              <w:ind w:right="23"/>
              <w:jc w:val="right"/>
              <w:rPr>
                <w:sz w:val="13"/>
              </w:rPr>
            </w:pPr>
            <w:r>
              <w:rPr>
                <w:sz w:val="13"/>
              </w:rPr>
              <w:t>0.19673</w:t>
            </w:r>
          </w:p>
        </w:tc>
        <w:tc>
          <w:tcPr>
            <w:tcW w:w="848" w:type="dxa"/>
            <w:shd w:val="clear" w:color="auto" w:fill="F1DCDB"/>
          </w:tcPr>
          <w:p>
            <w:pPr>
              <w:pStyle w:val="TableParagraph"/>
              <w:ind w:left="245" w:right="10"/>
              <w:rPr>
                <w:sz w:val="13"/>
              </w:rPr>
            </w:pPr>
            <w:r>
              <w:rPr>
                <w:sz w:val="13"/>
              </w:rPr>
              <w:t>Medio</w:t>
            </w:r>
          </w:p>
        </w:tc>
        <w:tc>
          <w:tcPr>
            <w:tcW w:w="892" w:type="dxa"/>
            <w:shd w:val="clear" w:color="auto" w:fill="F1DCDB"/>
          </w:tcPr>
          <w:p>
            <w:pPr>
              <w:pStyle w:val="TableParagraph"/>
              <w:ind w:left="230" w:right="-2"/>
              <w:rPr>
                <w:sz w:val="13"/>
              </w:rPr>
            </w:pPr>
            <w:r>
              <w:rPr>
                <w:sz w:val="13"/>
              </w:rPr>
              <w:t>29.895</w:t>
            </w:r>
          </w:p>
        </w:tc>
        <w:tc>
          <w:tcPr>
            <w:tcW w:w="707" w:type="dxa"/>
            <w:shd w:val="clear" w:color="auto" w:fill="F1DCDB"/>
          </w:tcPr>
          <w:p>
            <w:pPr>
              <w:pStyle w:val="TableParagraph"/>
              <w:ind w:left="314" w:right="-1"/>
              <w:rPr>
                <w:sz w:val="13"/>
              </w:rPr>
            </w:pPr>
            <w:r>
              <w:rPr>
                <w:sz w:val="13"/>
              </w:rPr>
              <w:t>20</w:t>
            </w:r>
          </w:p>
        </w:tc>
        <w:tc>
          <w:tcPr>
            <w:tcW w:w="707" w:type="dxa"/>
            <w:shd w:val="clear" w:color="auto" w:fill="F1DCDB"/>
          </w:tcPr>
          <w:p>
            <w:pPr>
              <w:pStyle w:val="TableParagraph"/>
              <w:ind w:left="117" w:right="-1"/>
              <w:rPr>
                <w:sz w:val="13"/>
              </w:rPr>
            </w:pPr>
            <w:r>
              <w:rPr>
                <w:sz w:val="13"/>
              </w:rPr>
              <w:t>1 013</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014</w:t>
            </w:r>
          </w:p>
        </w:tc>
        <w:tc>
          <w:tcPr>
            <w:tcW w:w="1555" w:type="dxa"/>
          </w:tcPr>
          <w:p>
            <w:pPr>
              <w:pStyle w:val="TableParagraph"/>
              <w:spacing w:line="148" w:lineRule="exact"/>
              <w:ind w:left="19"/>
              <w:rPr>
                <w:sz w:val="13"/>
              </w:rPr>
            </w:pPr>
            <w:r>
              <w:rPr>
                <w:sz w:val="13"/>
              </w:rPr>
              <w:t>Atlacomulco</w:t>
            </w:r>
          </w:p>
        </w:tc>
        <w:tc>
          <w:tcPr>
            <w:tcW w:w="1065" w:type="dxa"/>
          </w:tcPr>
          <w:p>
            <w:pPr>
              <w:pStyle w:val="TableParagraph"/>
              <w:spacing w:line="148" w:lineRule="exact"/>
              <w:ind w:right="257"/>
              <w:jc w:val="right"/>
              <w:rPr>
                <w:sz w:val="13"/>
              </w:rPr>
            </w:pPr>
            <w:r>
              <w:rPr>
                <w:sz w:val="13"/>
              </w:rPr>
              <w:t>93 718</w:t>
            </w:r>
          </w:p>
        </w:tc>
        <w:tc>
          <w:tcPr>
            <w:tcW w:w="923" w:type="dxa"/>
          </w:tcPr>
          <w:p>
            <w:pPr>
              <w:pStyle w:val="TableParagraph"/>
              <w:spacing w:line="148" w:lineRule="exact"/>
              <w:ind w:right="18"/>
              <w:jc w:val="right"/>
              <w:rPr>
                <w:sz w:val="13"/>
              </w:rPr>
            </w:pPr>
            <w:r>
              <w:rPr>
                <w:sz w:val="13"/>
              </w:rPr>
              <w:t>-0.65660</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20.253</w:t>
            </w:r>
          </w:p>
        </w:tc>
        <w:tc>
          <w:tcPr>
            <w:tcW w:w="707" w:type="dxa"/>
          </w:tcPr>
          <w:p>
            <w:pPr>
              <w:pStyle w:val="TableParagraph"/>
              <w:spacing w:line="148" w:lineRule="exact"/>
              <w:ind w:left="314" w:right="-1"/>
              <w:rPr>
                <w:sz w:val="13"/>
              </w:rPr>
            </w:pPr>
            <w:r>
              <w:rPr>
                <w:sz w:val="13"/>
              </w:rPr>
              <w:t>49</w:t>
            </w:r>
          </w:p>
        </w:tc>
        <w:tc>
          <w:tcPr>
            <w:tcW w:w="707" w:type="dxa"/>
          </w:tcPr>
          <w:p>
            <w:pPr>
              <w:pStyle w:val="TableParagraph"/>
              <w:spacing w:line="148" w:lineRule="exact"/>
              <w:ind w:left="117" w:right="-1"/>
              <w:rPr>
                <w:sz w:val="13"/>
              </w:rPr>
            </w:pPr>
            <w:r>
              <w:rPr>
                <w:sz w:val="13"/>
              </w:rPr>
              <w:t>1 747</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0" w:right="216"/>
              <w:jc w:val="center"/>
              <w:rPr>
                <w:sz w:val="13"/>
              </w:rPr>
            </w:pPr>
            <w:r>
              <w:rPr>
                <w:sz w:val="13"/>
              </w:rPr>
              <w:t>015</w:t>
            </w:r>
          </w:p>
        </w:tc>
        <w:tc>
          <w:tcPr>
            <w:tcW w:w="1555" w:type="dxa"/>
            <w:shd w:val="clear" w:color="auto" w:fill="F1DCDB"/>
          </w:tcPr>
          <w:p>
            <w:pPr>
              <w:pStyle w:val="TableParagraph"/>
              <w:spacing w:line="148" w:lineRule="exact"/>
              <w:ind w:left="19"/>
              <w:rPr>
                <w:sz w:val="13"/>
              </w:rPr>
            </w:pPr>
            <w:r>
              <w:rPr>
                <w:sz w:val="13"/>
              </w:rPr>
              <w:t>Atlautla</w:t>
            </w:r>
          </w:p>
        </w:tc>
        <w:tc>
          <w:tcPr>
            <w:tcW w:w="1065" w:type="dxa"/>
            <w:shd w:val="clear" w:color="auto" w:fill="F1DCDB"/>
          </w:tcPr>
          <w:p>
            <w:pPr>
              <w:pStyle w:val="TableParagraph"/>
              <w:spacing w:line="148" w:lineRule="exact"/>
              <w:ind w:right="257"/>
              <w:jc w:val="right"/>
              <w:rPr>
                <w:sz w:val="13"/>
              </w:rPr>
            </w:pPr>
            <w:r>
              <w:rPr>
                <w:sz w:val="13"/>
              </w:rPr>
              <w:t>27 663</w:t>
            </w:r>
          </w:p>
        </w:tc>
        <w:tc>
          <w:tcPr>
            <w:tcW w:w="923" w:type="dxa"/>
            <w:shd w:val="clear" w:color="auto" w:fill="F1DCDB"/>
          </w:tcPr>
          <w:p>
            <w:pPr>
              <w:pStyle w:val="TableParagraph"/>
              <w:spacing w:line="148" w:lineRule="exact"/>
              <w:ind w:right="18"/>
              <w:jc w:val="right"/>
              <w:rPr>
                <w:sz w:val="13"/>
              </w:rPr>
            </w:pPr>
            <w:r>
              <w:rPr>
                <w:sz w:val="13"/>
              </w:rPr>
              <w:t>-0.50418</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21.975</w:t>
            </w:r>
          </w:p>
        </w:tc>
        <w:tc>
          <w:tcPr>
            <w:tcW w:w="707" w:type="dxa"/>
            <w:shd w:val="clear" w:color="auto" w:fill="F1DCDB"/>
          </w:tcPr>
          <w:p>
            <w:pPr>
              <w:pStyle w:val="TableParagraph"/>
              <w:spacing w:line="148" w:lineRule="exact"/>
              <w:ind w:left="314" w:right="-1"/>
              <w:rPr>
                <w:sz w:val="13"/>
              </w:rPr>
            </w:pPr>
            <w:r>
              <w:rPr>
                <w:sz w:val="13"/>
              </w:rPr>
              <w:t>42</w:t>
            </w:r>
          </w:p>
        </w:tc>
        <w:tc>
          <w:tcPr>
            <w:tcW w:w="707" w:type="dxa"/>
            <w:shd w:val="clear" w:color="auto" w:fill="F1DCDB"/>
          </w:tcPr>
          <w:p>
            <w:pPr>
              <w:pStyle w:val="TableParagraph"/>
              <w:spacing w:line="148" w:lineRule="exact"/>
              <w:ind w:left="117" w:right="-1"/>
              <w:rPr>
                <w:sz w:val="13"/>
              </w:rPr>
            </w:pPr>
            <w:r>
              <w:rPr>
                <w:sz w:val="13"/>
              </w:rPr>
              <w:t>1 616</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016</w:t>
            </w:r>
          </w:p>
        </w:tc>
        <w:tc>
          <w:tcPr>
            <w:tcW w:w="1555" w:type="dxa"/>
          </w:tcPr>
          <w:p>
            <w:pPr>
              <w:pStyle w:val="TableParagraph"/>
              <w:spacing w:line="148" w:lineRule="exact"/>
              <w:ind w:left="19"/>
              <w:rPr>
                <w:sz w:val="13"/>
              </w:rPr>
            </w:pPr>
            <w:r>
              <w:rPr>
                <w:sz w:val="13"/>
              </w:rPr>
              <w:t>Axapusco</w:t>
            </w:r>
          </w:p>
        </w:tc>
        <w:tc>
          <w:tcPr>
            <w:tcW w:w="1065" w:type="dxa"/>
          </w:tcPr>
          <w:p>
            <w:pPr>
              <w:pStyle w:val="TableParagraph"/>
              <w:spacing w:line="148" w:lineRule="exact"/>
              <w:ind w:right="257"/>
              <w:jc w:val="right"/>
              <w:rPr>
                <w:sz w:val="13"/>
              </w:rPr>
            </w:pPr>
            <w:r>
              <w:rPr>
                <w:sz w:val="13"/>
              </w:rPr>
              <w:t>25 559</w:t>
            </w:r>
          </w:p>
        </w:tc>
        <w:tc>
          <w:tcPr>
            <w:tcW w:w="923" w:type="dxa"/>
          </w:tcPr>
          <w:p>
            <w:pPr>
              <w:pStyle w:val="TableParagraph"/>
              <w:spacing w:line="148" w:lineRule="exact"/>
              <w:ind w:right="18"/>
              <w:jc w:val="right"/>
              <w:rPr>
                <w:sz w:val="13"/>
              </w:rPr>
            </w:pPr>
            <w:r>
              <w:rPr>
                <w:sz w:val="13"/>
              </w:rPr>
              <w:t>-0.62058</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20.660</w:t>
            </w:r>
          </w:p>
        </w:tc>
        <w:tc>
          <w:tcPr>
            <w:tcW w:w="707" w:type="dxa"/>
          </w:tcPr>
          <w:p>
            <w:pPr>
              <w:pStyle w:val="TableParagraph"/>
              <w:spacing w:line="148" w:lineRule="exact"/>
              <w:ind w:left="314" w:right="-1"/>
              <w:rPr>
                <w:sz w:val="13"/>
              </w:rPr>
            </w:pPr>
            <w:r>
              <w:rPr>
                <w:sz w:val="13"/>
              </w:rPr>
              <w:t>48</w:t>
            </w:r>
          </w:p>
        </w:tc>
        <w:tc>
          <w:tcPr>
            <w:tcW w:w="707" w:type="dxa"/>
          </w:tcPr>
          <w:p>
            <w:pPr>
              <w:pStyle w:val="TableParagraph"/>
              <w:spacing w:line="148" w:lineRule="exact"/>
              <w:ind w:left="117" w:right="-1"/>
              <w:rPr>
                <w:sz w:val="13"/>
              </w:rPr>
            </w:pPr>
            <w:r>
              <w:rPr>
                <w:sz w:val="13"/>
              </w:rPr>
              <w:t>1 720</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0" w:right="216"/>
              <w:jc w:val="center"/>
              <w:rPr>
                <w:sz w:val="13"/>
              </w:rPr>
            </w:pPr>
            <w:r>
              <w:rPr>
                <w:sz w:val="13"/>
              </w:rPr>
              <w:t>021</w:t>
            </w:r>
          </w:p>
        </w:tc>
        <w:tc>
          <w:tcPr>
            <w:tcW w:w="1555" w:type="dxa"/>
            <w:shd w:val="clear" w:color="auto" w:fill="F1DCDB"/>
          </w:tcPr>
          <w:p>
            <w:pPr>
              <w:pStyle w:val="TableParagraph"/>
              <w:spacing w:line="148" w:lineRule="exact"/>
              <w:ind w:left="19"/>
              <w:rPr>
                <w:sz w:val="13"/>
              </w:rPr>
            </w:pPr>
            <w:r>
              <w:rPr>
                <w:sz w:val="13"/>
              </w:rPr>
              <w:t>Coatepec Harinas</w:t>
            </w:r>
          </w:p>
        </w:tc>
        <w:tc>
          <w:tcPr>
            <w:tcW w:w="1065" w:type="dxa"/>
            <w:shd w:val="clear" w:color="auto" w:fill="F1DCDB"/>
          </w:tcPr>
          <w:p>
            <w:pPr>
              <w:pStyle w:val="TableParagraph"/>
              <w:spacing w:line="148" w:lineRule="exact"/>
              <w:ind w:right="257"/>
              <w:jc w:val="right"/>
              <w:rPr>
                <w:sz w:val="13"/>
              </w:rPr>
            </w:pPr>
            <w:r>
              <w:rPr>
                <w:sz w:val="13"/>
              </w:rPr>
              <w:t>36 174</w:t>
            </w:r>
          </w:p>
        </w:tc>
        <w:tc>
          <w:tcPr>
            <w:tcW w:w="923" w:type="dxa"/>
            <w:shd w:val="clear" w:color="auto" w:fill="F1DCDB"/>
          </w:tcPr>
          <w:p>
            <w:pPr>
              <w:pStyle w:val="TableParagraph"/>
              <w:spacing w:line="148" w:lineRule="exact"/>
              <w:ind w:right="23"/>
              <w:jc w:val="right"/>
              <w:rPr>
                <w:sz w:val="13"/>
              </w:rPr>
            </w:pPr>
            <w:r>
              <w:rPr>
                <w:sz w:val="13"/>
              </w:rPr>
              <w:t>0.00587</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27.739</w:t>
            </w:r>
          </w:p>
        </w:tc>
        <w:tc>
          <w:tcPr>
            <w:tcW w:w="707" w:type="dxa"/>
            <w:shd w:val="clear" w:color="auto" w:fill="F1DCDB"/>
          </w:tcPr>
          <w:p>
            <w:pPr>
              <w:pStyle w:val="TableParagraph"/>
              <w:spacing w:line="148" w:lineRule="exact"/>
              <w:ind w:left="314" w:right="-1"/>
              <w:rPr>
                <w:sz w:val="13"/>
              </w:rPr>
            </w:pPr>
            <w:r>
              <w:rPr>
                <w:sz w:val="13"/>
              </w:rPr>
              <w:t>25</w:t>
            </w:r>
          </w:p>
        </w:tc>
        <w:tc>
          <w:tcPr>
            <w:tcW w:w="707" w:type="dxa"/>
            <w:shd w:val="clear" w:color="auto" w:fill="F1DCDB"/>
          </w:tcPr>
          <w:p>
            <w:pPr>
              <w:pStyle w:val="TableParagraph"/>
              <w:spacing w:line="148" w:lineRule="exact"/>
              <w:ind w:left="117" w:right="-1"/>
              <w:rPr>
                <w:sz w:val="13"/>
              </w:rPr>
            </w:pPr>
            <w:r>
              <w:rPr>
                <w:sz w:val="13"/>
              </w:rPr>
              <w:t>1 191</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026</w:t>
            </w:r>
          </w:p>
        </w:tc>
        <w:tc>
          <w:tcPr>
            <w:tcW w:w="1555" w:type="dxa"/>
          </w:tcPr>
          <w:p>
            <w:pPr>
              <w:pStyle w:val="TableParagraph"/>
              <w:spacing w:line="148" w:lineRule="exact"/>
              <w:ind w:left="19"/>
              <w:rPr>
                <w:sz w:val="13"/>
              </w:rPr>
            </w:pPr>
            <w:r>
              <w:rPr>
                <w:sz w:val="13"/>
              </w:rPr>
              <w:t>Chapa de Mota</w:t>
            </w:r>
          </w:p>
        </w:tc>
        <w:tc>
          <w:tcPr>
            <w:tcW w:w="1065" w:type="dxa"/>
          </w:tcPr>
          <w:p>
            <w:pPr>
              <w:pStyle w:val="TableParagraph"/>
              <w:spacing w:line="148" w:lineRule="exact"/>
              <w:ind w:right="257"/>
              <w:jc w:val="right"/>
              <w:rPr>
                <w:sz w:val="13"/>
              </w:rPr>
            </w:pPr>
            <w:r>
              <w:rPr>
                <w:sz w:val="13"/>
              </w:rPr>
              <w:t>27 551</w:t>
            </w:r>
          </w:p>
        </w:tc>
        <w:tc>
          <w:tcPr>
            <w:tcW w:w="923" w:type="dxa"/>
          </w:tcPr>
          <w:p>
            <w:pPr>
              <w:pStyle w:val="TableParagraph"/>
              <w:spacing w:line="148" w:lineRule="exact"/>
              <w:ind w:right="18"/>
              <w:jc w:val="right"/>
              <w:rPr>
                <w:sz w:val="13"/>
              </w:rPr>
            </w:pPr>
            <w:r>
              <w:rPr>
                <w:sz w:val="13"/>
              </w:rPr>
              <w:t>-0.00866</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27.575</w:t>
            </w:r>
          </w:p>
        </w:tc>
        <w:tc>
          <w:tcPr>
            <w:tcW w:w="707" w:type="dxa"/>
          </w:tcPr>
          <w:p>
            <w:pPr>
              <w:pStyle w:val="TableParagraph"/>
              <w:spacing w:line="148" w:lineRule="exact"/>
              <w:ind w:left="314" w:right="-1"/>
              <w:rPr>
                <w:sz w:val="13"/>
              </w:rPr>
            </w:pPr>
            <w:r>
              <w:rPr>
                <w:sz w:val="13"/>
              </w:rPr>
              <w:t>26</w:t>
            </w:r>
          </w:p>
        </w:tc>
        <w:tc>
          <w:tcPr>
            <w:tcW w:w="707" w:type="dxa"/>
          </w:tcPr>
          <w:p>
            <w:pPr>
              <w:pStyle w:val="TableParagraph"/>
              <w:spacing w:line="148" w:lineRule="exact"/>
              <w:ind w:left="117" w:right="-1"/>
              <w:rPr>
                <w:sz w:val="13"/>
              </w:rPr>
            </w:pPr>
            <w:r>
              <w:rPr>
                <w:sz w:val="13"/>
              </w:rPr>
              <w:t>1 207</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0" w:right="216"/>
              <w:jc w:val="center"/>
              <w:rPr>
                <w:sz w:val="13"/>
              </w:rPr>
            </w:pPr>
            <w:r>
              <w:rPr>
                <w:sz w:val="13"/>
              </w:rPr>
              <w:t>034</w:t>
            </w:r>
          </w:p>
        </w:tc>
        <w:tc>
          <w:tcPr>
            <w:tcW w:w="1555" w:type="dxa"/>
            <w:shd w:val="clear" w:color="auto" w:fill="F1DCDB"/>
          </w:tcPr>
          <w:p>
            <w:pPr>
              <w:pStyle w:val="TableParagraph"/>
              <w:spacing w:line="148" w:lineRule="exact"/>
              <w:ind w:left="19"/>
              <w:rPr>
                <w:sz w:val="13"/>
              </w:rPr>
            </w:pPr>
            <w:r>
              <w:rPr>
                <w:sz w:val="13"/>
              </w:rPr>
              <w:t>Ecatzingo</w:t>
            </w:r>
          </w:p>
        </w:tc>
        <w:tc>
          <w:tcPr>
            <w:tcW w:w="1065" w:type="dxa"/>
            <w:shd w:val="clear" w:color="auto" w:fill="F1DCDB"/>
          </w:tcPr>
          <w:p>
            <w:pPr>
              <w:pStyle w:val="TableParagraph"/>
              <w:spacing w:line="148" w:lineRule="exact"/>
              <w:ind w:right="256"/>
              <w:jc w:val="right"/>
              <w:rPr>
                <w:sz w:val="13"/>
              </w:rPr>
            </w:pPr>
            <w:r>
              <w:rPr>
                <w:sz w:val="13"/>
              </w:rPr>
              <w:t>9 369</w:t>
            </w:r>
          </w:p>
        </w:tc>
        <w:tc>
          <w:tcPr>
            <w:tcW w:w="923" w:type="dxa"/>
            <w:shd w:val="clear" w:color="auto" w:fill="F1DCDB"/>
          </w:tcPr>
          <w:p>
            <w:pPr>
              <w:pStyle w:val="TableParagraph"/>
              <w:spacing w:line="148" w:lineRule="exact"/>
              <w:ind w:right="16"/>
              <w:jc w:val="right"/>
              <w:rPr>
                <w:sz w:val="13"/>
              </w:rPr>
            </w:pPr>
            <w:r>
              <w:rPr>
                <w:sz w:val="13"/>
              </w:rPr>
              <w:t>-0.31103</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24.158</w:t>
            </w:r>
          </w:p>
        </w:tc>
        <w:tc>
          <w:tcPr>
            <w:tcW w:w="707" w:type="dxa"/>
            <w:shd w:val="clear" w:color="auto" w:fill="F1DCDB"/>
          </w:tcPr>
          <w:p>
            <w:pPr>
              <w:pStyle w:val="TableParagraph"/>
              <w:spacing w:line="148" w:lineRule="exact"/>
              <w:ind w:left="314" w:right="-1"/>
              <w:rPr>
                <w:sz w:val="13"/>
              </w:rPr>
            </w:pPr>
            <w:r>
              <w:rPr>
                <w:sz w:val="13"/>
              </w:rPr>
              <w:t>37</w:t>
            </w:r>
          </w:p>
        </w:tc>
        <w:tc>
          <w:tcPr>
            <w:tcW w:w="707" w:type="dxa"/>
            <w:shd w:val="clear" w:color="auto" w:fill="F1DCDB"/>
          </w:tcPr>
          <w:p>
            <w:pPr>
              <w:pStyle w:val="TableParagraph"/>
              <w:spacing w:line="148" w:lineRule="exact"/>
              <w:ind w:left="117" w:right="-1"/>
              <w:rPr>
                <w:sz w:val="13"/>
              </w:rPr>
            </w:pPr>
            <w:r>
              <w:rPr>
                <w:sz w:val="13"/>
              </w:rPr>
              <w:t>1 465</w:t>
            </w:r>
          </w:p>
        </w:tc>
      </w:tr>
      <w:tr>
        <w:trPr>
          <w:trHeight w:val="165"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038</w:t>
            </w:r>
          </w:p>
        </w:tc>
        <w:tc>
          <w:tcPr>
            <w:tcW w:w="1555" w:type="dxa"/>
          </w:tcPr>
          <w:p>
            <w:pPr>
              <w:pStyle w:val="TableParagraph"/>
              <w:spacing w:line="148" w:lineRule="exact"/>
              <w:ind w:left="19"/>
              <w:rPr>
                <w:sz w:val="13"/>
              </w:rPr>
            </w:pPr>
            <w:r>
              <w:rPr>
                <w:sz w:val="13"/>
              </w:rPr>
              <w:t>Isidro Fabela</w:t>
            </w:r>
          </w:p>
        </w:tc>
        <w:tc>
          <w:tcPr>
            <w:tcW w:w="1065" w:type="dxa"/>
          </w:tcPr>
          <w:p>
            <w:pPr>
              <w:pStyle w:val="TableParagraph"/>
              <w:spacing w:line="148" w:lineRule="exact"/>
              <w:ind w:right="257"/>
              <w:jc w:val="right"/>
              <w:rPr>
                <w:sz w:val="13"/>
              </w:rPr>
            </w:pPr>
            <w:r>
              <w:rPr>
                <w:sz w:val="13"/>
              </w:rPr>
              <w:t>10 308</w:t>
            </w:r>
          </w:p>
        </w:tc>
        <w:tc>
          <w:tcPr>
            <w:tcW w:w="923" w:type="dxa"/>
          </w:tcPr>
          <w:p>
            <w:pPr>
              <w:pStyle w:val="TableParagraph"/>
              <w:spacing w:line="148" w:lineRule="exact"/>
              <w:ind w:right="18"/>
              <w:jc w:val="right"/>
              <w:rPr>
                <w:sz w:val="13"/>
              </w:rPr>
            </w:pPr>
            <w:r>
              <w:rPr>
                <w:sz w:val="13"/>
              </w:rPr>
              <w:t>-0.59477</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20.952</w:t>
            </w:r>
          </w:p>
        </w:tc>
        <w:tc>
          <w:tcPr>
            <w:tcW w:w="707" w:type="dxa"/>
          </w:tcPr>
          <w:p>
            <w:pPr>
              <w:pStyle w:val="TableParagraph"/>
              <w:spacing w:line="148" w:lineRule="exact"/>
              <w:ind w:left="314" w:right="-1"/>
              <w:rPr>
                <w:sz w:val="13"/>
              </w:rPr>
            </w:pPr>
            <w:r>
              <w:rPr>
                <w:sz w:val="13"/>
              </w:rPr>
              <w:t>46</w:t>
            </w:r>
          </w:p>
        </w:tc>
        <w:tc>
          <w:tcPr>
            <w:tcW w:w="707" w:type="dxa"/>
          </w:tcPr>
          <w:p>
            <w:pPr>
              <w:pStyle w:val="TableParagraph"/>
              <w:spacing w:line="148" w:lineRule="exact"/>
              <w:ind w:left="117" w:right="-1"/>
              <w:rPr>
                <w:sz w:val="13"/>
              </w:rPr>
            </w:pPr>
            <w:r>
              <w:rPr>
                <w:sz w:val="13"/>
              </w:rPr>
              <w:t>1 700</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0" w:right="216"/>
              <w:jc w:val="center"/>
              <w:rPr>
                <w:sz w:val="13"/>
              </w:rPr>
            </w:pPr>
            <w:r>
              <w:rPr>
                <w:sz w:val="13"/>
              </w:rPr>
              <w:t>040</w:t>
            </w:r>
          </w:p>
        </w:tc>
        <w:tc>
          <w:tcPr>
            <w:tcW w:w="1555" w:type="dxa"/>
            <w:shd w:val="clear" w:color="auto" w:fill="F1DCDB"/>
          </w:tcPr>
          <w:p>
            <w:pPr>
              <w:pStyle w:val="TableParagraph"/>
              <w:spacing w:line="148" w:lineRule="exact"/>
              <w:ind w:left="19"/>
              <w:rPr>
                <w:sz w:val="13"/>
              </w:rPr>
            </w:pPr>
            <w:r>
              <w:rPr>
                <w:sz w:val="13"/>
              </w:rPr>
              <w:t>Ixtapan de la Sal</w:t>
            </w:r>
          </w:p>
        </w:tc>
        <w:tc>
          <w:tcPr>
            <w:tcW w:w="1065" w:type="dxa"/>
            <w:shd w:val="clear" w:color="auto" w:fill="F1DCDB"/>
          </w:tcPr>
          <w:p>
            <w:pPr>
              <w:pStyle w:val="TableParagraph"/>
              <w:spacing w:line="148" w:lineRule="exact"/>
              <w:ind w:right="257"/>
              <w:jc w:val="right"/>
              <w:rPr>
                <w:sz w:val="13"/>
              </w:rPr>
            </w:pPr>
            <w:r>
              <w:rPr>
                <w:sz w:val="13"/>
              </w:rPr>
              <w:t>33 541</w:t>
            </w:r>
          </w:p>
        </w:tc>
        <w:tc>
          <w:tcPr>
            <w:tcW w:w="923" w:type="dxa"/>
            <w:shd w:val="clear" w:color="auto" w:fill="F1DCDB"/>
          </w:tcPr>
          <w:p>
            <w:pPr>
              <w:pStyle w:val="TableParagraph"/>
              <w:spacing w:line="148" w:lineRule="exact"/>
              <w:ind w:right="18"/>
              <w:jc w:val="right"/>
              <w:rPr>
                <w:sz w:val="13"/>
              </w:rPr>
            </w:pPr>
            <w:r>
              <w:rPr>
                <w:sz w:val="13"/>
              </w:rPr>
              <w:t>-0.53878</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21.584</w:t>
            </w:r>
          </w:p>
        </w:tc>
        <w:tc>
          <w:tcPr>
            <w:tcW w:w="707" w:type="dxa"/>
            <w:shd w:val="clear" w:color="auto" w:fill="F1DCDB"/>
          </w:tcPr>
          <w:p>
            <w:pPr>
              <w:pStyle w:val="TableParagraph"/>
              <w:spacing w:line="148" w:lineRule="exact"/>
              <w:ind w:left="314" w:right="-1"/>
              <w:rPr>
                <w:sz w:val="13"/>
              </w:rPr>
            </w:pPr>
            <w:r>
              <w:rPr>
                <w:sz w:val="13"/>
              </w:rPr>
              <w:t>44</w:t>
            </w:r>
          </w:p>
        </w:tc>
        <w:tc>
          <w:tcPr>
            <w:tcW w:w="707" w:type="dxa"/>
            <w:shd w:val="clear" w:color="auto" w:fill="F1DCDB"/>
          </w:tcPr>
          <w:p>
            <w:pPr>
              <w:pStyle w:val="TableParagraph"/>
              <w:spacing w:line="148" w:lineRule="exact"/>
              <w:ind w:left="117" w:right="-1"/>
              <w:rPr>
                <w:sz w:val="13"/>
              </w:rPr>
            </w:pPr>
            <w:r>
              <w:rPr>
                <w:sz w:val="13"/>
              </w:rPr>
              <w:t>1 652</w:t>
            </w:r>
          </w:p>
        </w:tc>
      </w:tr>
      <w:tr>
        <w:trPr>
          <w:trHeight w:val="164" w:hRule="exact"/>
        </w:trPr>
        <w:tc>
          <w:tcPr>
            <w:tcW w:w="707" w:type="dxa"/>
          </w:tcPr>
          <w:p>
            <w:pPr>
              <w:pStyle w:val="TableParagraph"/>
              <w:spacing w:line="149" w:lineRule="exact"/>
              <w:ind w:right="272"/>
              <w:jc w:val="right"/>
              <w:rPr>
                <w:sz w:val="13"/>
              </w:rPr>
            </w:pPr>
            <w:r>
              <w:rPr>
                <w:sz w:val="13"/>
              </w:rPr>
              <w:t>15</w:t>
            </w:r>
          </w:p>
        </w:tc>
        <w:tc>
          <w:tcPr>
            <w:tcW w:w="707" w:type="dxa"/>
          </w:tcPr>
          <w:p>
            <w:pPr>
              <w:pStyle w:val="TableParagraph"/>
              <w:spacing w:line="149" w:lineRule="exact"/>
              <w:ind w:left="220" w:right="216"/>
              <w:jc w:val="center"/>
              <w:rPr>
                <w:sz w:val="13"/>
              </w:rPr>
            </w:pPr>
            <w:r>
              <w:rPr>
                <w:sz w:val="13"/>
              </w:rPr>
              <w:t>042</w:t>
            </w:r>
          </w:p>
        </w:tc>
        <w:tc>
          <w:tcPr>
            <w:tcW w:w="1555" w:type="dxa"/>
          </w:tcPr>
          <w:p>
            <w:pPr>
              <w:pStyle w:val="TableParagraph"/>
              <w:spacing w:line="149" w:lineRule="exact"/>
              <w:ind w:left="19"/>
              <w:rPr>
                <w:sz w:val="13"/>
              </w:rPr>
            </w:pPr>
            <w:r>
              <w:rPr>
                <w:sz w:val="13"/>
              </w:rPr>
              <w:t>Ixtlahuaca</w:t>
            </w:r>
          </w:p>
        </w:tc>
        <w:tc>
          <w:tcPr>
            <w:tcW w:w="1065" w:type="dxa"/>
          </w:tcPr>
          <w:p>
            <w:pPr>
              <w:pStyle w:val="TableParagraph"/>
              <w:spacing w:line="149" w:lineRule="exact"/>
              <w:ind w:right="259"/>
              <w:jc w:val="right"/>
              <w:rPr>
                <w:sz w:val="13"/>
              </w:rPr>
            </w:pPr>
            <w:r>
              <w:rPr>
                <w:sz w:val="13"/>
              </w:rPr>
              <w:t>141 482</w:t>
            </w:r>
          </w:p>
        </w:tc>
        <w:tc>
          <w:tcPr>
            <w:tcW w:w="923" w:type="dxa"/>
          </w:tcPr>
          <w:p>
            <w:pPr>
              <w:pStyle w:val="TableParagraph"/>
              <w:spacing w:line="149" w:lineRule="exact"/>
              <w:ind w:right="18"/>
              <w:jc w:val="right"/>
              <w:rPr>
                <w:sz w:val="13"/>
              </w:rPr>
            </w:pPr>
            <w:r>
              <w:rPr>
                <w:sz w:val="13"/>
              </w:rPr>
              <w:t>-0.17983</w:t>
            </w:r>
          </w:p>
        </w:tc>
        <w:tc>
          <w:tcPr>
            <w:tcW w:w="848" w:type="dxa"/>
          </w:tcPr>
          <w:p>
            <w:pPr>
              <w:pStyle w:val="TableParagraph"/>
              <w:spacing w:line="149" w:lineRule="exact"/>
              <w:ind w:left="245" w:right="10"/>
              <w:rPr>
                <w:sz w:val="13"/>
              </w:rPr>
            </w:pPr>
            <w:r>
              <w:rPr>
                <w:sz w:val="13"/>
              </w:rPr>
              <w:t>Medio</w:t>
            </w:r>
          </w:p>
        </w:tc>
        <w:tc>
          <w:tcPr>
            <w:tcW w:w="892" w:type="dxa"/>
          </w:tcPr>
          <w:p>
            <w:pPr>
              <w:pStyle w:val="TableParagraph"/>
              <w:spacing w:line="149" w:lineRule="exact"/>
              <w:ind w:left="230" w:right="-2"/>
              <w:rPr>
                <w:sz w:val="13"/>
              </w:rPr>
            </w:pPr>
            <w:r>
              <w:rPr>
                <w:sz w:val="13"/>
              </w:rPr>
              <w:t>25.640</w:t>
            </w:r>
          </w:p>
        </w:tc>
        <w:tc>
          <w:tcPr>
            <w:tcW w:w="707" w:type="dxa"/>
          </w:tcPr>
          <w:p>
            <w:pPr>
              <w:pStyle w:val="TableParagraph"/>
              <w:spacing w:line="149" w:lineRule="exact"/>
              <w:ind w:left="314" w:right="-1"/>
              <w:rPr>
                <w:sz w:val="13"/>
              </w:rPr>
            </w:pPr>
            <w:r>
              <w:rPr>
                <w:sz w:val="13"/>
              </w:rPr>
              <w:t>33</w:t>
            </w:r>
          </w:p>
        </w:tc>
        <w:tc>
          <w:tcPr>
            <w:tcW w:w="707" w:type="dxa"/>
          </w:tcPr>
          <w:p>
            <w:pPr>
              <w:pStyle w:val="TableParagraph"/>
              <w:spacing w:line="149" w:lineRule="exact"/>
              <w:ind w:left="117" w:right="-1"/>
              <w:rPr>
                <w:sz w:val="13"/>
              </w:rPr>
            </w:pPr>
            <w:r>
              <w:rPr>
                <w:sz w:val="13"/>
              </w:rPr>
              <w:t>1 354</w:t>
            </w:r>
          </w:p>
        </w:tc>
      </w:tr>
      <w:tr>
        <w:trPr>
          <w:trHeight w:val="164" w:hRule="exact"/>
        </w:trPr>
        <w:tc>
          <w:tcPr>
            <w:tcW w:w="707" w:type="dxa"/>
            <w:shd w:val="clear" w:color="auto" w:fill="F1DCDB"/>
          </w:tcPr>
          <w:p>
            <w:pPr>
              <w:pStyle w:val="TableParagraph"/>
              <w:spacing w:line="149" w:lineRule="exact"/>
              <w:ind w:right="272"/>
              <w:jc w:val="right"/>
              <w:rPr>
                <w:sz w:val="13"/>
              </w:rPr>
            </w:pPr>
            <w:r>
              <w:rPr>
                <w:sz w:val="13"/>
              </w:rPr>
              <w:t>15</w:t>
            </w:r>
          </w:p>
        </w:tc>
        <w:tc>
          <w:tcPr>
            <w:tcW w:w="707" w:type="dxa"/>
            <w:shd w:val="clear" w:color="auto" w:fill="F1DCDB"/>
          </w:tcPr>
          <w:p>
            <w:pPr>
              <w:pStyle w:val="TableParagraph"/>
              <w:spacing w:line="149" w:lineRule="exact"/>
              <w:ind w:left="220" w:right="216"/>
              <w:jc w:val="center"/>
              <w:rPr>
                <w:sz w:val="13"/>
              </w:rPr>
            </w:pPr>
            <w:r>
              <w:rPr>
                <w:sz w:val="13"/>
              </w:rPr>
              <w:t>043</w:t>
            </w:r>
          </w:p>
        </w:tc>
        <w:tc>
          <w:tcPr>
            <w:tcW w:w="1555" w:type="dxa"/>
            <w:shd w:val="clear" w:color="auto" w:fill="F1DCDB"/>
          </w:tcPr>
          <w:p>
            <w:pPr>
              <w:pStyle w:val="TableParagraph"/>
              <w:spacing w:line="149" w:lineRule="exact"/>
              <w:ind w:left="19"/>
              <w:rPr>
                <w:sz w:val="13"/>
              </w:rPr>
            </w:pPr>
            <w:r>
              <w:rPr>
                <w:sz w:val="13"/>
              </w:rPr>
              <w:t>Xalatlaco</w:t>
            </w:r>
          </w:p>
        </w:tc>
        <w:tc>
          <w:tcPr>
            <w:tcW w:w="1065" w:type="dxa"/>
            <w:shd w:val="clear" w:color="auto" w:fill="F1DCDB"/>
          </w:tcPr>
          <w:p>
            <w:pPr>
              <w:pStyle w:val="TableParagraph"/>
              <w:spacing w:line="149" w:lineRule="exact"/>
              <w:ind w:right="257"/>
              <w:jc w:val="right"/>
              <w:rPr>
                <w:sz w:val="13"/>
              </w:rPr>
            </w:pPr>
            <w:r>
              <w:rPr>
                <w:sz w:val="13"/>
              </w:rPr>
              <w:t>26 865</w:t>
            </w:r>
          </w:p>
        </w:tc>
        <w:tc>
          <w:tcPr>
            <w:tcW w:w="923" w:type="dxa"/>
            <w:shd w:val="clear" w:color="auto" w:fill="F1DCDB"/>
          </w:tcPr>
          <w:p>
            <w:pPr>
              <w:pStyle w:val="TableParagraph"/>
              <w:spacing w:line="149" w:lineRule="exact"/>
              <w:ind w:right="18"/>
              <w:jc w:val="right"/>
              <w:rPr>
                <w:sz w:val="13"/>
              </w:rPr>
            </w:pPr>
            <w:r>
              <w:rPr>
                <w:sz w:val="13"/>
              </w:rPr>
              <w:t>-0.68314</w:t>
            </w:r>
          </w:p>
        </w:tc>
        <w:tc>
          <w:tcPr>
            <w:tcW w:w="848" w:type="dxa"/>
            <w:shd w:val="clear" w:color="auto" w:fill="F1DCDB"/>
          </w:tcPr>
          <w:p>
            <w:pPr>
              <w:pStyle w:val="TableParagraph"/>
              <w:spacing w:line="149" w:lineRule="exact"/>
              <w:ind w:left="245" w:right="10"/>
              <w:rPr>
                <w:sz w:val="13"/>
              </w:rPr>
            </w:pPr>
            <w:r>
              <w:rPr>
                <w:sz w:val="13"/>
              </w:rPr>
              <w:t>Medio</w:t>
            </w:r>
          </w:p>
        </w:tc>
        <w:tc>
          <w:tcPr>
            <w:tcW w:w="892" w:type="dxa"/>
            <w:shd w:val="clear" w:color="auto" w:fill="F1DCDB"/>
          </w:tcPr>
          <w:p>
            <w:pPr>
              <w:pStyle w:val="TableParagraph"/>
              <w:spacing w:line="149" w:lineRule="exact"/>
              <w:ind w:left="230" w:right="-2"/>
              <w:rPr>
                <w:sz w:val="13"/>
              </w:rPr>
            </w:pPr>
            <w:r>
              <w:rPr>
                <w:sz w:val="13"/>
              </w:rPr>
              <w:t>19.953</w:t>
            </w:r>
          </w:p>
        </w:tc>
        <w:tc>
          <w:tcPr>
            <w:tcW w:w="707" w:type="dxa"/>
            <w:shd w:val="clear" w:color="auto" w:fill="F1DCDB"/>
          </w:tcPr>
          <w:p>
            <w:pPr>
              <w:pStyle w:val="TableParagraph"/>
              <w:spacing w:line="149" w:lineRule="exact"/>
              <w:ind w:left="314" w:right="-1"/>
              <w:rPr>
                <w:sz w:val="13"/>
              </w:rPr>
            </w:pPr>
            <w:r>
              <w:rPr>
                <w:sz w:val="13"/>
              </w:rPr>
              <w:t>50</w:t>
            </w:r>
          </w:p>
        </w:tc>
        <w:tc>
          <w:tcPr>
            <w:tcW w:w="707" w:type="dxa"/>
            <w:shd w:val="clear" w:color="auto" w:fill="F1DCDB"/>
          </w:tcPr>
          <w:p>
            <w:pPr>
              <w:pStyle w:val="TableParagraph"/>
              <w:spacing w:line="149" w:lineRule="exact"/>
              <w:ind w:left="117" w:right="-1"/>
              <w:rPr>
                <w:sz w:val="13"/>
              </w:rPr>
            </w:pPr>
            <w:r>
              <w:rPr>
                <w:sz w:val="13"/>
              </w:rPr>
              <w:t>1 775</w:t>
            </w:r>
          </w:p>
        </w:tc>
      </w:tr>
      <w:tr>
        <w:trPr>
          <w:trHeight w:val="164" w:hRule="exact"/>
        </w:trPr>
        <w:tc>
          <w:tcPr>
            <w:tcW w:w="707" w:type="dxa"/>
          </w:tcPr>
          <w:p>
            <w:pPr>
              <w:pStyle w:val="TableParagraph"/>
              <w:ind w:right="272"/>
              <w:jc w:val="right"/>
              <w:rPr>
                <w:sz w:val="13"/>
              </w:rPr>
            </w:pPr>
            <w:r>
              <w:rPr>
                <w:sz w:val="13"/>
              </w:rPr>
              <w:t>15</w:t>
            </w:r>
          </w:p>
        </w:tc>
        <w:tc>
          <w:tcPr>
            <w:tcW w:w="707" w:type="dxa"/>
          </w:tcPr>
          <w:p>
            <w:pPr>
              <w:pStyle w:val="TableParagraph"/>
              <w:ind w:left="220" w:right="216"/>
              <w:jc w:val="center"/>
              <w:rPr>
                <w:sz w:val="13"/>
              </w:rPr>
            </w:pPr>
            <w:r>
              <w:rPr>
                <w:sz w:val="13"/>
              </w:rPr>
              <w:t>045</w:t>
            </w:r>
          </w:p>
        </w:tc>
        <w:tc>
          <w:tcPr>
            <w:tcW w:w="1555" w:type="dxa"/>
          </w:tcPr>
          <w:p>
            <w:pPr>
              <w:pStyle w:val="TableParagraph"/>
              <w:ind w:left="19"/>
              <w:rPr>
                <w:sz w:val="13"/>
              </w:rPr>
            </w:pPr>
            <w:r>
              <w:rPr>
                <w:sz w:val="13"/>
              </w:rPr>
              <w:t>Jilotepec</w:t>
            </w:r>
          </w:p>
        </w:tc>
        <w:tc>
          <w:tcPr>
            <w:tcW w:w="1065" w:type="dxa"/>
          </w:tcPr>
          <w:p>
            <w:pPr>
              <w:pStyle w:val="TableParagraph"/>
              <w:ind w:right="257"/>
              <w:jc w:val="right"/>
              <w:rPr>
                <w:sz w:val="13"/>
              </w:rPr>
            </w:pPr>
            <w:r>
              <w:rPr>
                <w:sz w:val="13"/>
              </w:rPr>
              <w:t>83 755</w:t>
            </w:r>
          </w:p>
        </w:tc>
        <w:tc>
          <w:tcPr>
            <w:tcW w:w="923" w:type="dxa"/>
          </w:tcPr>
          <w:p>
            <w:pPr>
              <w:pStyle w:val="TableParagraph"/>
              <w:ind w:right="18"/>
              <w:jc w:val="right"/>
              <w:rPr>
                <w:sz w:val="13"/>
              </w:rPr>
            </w:pPr>
            <w:r>
              <w:rPr>
                <w:sz w:val="13"/>
              </w:rPr>
              <w:t>-0.33233</w:t>
            </w:r>
          </w:p>
        </w:tc>
        <w:tc>
          <w:tcPr>
            <w:tcW w:w="848" w:type="dxa"/>
          </w:tcPr>
          <w:p>
            <w:pPr>
              <w:pStyle w:val="TableParagraph"/>
              <w:ind w:left="245" w:right="10"/>
              <w:rPr>
                <w:sz w:val="13"/>
              </w:rPr>
            </w:pPr>
            <w:r>
              <w:rPr>
                <w:sz w:val="13"/>
              </w:rPr>
              <w:t>Medio</w:t>
            </w:r>
          </w:p>
        </w:tc>
        <w:tc>
          <w:tcPr>
            <w:tcW w:w="892" w:type="dxa"/>
          </w:tcPr>
          <w:p>
            <w:pPr>
              <w:pStyle w:val="TableParagraph"/>
              <w:ind w:left="230" w:right="-2"/>
              <w:rPr>
                <w:sz w:val="13"/>
              </w:rPr>
            </w:pPr>
            <w:r>
              <w:rPr>
                <w:sz w:val="13"/>
              </w:rPr>
              <w:t>23.917</w:t>
            </w:r>
          </w:p>
        </w:tc>
        <w:tc>
          <w:tcPr>
            <w:tcW w:w="707" w:type="dxa"/>
          </w:tcPr>
          <w:p>
            <w:pPr>
              <w:pStyle w:val="TableParagraph"/>
              <w:ind w:left="314" w:right="-1"/>
              <w:rPr>
                <w:sz w:val="13"/>
              </w:rPr>
            </w:pPr>
            <w:r>
              <w:rPr>
                <w:sz w:val="13"/>
              </w:rPr>
              <w:t>39</w:t>
            </w:r>
          </w:p>
        </w:tc>
        <w:tc>
          <w:tcPr>
            <w:tcW w:w="707" w:type="dxa"/>
          </w:tcPr>
          <w:p>
            <w:pPr>
              <w:pStyle w:val="TableParagraph"/>
              <w:ind w:left="117" w:right="-1"/>
              <w:rPr>
                <w:sz w:val="13"/>
              </w:rPr>
            </w:pPr>
            <w:r>
              <w:rPr>
                <w:sz w:val="13"/>
              </w:rPr>
              <w:t>1 485</w:t>
            </w:r>
          </w:p>
        </w:tc>
      </w:tr>
      <w:tr>
        <w:trPr>
          <w:trHeight w:val="164" w:hRule="exact"/>
        </w:trPr>
        <w:tc>
          <w:tcPr>
            <w:tcW w:w="707" w:type="dxa"/>
            <w:shd w:val="clear" w:color="auto" w:fill="F1DCDB"/>
          </w:tcPr>
          <w:p>
            <w:pPr>
              <w:pStyle w:val="TableParagraph"/>
              <w:ind w:right="272"/>
              <w:jc w:val="right"/>
              <w:rPr>
                <w:sz w:val="13"/>
              </w:rPr>
            </w:pPr>
            <w:r>
              <w:rPr>
                <w:sz w:val="13"/>
              </w:rPr>
              <w:t>15</w:t>
            </w:r>
          </w:p>
        </w:tc>
        <w:tc>
          <w:tcPr>
            <w:tcW w:w="707" w:type="dxa"/>
            <w:shd w:val="clear" w:color="auto" w:fill="F1DCDB"/>
          </w:tcPr>
          <w:p>
            <w:pPr>
              <w:pStyle w:val="TableParagraph"/>
              <w:ind w:left="220" w:right="216"/>
              <w:jc w:val="center"/>
              <w:rPr>
                <w:sz w:val="13"/>
              </w:rPr>
            </w:pPr>
            <w:r>
              <w:rPr>
                <w:sz w:val="13"/>
              </w:rPr>
              <w:t>047</w:t>
            </w:r>
          </w:p>
        </w:tc>
        <w:tc>
          <w:tcPr>
            <w:tcW w:w="1555" w:type="dxa"/>
            <w:shd w:val="clear" w:color="auto" w:fill="F1DCDB"/>
          </w:tcPr>
          <w:p>
            <w:pPr>
              <w:pStyle w:val="TableParagraph"/>
              <w:ind w:left="19"/>
              <w:rPr>
                <w:sz w:val="13"/>
              </w:rPr>
            </w:pPr>
            <w:r>
              <w:rPr>
                <w:sz w:val="13"/>
              </w:rPr>
              <w:t>Jiquipilco</w:t>
            </w:r>
          </w:p>
        </w:tc>
        <w:tc>
          <w:tcPr>
            <w:tcW w:w="1065" w:type="dxa"/>
            <w:shd w:val="clear" w:color="auto" w:fill="F1DCDB"/>
          </w:tcPr>
          <w:p>
            <w:pPr>
              <w:pStyle w:val="TableParagraph"/>
              <w:ind w:right="257"/>
              <w:jc w:val="right"/>
              <w:rPr>
                <w:sz w:val="13"/>
              </w:rPr>
            </w:pPr>
            <w:r>
              <w:rPr>
                <w:sz w:val="13"/>
              </w:rPr>
              <w:t>69 031</w:t>
            </w:r>
          </w:p>
        </w:tc>
        <w:tc>
          <w:tcPr>
            <w:tcW w:w="923" w:type="dxa"/>
            <w:shd w:val="clear" w:color="auto" w:fill="F1DCDB"/>
          </w:tcPr>
          <w:p>
            <w:pPr>
              <w:pStyle w:val="TableParagraph"/>
              <w:ind w:right="18"/>
              <w:jc w:val="right"/>
              <w:rPr>
                <w:sz w:val="13"/>
              </w:rPr>
            </w:pPr>
            <w:r>
              <w:rPr>
                <w:sz w:val="13"/>
              </w:rPr>
              <w:t>-0.08220</w:t>
            </w:r>
          </w:p>
        </w:tc>
        <w:tc>
          <w:tcPr>
            <w:tcW w:w="848" w:type="dxa"/>
            <w:shd w:val="clear" w:color="auto" w:fill="F1DCDB"/>
          </w:tcPr>
          <w:p>
            <w:pPr>
              <w:pStyle w:val="TableParagraph"/>
              <w:ind w:left="245" w:right="10"/>
              <w:rPr>
                <w:sz w:val="13"/>
              </w:rPr>
            </w:pPr>
            <w:r>
              <w:rPr>
                <w:sz w:val="13"/>
              </w:rPr>
              <w:t>Medio</w:t>
            </w:r>
          </w:p>
        </w:tc>
        <w:tc>
          <w:tcPr>
            <w:tcW w:w="892" w:type="dxa"/>
            <w:shd w:val="clear" w:color="auto" w:fill="F1DCDB"/>
          </w:tcPr>
          <w:p>
            <w:pPr>
              <w:pStyle w:val="TableParagraph"/>
              <w:ind w:left="230" w:right="-2"/>
              <w:rPr>
                <w:sz w:val="13"/>
              </w:rPr>
            </w:pPr>
            <w:r>
              <w:rPr>
                <w:sz w:val="13"/>
              </w:rPr>
              <w:t>26.744</w:t>
            </w:r>
          </w:p>
        </w:tc>
        <w:tc>
          <w:tcPr>
            <w:tcW w:w="707" w:type="dxa"/>
            <w:shd w:val="clear" w:color="auto" w:fill="F1DCDB"/>
          </w:tcPr>
          <w:p>
            <w:pPr>
              <w:pStyle w:val="TableParagraph"/>
              <w:ind w:left="314" w:right="-1"/>
              <w:rPr>
                <w:sz w:val="13"/>
              </w:rPr>
            </w:pPr>
            <w:r>
              <w:rPr>
                <w:sz w:val="13"/>
              </w:rPr>
              <w:t>28</w:t>
            </w:r>
          </w:p>
        </w:tc>
        <w:tc>
          <w:tcPr>
            <w:tcW w:w="707" w:type="dxa"/>
            <w:shd w:val="clear" w:color="auto" w:fill="F1DCDB"/>
          </w:tcPr>
          <w:p>
            <w:pPr>
              <w:pStyle w:val="TableParagraph"/>
              <w:ind w:left="117" w:right="-1"/>
              <w:rPr>
                <w:sz w:val="13"/>
              </w:rPr>
            </w:pPr>
            <w:r>
              <w:rPr>
                <w:sz w:val="13"/>
              </w:rPr>
              <w:t>1 264</w:t>
            </w:r>
          </w:p>
        </w:tc>
      </w:tr>
      <w:tr>
        <w:trPr>
          <w:trHeight w:val="164" w:hRule="exact"/>
        </w:trPr>
        <w:tc>
          <w:tcPr>
            <w:tcW w:w="707" w:type="dxa"/>
          </w:tcPr>
          <w:p>
            <w:pPr>
              <w:pStyle w:val="TableParagraph"/>
              <w:ind w:right="272"/>
              <w:jc w:val="right"/>
              <w:rPr>
                <w:sz w:val="13"/>
              </w:rPr>
            </w:pPr>
            <w:r>
              <w:rPr>
                <w:sz w:val="13"/>
              </w:rPr>
              <w:t>15</w:t>
            </w:r>
          </w:p>
        </w:tc>
        <w:tc>
          <w:tcPr>
            <w:tcW w:w="707" w:type="dxa"/>
          </w:tcPr>
          <w:p>
            <w:pPr>
              <w:pStyle w:val="TableParagraph"/>
              <w:ind w:left="220" w:right="216"/>
              <w:jc w:val="center"/>
              <w:rPr>
                <w:sz w:val="13"/>
              </w:rPr>
            </w:pPr>
            <w:r>
              <w:rPr>
                <w:sz w:val="13"/>
              </w:rPr>
              <w:t>048</w:t>
            </w:r>
          </w:p>
        </w:tc>
        <w:tc>
          <w:tcPr>
            <w:tcW w:w="1555" w:type="dxa"/>
          </w:tcPr>
          <w:p>
            <w:pPr>
              <w:pStyle w:val="TableParagraph"/>
              <w:ind w:left="19"/>
              <w:rPr>
                <w:sz w:val="13"/>
              </w:rPr>
            </w:pPr>
            <w:r>
              <w:rPr>
                <w:sz w:val="13"/>
              </w:rPr>
              <w:t>Jocotitlán</w:t>
            </w:r>
          </w:p>
        </w:tc>
        <w:tc>
          <w:tcPr>
            <w:tcW w:w="1065" w:type="dxa"/>
          </w:tcPr>
          <w:p>
            <w:pPr>
              <w:pStyle w:val="TableParagraph"/>
              <w:ind w:right="257"/>
              <w:jc w:val="right"/>
              <w:rPr>
                <w:sz w:val="13"/>
              </w:rPr>
            </w:pPr>
            <w:r>
              <w:rPr>
                <w:sz w:val="13"/>
              </w:rPr>
              <w:t>61 204</w:t>
            </w:r>
          </w:p>
        </w:tc>
        <w:tc>
          <w:tcPr>
            <w:tcW w:w="923" w:type="dxa"/>
          </w:tcPr>
          <w:p>
            <w:pPr>
              <w:pStyle w:val="TableParagraph"/>
              <w:ind w:right="18"/>
              <w:jc w:val="right"/>
              <w:rPr>
                <w:sz w:val="13"/>
              </w:rPr>
            </w:pPr>
            <w:r>
              <w:rPr>
                <w:sz w:val="13"/>
              </w:rPr>
              <w:t>-0.59192</w:t>
            </w:r>
          </w:p>
        </w:tc>
        <w:tc>
          <w:tcPr>
            <w:tcW w:w="848" w:type="dxa"/>
          </w:tcPr>
          <w:p>
            <w:pPr>
              <w:pStyle w:val="TableParagraph"/>
              <w:ind w:left="245" w:right="10"/>
              <w:rPr>
                <w:sz w:val="13"/>
              </w:rPr>
            </w:pPr>
            <w:r>
              <w:rPr>
                <w:sz w:val="13"/>
              </w:rPr>
              <w:t>Medio</w:t>
            </w:r>
          </w:p>
        </w:tc>
        <w:tc>
          <w:tcPr>
            <w:tcW w:w="892" w:type="dxa"/>
          </w:tcPr>
          <w:p>
            <w:pPr>
              <w:pStyle w:val="TableParagraph"/>
              <w:ind w:left="230" w:right="-2"/>
              <w:rPr>
                <w:sz w:val="13"/>
              </w:rPr>
            </w:pPr>
            <w:r>
              <w:rPr>
                <w:sz w:val="13"/>
              </w:rPr>
              <w:t>20.984</w:t>
            </w:r>
          </w:p>
        </w:tc>
        <w:tc>
          <w:tcPr>
            <w:tcW w:w="707" w:type="dxa"/>
          </w:tcPr>
          <w:p>
            <w:pPr>
              <w:pStyle w:val="TableParagraph"/>
              <w:ind w:left="314" w:right="-1"/>
              <w:rPr>
                <w:sz w:val="13"/>
              </w:rPr>
            </w:pPr>
            <w:r>
              <w:rPr>
                <w:sz w:val="13"/>
              </w:rPr>
              <w:t>45</w:t>
            </w:r>
          </w:p>
        </w:tc>
        <w:tc>
          <w:tcPr>
            <w:tcW w:w="707" w:type="dxa"/>
          </w:tcPr>
          <w:p>
            <w:pPr>
              <w:pStyle w:val="TableParagraph"/>
              <w:ind w:left="117" w:right="-1"/>
              <w:rPr>
                <w:sz w:val="13"/>
              </w:rPr>
            </w:pPr>
            <w:r>
              <w:rPr>
                <w:sz w:val="13"/>
              </w:rPr>
              <w:t>1 694</w:t>
            </w:r>
          </w:p>
        </w:tc>
      </w:tr>
      <w:tr>
        <w:trPr>
          <w:trHeight w:val="165" w:hRule="exact"/>
        </w:trPr>
        <w:tc>
          <w:tcPr>
            <w:tcW w:w="707" w:type="dxa"/>
            <w:shd w:val="clear" w:color="auto" w:fill="F1DCDB"/>
          </w:tcPr>
          <w:p>
            <w:pPr>
              <w:pStyle w:val="TableParagraph"/>
              <w:spacing w:line="149" w:lineRule="exact"/>
              <w:ind w:right="272"/>
              <w:jc w:val="right"/>
              <w:rPr>
                <w:sz w:val="13"/>
              </w:rPr>
            </w:pPr>
            <w:r>
              <w:rPr>
                <w:sz w:val="13"/>
              </w:rPr>
              <w:t>15</w:t>
            </w:r>
          </w:p>
        </w:tc>
        <w:tc>
          <w:tcPr>
            <w:tcW w:w="707" w:type="dxa"/>
            <w:shd w:val="clear" w:color="auto" w:fill="F1DCDB"/>
          </w:tcPr>
          <w:p>
            <w:pPr>
              <w:pStyle w:val="TableParagraph"/>
              <w:spacing w:line="149" w:lineRule="exact"/>
              <w:ind w:left="220" w:right="216"/>
              <w:jc w:val="center"/>
              <w:rPr>
                <w:sz w:val="13"/>
              </w:rPr>
            </w:pPr>
            <w:r>
              <w:rPr>
                <w:sz w:val="13"/>
              </w:rPr>
              <w:t>049</w:t>
            </w:r>
          </w:p>
        </w:tc>
        <w:tc>
          <w:tcPr>
            <w:tcW w:w="1555" w:type="dxa"/>
            <w:shd w:val="clear" w:color="auto" w:fill="F1DCDB"/>
          </w:tcPr>
          <w:p>
            <w:pPr>
              <w:pStyle w:val="TableParagraph"/>
              <w:spacing w:line="149" w:lineRule="exact"/>
              <w:ind w:left="19"/>
              <w:rPr>
                <w:sz w:val="13"/>
              </w:rPr>
            </w:pPr>
            <w:r>
              <w:rPr>
                <w:sz w:val="13"/>
              </w:rPr>
              <w:t>Joquicingo</w:t>
            </w:r>
          </w:p>
        </w:tc>
        <w:tc>
          <w:tcPr>
            <w:tcW w:w="1065" w:type="dxa"/>
            <w:shd w:val="clear" w:color="auto" w:fill="F1DCDB"/>
          </w:tcPr>
          <w:p>
            <w:pPr>
              <w:pStyle w:val="TableParagraph"/>
              <w:spacing w:line="149" w:lineRule="exact"/>
              <w:ind w:right="257"/>
              <w:jc w:val="right"/>
              <w:rPr>
                <w:sz w:val="13"/>
              </w:rPr>
            </w:pPr>
            <w:r>
              <w:rPr>
                <w:sz w:val="13"/>
              </w:rPr>
              <w:t>12 840</w:t>
            </w:r>
          </w:p>
        </w:tc>
        <w:tc>
          <w:tcPr>
            <w:tcW w:w="923" w:type="dxa"/>
            <w:shd w:val="clear" w:color="auto" w:fill="F1DCDB"/>
          </w:tcPr>
          <w:p>
            <w:pPr>
              <w:pStyle w:val="TableParagraph"/>
              <w:spacing w:line="149" w:lineRule="exact"/>
              <w:ind w:right="18"/>
              <w:jc w:val="right"/>
              <w:rPr>
                <w:sz w:val="13"/>
              </w:rPr>
            </w:pPr>
            <w:r>
              <w:rPr>
                <w:sz w:val="13"/>
              </w:rPr>
              <w:t>-0.28507</w:t>
            </w:r>
          </w:p>
        </w:tc>
        <w:tc>
          <w:tcPr>
            <w:tcW w:w="848" w:type="dxa"/>
            <w:shd w:val="clear" w:color="auto" w:fill="F1DCDB"/>
          </w:tcPr>
          <w:p>
            <w:pPr>
              <w:pStyle w:val="TableParagraph"/>
              <w:spacing w:line="149" w:lineRule="exact"/>
              <w:ind w:left="245" w:right="10"/>
              <w:rPr>
                <w:sz w:val="13"/>
              </w:rPr>
            </w:pPr>
            <w:r>
              <w:rPr>
                <w:sz w:val="13"/>
              </w:rPr>
              <w:t>Medio</w:t>
            </w:r>
          </w:p>
        </w:tc>
        <w:tc>
          <w:tcPr>
            <w:tcW w:w="892" w:type="dxa"/>
            <w:shd w:val="clear" w:color="auto" w:fill="F1DCDB"/>
          </w:tcPr>
          <w:p>
            <w:pPr>
              <w:pStyle w:val="TableParagraph"/>
              <w:spacing w:line="149" w:lineRule="exact"/>
              <w:ind w:left="230" w:right="-2"/>
              <w:rPr>
                <w:sz w:val="13"/>
              </w:rPr>
            </w:pPr>
            <w:r>
              <w:rPr>
                <w:sz w:val="13"/>
              </w:rPr>
              <w:t>24.451</w:t>
            </w:r>
          </w:p>
        </w:tc>
        <w:tc>
          <w:tcPr>
            <w:tcW w:w="707" w:type="dxa"/>
            <w:shd w:val="clear" w:color="auto" w:fill="F1DCDB"/>
          </w:tcPr>
          <w:p>
            <w:pPr>
              <w:pStyle w:val="TableParagraph"/>
              <w:spacing w:line="149" w:lineRule="exact"/>
              <w:ind w:left="314" w:right="-1"/>
              <w:rPr>
                <w:sz w:val="13"/>
              </w:rPr>
            </w:pPr>
            <w:r>
              <w:rPr>
                <w:sz w:val="13"/>
              </w:rPr>
              <w:t>36</w:t>
            </w:r>
          </w:p>
        </w:tc>
        <w:tc>
          <w:tcPr>
            <w:tcW w:w="707" w:type="dxa"/>
            <w:shd w:val="clear" w:color="auto" w:fill="F1DCDB"/>
          </w:tcPr>
          <w:p>
            <w:pPr>
              <w:pStyle w:val="TableParagraph"/>
              <w:spacing w:line="149" w:lineRule="exact"/>
              <w:ind w:left="117" w:right="-1"/>
              <w:rPr>
                <w:sz w:val="13"/>
              </w:rPr>
            </w:pPr>
            <w:r>
              <w:rPr>
                <w:sz w:val="13"/>
              </w:rPr>
              <w:t>1 442</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052</w:t>
            </w:r>
          </w:p>
        </w:tc>
        <w:tc>
          <w:tcPr>
            <w:tcW w:w="1555" w:type="dxa"/>
          </w:tcPr>
          <w:p>
            <w:pPr>
              <w:pStyle w:val="TableParagraph"/>
              <w:spacing w:line="148" w:lineRule="exact"/>
              <w:ind w:left="19"/>
              <w:rPr>
                <w:sz w:val="13"/>
              </w:rPr>
            </w:pPr>
            <w:r>
              <w:rPr>
                <w:sz w:val="13"/>
              </w:rPr>
              <w:t>Malinalco</w:t>
            </w:r>
          </w:p>
        </w:tc>
        <w:tc>
          <w:tcPr>
            <w:tcW w:w="1065" w:type="dxa"/>
          </w:tcPr>
          <w:p>
            <w:pPr>
              <w:pStyle w:val="TableParagraph"/>
              <w:spacing w:line="148" w:lineRule="exact"/>
              <w:ind w:right="257"/>
              <w:jc w:val="right"/>
              <w:rPr>
                <w:sz w:val="13"/>
              </w:rPr>
            </w:pPr>
            <w:r>
              <w:rPr>
                <w:sz w:val="13"/>
              </w:rPr>
              <w:t>25 624</w:t>
            </w:r>
          </w:p>
        </w:tc>
        <w:tc>
          <w:tcPr>
            <w:tcW w:w="923" w:type="dxa"/>
          </w:tcPr>
          <w:p>
            <w:pPr>
              <w:pStyle w:val="TableParagraph"/>
              <w:spacing w:line="148" w:lineRule="exact"/>
              <w:ind w:right="18"/>
              <w:jc w:val="right"/>
              <w:rPr>
                <w:sz w:val="13"/>
              </w:rPr>
            </w:pPr>
            <w:r>
              <w:rPr>
                <w:sz w:val="13"/>
              </w:rPr>
              <w:t>-0.15535</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25.917</w:t>
            </w:r>
          </w:p>
        </w:tc>
        <w:tc>
          <w:tcPr>
            <w:tcW w:w="707" w:type="dxa"/>
          </w:tcPr>
          <w:p>
            <w:pPr>
              <w:pStyle w:val="TableParagraph"/>
              <w:spacing w:line="148" w:lineRule="exact"/>
              <w:ind w:left="314" w:right="-1"/>
              <w:rPr>
                <w:sz w:val="13"/>
              </w:rPr>
            </w:pPr>
            <w:r>
              <w:rPr>
                <w:sz w:val="13"/>
              </w:rPr>
              <w:t>32</w:t>
            </w:r>
          </w:p>
        </w:tc>
        <w:tc>
          <w:tcPr>
            <w:tcW w:w="707" w:type="dxa"/>
          </w:tcPr>
          <w:p>
            <w:pPr>
              <w:pStyle w:val="TableParagraph"/>
              <w:spacing w:line="148" w:lineRule="exact"/>
              <w:ind w:left="117" w:right="-1"/>
              <w:rPr>
                <w:sz w:val="13"/>
              </w:rPr>
            </w:pPr>
            <w:r>
              <w:rPr>
                <w:sz w:val="13"/>
              </w:rPr>
              <w:t>1 328</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0" w:right="216"/>
              <w:jc w:val="center"/>
              <w:rPr>
                <w:sz w:val="13"/>
              </w:rPr>
            </w:pPr>
            <w:r>
              <w:rPr>
                <w:sz w:val="13"/>
              </w:rPr>
              <w:t>056</w:t>
            </w:r>
          </w:p>
        </w:tc>
        <w:tc>
          <w:tcPr>
            <w:tcW w:w="1555" w:type="dxa"/>
            <w:shd w:val="clear" w:color="auto" w:fill="F1DCDB"/>
          </w:tcPr>
          <w:p>
            <w:pPr>
              <w:pStyle w:val="TableParagraph"/>
              <w:spacing w:line="148" w:lineRule="exact"/>
              <w:ind w:left="19"/>
              <w:rPr>
                <w:sz w:val="13"/>
              </w:rPr>
            </w:pPr>
            <w:r>
              <w:rPr>
                <w:sz w:val="13"/>
              </w:rPr>
              <w:t>Morelos</w:t>
            </w:r>
          </w:p>
        </w:tc>
        <w:tc>
          <w:tcPr>
            <w:tcW w:w="1065" w:type="dxa"/>
            <w:shd w:val="clear" w:color="auto" w:fill="F1DCDB"/>
          </w:tcPr>
          <w:p>
            <w:pPr>
              <w:pStyle w:val="TableParagraph"/>
              <w:spacing w:line="148" w:lineRule="exact"/>
              <w:ind w:right="257"/>
              <w:jc w:val="right"/>
              <w:rPr>
                <w:sz w:val="13"/>
              </w:rPr>
            </w:pPr>
            <w:r>
              <w:rPr>
                <w:sz w:val="13"/>
              </w:rPr>
              <w:t>28 426</w:t>
            </w:r>
          </w:p>
        </w:tc>
        <w:tc>
          <w:tcPr>
            <w:tcW w:w="923" w:type="dxa"/>
            <w:shd w:val="clear" w:color="auto" w:fill="F1DCDB"/>
          </w:tcPr>
          <w:p>
            <w:pPr>
              <w:pStyle w:val="TableParagraph"/>
              <w:spacing w:line="148" w:lineRule="exact"/>
              <w:ind w:right="23"/>
              <w:jc w:val="right"/>
              <w:rPr>
                <w:sz w:val="13"/>
              </w:rPr>
            </w:pPr>
            <w:r>
              <w:rPr>
                <w:sz w:val="13"/>
              </w:rPr>
              <w:t>0.38195</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31.988</w:t>
            </w:r>
          </w:p>
        </w:tc>
        <w:tc>
          <w:tcPr>
            <w:tcW w:w="707" w:type="dxa"/>
            <w:shd w:val="clear" w:color="auto" w:fill="F1DCDB"/>
          </w:tcPr>
          <w:p>
            <w:pPr>
              <w:pStyle w:val="TableParagraph"/>
              <w:spacing w:line="148" w:lineRule="exact"/>
              <w:ind w:left="314" w:right="-1"/>
              <w:rPr>
                <w:sz w:val="13"/>
              </w:rPr>
            </w:pPr>
            <w:r>
              <w:rPr>
                <w:sz w:val="13"/>
              </w:rPr>
              <w:t>13</w:t>
            </w:r>
          </w:p>
        </w:tc>
        <w:tc>
          <w:tcPr>
            <w:tcW w:w="707" w:type="dxa"/>
            <w:shd w:val="clear" w:color="auto" w:fill="F1DCDB"/>
          </w:tcPr>
          <w:p>
            <w:pPr>
              <w:pStyle w:val="TableParagraph"/>
              <w:spacing w:line="148" w:lineRule="exact"/>
              <w:ind w:left="225" w:right="-1"/>
              <w:rPr>
                <w:sz w:val="13"/>
              </w:rPr>
            </w:pPr>
            <w:r>
              <w:rPr>
                <w:sz w:val="13"/>
              </w:rPr>
              <w:t>859</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063</w:t>
            </w:r>
          </w:p>
        </w:tc>
        <w:tc>
          <w:tcPr>
            <w:tcW w:w="1555" w:type="dxa"/>
          </w:tcPr>
          <w:p>
            <w:pPr>
              <w:pStyle w:val="TableParagraph"/>
              <w:spacing w:line="148" w:lineRule="exact"/>
              <w:ind w:left="19"/>
              <w:rPr>
                <w:sz w:val="13"/>
              </w:rPr>
            </w:pPr>
            <w:r>
              <w:rPr>
                <w:sz w:val="13"/>
              </w:rPr>
              <w:t>Ocuilan</w:t>
            </w:r>
          </w:p>
        </w:tc>
        <w:tc>
          <w:tcPr>
            <w:tcW w:w="1065" w:type="dxa"/>
          </w:tcPr>
          <w:p>
            <w:pPr>
              <w:pStyle w:val="TableParagraph"/>
              <w:spacing w:line="148" w:lineRule="exact"/>
              <w:ind w:right="257"/>
              <w:jc w:val="right"/>
              <w:rPr>
                <w:sz w:val="13"/>
              </w:rPr>
            </w:pPr>
            <w:r>
              <w:rPr>
                <w:sz w:val="13"/>
              </w:rPr>
              <w:t>31 803</w:t>
            </w:r>
          </w:p>
        </w:tc>
        <w:tc>
          <w:tcPr>
            <w:tcW w:w="923" w:type="dxa"/>
          </w:tcPr>
          <w:p>
            <w:pPr>
              <w:pStyle w:val="TableParagraph"/>
              <w:spacing w:line="148" w:lineRule="exact"/>
              <w:ind w:right="23"/>
              <w:jc w:val="right"/>
              <w:rPr>
                <w:sz w:val="13"/>
              </w:rPr>
            </w:pPr>
            <w:r>
              <w:rPr>
                <w:sz w:val="13"/>
              </w:rPr>
              <w:t>0.02625</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27.969</w:t>
            </w:r>
          </w:p>
        </w:tc>
        <w:tc>
          <w:tcPr>
            <w:tcW w:w="707" w:type="dxa"/>
          </w:tcPr>
          <w:p>
            <w:pPr>
              <w:pStyle w:val="TableParagraph"/>
              <w:spacing w:line="148" w:lineRule="exact"/>
              <w:ind w:left="314" w:right="-1"/>
              <w:rPr>
                <w:sz w:val="13"/>
              </w:rPr>
            </w:pPr>
            <w:r>
              <w:rPr>
                <w:sz w:val="13"/>
              </w:rPr>
              <w:t>24</w:t>
            </w:r>
          </w:p>
        </w:tc>
        <w:tc>
          <w:tcPr>
            <w:tcW w:w="707" w:type="dxa"/>
          </w:tcPr>
          <w:p>
            <w:pPr>
              <w:pStyle w:val="TableParagraph"/>
              <w:spacing w:line="148" w:lineRule="exact"/>
              <w:ind w:left="117" w:right="-1"/>
              <w:rPr>
                <w:sz w:val="13"/>
              </w:rPr>
            </w:pPr>
            <w:r>
              <w:rPr>
                <w:sz w:val="13"/>
              </w:rPr>
              <w:t>1 174</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0" w:right="216"/>
              <w:jc w:val="center"/>
              <w:rPr>
                <w:sz w:val="13"/>
              </w:rPr>
            </w:pPr>
            <w:r>
              <w:rPr>
                <w:sz w:val="13"/>
              </w:rPr>
              <w:t>064</w:t>
            </w:r>
          </w:p>
        </w:tc>
        <w:tc>
          <w:tcPr>
            <w:tcW w:w="1555" w:type="dxa"/>
            <w:shd w:val="clear" w:color="auto" w:fill="F1DCDB"/>
          </w:tcPr>
          <w:p>
            <w:pPr>
              <w:pStyle w:val="TableParagraph"/>
              <w:spacing w:line="148" w:lineRule="exact"/>
              <w:ind w:left="19"/>
              <w:rPr>
                <w:sz w:val="13"/>
              </w:rPr>
            </w:pPr>
            <w:r>
              <w:rPr>
                <w:sz w:val="13"/>
              </w:rPr>
              <w:t>El Oro</w:t>
            </w:r>
          </w:p>
        </w:tc>
        <w:tc>
          <w:tcPr>
            <w:tcW w:w="1065" w:type="dxa"/>
            <w:shd w:val="clear" w:color="auto" w:fill="F1DCDB"/>
          </w:tcPr>
          <w:p>
            <w:pPr>
              <w:pStyle w:val="TableParagraph"/>
              <w:spacing w:line="148" w:lineRule="exact"/>
              <w:ind w:right="257"/>
              <w:jc w:val="right"/>
              <w:rPr>
                <w:sz w:val="13"/>
              </w:rPr>
            </w:pPr>
            <w:r>
              <w:rPr>
                <w:sz w:val="13"/>
              </w:rPr>
              <w:t>34 446</w:t>
            </w:r>
          </w:p>
        </w:tc>
        <w:tc>
          <w:tcPr>
            <w:tcW w:w="923" w:type="dxa"/>
            <w:shd w:val="clear" w:color="auto" w:fill="F1DCDB"/>
          </w:tcPr>
          <w:p>
            <w:pPr>
              <w:pStyle w:val="TableParagraph"/>
              <w:spacing w:line="148" w:lineRule="exact"/>
              <w:ind w:right="18"/>
              <w:jc w:val="right"/>
              <w:rPr>
                <w:sz w:val="13"/>
              </w:rPr>
            </w:pPr>
            <w:r>
              <w:rPr>
                <w:sz w:val="13"/>
              </w:rPr>
              <w:t>-0.12364</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26.275</w:t>
            </w:r>
          </w:p>
        </w:tc>
        <w:tc>
          <w:tcPr>
            <w:tcW w:w="707" w:type="dxa"/>
            <w:shd w:val="clear" w:color="auto" w:fill="F1DCDB"/>
          </w:tcPr>
          <w:p>
            <w:pPr>
              <w:pStyle w:val="TableParagraph"/>
              <w:spacing w:line="148" w:lineRule="exact"/>
              <w:ind w:left="314" w:right="-1"/>
              <w:rPr>
                <w:sz w:val="13"/>
              </w:rPr>
            </w:pPr>
            <w:r>
              <w:rPr>
                <w:sz w:val="13"/>
              </w:rPr>
              <w:t>30</w:t>
            </w:r>
          </w:p>
        </w:tc>
        <w:tc>
          <w:tcPr>
            <w:tcW w:w="707" w:type="dxa"/>
            <w:shd w:val="clear" w:color="auto" w:fill="F1DCDB"/>
          </w:tcPr>
          <w:p>
            <w:pPr>
              <w:pStyle w:val="TableParagraph"/>
              <w:spacing w:line="148" w:lineRule="exact"/>
              <w:ind w:left="117" w:right="-1"/>
              <w:rPr>
                <w:sz w:val="13"/>
              </w:rPr>
            </w:pPr>
            <w:r>
              <w:rPr>
                <w:sz w:val="13"/>
              </w:rPr>
              <w:t>1 299</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066</w:t>
            </w:r>
          </w:p>
        </w:tc>
        <w:tc>
          <w:tcPr>
            <w:tcW w:w="1555" w:type="dxa"/>
          </w:tcPr>
          <w:p>
            <w:pPr>
              <w:pStyle w:val="TableParagraph"/>
              <w:spacing w:line="148" w:lineRule="exact"/>
              <w:ind w:left="19"/>
              <w:rPr>
                <w:sz w:val="13"/>
              </w:rPr>
            </w:pPr>
            <w:r>
              <w:rPr>
                <w:sz w:val="13"/>
              </w:rPr>
              <w:t>Otzoloapan</w:t>
            </w:r>
          </w:p>
        </w:tc>
        <w:tc>
          <w:tcPr>
            <w:tcW w:w="1065" w:type="dxa"/>
          </w:tcPr>
          <w:p>
            <w:pPr>
              <w:pStyle w:val="TableParagraph"/>
              <w:spacing w:line="148" w:lineRule="exact"/>
              <w:ind w:right="256"/>
              <w:jc w:val="right"/>
              <w:rPr>
                <w:sz w:val="13"/>
              </w:rPr>
            </w:pPr>
            <w:r>
              <w:rPr>
                <w:sz w:val="13"/>
              </w:rPr>
              <w:t>4 864</w:t>
            </w:r>
          </w:p>
        </w:tc>
        <w:tc>
          <w:tcPr>
            <w:tcW w:w="923" w:type="dxa"/>
          </w:tcPr>
          <w:p>
            <w:pPr>
              <w:pStyle w:val="TableParagraph"/>
              <w:spacing w:line="148" w:lineRule="exact"/>
              <w:ind w:right="23"/>
              <w:jc w:val="right"/>
              <w:rPr>
                <w:sz w:val="13"/>
              </w:rPr>
            </w:pPr>
            <w:r>
              <w:rPr>
                <w:sz w:val="13"/>
              </w:rPr>
              <w:t>0.35123</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31.641</w:t>
            </w:r>
          </w:p>
        </w:tc>
        <w:tc>
          <w:tcPr>
            <w:tcW w:w="707" w:type="dxa"/>
          </w:tcPr>
          <w:p>
            <w:pPr>
              <w:pStyle w:val="TableParagraph"/>
              <w:spacing w:line="148" w:lineRule="exact"/>
              <w:ind w:left="314" w:right="-1"/>
              <w:rPr>
                <w:sz w:val="13"/>
              </w:rPr>
            </w:pPr>
            <w:r>
              <w:rPr>
                <w:sz w:val="13"/>
              </w:rPr>
              <w:t>14</w:t>
            </w:r>
          </w:p>
        </w:tc>
        <w:tc>
          <w:tcPr>
            <w:tcW w:w="707" w:type="dxa"/>
          </w:tcPr>
          <w:p>
            <w:pPr>
              <w:pStyle w:val="TableParagraph"/>
              <w:spacing w:line="148" w:lineRule="exact"/>
              <w:ind w:left="225" w:right="-1"/>
              <w:rPr>
                <w:sz w:val="13"/>
              </w:rPr>
            </w:pPr>
            <w:r>
              <w:rPr>
                <w:sz w:val="13"/>
              </w:rPr>
              <w:t>887</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0" w:right="216"/>
              <w:jc w:val="center"/>
              <w:rPr>
                <w:sz w:val="13"/>
              </w:rPr>
            </w:pPr>
            <w:r>
              <w:rPr>
                <w:sz w:val="13"/>
              </w:rPr>
              <w:t>067</w:t>
            </w:r>
          </w:p>
        </w:tc>
        <w:tc>
          <w:tcPr>
            <w:tcW w:w="1555" w:type="dxa"/>
            <w:shd w:val="clear" w:color="auto" w:fill="F1DCDB"/>
          </w:tcPr>
          <w:p>
            <w:pPr>
              <w:pStyle w:val="TableParagraph"/>
              <w:spacing w:line="148" w:lineRule="exact"/>
              <w:ind w:left="19"/>
              <w:rPr>
                <w:sz w:val="13"/>
              </w:rPr>
            </w:pPr>
            <w:r>
              <w:rPr>
                <w:sz w:val="13"/>
              </w:rPr>
              <w:t>Otzolotepec</w:t>
            </w:r>
          </w:p>
        </w:tc>
        <w:tc>
          <w:tcPr>
            <w:tcW w:w="1065" w:type="dxa"/>
            <w:shd w:val="clear" w:color="auto" w:fill="F1DCDB"/>
          </w:tcPr>
          <w:p>
            <w:pPr>
              <w:pStyle w:val="TableParagraph"/>
              <w:spacing w:line="148" w:lineRule="exact"/>
              <w:ind w:right="257"/>
              <w:jc w:val="right"/>
              <w:rPr>
                <w:sz w:val="13"/>
              </w:rPr>
            </w:pPr>
            <w:r>
              <w:rPr>
                <w:sz w:val="13"/>
              </w:rPr>
              <w:t>78 146</w:t>
            </w:r>
          </w:p>
        </w:tc>
        <w:tc>
          <w:tcPr>
            <w:tcW w:w="923" w:type="dxa"/>
            <w:shd w:val="clear" w:color="auto" w:fill="F1DCDB"/>
          </w:tcPr>
          <w:p>
            <w:pPr>
              <w:pStyle w:val="TableParagraph"/>
              <w:spacing w:line="148" w:lineRule="exact"/>
              <w:ind w:right="18"/>
              <w:jc w:val="right"/>
              <w:rPr>
                <w:sz w:val="13"/>
              </w:rPr>
            </w:pPr>
            <w:r>
              <w:rPr>
                <w:sz w:val="13"/>
              </w:rPr>
              <w:t>-0.53777</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21.596</w:t>
            </w:r>
          </w:p>
        </w:tc>
        <w:tc>
          <w:tcPr>
            <w:tcW w:w="707" w:type="dxa"/>
            <w:shd w:val="clear" w:color="auto" w:fill="F1DCDB"/>
          </w:tcPr>
          <w:p>
            <w:pPr>
              <w:pStyle w:val="TableParagraph"/>
              <w:spacing w:line="148" w:lineRule="exact"/>
              <w:ind w:left="314" w:right="-1"/>
              <w:rPr>
                <w:sz w:val="13"/>
              </w:rPr>
            </w:pPr>
            <w:r>
              <w:rPr>
                <w:sz w:val="13"/>
              </w:rPr>
              <w:t>43</w:t>
            </w:r>
          </w:p>
        </w:tc>
        <w:tc>
          <w:tcPr>
            <w:tcW w:w="707" w:type="dxa"/>
            <w:shd w:val="clear" w:color="auto" w:fill="F1DCDB"/>
          </w:tcPr>
          <w:p>
            <w:pPr>
              <w:pStyle w:val="TableParagraph"/>
              <w:spacing w:line="148" w:lineRule="exact"/>
              <w:ind w:left="117" w:right="-1"/>
              <w:rPr>
                <w:sz w:val="13"/>
              </w:rPr>
            </w:pPr>
            <w:r>
              <w:rPr>
                <w:sz w:val="13"/>
              </w:rPr>
              <w:t>1 650</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071</w:t>
            </w:r>
          </w:p>
        </w:tc>
        <w:tc>
          <w:tcPr>
            <w:tcW w:w="1555" w:type="dxa"/>
          </w:tcPr>
          <w:p>
            <w:pPr>
              <w:pStyle w:val="TableParagraph"/>
              <w:spacing w:line="148" w:lineRule="exact"/>
              <w:ind w:left="19"/>
              <w:rPr>
                <w:sz w:val="13"/>
              </w:rPr>
            </w:pPr>
            <w:r>
              <w:rPr>
                <w:sz w:val="13"/>
              </w:rPr>
              <w:t>Polotitlán</w:t>
            </w:r>
          </w:p>
        </w:tc>
        <w:tc>
          <w:tcPr>
            <w:tcW w:w="1065" w:type="dxa"/>
          </w:tcPr>
          <w:p>
            <w:pPr>
              <w:pStyle w:val="TableParagraph"/>
              <w:spacing w:line="148" w:lineRule="exact"/>
              <w:ind w:right="257"/>
              <w:jc w:val="right"/>
              <w:rPr>
                <w:sz w:val="13"/>
              </w:rPr>
            </w:pPr>
            <w:r>
              <w:rPr>
                <w:sz w:val="13"/>
              </w:rPr>
              <w:t>13 002</w:t>
            </w:r>
          </w:p>
        </w:tc>
        <w:tc>
          <w:tcPr>
            <w:tcW w:w="923" w:type="dxa"/>
          </w:tcPr>
          <w:p>
            <w:pPr>
              <w:pStyle w:val="TableParagraph"/>
              <w:spacing w:line="148" w:lineRule="exact"/>
              <w:ind w:right="18"/>
              <w:jc w:val="right"/>
              <w:rPr>
                <w:sz w:val="13"/>
              </w:rPr>
            </w:pPr>
            <w:r>
              <w:rPr>
                <w:sz w:val="13"/>
              </w:rPr>
              <w:t>-0.60904</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20.791</w:t>
            </w:r>
          </w:p>
        </w:tc>
        <w:tc>
          <w:tcPr>
            <w:tcW w:w="707" w:type="dxa"/>
          </w:tcPr>
          <w:p>
            <w:pPr>
              <w:pStyle w:val="TableParagraph"/>
              <w:spacing w:line="148" w:lineRule="exact"/>
              <w:ind w:left="314" w:right="-1"/>
              <w:rPr>
                <w:sz w:val="13"/>
              </w:rPr>
            </w:pPr>
            <w:r>
              <w:rPr>
                <w:sz w:val="13"/>
              </w:rPr>
              <w:t>47</w:t>
            </w:r>
          </w:p>
        </w:tc>
        <w:tc>
          <w:tcPr>
            <w:tcW w:w="707" w:type="dxa"/>
          </w:tcPr>
          <w:p>
            <w:pPr>
              <w:pStyle w:val="TableParagraph"/>
              <w:spacing w:line="148" w:lineRule="exact"/>
              <w:ind w:left="117" w:right="-1"/>
              <w:rPr>
                <w:sz w:val="13"/>
              </w:rPr>
            </w:pPr>
            <w:r>
              <w:rPr>
                <w:sz w:val="13"/>
              </w:rPr>
              <w:t>1 714</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0" w:right="216"/>
              <w:jc w:val="center"/>
              <w:rPr>
                <w:sz w:val="13"/>
              </w:rPr>
            </w:pPr>
            <w:r>
              <w:rPr>
                <w:sz w:val="13"/>
              </w:rPr>
              <w:t>077</w:t>
            </w:r>
          </w:p>
        </w:tc>
        <w:tc>
          <w:tcPr>
            <w:tcW w:w="1555" w:type="dxa"/>
            <w:shd w:val="clear" w:color="auto" w:fill="F1DCDB"/>
          </w:tcPr>
          <w:p>
            <w:pPr>
              <w:pStyle w:val="TableParagraph"/>
              <w:spacing w:line="148" w:lineRule="exact"/>
              <w:ind w:left="19"/>
              <w:rPr>
                <w:sz w:val="13"/>
              </w:rPr>
            </w:pPr>
            <w:r>
              <w:rPr>
                <w:sz w:val="13"/>
              </w:rPr>
              <w:t>San Simón de Guerrero</w:t>
            </w:r>
          </w:p>
        </w:tc>
        <w:tc>
          <w:tcPr>
            <w:tcW w:w="1065" w:type="dxa"/>
            <w:shd w:val="clear" w:color="auto" w:fill="F1DCDB"/>
          </w:tcPr>
          <w:p>
            <w:pPr>
              <w:pStyle w:val="TableParagraph"/>
              <w:spacing w:line="148" w:lineRule="exact"/>
              <w:ind w:right="256"/>
              <w:jc w:val="right"/>
              <w:rPr>
                <w:sz w:val="13"/>
              </w:rPr>
            </w:pPr>
            <w:r>
              <w:rPr>
                <w:sz w:val="13"/>
              </w:rPr>
              <w:t>6 272</w:t>
            </w:r>
          </w:p>
        </w:tc>
        <w:tc>
          <w:tcPr>
            <w:tcW w:w="923" w:type="dxa"/>
            <w:shd w:val="clear" w:color="auto" w:fill="F1DCDB"/>
          </w:tcPr>
          <w:p>
            <w:pPr>
              <w:pStyle w:val="TableParagraph"/>
              <w:spacing w:line="148" w:lineRule="exact"/>
              <w:ind w:right="23"/>
              <w:jc w:val="right"/>
              <w:rPr>
                <w:sz w:val="13"/>
              </w:rPr>
            </w:pPr>
            <w:r>
              <w:rPr>
                <w:sz w:val="13"/>
              </w:rPr>
              <w:t>0.14740</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29.338</w:t>
            </w:r>
          </w:p>
        </w:tc>
        <w:tc>
          <w:tcPr>
            <w:tcW w:w="707" w:type="dxa"/>
            <w:shd w:val="clear" w:color="auto" w:fill="F1DCDB"/>
          </w:tcPr>
          <w:p>
            <w:pPr>
              <w:pStyle w:val="TableParagraph"/>
              <w:spacing w:line="148" w:lineRule="exact"/>
              <w:ind w:left="314" w:right="-1"/>
              <w:rPr>
                <w:sz w:val="13"/>
              </w:rPr>
            </w:pPr>
            <w:r>
              <w:rPr>
                <w:sz w:val="13"/>
              </w:rPr>
              <w:t>21</w:t>
            </w:r>
          </w:p>
        </w:tc>
        <w:tc>
          <w:tcPr>
            <w:tcW w:w="707" w:type="dxa"/>
            <w:shd w:val="clear" w:color="auto" w:fill="F1DCDB"/>
          </w:tcPr>
          <w:p>
            <w:pPr>
              <w:pStyle w:val="TableParagraph"/>
              <w:spacing w:line="148" w:lineRule="exact"/>
              <w:ind w:left="117" w:right="-1"/>
              <w:rPr>
                <w:sz w:val="13"/>
              </w:rPr>
            </w:pPr>
            <w:r>
              <w:rPr>
                <w:sz w:val="13"/>
              </w:rPr>
              <w:t>1 069</w:t>
            </w:r>
          </w:p>
        </w:tc>
      </w:tr>
      <w:tr>
        <w:trPr>
          <w:trHeight w:val="164" w:hRule="exact"/>
        </w:trPr>
        <w:tc>
          <w:tcPr>
            <w:tcW w:w="707" w:type="dxa"/>
          </w:tcPr>
          <w:p>
            <w:pPr>
              <w:pStyle w:val="TableParagraph"/>
              <w:ind w:right="272"/>
              <w:jc w:val="right"/>
              <w:rPr>
                <w:sz w:val="13"/>
              </w:rPr>
            </w:pPr>
            <w:r>
              <w:rPr>
                <w:sz w:val="13"/>
              </w:rPr>
              <w:t>15</w:t>
            </w:r>
          </w:p>
        </w:tc>
        <w:tc>
          <w:tcPr>
            <w:tcW w:w="707" w:type="dxa"/>
          </w:tcPr>
          <w:p>
            <w:pPr>
              <w:pStyle w:val="TableParagraph"/>
              <w:ind w:left="220" w:right="216"/>
              <w:jc w:val="center"/>
              <w:rPr>
                <w:sz w:val="13"/>
              </w:rPr>
            </w:pPr>
            <w:r>
              <w:rPr>
                <w:sz w:val="13"/>
              </w:rPr>
              <w:t>078</w:t>
            </w:r>
          </w:p>
        </w:tc>
        <w:tc>
          <w:tcPr>
            <w:tcW w:w="1555" w:type="dxa"/>
          </w:tcPr>
          <w:p>
            <w:pPr>
              <w:pStyle w:val="TableParagraph"/>
              <w:ind w:left="19"/>
              <w:rPr>
                <w:sz w:val="13"/>
              </w:rPr>
            </w:pPr>
            <w:r>
              <w:rPr>
                <w:sz w:val="13"/>
              </w:rPr>
              <w:t>Santo Tomás</w:t>
            </w:r>
          </w:p>
        </w:tc>
        <w:tc>
          <w:tcPr>
            <w:tcW w:w="1065" w:type="dxa"/>
          </w:tcPr>
          <w:p>
            <w:pPr>
              <w:pStyle w:val="TableParagraph"/>
              <w:ind w:right="252"/>
              <w:jc w:val="right"/>
              <w:rPr>
                <w:sz w:val="13"/>
              </w:rPr>
            </w:pPr>
            <w:r>
              <w:rPr>
                <w:sz w:val="13"/>
              </w:rPr>
              <w:t>9 111</w:t>
            </w:r>
          </w:p>
        </w:tc>
        <w:tc>
          <w:tcPr>
            <w:tcW w:w="923" w:type="dxa"/>
          </w:tcPr>
          <w:p>
            <w:pPr>
              <w:pStyle w:val="TableParagraph"/>
              <w:ind w:right="18"/>
              <w:jc w:val="right"/>
              <w:rPr>
                <w:sz w:val="13"/>
              </w:rPr>
            </w:pPr>
            <w:r>
              <w:rPr>
                <w:sz w:val="13"/>
              </w:rPr>
              <w:t>-0.20024</w:t>
            </w:r>
          </w:p>
        </w:tc>
        <w:tc>
          <w:tcPr>
            <w:tcW w:w="848" w:type="dxa"/>
          </w:tcPr>
          <w:p>
            <w:pPr>
              <w:pStyle w:val="TableParagraph"/>
              <w:ind w:left="245" w:right="10"/>
              <w:rPr>
                <w:sz w:val="13"/>
              </w:rPr>
            </w:pPr>
            <w:r>
              <w:rPr>
                <w:sz w:val="13"/>
              </w:rPr>
              <w:t>Medio</w:t>
            </w:r>
          </w:p>
        </w:tc>
        <w:tc>
          <w:tcPr>
            <w:tcW w:w="892" w:type="dxa"/>
          </w:tcPr>
          <w:p>
            <w:pPr>
              <w:pStyle w:val="TableParagraph"/>
              <w:ind w:left="230" w:right="-2"/>
              <w:rPr>
                <w:sz w:val="13"/>
              </w:rPr>
            </w:pPr>
            <w:r>
              <w:rPr>
                <w:sz w:val="13"/>
              </w:rPr>
              <w:t>25.410</w:t>
            </w:r>
          </w:p>
        </w:tc>
        <w:tc>
          <w:tcPr>
            <w:tcW w:w="707" w:type="dxa"/>
          </w:tcPr>
          <w:p>
            <w:pPr>
              <w:pStyle w:val="TableParagraph"/>
              <w:ind w:left="314" w:right="-1"/>
              <w:rPr>
                <w:sz w:val="13"/>
              </w:rPr>
            </w:pPr>
            <w:r>
              <w:rPr>
                <w:sz w:val="13"/>
              </w:rPr>
              <w:t>34</w:t>
            </w:r>
          </w:p>
        </w:tc>
        <w:tc>
          <w:tcPr>
            <w:tcW w:w="707" w:type="dxa"/>
          </w:tcPr>
          <w:p>
            <w:pPr>
              <w:pStyle w:val="TableParagraph"/>
              <w:ind w:left="117" w:right="-1"/>
              <w:rPr>
                <w:sz w:val="13"/>
              </w:rPr>
            </w:pPr>
            <w:r>
              <w:rPr>
                <w:sz w:val="13"/>
              </w:rPr>
              <w:t>1 368</w:t>
            </w:r>
          </w:p>
        </w:tc>
      </w:tr>
      <w:tr>
        <w:trPr>
          <w:trHeight w:val="165" w:hRule="exact"/>
        </w:trPr>
        <w:tc>
          <w:tcPr>
            <w:tcW w:w="707" w:type="dxa"/>
            <w:shd w:val="clear" w:color="auto" w:fill="F1DCDB"/>
          </w:tcPr>
          <w:p>
            <w:pPr>
              <w:pStyle w:val="TableParagraph"/>
              <w:ind w:right="272"/>
              <w:jc w:val="right"/>
              <w:rPr>
                <w:sz w:val="13"/>
              </w:rPr>
            </w:pPr>
            <w:r>
              <w:rPr>
                <w:sz w:val="13"/>
              </w:rPr>
              <w:t>15</w:t>
            </w:r>
          </w:p>
        </w:tc>
        <w:tc>
          <w:tcPr>
            <w:tcW w:w="707" w:type="dxa"/>
            <w:shd w:val="clear" w:color="auto" w:fill="F1DCDB"/>
          </w:tcPr>
          <w:p>
            <w:pPr>
              <w:pStyle w:val="TableParagraph"/>
              <w:ind w:left="220" w:right="216"/>
              <w:jc w:val="center"/>
              <w:rPr>
                <w:sz w:val="13"/>
              </w:rPr>
            </w:pPr>
            <w:r>
              <w:rPr>
                <w:sz w:val="13"/>
              </w:rPr>
              <w:t>079</w:t>
            </w:r>
          </w:p>
        </w:tc>
        <w:tc>
          <w:tcPr>
            <w:tcW w:w="1555" w:type="dxa"/>
            <w:shd w:val="clear" w:color="auto" w:fill="F1DCDB"/>
          </w:tcPr>
          <w:p>
            <w:pPr>
              <w:pStyle w:val="TableParagraph"/>
              <w:ind w:left="19"/>
              <w:rPr>
                <w:sz w:val="13"/>
              </w:rPr>
            </w:pPr>
            <w:r>
              <w:rPr>
                <w:sz w:val="13"/>
              </w:rPr>
              <w:t>Soyaniquilpan de Juárez</w:t>
            </w:r>
          </w:p>
        </w:tc>
        <w:tc>
          <w:tcPr>
            <w:tcW w:w="1065" w:type="dxa"/>
            <w:shd w:val="clear" w:color="auto" w:fill="F1DCDB"/>
          </w:tcPr>
          <w:p>
            <w:pPr>
              <w:pStyle w:val="TableParagraph"/>
              <w:ind w:right="255"/>
              <w:jc w:val="right"/>
              <w:rPr>
                <w:sz w:val="13"/>
              </w:rPr>
            </w:pPr>
            <w:r>
              <w:rPr>
                <w:sz w:val="13"/>
              </w:rPr>
              <w:t>11 798</w:t>
            </w:r>
          </w:p>
        </w:tc>
        <w:tc>
          <w:tcPr>
            <w:tcW w:w="923" w:type="dxa"/>
            <w:shd w:val="clear" w:color="auto" w:fill="F1DCDB"/>
          </w:tcPr>
          <w:p>
            <w:pPr>
              <w:pStyle w:val="TableParagraph"/>
              <w:ind w:right="18"/>
              <w:jc w:val="right"/>
              <w:rPr>
                <w:sz w:val="13"/>
              </w:rPr>
            </w:pPr>
            <w:r>
              <w:rPr>
                <w:sz w:val="13"/>
              </w:rPr>
              <w:t>-0.31429</w:t>
            </w:r>
          </w:p>
        </w:tc>
        <w:tc>
          <w:tcPr>
            <w:tcW w:w="848" w:type="dxa"/>
            <w:shd w:val="clear" w:color="auto" w:fill="F1DCDB"/>
          </w:tcPr>
          <w:p>
            <w:pPr>
              <w:pStyle w:val="TableParagraph"/>
              <w:ind w:left="245" w:right="10"/>
              <w:rPr>
                <w:sz w:val="13"/>
              </w:rPr>
            </w:pPr>
            <w:r>
              <w:rPr>
                <w:sz w:val="13"/>
              </w:rPr>
              <w:t>Medio</w:t>
            </w:r>
          </w:p>
        </w:tc>
        <w:tc>
          <w:tcPr>
            <w:tcW w:w="892" w:type="dxa"/>
            <w:shd w:val="clear" w:color="auto" w:fill="F1DCDB"/>
          </w:tcPr>
          <w:p>
            <w:pPr>
              <w:pStyle w:val="TableParagraph"/>
              <w:ind w:left="230" w:right="-2"/>
              <w:rPr>
                <w:sz w:val="13"/>
              </w:rPr>
            </w:pPr>
            <w:r>
              <w:rPr>
                <w:sz w:val="13"/>
              </w:rPr>
              <w:t>24.121</w:t>
            </w:r>
          </w:p>
        </w:tc>
        <w:tc>
          <w:tcPr>
            <w:tcW w:w="707" w:type="dxa"/>
            <w:shd w:val="clear" w:color="auto" w:fill="F1DCDB"/>
          </w:tcPr>
          <w:p>
            <w:pPr>
              <w:pStyle w:val="TableParagraph"/>
              <w:ind w:left="314" w:right="-1"/>
              <w:rPr>
                <w:sz w:val="13"/>
              </w:rPr>
            </w:pPr>
            <w:r>
              <w:rPr>
                <w:sz w:val="13"/>
              </w:rPr>
              <w:t>38</w:t>
            </w:r>
          </w:p>
        </w:tc>
        <w:tc>
          <w:tcPr>
            <w:tcW w:w="707" w:type="dxa"/>
            <w:shd w:val="clear" w:color="auto" w:fill="F1DCDB"/>
          </w:tcPr>
          <w:p>
            <w:pPr>
              <w:pStyle w:val="TableParagraph"/>
              <w:ind w:left="117" w:right="-1"/>
              <w:rPr>
                <w:sz w:val="13"/>
              </w:rPr>
            </w:pPr>
            <w:r>
              <w:rPr>
                <w:sz w:val="13"/>
              </w:rPr>
              <w:t>1 467</w:t>
            </w:r>
          </w:p>
        </w:tc>
      </w:tr>
      <w:tr>
        <w:trPr>
          <w:trHeight w:val="164" w:hRule="exact"/>
        </w:trPr>
        <w:tc>
          <w:tcPr>
            <w:tcW w:w="707" w:type="dxa"/>
          </w:tcPr>
          <w:p>
            <w:pPr>
              <w:pStyle w:val="TableParagraph"/>
              <w:spacing w:line="149" w:lineRule="exact"/>
              <w:ind w:right="272"/>
              <w:jc w:val="right"/>
              <w:rPr>
                <w:sz w:val="13"/>
              </w:rPr>
            </w:pPr>
            <w:r>
              <w:rPr>
                <w:sz w:val="13"/>
              </w:rPr>
              <w:t>15</w:t>
            </w:r>
          </w:p>
        </w:tc>
        <w:tc>
          <w:tcPr>
            <w:tcW w:w="707" w:type="dxa"/>
          </w:tcPr>
          <w:p>
            <w:pPr>
              <w:pStyle w:val="TableParagraph"/>
              <w:spacing w:line="149" w:lineRule="exact"/>
              <w:ind w:left="220" w:right="216"/>
              <w:jc w:val="center"/>
              <w:rPr>
                <w:sz w:val="13"/>
              </w:rPr>
            </w:pPr>
            <w:r>
              <w:rPr>
                <w:sz w:val="13"/>
              </w:rPr>
              <w:t>082</w:t>
            </w:r>
          </w:p>
        </w:tc>
        <w:tc>
          <w:tcPr>
            <w:tcW w:w="1555" w:type="dxa"/>
          </w:tcPr>
          <w:p>
            <w:pPr>
              <w:pStyle w:val="TableParagraph"/>
              <w:spacing w:line="149" w:lineRule="exact"/>
              <w:ind w:left="19"/>
              <w:rPr>
                <w:sz w:val="13"/>
              </w:rPr>
            </w:pPr>
            <w:r>
              <w:rPr>
                <w:sz w:val="13"/>
              </w:rPr>
              <w:t>Tejupilco</w:t>
            </w:r>
          </w:p>
        </w:tc>
        <w:tc>
          <w:tcPr>
            <w:tcW w:w="1065" w:type="dxa"/>
          </w:tcPr>
          <w:p>
            <w:pPr>
              <w:pStyle w:val="TableParagraph"/>
              <w:spacing w:line="149" w:lineRule="exact"/>
              <w:ind w:right="257"/>
              <w:jc w:val="right"/>
              <w:rPr>
                <w:sz w:val="13"/>
              </w:rPr>
            </w:pPr>
            <w:r>
              <w:rPr>
                <w:sz w:val="13"/>
              </w:rPr>
              <w:t>71 077</w:t>
            </w:r>
          </w:p>
        </w:tc>
        <w:tc>
          <w:tcPr>
            <w:tcW w:w="923" w:type="dxa"/>
          </w:tcPr>
          <w:p>
            <w:pPr>
              <w:pStyle w:val="TableParagraph"/>
              <w:spacing w:line="149" w:lineRule="exact"/>
              <w:ind w:right="23"/>
              <w:jc w:val="right"/>
              <w:rPr>
                <w:sz w:val="13"/>
              </w:rPr>
            </w:pPr>
            <w:r>
              <w:rPr>
                <w:sz w:val="13"/>
              </w:rPr>
              <w:t>0.10660</w:t>
            </w:r>
          </w:p>
        </w:tc>
        <w:tc>
          <w:tcPr>
            <w:tcW w:w="848" w:type="dxa"/>
          </w:tcPr>
          <w:p>
            <w:pPr>
              <w:pStyle w:val="TableParagraph"/>
              <w:spacing w:line="149" w:lineRule="exact"/>
              <w:ind w:left="245" w:right="10"/>
              <w:rPr>
                <w:sz w:val="13"/>
              </w:rPr>
            </w:pPr>
            <w:r>
              <w:rPr>
                <w:sz w:val="13"/>
              </w:rPr>
              <w:t>Medio</w:t>
            </w:r>
          </w:p>
        </w:tc>
        <w:tc>
          <w:tcPr>
            <w:tcW w:w="892" w:type="dxa"/>
          </w:tcPr>
          <w:p>
            <w:pPr>
              <w:pStyle w:val="TableParagraph"/>
              <w:spacing w:line="149" w:lineRule="exact"/>
              <w:ind w:left="230" w:right="-2"/>
              <w:rPr>
                <w:sz w:val="13"/>
              </w:rPr>
            </w:pPr>
            <w:r>
              <w:rPr>
                <w:sz w:val="13"/>
              </w:rPr>
              <w:t>28.877</w:t>
            </w:r>
          </w:p>
        </w:tc>
        <w:tc>
          <w:tcPr>
            <w:tcW w:w="707" w:type="dxa"/>
          </w:tcPr>
          <w:p>
            <w:pPr>
              <w:pStyle w:val="TableParagraph"/>
              <w:spacing w:line="149" w:lineRule="exact"/>
              <w:ind w:left="314" w:right="-1"/>
              <w:rPr>
                <w:sz w:val="13"/>
              </w:rPr>
            </w:pPr>
            <w:r>
              <w:rPr>
                <w:sz w:val="13"/>
              </w:rPr>
              <w:t>22</w:t>
            </w:r>
          </w:p>
        </w:tc>
        <w:tc>
          <w:tcPr>
            <w:tcW w:w="707" w:type="dxa"/>
          </w:tcPr>
          <w:p>
            <w:pPr>
              <w:pStyle w:val="TableParagraph"/>
              <w:spacing w:line="149" w:lineRule="exact"/>
              <w:ind w:left="117" w:right="-1"/>
              <w:rPr>
                <w:sz w:val="13"/>
              </w:rPr>
            </w:pPr>
            <w:r>
              <w:rPr>
                <w:sz w:val="13"/>
              </w:rPr>
              <w:t>1 105</w:t>
            </w:r>
          </w:p>
        </w:tc>
      </w:tr>
      <w:tr>
        <w:trPr>
          <w:trHeight w:val="164" w:hRule="exact"/>
        </w:trPr>
        <w:tc>
          <w:tcPr>
            <w:tcW w:w="707" w:type="dxa"/>
            <w:shd w:val="clear" w:color="auto" w:fill="F1DCDB"/>
          </w:tcPr>
          <w:p>
            <w:pPr>
              <w:pStyle w:val="TableParagraph"/>
              <w:spacing w:line="149" w:lineRule="exact"/>
              <w:ind w:right="272"/>
              <w:jc w:val="right"/>
              <w:rPr>
                <w:sz w:val="13"/>
              </w:rPr>
            </w:pPr>
            <w:r>
              <w:rPr>
                <w:sz w:val="13"/>
              </w:rPr>
              <w:t>15</w:t>
            </w:r>
          </w:p>
        </w:tc>
        <w:tc>
          <w:tcPr>
            <w:tcW w:w="707" w:type="dxa"/>
            <w:shd w:val="clear" w:color="auto" w:fill="F1DCDB"/>
          </w:tcPr>
          <w:p>
            <w:pPr>
              <w:pStyle w:val="TableParagraph"/>
              <w:spacing w:line="149" w:lineRule="exact"/>
              <w:ind w:left="220" w:right="216"/>
              <w:jc w:val="center"/>
              <w:rPr>
                <w:sz w:val="13"/>
              </w:rPr>
            </w:pPr>
            <w:r>
              <w:rPr>
                <w:sz w:val="13"/>
              </w:rPr>
              <w:t>085</w:t>
            </w:r>
          </w:p>
        </w:tc>
        <w:tc>
          <w:tcPr>
            <w:tcW w:w="1555" w:type="dxa"/>
            <w:shd w:val="clear" w:color="auto" w:fill="F1DCDB"/>
          </w:tcPr>
          <w:p>
            <w:pPr>
              <w:pStyle w:val="TableParagraph"/>
              <w:spacing w:line="149" w:lineRule="exact"/>
              <w:ind w:left="19"/>
              <w:rPr>
                <w:sz w:val="13"/>
              </w:rPr>
            </w:pPr>
            <w:r>
              <w:rPr>
                <w:sz w:val="13"/>
              </w:rPr>
              <w:t>Temascalcingo</w:t>
            </w:r>
          </w:p>
        </w:tc>
        <w:tc>
          <w:tcPr>
            <w:tcW w:w="1065" w:type="dxa"/>
            <w:shd w:val="clear" w:color="auto" w:fill="F1DCDB"/>
          </w:tcPr>
          <w:p>
            <w:pPr>
              <w:pStyle w:val="TableParagraph"/>
              <w:spacing w:line="149" w:lineRule="exact"/>
              <w:ind w:right="257"/>
              <w:jc w:val="right"/>
              <w:rPr>
                <w:sz w:val="13"/>
              </w:rPr>
            </w:pPr>
            <w:r>
              <w:rPr>
                <w:sz w:val="13"/>
              </w:rPr>
              <w:t>62 695</w:t>
            </w:r>
          </w:p>
        </w:tc>
        <w:tc>
          <w:tcPr>
            <w:tcW w:w="923" w:type="dxa"/>
            <w:shd w:val="clear" w:color="auto" w:fill="F1DCDB"/>
          </w:tcPr>
          <w:p>
            <w:pPr>
              <w:pStyle w:val="TableParagraph"/>
              <w:spacing w:line="149" w:lineRule="exact"/>
              <w:ind w:right="23"/>
              <w:jc w:val="right"/>
              <w:rPr>
                <w:sz w:val="13"/>
              </w:rPr>
            </w:pPr>
            <w:r>
              <w:rPr>
                <w:sz w:val="13"/>
              </w:rPr>
              <w:t>0.10155</w:t>
            </w:r>
          </w:p>
        </w:tc>
        <w:tc>
          <w:tcPr>
            <w:tcW w:w="848" w:type="dxa"/>
            <w:shd w:val="clear" w:color="auto" w:fill="F1DCDB"/>
          </w:tcPr>
          <w:p>
            <w:pPr>
              <w:pStyle w:val="TableParagraph"/>
              <w:spacing w:line="149" w:lineRule="exact"/>
              <w:ind w:left="245" w:right="10"/>
              <w:rPr>
                <w:sz w:val="13"/>
              </w:rPr>
            </w:pPr>
            <w:r>
              <w:rPr>
                <w:sz w:val="13"/>
              </w:rPr>
              <w:t>Medio</w:t>
            </w:r>
          </w:p>
        </w:tc>
        <w:tc>
          <w:tcPr>
            <w:tcW w:w="892" w:type="dxa"/>
            <w:shd w:val="clear" w:color="auto" w:fill="F1DCDB"/>
          </w:tcPr>
          <w:p>
            <w:pPr>
              <w:pStyle w:val="TableParagraph"/>
              <w:spacing w:line="149" w:lineRule="exact"/>
              <w:ind w:left="230" w:right="-2"/>
              <w:rPr>
                <w:sz w:val="13"/>
              </w:rPr>
            </w:pPr>
            <w:r>
              <w:rPr>
                <w:sz w:val="13"/>
              </w:rPr>
              <w:t>28.820</w:t>
            </w:r>
          </w:p>
        </w:tc>
        <w:tc>
          <w:tcPr>
            <w:tcW w:w="707" w:type="dxa"/>
            <w:shd w:val="clear" w:color="auto" w:fill="F1DCDB"/>
          </w:tcPr>
          <w:p>
            <w:pPr>
              <w:pStyle w:val="TableParagraph"/>
              <w:spacing w:line="149" w:lineRule="exact"/>
              <w:ind w:left="314" w:right="-1"/>
              <w:rPr>
                <w:sz w:val="13"/>
              </w:rPr>
            </w:pPr>
            <w:r>
              <w:rPr>
                <w:sz w:val="13"/>
              </w:rPr>
              <w:t>23</w:t>
            </w:r>
          </w:p>
        </w:tc>
        <w:tc>
          <w:tcPr>
            <w:tcW w:w="707" w:type="dxa"/>
            <w:shd w:val="clear" w:color="auto" w:fill="F1DCDB"/>
          </w:tcPr>
          <w:p>
            <w:pPr>
              <w:pStyle w:val="TableParagraph"/>
              <w:spacing w:line="149" w:lineRule="exact"/>
              <w:ind w:left="117" w:right="-1"/>
              <w:rPr>
                <w:sz w:val="13"/>
              </w:rPr>
            </w:pPr>
            <w:r>
              <w:rPr>
                <w:sz w:val="13"/>
              </w:rPr>
              <w:t>1 108</w:t>
            </w:r>
          </w:p>
        </w:tc>
      </w:tr>
      <w:tr>
        <w:trPr>
          <w:trHeight w:val="164" w:hRule="exact"/>
        </w:trPr>
        <w:tc>
          <w:tcPr>
            <w:tcW w:w="707" w:type="dxa"/>
          </w:tcPr>
          <w:p>
            <w:pPr>
              <w:pStyle w:val="TableParagraph"/>
              <w:spacing w:line="149" w:lineRule="exact"/>
              <w:ind w:right="272"/>
              <w:jc w:val="right"/>
              <w:rPr>
                <w:sz w:val="13"/>
              </w:rPr>
            </w:pPr>
            <w:r>
              <w:rPr>
                <w:sz w:val="13"/>
              </w:rPr>
              <w:t>15</w:t>
            </w:r>
          </w:p>
        </w:tc>
        <w:tc>
          <w:tcPr>
            <w:tcW w:w="707" w:type="dxa"/>
          </w:tcPr>
          <w:p>
            <w:pPr>
              <w:pStyle w:val="TableParagraph"/>
              <w:spacing w:line="149" w:lineRule="exact"/>
              <w:ind w:left="220" w:right="216"/>
              <w:jc w:val="center"/>
              <w:rPr>
                <w:sz w:val="13"/>
              </w:rPr>
            </w:pPr>
            <w:r>
              <w:rPr>
                <w:sz w:val="13"/>
              </w:rPr>
              <w:t>086</w:t>
            </w:r>
          </w:p>
        </w:tc>
        <w:tc>
          <w:tcPr>
            <w:tcW w:w="1555" w:type="dxa"/>
          </w:tcPr>
          <w:p>
            <w:pPr>
              <w:pStyle w:val="TableParagraph"/>
              <w:spacing w:line="149" w:lineRule="exact"/>
              <w:ind w:left="19"/>
              <w:rPr>
                <w:sz w:val="13"/>
              </w:rPr>
            </w:pPr>
            <w:r>
              <w:rPr>
                <w:sz w:val="13"/>
              </w:rPr>
              <w:t>Temascaltepec</w:t>
            </w:r>
          </w:p>
        </w:tc>
        <w:tc>
          <w:tcPr>
            <w:tcW w:w="1065" w:type="dxa"/>
          </w:tcPr>
          <w:p>
            <w:pPr>
              <w:pStyle w:val="TableParagraph"/>
              <w:spacing w:line="149" w:lineRule="exact"/>
              <w:ind w:right="257"/>
              <w:jc w:val="right"/>
              <w:rPr>
                <w:sz w:val="13"/>
              </w:rPr>
            </w:pPr>
            <w:r>
              <w:rPr>
                <w:sz w:val="13"/>
              </w:rPr>
              <w:t>32 870</w:t>
            </w:r>
          </w:p>
        </w:tc>
        <w:tc>
          <w:tcPr>
            <w:tcW w:w="923" w:type="dxa"/>
          </w:tcPr>
          <w:p>
            <w:pPr>
              <w:pStyle w:val="TableParagraph"/>
              <w:spacing w:line="149" w:lineRule="exact"/>
              <w:ind w:right="23"/>
              <w:jc w:val="right"/>
              <w:rPr>
                <w:sz w:val="13"/>
              </w:rPr>
            </w:pPr>
            <w:r>
              <w:rPr>
                <w:sz w:val="13"/>
              </w:rPr>
              <w:t>0.23438</w:t>
            </w:r>
          </w:p>
        </w:tc>
        <w:tc>
          <w:tcPr>
            <w:tcW w:w="848" w:type="dxa"/>
          </w:tcPr>
          <w:p>
            <w:pPr>
              <w:pStyle w:val="TableParagraph"/>
              <w:spacing w:line="149" w:lineRule="exact"/>
              <w:ind w:left="245" w:right="10"/>
              <w:rPr>
                <w:sz w:val="13"/>
              </w:rPr>
            </w:pPr>
            <w:r>
              <w:rPr>
                <w:sz w:val="13"/>
              </w:rPr>
              <w:t>Medio</w:t>
            </w:r>
          </w:p>
        </w:tc>
        <w:tc>
          <w:tcPr>
            <w:tcW w:w="892" w:type="dxa"/>
          </w:tcPr>
          <w:p>
            <w:pPr>
              <w:pStyle w:val="TableParagraph"/>
              <w:spacing w:line="149" w:lineRule="exact"/>
              <w:ind w:left="230" w:right="-2"/>
              <w:rPr>
                <w:sz w:val="13"/>
              </w:rPr>
            </w:pPr>
            <w:r>
              <w:rPr>
                <w:sz w:val="13"/>
              </w:rPr>
              <w:t>30.321</w:t>
            </w:r>
          </w:p>
        </w:tc>
        <w:tc>
          <w:tcPr>
            <w:tcW w:w="707" w:type="dxa"/>
          </w:tcPr>
          <w:p>
            <w:pPr>
              <w:pStyle w:val="TableParagraph"/>
              <w:spacing w:line="149" w:lineRule="exact"/>
              <w:ind w:left="314" w:right="-1"/>
              <w:rPr>
                <w:sz w:val="13"/>
              </w:rPr>
            </w:pPr>
            <w:r>
              <w:rPr>
                <w:sz w:val="13"/>
              </w:rPr>
              <w:t>17</w:t>
            </w:r>
          </w:p>
        </w:tc>
        <w:tc>
          <w:tcPr>
            <w:tcW w:w="707" w:type="dxa"/>
          </w:tcPr>
          <w:p>
            <w:pPr>
              <w:pStyle w:val="TableParagraph"/>
              <w:spacing w:line="149" w:lineRule="exact"/>
              <w:ind w:left="225" w:right="-1"/>
              <w:rPr>
                <w:sz w:val="13"/>
              </w:rPr>
            </w:pPr>
            <w:r>
              <w:rPr>
                <w:sz w:val="13"/>
              </w:rPr>
              <w:t>979</w:t>
            </w:r>
          </w:p>
        </w:tc>
      </w:tr>
      <w:tr>
        <w:trPr>
          <w:trHeight w:val="165" w:hRule="exact"/>
        </w:trPr>
        <w:tc>
          <w:tcPr>
            <w:tcW w:w="707" w:type="dxa"/>
            <w:shd w:val="clear" w:color="auto" w:fill="F1DCDB"/>
          </w:tcPr>
          <w:p>
            <w:pPr>
              <w:pStyle w:val="TableParagraph"/>
              <w:spacing w:line="149" w:lineRule="exact"/>
              <w:ind w:right="272"/>
              <w:jc w:val="right"/>
              <w:rPr>
                <w:sz w:val="13"/>
              </w:rPr>
            </w:pPr>
            <w:r>
              <w:rPr>
                <w:sz w:val="13"/>
              </w:rPr>
              <w:t>15</w:t>
            </w:r>
          </w:p>
        </w:tc>
        <w:tc>
          <w:tcPr>
            <w:tcW w:w="707" w:type="dxa"/>
            <w:shd w:val="clear" w:color="auto" w:fill="F1DCDB"/>
          </w:tcPr>
          <w:p>
            <w:pPr>
              <w:pStyle w:val="TableParagraph"/>
              <w:spacing w:line="149" w:lineRule="exact"/>
              <w:ind w:left="220" w:right="216"/>
              <w:jc w:val="center"/>
              <w:rPr>
                <w:sz w:val="13"/>
              </w:rPr>
            </w:pPr>
            <w:r>
              <w:rPr>
                <w:sz w:val="13"/>
              </w:rPr>
              <w:t>087</w:t>
            </w:r>
          </w:p>
        </w:tc>
        <w:tc>
          <w:tcPr>
            <w:tcW w:w="1555" w:type="dxa"/>
            <w:shd w:val="clear" w:color="auto" w:fill="F1DCDB"/>
          </w:tcPr>
          <w:p>
            <w:pPr>
              <w:pStyle w:val="TableParagraph"/>
              <w:spacing w:line="149" w:lineRule="exact"/>
              <w:ind w:left="19"/>
              <w:rPr>
                <w:sz w:val="13"/>
              </w:rPr>
            </w:pPr>
            <w:r>
              <w:rPr>
                <w:sz w:val="13"/>
              </w:rPr>
              <w:t>Temoaya</w:t>
            </w:r>
          </w:p>
        </w:tc>
        <w:tc>
          <w:tcPr>
            <w:tcW w:w="1065" w:type="dxa"/>
            <w:shd w:val="clear" w:color="auto" w:fill="F1DCDB"/>
          </w:tcPr>
          <w:p>
            <w:pPr>
              <w:pStyle w:val="TableParagraph"/>
              <w:spacing w:line="149" w:lineRule="exact"/>
              <w:ind w:right="257"/>
              <w:jc w:val="right"/>
              <w:rPr>
                <w:sz w:val="13"/>
              </w:rPr>
            </w:pPr>
            <w:r>
              <w:rPr>
                <w:sz w:val="13"/>
              </w:rPr>
              <w:t>90 010</w:t>
            </w:r>
          </w:p>
        </w:tc>
        <w:tc>
          <w:tcPr>
            <w:tcW w:w="923" w:type="dxa"/>
            <w:shd w:val="clear" w:color="auto" w:fill="F1DCDB"/>
          </w:tcPr>
          <w:p>
            <w:pPr>
              <w:pStyle w:val="TableParagraph"/>
              <w:spacing w:line="149" w:lineRule="exact"/>
              <w:ind w:right="16"/>
              <w:jc w:val="right"/>
              <w:rPr>
                <w:sz w:val="13"/>
              </w:rPr>
            </w:pPr>
            <w:r>
              <w:rPr>
                <w:sz w:val="13"/>
              </w:rPr>
              <w:t>-0.11075</w:t>
            </w:r>
          </w:p>
        </w:tc>
        <w:tc>
          <w:tcPr>
            <w:tcW w:w="848" w:type="dxa"/>
            <w:shd w:val="clear" w:color="auto" w:fill="F1DCDB"/>
          </w:tcPr>
          <w:p>
            <w:pPr>
              <w:pStyle w:val="TableParagraph"/>
              <w:spacing w:line="149" w:lineRule="exact"/>
              <w:ind w:left="245" w:right="10"/>
              <w:rPr>
                <w:sz w:val="13"/>
              </w:rPr>
            </w:pPr>
            <w:r>
              <w:rPr>
                <w:sz w:val="13"/>
              </w:rPr>
              <w:t>Medio</w:t>
            </w:r>
          </w:p>
        </w:tc>
        <w:tc>
          <w:tcPr>
            <w:tcW w:w="892" w:type="dxa"/>
            <w:shd w:val="clear" w:color="auto" w:fill="F1DCDB"/>
          </w:tcPr>
          <w:p>
            <w:pPr>
              <w:pStyle w:val="TableParagraph"/>
              <w:spacing w:line="149" w:lineRule="exact"/>
              <w:ind w:left="230" w:right="-2"/>
              <w:rPr>
                <w:sz w:val="13"/>
              </w:rPr>
            </w:pPr>
            <w:r>
              <w:rPr>
                <w:sz w:val="13"/>
              </w:rPr>
              <w:t>26.421</w:t>
            </w:r>
          </w:p>
        </w:tc>
        <w:tc>
          <w:tcPr>
            <w:tcW w:w="707" w:type="dxa"/>
            <w:shd w:val="clear" w:color="auto" w:fill="F1DCDB"/>
          </w:tcPr>
          <w:p>
            <w:pPr>
              <w:pStyle w:val="TableParagraph"/>
              <w:spacing w:line="149" w:lineRule="exact"/>
              <w:ind w:left="314" w:right="-1"/>
              <w:rPr>
                <w:sz w:val="13"/>
              </w:rPr>
            </w:pPr>
            <w:r>
              <w:rPr>
                <w:sz w:val="13"/>
              </w:rPr>
              <w:t>29</w:t>
            </w:r>
          </w:p>
        </w:tc>
        <w:tc>
          <w:tcPr>
            <w:tcW w:w="707" w:type="dxa"/>
            <w:shd w:val="clear" w:color="auto" w:fill="F1DCDB"/>
          </w:tcPr>
          <w:p>
            <w:pPr>
              <w:pStyle w:val="TableParagraph"/>
              <w:spacing w:line="149" w:lineRule="exact"/>
              <w:ind w:left="117" w:right="-1"/>
              <w:rPr>
                <w:sz w:val="13"/>
              </w:rPr>
            </w:pPr>
            <w:r>
              <w:rPr>
                <w:sz w:val="13"/>
              </w:rPr>
              <w:t>1 287</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088</w:t>
            </w:r>
          </w:p>
        </w:tc>
        <w:tc>
          <w:tcPr>
            <w:tcW w:w="1555" w:type="dxa"/>
          </w:tcPr>
          <w:p>
            <w:pPr>
              <w:pStyle w:val="TableParagraph"/>
              <w:spacing w:line="148" w:lineRule="exact"/>
              <w:ind w:left="19"/>
              <w:rPr>
                <w:sz w:val="13"/>
              </w:rPr>
            </w:pPr>
            <w:r>
              <w:rPr>
                <w:sz w:val="13"/>
              </w:rPr>
              <w:t>Tenancingo</w:t>
            </w:r>
          </w:p>
        </w:tc>
        <w:tc>
          <w:tcPr>
            <w:tcW w:w="1065" w:type="dxa"/>
          </w:tcPr>
          <w:p>
            <w:pPr>
              <w:pStyle w:val="TableParagraph"/>
              <w:spacing w:line="148" w:lineRule="exact"/>
              <w:ind w:right="257"/>
              <w:jc w:val="right"/>
              <w:rPr>
                <w:sz w:val="13"/>
              </w:rPr>
            </w:pPr>
            <w:r>
              <w:rPr>
                <w:sz w:val="13"/>
              </w:rPr>
              <w:t>90 946</w:t>
            </w:r>
          </w:p>
        </w:tc>
        <w:tc>
          <w:tcPr>
            <w:tcW w:w="923" w:type="dxa"/>
          </w:tcPr>
          <w:p>
            <w:pPr>
              <w:pStyle w:val="TableParagraph"/>
              <w:spacing w:line="148" w:lineRule="exact"/>
              <w:ind w:right="18"/>
              <w:jc w:val="right"/>
              <w:rPr>
                <w:sz w:val="13"/>
              </w:rPr>
            </w:pPr>
            <w:r>
              <w:rPr>
                <w:sz w:val="13"/>
              </w:rPr>
              <w:t>-0.69539</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19.815</w:t>
            </w:r>
          </w:p>
        </w:tc>
        <w:tc>
          <w:tcPr>
            <w:tcW w:w="707" w:type="dxa"/>
          </w:tcPr>
          <w:p>
            <w:pPr>
              <w:pStyle w:val="TableParagraph"/>
              <w:spacing w:line="148" w:lineRule="exact"/>
              <w:ind w:left="314" w:right="-1"/>
              <w:rPr>
                <w:sz w:val="13"/>
              </w:rPr>
            </w:pPr>
            <w:r>
              <w:rPr>
                <w:sz w:val="13"/>
              </w:rPr>
              <w:t>51</w:t>
            </w:r>
          </w:p>
        </w:tc>
        <w:tc>
          <w:tcPr>
            <w:tcW w:w="707" w:type="dxa"/>
          </w:tcPr>
          <w:p>
            <w:pPr>
              <w:pStyle w:val="TableParagraph"/>
              <w:spacing w:line="148" w:lineRule="exact"/>
              <w:ind w:left="117" w:right="-1"/>
              <w:rPr>
                <w:sz w:val="13"/>
              </w:rPr>
            </w:pPr>
            <w:r>
              <w:rPr>
                <w:sz w:val="13"/>
              </w:rPr>
              <w:t>1 790</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0" w:right="216"/>
              <w:jc w:val="center"/>
              <w:rPr>
                <w:sz w:val="13"/>
              </w:rPr>
            </w:pPr>
            <w:r>
              <w:rPr>
                <w:sz w:val="13"/>
              </w:rPr>
              <w:t>097</w:t>
            </w:r>
          </w:p>
        </w:tc>
        <w:tc>
          <w:tcPr>
            <w:tcW w:w="1555" w:type="dxa"/>
            <w:shd w:val="clear" w:color="auto" w:fill="F1DCDB"/>
          </w:tcPr>
          <w:p>
            <w:pPr>
              <w:pStyle w:val="TableParagraph"/>
              <w:spacing w:line="148" w:lineRule="exact"/>
              <w:ind w:left="19"/>
              <w:rPr>
                <w:sz w:val="13"/>
              </w:rPr>
            </w:pPr>
            <w:r>
              <w:rPr>
                <w:sz w:val="13"/>
              </w:rPr>
              <w:t>Texcaltitlán</w:t>
            </w:r>
          </w:p>
        </w:tc>
        <w:tc>
          <w:tcPr>
            <w:tcW w:w="1065" w:type="dxa"/>
            <w:shd w:val="clear" w:color="auto" w:fill="F1DCDB"/>
          </w:tcPr>
          <w:p>
            <w:pPr>
              <w:pStyle w:val="TableParagraph"/>
              <w:spacing w:line="148" w:lineRule="exact"/>
              <w:ind w:right="257"/>
              <w:jc w:val="right"/>
              <w:rPr>
                <w:sz w:val="13"/>
              </w:rPr>
            </w:pPr>
            <w:r>
              <w:rPr>
                <w:sz w:val="13"/>
              </w:rPr>
              <w:t>17 390</w:t>
            </w:r>
          </w:p>
        </w:tc>
        <w:tc>
          <w:tcPr>
            <w:tcW w:w="923" w:type="dxa"/>
            <w:shd w:val="clear" w:color="auto" w:fill="F1DCDB"/>
          </w:tcPr>
          <w:p>
            <w:pPr>
              <w:pStyle w:val="TableParagraph"/>
              <w:spacing w:line="148" w:lineRule="exact"/>
              <w:ind w:right="23"/>
              <w:jc w:val="right"/>
              <w:rPr>
                <w:sz w:val="13"/>
              </w:rPr>
            </w:pPr>
            <w:r>
              <w:rPr>
                <w:sz w:val="13"/>
              </w:rPr>
              <w:t>0.20606</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30.001</w:t>
            </w:r>
          </w:p>
        </w:tc>
        <w:tc>
          <w:tcPr>
            <w:tcW w:w="707" w:type="dxa"/>
            <w:shd w:val="clear" w:color="auto" w:fill="F1DCDB"/>
          </w:tcPr>
          <w:p>
            <w:pPr>
              <w:pStyle w:val="TableParagraph"/>
              <w:spacing w:line="148" w:lineRule="exact"/>
              <w:ind w:left="314" w:right="-1"/>
              <w:rPr>
                <w:sz w:val="13"/>
              </w:rPr>
            </w:pPr>
            <w:r>
              <w:rPr>
                <w:sz w:val="13"/>
              </w:rPr>
              <w:t>19</w:t>
            </w:r>
          </w:p>
        </w:tc>
        <w:tc>
          <w:tcPr>
            <w:tcW w:w="707" w:type="dxa"/>
            <w:shd w:val="clear" w:color="auto" w:fill="F1DCDB"/>
          </w:tcPr>
          <w:p>
            <w:pPr>
              <w:pStyle w:val="TableParagraph"/>
              <w:spacing w:line="148" w:lineRule="exact"/>
              <w:ind w:left="117" w:right="-1"/>
              <w:rPr>
                <w:sz w:val="13"/>
              </w:rPr>
            </w:pPr>
            <w:r>
              <w:rPr>
                <w:sz w:val="13"/>
              </w:rPr>
              <w:t>1 005</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0" w:right="216"/>
              <w:jc w:val="center"/>
              <w:rPr>
                <w:sz w:val="13"/>
              </w:rPr>
            </w:pPr>
            <w:r>
              <w:rPr>
                <w:sz w:val="13"/>
              </w:rPr>
              <w:t>102</w:t>
            </w:r>
          </w:p>
        </w:tc>
        <w:tc>
          <w:tcPr>
            <w:tcW w:w="1555" w:type="dxa"/>
          </w:tcPr>
          <w:p>
            <w:pPr>
              <w:pStyle w:val="TableParagraph"/>
              <w:spacing w:line="148" w:lineRule="exact"/>
              <w:ind w:left="19"/>
              <w:rPr>
                <w:sz w:val="13"/>
              </w:rPr>
            </w:pPr>
            <w:r>
              <w:rPr>
                <w:sz w:val="13"/>
              </w:rPr>
              <w:t>Timilpan</w:t>
            </w:r>
          </w:p>
        </w:tc>
        <w:tc>
          <w:tcPr>
            <w:tcW w:w="1065" w:type="dxa"/>
          </w:tcPr>
          <w:p>
            <w:pPr>
              <w:pStyle w:val="TableParagraph"/>
              <w:spacing w:line="148" w:lineRule="exact"/>
              <w:ind w:right="257"/>
              <w:jc w:val="right"/>
              <w:rPr>
                <w:sz w:val="13"/>
              </w:rPr>
            </w:pPr>
            <w:r>
              <w:rPr>
                <w:sz w:val="13"/>
              </w:rPr>
              <w:t>15 391</w:t>
            </w:r>
          </w:p>
        </w:tc>
        <w:tc>
          <w:tcPr>
            <w:tcW w:w="923" w:type="dxa"/>
          </w:tcPr>
          <w:p>
            <w:pPr>
              <w:pStyle w:val="TableParagraph"/>
              <w:spacing w:line="148" w:lineRule="exact"/>
              <w:ind w:right="18"/>
              <w:jc w:val="right"/>
              <w:rPr>
                <w:sz w:val="13"/>
              </w:rPr>
            </w:pPr>
            <w:r>
              <w:rPr>
                <w:sz w:val="13"/>
              </w:rPr>
              <w:t>-0.25479</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24.793</w:t>
            </w:r>
          </w:p>
        </w:tc>
        <w:tc>
          <w:tcPr>
            <w:tcW w:w="707" w:type="dxa"/>
          </w:tcPr>
          <w:p>
            <w:pPr>
              <w:pStyle w:val="TableParagraph"/>
              <w:spacing w:line="148" w:lineRule="exact"/>
              <w:ind w:left="314" w:right="-1"/>
              <w:rPr>
                <w:sz w:val="13"/>
              </w:rPr>
            </w:pPr>
            <w:r>
              <w:rPr>
                <w:sz w:val="13"/>
              </w:rPr>
              <w:t>35</w:t>
            </w:r>
          </w:p>
        </w:tc>
        <w:tc>
          <w:tcPr>
            <w:tcW w:w="707" w:type="dxa"/>
          </w:tcPr>
          <w:p>
            <w:pPr>
              <w:pStyle w:val="TableParagraph"/>
              <w:spacing w:line="148" w:lineRule="exact"/>
              <w:ind w:left="117" w:right="-1"/>
              <w:rPr>
                <w:sz w:val="13"/>
              </w:rPr>
            </w:pPr>
            <w:r>
              <w:rPr>
                <w:sz w:val="13"/>
              </w:rPr>
              <w:t>1 420</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2" w:right="214"/>
              <w:jc w:val="center"/>
              <w:rPr>
                <w:sz w:val="13"/>
              </w:rPr>
            </w:pPr>
            <w:r>
              <w:rPr>
                <w:sz w:val="13"/>
              </w:rPr>
              <w:t>112</w:t>
            </w:r>
          </w:p>
        </w:tc>
        <w:tc>
          <w:tcPr>
            <w:tcW w:w="1555" w:type="dxa"/>
            <w:shd w:val="clear" w:color="auto" w:fill="F1DCDB"/>
          </w:tcPr>
          <w:p>
            <w:pPr>
              <w:pStyle w:val="TableParagraph"/>
              <w:spacing w:line="148" w:lineRule="exact"/>
              <w:ind w:left="19"/>
              <w:rPr>
                <w:sz w:val="13"/>
              </w:rPr>
            </w:pPr>
            <w:r>
              <w:rPr>
                <w:sz w:val="13"/>
              </w:rPr>
              <w:t>Villa del Carbón</w:t>
            </w:r>
          </w:p>
        </w:tc>
        <w:tc>
          <w:tcPr>
            <w:tcW w:w="1065" w:type="dxa"/>
            <w:shd w:val="clear" w:color="auto" w:fill="F1DCDB"/>
          </w:tcPr>
          <w:p>
            <w:pPr>
              <w:pStyle w:val="TableParagraph"/>
              <w:spacing w:line="148" w:lineRule="exact"/>
              <w:ind w:right="257"/>
              <w:jc w:val="right"/>
              <w:rPr>
                <w:sz w:val="13"/>
              </w:rPr>
            </w:pPr>
            <w:r>
              <w:rPr>
                <w:sz w:val="13"/>
              </w:rPr>
              <w:t>44 881</w:t>
            </w:r>
          </w:p>
        </w:tc>
        <w:tc>
          <w:tcPr>
            <w:tcW w:w="923" w:type="dxa"/>
            <w:shd w:val="clear" w:color="auto" w:fill="F1DCDB"/>
          </w:tcPr>
          <w:p>
            <w:pPr>
              <w:pStyle w:val="TableParagraph"/>
              <w:spacing w:line="148" w:lineRule="exact"/>
              <w:ind w:right="18"/>
              <w:jc w:val="right"/>
              <w:rPr>
                <w:sz w:val="13"/>
              </w:rPr>
            </w:pPr>
            <w:r>
              <w:rPr>
                <w:sz w:val="13"/>
              </w:rPr>
              <w:t>-0.06052</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26.989</w:t>
            </w:r>
          </w:p>
        </w:tc>
        <w:tc>
          <w:tcPr>
            <w:tcW w:w="707" w:type="dxa"/>
            <w:shd w:val="clear" w:color="auto" w:fill="F1DCDB"/>
          </w:tcPr>
          <w:p>
            <w:pPr>
              <w:pStyle w:val="TableParagraph"/>
              <w:spacing w:line="148" w:lineRule="exact"/>
              <w:ind w:left="314" w:right="-1"/>
              <w:rPr>
                <w:sz w:val="13"/>
              </w:rPr>
            </w:pPr>
            <w:r>
              <w:rPr>
                <w:sz w:val="13"/>
              </w:rPr>
              <w:t>27</w:t>
            </w:r>
          </w:p>
        </w:tc>
        <w:tc>
          <w:tcPr>
            <w:tcW w:w="707" w:type="dxa"/>
            <w:shd w:val="clear" w:color="auto" w:fill="F1DCDB"/>
          </w:tcPr>
          <w:p>
            <w:pPr>
              <w:pStyle w:val="TableParagraph"/>
              <w:spacing w:line="148" w:lineRule="exact"/>
              <w:ind w:left="117" w:right="-1"/>
              <w:rPr>
                <w:sz w:val="13"/>
              </w:rPr>
            </w:pPr>
            <w:r>
              <w:rPr>
                <w:sz w:val="13"/>
              </w:rPr>
              <w:t>1 246</w:t>
            </w:r>
          </w:p>
        </w:tc>
      </w:tr>
      <w:tr>
        <w:trPr>
          <w:trHeight w:val="164" w:hRule="exact"/>
        </w:trPr>
        <w:tc>
          <w:tcPr>
            <w:tcW w:w="707" w:type="dxa"/>
          </w:tcPr>
          <w:p>
            <w:pPr>
              <w:pStyle w:val="TableParagraph"/>
              <w:spacing w:line="148" w:lineRule="exact"/>
              <w:ind w:right="272"/>
              <w:jc w:val="right"/>
              <w:rPr>
                <w:sz w:val="13"/>
              </w:rPr>
            </w:pPr>
            <w:r>
              <w:rPr>
                <w:sz w:val="13"/>
              </w:rPr>
              <w:t>15</w:t>
            </w:r>
          </w:p>
        </w:tc>
        <w:tc>
          <w:tcPr>
            <w:tcW w:w="707" w:type="dxa"/>
          </w:tcPr>
          <w:p>
            <w:pPr>
              <w:pStyle w:val="TableParagraph"/>
              <w:spacing w:line="148" w:lineRule="exact"/>
              <w:ind w:left="222" w:right="214"/>
              <w:jc w:val="center"/>
              <w:rPr>
                <w:sz w:val="13"/>
              </w:rPr>
            </w:pPr>
            <w:r>
              <w:rPr>
                <w:sz w:val="13"/>
              </w:rPr>
              <w:t>113</w:t>
            </w:r>
          </w:p>
        </w:tc>
        <w:tc>
          <w:tcPr>
            <w:tcW w:w="1555" w:type="dxa"/>
          </w:tcPr>
          <w:p>
            <w:pPr>
              <w:pStyle w:val="TableParagraph"/>
              <w:spacing w:line="148" w:lineRule="exact"/>
              <w:ind w:left="19"/>
              <w:rPr>
                <w:sz w:val="13"/>
              </w:rPr>
            </w:pPr>
            <w:r>
              <w:rPr>
                <w:sz w:val="13"/>
              </w:rPr>
              <w:t>Villa Guerrero</w:t>
            </w:r>
          </w:p>
        </w:tc>
        <w:tc>
          <w:tcPr>
            <w:tcW w:w="1065" w:type="dxa"/>
          </w:tcPr>
          <w:p>
            <w:pPr>
              <w:pStyle w:val="TableParagraph"/>
              <w:spacing w:line="148" w:lineRule="exact"/>
              <w:ind w:right="257"/>
              <w:jc w:val="right"/>
              <w:rPr>
                <w:sz w:val="13"/>
              </w:rPr>
            </w:pPr>
            <w:r>
              <w:rPr>
                <w:sz w:val="13"/>
              </w:rPr>
              <w:t>59 991</w:t>
            </w:r>
          </w:p>
        </w:tc>
        <w:tc>
          <w:tcPr>
            <w:tcW w:w="923" w:type="dxa"/>
          </w:tcPr>
          <w:p>
            <w:pPr>
              <w:pStyle w:val="TableParagraph"/>
              <w:spacing w:line="148" w:lineRule="exact"/>
              <w:ind w:right="18"/>
              <w:jc w:val="right"/>
              <w:rPr>
                <w:sz w:val="13"/>
              </w:rPr>
            </w:pPr>
            <w:r>
              <w:rPr>
                <w:sz w:val="13"/>
              </w:rPr>
              <w:t>-0.15245</w:t>
            </w:r>
          </w:p>
        </w:tc>
        <w:tc>
          <w:tcPr>
            <w:tcW w:w="848" w:type="dxa"/>
          </w:tcPr>
          <w:p>
            <w:pPr>
              <w:pStyle w:val="TableParagraph"/>
              <w:spacing w:line="148" w:lineRule="exact"/>
              <w:ind w:left="245" w:right="10"/>
              <w:rPr>
                <w:sz w:val="13"/>
              </w:rPr>
            </w:pPr>
            <w:r>
              <w:rPr>
                <w:sz w:val="13"/>
              </w:rPr>
              <w:t>Medio</w:t>
            </w:r>
          </w:p>
        </w:tc>
        <w:tc>
          <w:tcPr>
            <w:tcW w:w="892" w:type="dxa"/>
          </w:tcPr>
          <w:p>
            <w:pPr>
              <w:pStyle w:val="TableParagraph"/>
              <w:spacing w:line="148" w:lineRule="exact"/>
              <w:ind w:left="230" w:right="-2"/>
              <w:rPr>
                <w:sz w:val="13"/>
              </w:rPr>
            </w:pPr>
            <w:r>
              <w:rPr>
                <w:sz w:val="13"/>
              </w:rPr>
              <w:t>25.950</w:t>
            </w:r>
          </w:p>
        </w:tc>
        <w:tc>
          <w:tcPr>
            <w:tcW w:w="707" w:type="dxa"/>
          </w:tcPr>
          <w:p>
            <w:pPr>
              <w:pStyle w:val="TableParagraph"/>
              <w:spacing w:line="148" w:lineRule="exact"/>
              <w:ind w:left="314" w:right="-1"/>
              <w:rPr>
                <w:sz w:val="13"/>
              </w:rPr>
            </w:pPr>
            <w:r>
              <w:rPr>
                <w:sz w:val="13"/>
              </w:rPr>
              <w:t>31</w:t>
            </w:r>
          </w:p>
        </w:tc>
        <w:tc>
          <w:tcPr>
            <w:tcW w:w="707" w:type="dxa"/>
          </w:tcPr>
          <w:p>
            <w:pPr>
              <w:pStyle w:val="TableParagraph"/>
              <w:spacing w:line="148" w:lineRule="exact"/>
              <w:ind w:left="117" w:right="-1"/>
              <w:rPr>
                <w:sz w:val="13"/>
              </w:rPr>
            </w:pPr>
            <w:r>
              <w:rPr>
                <w:sz w:val="13"/>
              </w:rPr>
              <w:t>1 324</w:t>
            </w:r>
          </w:p>
        </w:tc>
      </w:tr>
      <w:tr>
        <w:trPr>
          <w:trHeight w:val="164" w:hRule="exact"/>
        </w:trPr>
        <w:tc>
          <w:tcPr>
            <w:tcW w:w="707" w:type="dxa"/>
            <w:shd w:val="clear" w:color="auto" w:fill="F1DCDB"/>
          </w:tcPr>
          <w:p>
            <w:pPr>
              <w:pStyle w:val="TableParagraph"/>
              <w:spacing w:line="148" w:lineRule="exact"/>
              <w:ind w:right="272"/>
              <w:jc w:val="right"/>
              <w:rPr>
                <w:sz w:val="13"/>
              </w:rPr>
            </w:pPr>
            <w:r>
              <w:rPr>
                <w:sz w:val="13"/>
              </w:rPr>
              <w:t>15</w:t>
            </w:r>
          </w:p>
        </w:tc>
        <w:tc>
          <w:tcPr>
            <w:tcW w:w="707" w:type="dxa"/>
            <w:shd w:val="clear" w:color="auto" w:fill="F1DCDB"/>
          </w:tcPr>
          <w:p>
            <w:pPr>
              <w:pStyle w:val="TableParagraph"/>
              <w:spacing w:line="148" w:lineRule="exact"/>
              <w:ind w:left="222" w:right="214"/>
              <w:jc w:val="center"/>
              <w:rPr>
                <w:sz w:val="13"/>
              </w:rPr>
            </w:pPr>
            <w:r>
              <w:rPr>
                <w:sz w:val="13"/>
              </w:rPr>
              <w:t>116</w:t>
            </w:r>
          </w:p>
        </w:tc>
        <w:tc>
          <w:tcPr>
            <w:tcW w:w="1555" w:type="dxa"/>
            <w:shd w:val="clear" w:color="auto" w:fill="F1DCDB"/>
          </w:tcPr>
          <w:p>
            <w:pPr>
              <w:pStyle w:val="TableParagraph"/>
              <w:spacing w:line="148" w:lineRule="exact"/>
              <w:ind w:left="19"/>
              <w:rPr>
                <w:sz w:val="13"/>
              </w:rPr>
            </w:pPr>
            <w:r>
              <w:rPr>
                <w:sz w:val="13"/>
              </w:rPr>
              <w:t>Zacazonapan</w:t>
            </w:r>
          </w:p>
        </w:tc>
        <w:tc>
          <w:tcPr>
            <w:tcW w:w="1065" w:type="dxa"/>
            <w:shd w:val="clear" w:color="auto" w:fill="F1DCDB"/>
          </w:tcPr>
          <w:p>
            <w:pPr>
              <w:pStyle w:val="TableParagraph"/>
              <w:spacing w:line="148" w:lineRule="exact"/>
              <w:ind w:right="256"/>
              <w:jc w:val="right"/>
              <w:rPr>
                <w:sz w:val="13"/>
              </w:rPr>
            </w:pPr>
            <w:r>
              <w:rPr>
                <w:sz w:val="13"/>
              </w:rPr>
              <w:t>4 051</w:t>
            </w:r>
          </w:p>
        </w:tc>
        <w:tc>
          <w:tcPr>
            <w:tcW w:w="923" w:type="dxa"/>
            <w:shd w:val="clear" w:color="auto" w:fill="F1DCDB"/>
          </w:tcPr>
          <w:p>
            <w:pPr>
              <w:pStyle w:val="TableParagraph"/>
              <w:spacing w:line="148" w:lineRule="exact"/>
              <w:ind w:right="18"/>
              <w:jc w:val="right"/>
              <w:rPr>
                <w:sz w:val="13"/>
              </w:rPr>
            </w:pPr>
            <w:r>
              <w:rPr>
                <w:sz w:val="13"/>
              </w:rPr>
              <w:t>-0.36507</w:t>
            </w:r>
          </w:p>
        </w:tc>
        <w:tc>
          <w:tcPr>
            <w:tcW w:w="848" w:type="dxa"/>
            <w:shd w:val="clear" w:color="auto" w:fill="F1DCDB"/>
          </w:tcPr>
          <w:p>
            <w:pPr>
              <w:pStyle w:val="TableParagraph"/>
              <w:spacing w:line="148" w:lineRule="exact"/>
              <w:ind w:left="245" w:right="10"/>
              <w:rPr>
                <w:sz w:val="13"/>
              </w:rPr>
            </w:pPr>
            <w:r>
              <w:rPr>
                <w:sz w:val="13"/>
              </w:rPr>
              <w:t>Medio</w:t>
            </w:r>
          </w:p>
        </w:tc>
        <w:tc>
          <w:tcPr>
            <w:tcW w:w="892" w:type="dxa"/>
            <w:shd w:val="clear" w:color="auto" w:fill="F1DCDB"/>
          </w:tcPr>
          <w:p>
            <w:pPr>
              <w:pStyle w:val="TableParagraph"/>
              <w:spacing w:line="148" w:lineRule="exact"/>
              <w:ind w:left="230" w:right="-2"/>
              <w:rPr>
                <w:sz w:val="13"/>
              </w:rPr>
            </w:pPr>
            <w:r>
              <w:rPr>
                <w:sz w:val="13"/>
              </w:rPr>
              <w:t>23.547</w:t>
            </w:r>
          </w:p>
        </w:tc>
        <w:tc>
          <w:tcPr>
            <w:tcW w:w="707" w:type="dxa"/>
            <w:shd w:val="clear" w:color="auto" w:fill="F1DCDB"/>
          </w:tcPr>
          <w:p>
            <w:pPr>
              <w:pStyle w:val="TableParagraph"/>
              <w:spacing w:line="148" w:lineRule="exact"/>
              <w:ind w:left="314" w:right="-1"/>
              <w:rPr>
                <w:sz w:val="13"/>
              </w:rPr>
            </w:pPr>
            <w:r>
              <w:rPr>
                <w:sz w:val="13"/>
              </w:rPr>
              <w:t>41</w:t>
            </w:r>
          </w:p>
        </w:tc>
        <w:tc>
          <w:tcPr>
            <w:tcW w:w="707" w:type="dxa"/>
            <w:shd w:val="clear" w:color="auto" w:fill="F1DCDB"/>
          </w:tcPr>
          <w:p>
            <w:pPr>
              <w:pStyle w:val="TableParagraph"/>
              <w:spacing w:line="148" w:lineRule="exact"/>
              <w:ind w:left="127" w:right="-1"/>
              <w:rPr>
                <w:sz w:val="13"/>
              </w:rPr>
            </w:pPr>
            <w:r>
              <w:rPr>
                <w:sz w:val="13"/>
              </w:rPr>
              <w:t>1 511</w:t>
            </w:r>
          </w:p>
        </w:tc>
      </w:tr>
    </w:tbl>
    <w:p>
      <w:pPr>
        <w:spacing w:after="0" w:line="148" w:lineRule="exact"/>
        <w:rPr>
          <w:sz w:val="13"/>
        </w:rPr>
        <w:sectPr>
          <w:footerReference w:type="default" r:id="rId62"/>
          <w:pgSz w:w="15840" w:h="12240" w:orient="landscape"/>
          <w:pgMar w:footer="992" w:header="0" w:top="1140" w:bottom="1180" w:left="2260" w:right="2260"/>
          <w:pgNumType w:start="211"/>
        </w:sectPr>
      </w:pPr>
    </w:p>
    <w:p>
      <w:pPr>
        <w:pStyle w:val="BodyText"/>
        <w:rPr>
          <w:sz w:val="20"/>
        </w:rPr>
      </w:pPr>
    </w:p>
    <w:p>
      <w:pPr>
        <w:pStyle w:val="BodyText"/>
        <w:rPr>
          <w:sz w:val="20"/>
        </w:rPr>
      </w:pPr>
    </w:p>
    <w:p>
      <w:pPr>
        <w:pStyle w:val="BodyText"/>
        <w:rPr>
          <w:sz w:val="20"/>
        </w:rPr>
      </w:pPr>
    </w:p>
    <w:p>
      <w:pPr>
        <w:pStyle w:val="BodyText"/>
        <w:spacing w:before="5"/>
        <w:rPr>
          <w:sz w:val="21"/>
        </w:rPr>
      </w:pPr>
    </w:p>
    <w:p>
      <w:pPr>
        <w:spacing w:line="177" w:lineRule="exact" w:before="74"/>
        <w:ind w:left="1642" w:right="1340" w:firstLine="0"/>
        <w:jc w:val="left"/>
        <w:rPr>
          <w:sz w:val="20"/>
        </w:rPr>
      </w:pPr>
      <w:r>
        <w:rPr>
          <w:b/>
          <w:sz w:val="20"/>
        </w:rPr>
        <w:t>Fuente</w:t>
      </w:r>
      <w:r>
        <w:rPr>
          <w:sz w:val="20"/>
        </w:rPr>
        <w:t>: Estimaciones del CONEVAL con base en el Censo de Población y Vivienda 2010.</w:t>
      </w:r>
    </w:p>
    <w:p>
      <w:pPr>
        <w:pStyle w:val="BodyText"/>
        <w:spacing w:line="223" w:lineRule="exact"/>
        <w:ind w:left="2422" w:right="1340"/>
      </w:pPr>
      <w:r>
        <w:rPr/>
        <w:t>Anexo 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before="85" w:after="8"/>
        <w:ind w:left="3341" w:right="1340" w:firstLine="0"/>
        <w:jc w:val="left"/>
        <w:rPr>
          <w:b/>
          <w:sz w:val="15"/>
        </w:rPr>
      </w:pPr>
      <w:r>
        <w:rPr>
          <w:b/>
          <w:w w:val="105"/>
          <w:sz w:val="15"/>
        </w:rPr>
        <w:t>Marginación. Municipios del Estado de México en Grado Muy Alto</w:t>
      </w:r>
    </w:p>
    <w:p>
      <w:pPr>
        <w:pStyle w:val="BodyText"/>
        <w:spacing w:line="20" w:lineRule="exact"/>
        <w:ind w:left="1308"/>
        <w:rPr>
          <w:sz w:val="2"/>
        </w:rPr>
      </w:pPr>
      <w:r>
        <w:rPr>
          <w:sz w:val="2"/>
        </w:rPr>
        <w:pict>
          <v:group style="width:445.2pt;height:.6pt;mso-position-horizontal-relative:char;mso-position-vertical-relative:line" coordorigin="0,0" coordsize="8904,12">
            <v:shape style="position:absolute;left:6;top:6;width:8892;height:2" coordorigin="6,6" coordsize="8892,0" path="m6,6l6,6,8897,6e" filled="false" stroked="true" strokeweight=".576531pt" strokecolor="#000000">
              <v:path arrowok="t"/>
            </v:shape>
          </v:group>
        </w:pict>
      </w:r>
      <w:r>
        <w:rPr>
          <w:sz w:val="2"/>
        </w:rPr>
      </w:r>
    </w:p>
    <w:p>
      <w:pPr>
        <w:pStyle w:val="BodyText"/>
        <w:rPr>
          <w:b/>
          <w:sz w:val="20"/>
        </w:rPr>
      </w:pPr>
    </w:p>
    <w:p>
      <w:pPr>
        <w:pStyle w:val="BodyText"/>
        <w:spacing w:before="2"/>
        <w:rPr>
          <w:b/>
          <w:sz w:val="12"/>
        </w:rPr>
      </w:pPr>
    </w:p>
    <w:tbl>
      <w:tblPr>
        <w:tblW w:w="0" w:type="auto"/>
        <w:jc w:val="left"/>
        <w:tblInd w:w="130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40"/>
        <w:gridCol w:w="840"/>
        <w:gridCol w:w="917"/>
        <w:gridCol w:w="1574"/>
        <w:gridCol w:w="1048"/>
        <w:gridCol w:w="1020"/>
        <w:gridCol w:w="969"/>
        <w:gridCol w:w="840"/>
        <w:gridCol w:w="841"/>
      </w:tblGrid>
      <w:tr>
        <w:trPr>
          <w:trHeight w:val="1172" w:hRule="exact"/>
        </w:trPr>
        <w:tc>
          <w:tcPr>
            <w:tcW w:w="840" w:type="dxa"/>
          </w:tcPr>
          <w:p>
            <w:pPr>
              <w:pStyle w:val="TableParagraph"/>
              <w:spacing w:line="271" w:lineRule="auto" w:before="2"/>
              <w:ind w:left="53" w:right="20" w:firstLine="46"/>
              <w:rPr>
                <w:b/>
                <w:sz w:val="15"/>
              </w:rPr>
            </w:pPr>
            <w:r>
              <w:rPr>
                <w:b/>
                <w:w w:val="105"/>
                <w:sz w:val="15"/>
              </w:rPr>
              <w:t>Clave de la entidad </w:t>
            </w:r>
            <w:r>
              <w:rPr>
                <w:b/>
                <w:sz w:val="15"/>
              </w:rPr>
              <w:t>federativa</w:t>
            </w:r>
          </w:p>
        </w:tc>
        <w:tc>
          <w:tcPr>
            <w:tcW w:w="840" w:type="dxa"/>
          </w:tcPr>
          <w:p>
            <w:pPr>
              <w:pStyle w:val="TableParagraph"/>
              <w:spacing w:line="271" w:lineRule="auto" w:before="2"/>
              <w:ind w:left="52" w:right="39" w:firstLine="26"/>
              <w:rPr>
                <w:b/>
                <w:sz w:val="15"/>
              </w:rPr>
            </w:pPr>
            <w:r>
              <w:rPr>
                <w:b/>
                <w:w w:val="105"/>
                <w:sz w:val="15"/>
              </w:rPr>
              <w:t>Clave del </w:t>
            </w:r>
            <w:r>
              <w:rPr>
                <w:b/>
                <w:sz w:val="15"/>
              </w:rPr>
              <w:t>municipio</w:t>
            </w:r>
          </w:p>
        </w:tc>
        <w:tc>
          <w:tcPr>
            <w:tcW w:w="917" w:type="dxa"/>
          </w:tcPr>
          <w:p>
            <w:pPr>
              <w:pStyle w:val="TableParagraph"/>
              <w:rPr>
                <w:b/>
                <w:sz w:val="16"/>
              </w:rPr>
            </w:pPr>
          </w:p>
          <w:p>
            <w:pPr>
              <w:pStyle w:val="TableParagraph"/>
              <w:rPr>
                <w:b/>
                <w:sz w:val="16"/>
              </w:rPr>
            </w:pPr>
          </w:p>
          <w:p>
            <w:pPr>
              <w:pStyle w:val="TableParagraph"/>
              <w:spacing w:before="122"/>
              <w:ind w:left="97"/>
              <w:rPr>
                <w:b/>
                <w:sz w:val="15"/>
              </w:rPr>
            </w:pPr>
            <w:r>
              <w:rPr>
                <w:b/>
                <w:w w:val="105"/>
                <w:sz w:val="15"/>
              </w:rPr>
              <w:t>Municipio</w:t>
            </w:r>
          </w:p>
        </w:tc>
        <w:tc>
          <w:tcPr>
            <w:tcW w:w="1574" w:type="dxa"/>
          </w:tcPr>
          <w:p>
            <w:pPr>
              <w:pStyle w:val="TableParagraph"/>
              <w:spacing w:line="271" w:lineRule="auto" w:before="2"/>
              <w:ind w:left="622" w:right="118" w:hanging="208"/>
              <w:rPr>
                <w:b/>
                <w:sz w:val="15"/>
              </w:rPr>
            </w:pPr>
            <w:r>
              <w:rPr>
                <w:b/>
                <w:sz w:val="15"/>
              </w:rPr>
              <w:t>Población </w:t>
            </w:r>
            <w:r>
              <w:rPr>
                <w:b/>
                <w:w w:val="105"/>
                <w:sz w:val="15"/>
              </w:rPr>
              <w:t>total</w:t>
            </w:r>
          </w:p>
        </w:tc>
        <w:tc>
          <w:tcPr>
            <w:tcW w:w="1048" w:type="dxa"/>
          </w:tcPr>
          <w:p>
            <w:pPr>
              <w:pStyle w:val="TableParagraph"/>
              <w:spacing w:line="271" w:lineRule="auto" w:before="2"/>
              <w:ind w:left="62" w:firstLine="124"/>
              <w:rPr>
                <w:b/>
                <w:sz w:val="15"/>
              </w:rPr>
            </w:pPr>
            <w:r>
              <w:rPr>
                <w:b/>
                <w:w w:val="105"/>
                <w:sz w:val="15"/>
              </w:rPr>
              <w:t>Índice de </w:t>
            </w:r>
            <w:r>
              <w:rPr>
                <w:b/>
                <w:sz w:val="15"/>
              </w:rPr>
              <w:t>marginación</w:t>
            </w:r>
          </w:p>
        </w:tc>
        <w:tc>
          <w:tcPr>
            <w:tcW w:w="1020" w:type="dxa"/>
          </w:tcPr>
          <w:p>
            <w:pPr>
              <w:pStyle w:val="TableParagraph"/>
              <w:spacing w:line="271" w:lineRule="auto" w:before="2"/>
              <w:ind w:left="48" w:firstLine="120"/>
              <w:rPr>
                <w:b/>
                <w:sz w:val="15"/>
              </w:rPr>
            </w:pPr>
            <w:r>
              <w:rPr>
                <w:b/>
                <w:w w:val="105"/>
                <w:sz w:val="15"/>
              </w:rPr>
              <w:t>Grado de </w:t>
            </w:r>
            <w:r>
              <w:rPr>
                <w:b/>
                <w:sz w:val="15"/>
              </w:rPr>
              <w:t>marginación</w:t>
            </w:r>
          </w:p>
        </w:tc>
        <w:tc>
          <w:tcPr>
            <w:tcW w:w="969" w:type="dxa"/>
          </w:tcPr>
          <w:p>
            <w:pPr>
              <w:pStyle w:val="TableParagraph"/>
              <w:spacing w:line="271" w:lineRule="auto" w:before="2"/>
              <w:ind w:left="21" w:right="20" w:firstLine="1"/>
              <w:jc w:val="center"/>
              <w:rPr>
                <w:b/>
                <w:sz w:val="15"/>
              </w:rPr>
            </w:pPr>
            <w:r>
              <w:rPr>
                <w:b/>
                <w:w w:val="105"/>
                <w:sz w:val="15"/>
              </w:rPr>
              <w:t>Índice de </w:t>
            </w:r>
            <w:r>
              <w:rPr>
                <w:b/>
                <w:sz w:val="15"/>
              </w:rPr>
              <w:t>marginación </w:t>
            </w:r>
            <w:r>
              <w:rPr>
                <w:b/>
                <w:w w:val="105"/>
                <w:sz w:val="15"/>
              </w:rPr>
              <w:t>escala</w:t>
            </w:r>
          </w:p>
          <w:p>
            <w:pPr>
              <w:pStyle w:val="TableParagraph"/>
              <w:ind w:left="196" w:right="196"/>
              <w:jc w:val="center"/>
              <w:rPr>
                <w:b/>
                <w:sz w:val="15"/>
              </w:rPr>
            </w:pPr>
            <w:r>
              <w:rPr>
                <w:b/>
                <w:w w:val="105"/>
                <w:sz w:val="15"/>
              </w:rPr>
              <w:t>0 a 100</w:t>
            </w:r>
          </w:p>
        </w:tc>
        <w:tc>
          <w:tcPr>
            <w:tcW w:w="840" w:type="dxa"/>
          </w:tcPr>
          <w:p>
            <w:pPr>
              <w:pStyle w:val="TableParagraph"/>
              <w:spacing w:line="271" w:lineRule="auto" w:before="2"/>
              <w:ind w:left="29" w:right="23"/>
              <w:jc w:val="center"/>
              <w:rPr>
                <w:b/>
                <w:sz w:val="15"/>
              </w:rPr>
            </w:pPr>
            <w:r>
              <w:rPr>
                <w:b/>
                <w:w w:val="105"/>
                <w:sz w:val="15"/>
              </w:rPr>
              <w:t>Lugar que</w:t>
            </w:r>
            <w:r>
              <w:rPr>
                <w:b/>
                <w:w w:val="103"/>
                <w:sz w:val="15"/>
              </w:rPr>
              <w:t> </w:t>
            </w:r>
            <w:r>
              <w:rPr>
                <w:b/>
                <w:w w:val="105"/>
                <w:sz w:val="15"/>
              </w:rPr>
              <w:t>ocupa en el     contexto estatal</w:t>
            </w:r>
          </w:p>
        </w:tc>
        <w:tc>
          <w:tcPr>
            <w:tcW w:w="841" w:type="dxa"/>
          </w:tcPr>
          <w:p>
            <w:pPr>
              <w:pStyle w:val="TableParagraph"/>
              <w:spacing w:line="271" w:lineRule="auto" w:before="2"/>
              <w:ind w:left="29" w:right="24"/>
              <w:jc w:val="center"/>
              <w:rPr>
                <w:b/>
                <w:sz w:val="15"/>
              </w:rPr>
            </w:pPr>
            <w:r>
              <w:rPr>
                <w:b/>
                <w:w w:val="105"/>
                <w:sz w:val="15"/>
              </w:rPr>
              <w:t>Lugar que</w:t>
            </w:r>
            <w:r>
              <w:rPr>
                <w:b/>
                <w:w w:val="103"/>
                <w:sz w:val="15"/>
              </w:rPr>
              <w:t> </w:t>
            </w:r>
            <w:r>
              <w:rPr>
                <w:b/>
                <w:w w:val="105"/>
                <w:sz w:val="15"/>
              </w:rPr>
              <w:t>ocupa en el     contexto nacional</w:t>
            </w:r>
          </w:p>
        </w:tc>
      </w:tr>
      <w:tr>
        <w:trPr>
          <w:trHeight w:val="195" w:hRule="exact"/>
        </w:trPr>
        <w:tc>
          <w:tcPr>
            <w:tcW w:w="840" w:type="dxa"/>
          </w:tcPr>
          <w:p>
            <w:pPr/>
          </w:p>
        </w:tc>
        <w:tc>
          <w:tcPr>
            <w:tcW w:w="840" w:type="dxa"/>
          </w:tcPr>
          <w:p>
            <w:pPr/>
          </w:p>
        </w:tc>
        <w:tc>
          <w:tcPr>
            <w:tcW w:w="917" w:type="dxa"/>
          </w:tcPr>
          <w:p>
            <w:pPr/>
          </w:p>
        </w:tc>
        <w:tc>
          <w:tcPr>
            <w:tcW w:w="1574" w:type="dxa"/>
          </w:tcPr>
          <w:p>
            <w:pPr/>
          </w:p>
        </w:tc>
        <w:tc>
          <w:tcPr>
            <w:tcW w:w="1048" w:type="dxa"/>
          </w:tcPr>
          <w:p>
            <w:pPr>
              <w:pStyle w:val="TableParagraph"/>
              <w:spacing w:before="3"/>
              <w:ind w:left="351"/>
              <w:rPr>
                <w:b/>
                <w:sz w:val="15"/>
              </w:rPr>
            </w:pPr>
            <w:r>
              <w:rPr>
                <w:b/>
                <w:w w:val="105"/>
                <w:sz w:val="15"/>
              </w:rPr>
              <w:t>2010</w:t>
            </w:r>
          </w:p>
        </w:tc>
        <w:tc>
          <w:tcPr>
            <w:tcW w:w="1020" w:type="dxa"/>
          </w:tcPr>
          <w:p>
            <w:pPr>
              <w:pStyle w:val="TableParagraph"/>
              <w:spacing w:before="3"/>
              <w:ind w:left="182" w:right="179"/>
              <w:jc w:val="center"/>
              <w:rPr>
                <w:b/>
                <w:sz w:val="15"/>
              </w:rPr>
            </w:pPr>
            <w:r>
              <w:rPr>
                <w:b/>
                <w:w w:val="105"/>
                <w:sz w:val="15"/>
              </w:rPr>
              <w:t>2010</w:t>
            </w:r>
          </w:p>
        </w:tc>
        <w:tc>
          <w:tcPr>
            <w:tcW w:w="969" w:type="dxa"/>
          </w:tcPr>
          <w:p>
            <w:pPr>
              <w:pStyle w:val="TableParagraph"/>
              <w:spacing w:before="3"/>
              <w:ind w:right="304"/>
              <w:jc w:val="right"/>
              <w:rPr>
                <w:b/>
                <w:sz w:val="15"/>
              </w:rPr>
            </w:pPr>
            <w:r>
              <w:rPr>
                <w:b/>
                <w:sz w:val="15"/>
              </w:rPr>
              <w:t>2010</w:t>
            </w:r>
          </w:p>
        </w:tc>
        <w:tc>
          <w:tcPr>
            <w:tcW w:w="840" w:type="dxa"/>
          </w:tcPr>
          <w:p>
            <w:pPr>
              <w:pStyle w:val="TableParagraph"/>
              <w:spacing w:before="3"/>
              <w:ind w:left="27" w:right="23"/>
              <w:jc w:val="center"/>
              <w:rPr>
                <w:b/>
                <w:sz w:val="15"/>
              </w:rPr>
            </w:pPr>
            <w:r>
              <w:rPr>
                <w:b/>
                <w:w w:val="105"/>
                <w:sz w:val="15"/>
              </w:rPr>
              <w:t>2010</w:t>
            </w:r>
          </w:p>
        </w:tc>
        <w:tc>
          <w:tcPr>
            <w:tcW w:w="841" w:type="dxa"/>
          </w:tcPr>
          <w:p>
            <w:pPr>
              <w:pStyle w:val="TableParagraph"/>
              <w:spacing w:before="3"/>
              <w:ind w:left="27" w:right="24"/>
              <w:jc w:val="center"/>
              <w:rPr>
                <w:b/>
                <w:sz w:val="15"/>
              </w:rPr>
            </w:pPr>
            <w:r>
              <w:rPr>
                <w:b/>
                <w:w w:val="105"/>
                <w:sz w:val="15"/>
              </w:rPr>
              <w:t>2010</w:t>
            </w:r>
          </w:p>
        </w:tc>
      </w:tr>
      <w:tr>
        <w:trPr>
          <w:trHeight w:val="196" w:hRule="exact"/>
        </w:trPr>
        <w:tc>
          <w:tcPr>
            <w:tcW w:w="840" w:type="dxa"/>
          </w:tcPr>
          <w:p>
            <w:pPr/>
          </w:p>
        </w:tc>
        <w:tc>
          <w:tcPr>
            <w:tcW w:w="840" w:type="dxa"/>
          </w:tcPr>
          <w:p>
            <w:pPr/>
          </w:p>
        </w:tc>
        <w:tc>
          <w:tcPr>
            <w:tcW w:w="917" w:type="dxa"/>
          </w:tcPr>
          <w:p>
            <w:pPr>
              <w:pStyle w:val="TableParagraph"/>
              <w:spacing w:before="3"/>
              <w:ind w:left="195"/>
              <w:rPr>
                <w:b/>
                <w:sz w:val="15"/>
              </w:rPr>
            </w:pPr>
            <w:r>
              <w:rPr>
                <w:b/>
                <w:w w:val="105"/>
                <w:sz w:val="15"/>
              </w:rPr>
              <w:t>México</w:t>
            </w:r>
          </w:p>
        </w:tc>
        <w:tc>
          <w:tcPr>
            <w:tcW w:w="1574" w:type="dxa"/>
          </w:tcPr>
          <w:p>
            <w:pPr>
              <w:pStyle w:val="TableParagraph"/>
              <w:spacing w:before="3"/>
              <w:ind w:right="304"/>
              <w:jc w:val="right"/>
              <w:rPr>
                <w:b/>
                <w:sz w:val="15"/>
              </w:rPr>
            </w:pPr>
            <w:r>
              <w:rPr>
                <w:b/>
                <w:w w:val="105"/>
                <w:sz w:val="15"/>
              </w:rPr>
              <w:t>15 175 862</w:t>
            </w:r>
          </w:p>
        </w:tc>
        <w:tc>
          <w:tcPr>
            <w:tcW w:w="1048" w:type="dxa"/>
          </w:tcPr>
          <w:p>
            <w:pPr/>
          </w:p>
        </w:tc>
        <w:tc>
          <w:tcPr>
            <w:tcW w:w="1020" w:type="dxa"/>
          </w:tcPr>
          <w:p>
            <w:pPr/>
          </w:p>
        </w:tc>
        <w:tc>
          <w:tcPr>
            <w:tcW w:w="969" w:type="dxa"/>
          </w:tcPr>
          <w:p>
            <w:pPr/>
          </w:p>
        </w:tc>
        <w:tc>
          <w:tcPr>
            <w:tcW w:w="840" w:type="dxa"/>
          </w:tcPr>
          <w:p>
            <w:pPr/>
          </w:p>
        </w:tc>
        <w:tc>
          <w:tcPr>
            <w:tcW w:w="841" w:type="dxa"/>
          </w:tcPr>
          <w:p>
            <w:pPr/>
          </w:p>
        </w:tc>
      </w:tr>
      <w:tr>
        <w:trPr>
          <w:trHeight w:val="196" w:hRule="exact"/>
        </w:trPr>
        <w:tc>
          <w:tcPr>
            <w:tcW w:w="840" w:type="dxa"/>
            <w:shd w:val="clear" w:color="auto" w:fill="F1DCDB"/>
          </w:tcPr>
          <w:p>
            <w:pPr>
              <w:pStyle w:val="TableParagraph"/>
              <w:spacing w:before="2"/>
              <w:ind w:left="310" w:right="303"/>
              <w:jc w:val="center"/>
              <w:rPr>
                <w:sz w:val="15"/>
              </w:rPr>
            </w:pPr>
            <w:r>
              <w:rPr>
                <w:w w:val="105"/>
                <w:sz w:val="15"/>
              </w:rPr>
              <w:t>15</w:t>
            </w:r>
          </w:p>
        </w:tc>
        <w:tc>
          <w:tcPr>
            <w:tcW w:w="840" w:type="dxa"/>
            <w:shd w:val="clear" w:color="auto" w:fill="F1DCDB"/>
          </w:tcPr>
          <w:p>
            <w:pPr>
              <w:pStyle w:val="TableParagraph"/>
              <w:spacing w:before="2"/>
              <w:ind w:left="264" w:right="259"/>
              <w:jc w:val="center"/>
              <w:rPr>
                <w:sz w:val="15"/>
              </w:rPr>
            </w:pPr>
            <w:r>
              <w:rPr>
                <w:w w:val="105"/>
                <w:sz w:val="15"/>
              </w:rPr>
              <w:t>080</w:t>
            </w:r>
          </w:p>
        </w:tc>
        <w:tc>
          <w:tcPr>
            <w:tcW w:w="917" w:type="dxa"/>
            <w:shd w:val="clear" w:color="auto" w:fill="F1DCDB"/>
          </w:tcPr>
          <w:p>
            <w:pPr>
              <w:pStyle w:val="TableParagraph"/>
              <w:spacing w:before="2"/>
              <w:ind w:left="22"/>
              <w:rPr>
                <w:sz w:val="15"/>
              </w:rPr>
            </w:pPr>
            <w:r>
              <w:rPr>
                <w:w w:val="105"/>
                <w:sz w:val="15"/>
              </w:rPr>
              <w:t>Sultepec</w:t>
            </w:r>
          </w:p>
        </w:tc>
        <w:tc>
          <w:tcPr>
            <w:tcW w:w="1574" w:type="dxa"/>
            <w:shd w:val="clear" w:color="auto" w:fill="F1DCDB"/>
          </w:tcPr>
          <w:p>
            <w:pPr>
              <w:pStyle w:val="TableParagraph"/>
              <w:spacing w:before="2"/>
              <w:ind w:right="302"/>
              <w:jc w:val="right"/>
              <w:rPr>
                <w:sz w:val="15"/>
              </w:rPr>
            </w:pPr>
            <w:r>
              <w:rPr>
                <w:w w:val="105"/>
                <w:sz w:val="15"/>
              </w:rPr>
              <w:t>25 809</w:t>
            </w:r>
          </w:p>
        </w:tc>
        <w:tc>
          <w:tcPr>
            <w:tcW w:w="1048" w:type="dxa"/>
            <w:shd w:val="clear" w:color="auto" w:fill="F1DCDB"/>
          </w:tcPr>
          <w:p>
            <w:pPr>
              <w:pStyle w:val="TableParagraph"/>
              <w:spacing w:before="2"/>
              <w:ind w:right="25"/>
              <w:jc w:val="right"/>
              <w:rPr>
                <w:sz w:val="15"/>
              </w:rPr>
            </w:pPr>
            <w:r>
              <w:rPr>
                <w:sz w:val="15"/>
              </w:rPr>
              <w:t>1.01898</w:t>
            </w:r>
          </w:p>
        </w:tc>
        <w:tc>
          <w:tcPr>
            <w:tcW w:w="1020" w:type="dxa"/>
            <w:shd w:val="clear" w:color="auto" w:fill="F1DCDB"/>
          </w:tcPr>
          <w:p>
            <w:pPr>
              <w:pStyle w:val="TableParagraph"/>
              <w:spacing w:before="2"/>
              <w:ind w:left="192" w:right="179"/>
              <w:jc w:val="center"/>
              <w:rPr>
                <w:sz w:val="15"/>
              </w:rPr>
            </w:pPr>
            <w:r>
              <w:rPr>
                <w:w w:val="105"/>
                <w:sz w:val="15"/>
              </w:rPr>
              <w:t>Muy alto</w:t>
            </w:r>
          </w:p>
        </w:tc>
        <w:tc>
          <w:tcPr>
            <w:tcW w:w="969" w:type="dxa"/>
            <w:shd w:val="clear" w:color="auto" w:fill="F1DCDB"/>
          </w:tcPr>
          <w:p>
            <w:pPr>
              <w:pStyle w:val="TableParagraph"/>
              <w:spacing w:before="2"/>
              <w:ind w:right="302"/>
              <w:jc w:val="right"/>
              <w:rPr>
                <w:sz w:val="15"/>
              </w:rPr>
            </w:pPr>
            <w:r>
              <w:rPr>
                <w:sz w:val="15"/>
              </w:rPr>
              <w:t>39.187</w:t>
            </w:r>
          </w:p>
        </w:tc>
        <w:tc>
          <w:tcPr>
            <w:tcW w:w="840" w:type="dxa"/>
            <w:shd w:val="clear" w:color="auto" w:fill="F1DCDB"/>
          </w:tcPr>
          <w:p>
            <w:pPr>
              <w:pStyle w:val="TableParagraph"/>
              <w:spacing w:before="2"/>
              <w:ind w:left="94"/>
              <w:jc w:val="center"/>
              <w:rPr>
                <w:sz w:val="15"/>
              </w:rPr>
            </w:pPr>
            <w:r>
              <w:rPr>
                <w:w w:val="103"/>
                <w:sz w:val="15"/>
              </w:rPr>
              <w:t>1</w:t>
            </w:r>
          </w:p>
        </w:tc>
        <w:tc>
          <w:tcPr>
            <w:tcW w:w="841" w:type="dxa"/>
            <w:shd w:val="clear" w:color="auto" w:fill="F1DCDB"/>
          </w:tcPr>
          <w:p>
            <w:pPr>
              <w:pStyle w:val="TableParagraph"/>
              <w:spacing w:before="2"/>
              <w:ind w:left="29" w:right="60"/>
              <w:jc w:val="center"/>
              <w:rPr>
                <w:sz w:val="15"/>
              </w:rPr>
            </w:pPr>
            <w:r>
              <w:rPr>
                <w:w w:val="105"/>
                <w:sz w:val="15"/>
              </w:rPr>
              <w:t>392</w:t>
            </w:r>
          </w:p>
        </w:tc>
      </w:tr>
      <w:tr>
        <w:trPr>
          <w:trHeight w:val="195" w:hRule="exact"/>
        </w:trPr>
        <w:tc>
          <w:tcPr>
            <w:tcW w:w="840" w:type="dxa"/>
          </w:tcPr>
          <w:p>
            <w:pPr>
              <w:pStyle w:val="TableParagraph"/>
              <w:spacing w:before="2"/>
              <w:ind w:left="310" w:right="303"/>
              <w:jc w:val="center"/>
              <w:rPr>
                <w:sz w:val="15"/>
              </w:rPr>
            </w:pPr>
            <w:r>
              <w:rPr>
                <w:w w:val="105"/>
                <w:sz w:val="15"/>
              </w:rPr>
              <w:t>15</w:t>
            </w:r>
          </w:p>
        </w:tc>
        <w:tc>
          <w:tcPr>
            <w:tcW w:w="840" w:type="dxa"/>
          </w:tcPr>
          <w:p>
            <w:pPr>
              <w:pStyle w:val="TableParagraph"/>
              <w:spacing w:before="2"/>
              <w:ind w:left="265" w:right="257"/>
              <w:jc w:val="center"/>
              <w:rPr>
                <w:sz w:val="15"/>
              </w:rPr>
            </w:pPr>
            <w:r>
              <w:rPr>
                <w:w w:val="105"/>
                <w:sz w:val="15"/>
              </w:rPr>
              <w:t>117</w:t>
            </w:r>
          </w:p>
        </w:tc>
        <w:tc>
          <w:tcPr>
            <w:tcW w:w="917" w:type="dxa"/>
          </w:tcPr>
          <w:p>
            <w:pPr>
              <w:pStyle w:val="TableParagraph"/>
              <w:spacing w:before="2"/>
              <w:ind w:left="22"/>
              <w:rPr>
                <w:sz w:val="15"/>
              </w:rPr>
            </w:pPr>
            <w:r>
              <w:rPr>
                <w:w w:val="105"/>
                <w:sz w:val="15"/>
              </w:rPr>
              <w:t>Zacualpan</w:t>
            </w:r>
          </w:p>
        </w:tc>
        <w:tc>
          <w:tcPr>
            <w:tcW w:w="1574" w:type="dxa"/>
          </w:tcPr>
          <w:p>
            <w:pPr>
              <w:pStyle w:val="TableParagraph"/>
              <w:spacing w:before="2"/>
              <w:ind w:right="302"/>
              <w:jc w:val="right"/>
              <w:rPr>
                <w:sz w:val="15"/>
              </w:rPr>
            </w:pPr>
            <w:r>
              <w:rPr>
                <w:w w:val="105"/>
                <w:sz w:val="15"/>
              </w:rPr>
              <w:t>15 121</w:t>
            </w:r>
          </w:p>
        </w:tc>
        <w:tc>
          <w:tcPr>
            <w:tcW w:w="1048" w:type="dxa"/>
          </w:tcPr>
          <w:p>
            <w:pPr>
              <w:pStyle w:val="TableParagraph"/>
              <w:spacing w:before="2"/>
              <w:ind w:right="25"/>
              <w:jc w:val="right"/>
              <w:rPr>
                <w:sz w:val="15"/>
              </w:rPr>
            </w:pPr>
            <w:r>
              <w:rPr>
                <w:sz w:val="15"/>
              </w:rPr>
              <w:t>0.97226</w:t>
            </w:r>
          </w:p>
        </w:tc>
        <w:tc>
          <w:tcPr>
            <w:tcW w:w="1020" w:type="dxa"/>
          </w:tcPr>
          <w:p>
            <w:pPr>
              <w:pStyle w:val="TableParagraph"/>
              <w:spacing w:before="2"/>
              <w:ind w:left="192" w:right="179"/>
              <w:jc w:val="center"/>
              <w:rPr>
                <w:sz w:val="15"/>
              </w:rPr>
            </w:pPr>
            <w:r>
              <w:rPr>
                <w:w w:val="105"/>
                <w:sz w:val="15"/>
              </w:rPr>
              <w:t>Muy alto</w:t>
            </w:r>
          </w:p>
        </w:tc>
        <w:tc>
          <w:tcPr>
            <w:tcW w:w="969" w:type="dxa"/>
          </w:tcPr>
          <w:p>
            <w:pPr>
              <w:pStyle w:val="TableParagraph"/>
              <w:spacing w:before="2"/>
              <w:ind w:right="302"/>
              <w:jc w:val="right"/>
              <w:rPr>
                <w:sz w:val="15"/>
              </w:rPr>
            </w:pPr>
            <w:r>
              <w:rPr>
                <w:sz w:val="15"/>
              </w:rPr>
              <w:t>38.659</w:t>
            </w:r>
          </w:p>
        </w:tc>
        <w:tc>
          <w:tcPr>
            <w:tcW w:w="840" w:type="dxa"/>
          </w:tcPr>
          <w:p>
            <w:pPr>
              <w:pStyle w:val="TableParagraph"/>
              <w:spacing w:before="2"/>
              <w:ind w:left="94"/>
              <w:jc w:val="center"/>
              <w:rPr>
                <w:sz w:val="15"/>
              </w:rPr>
            </w:pPr>
            <w:r>
              <w:rPr>
                <w:w w:val="103"/>
                <w:sz w:val="15"/>
              </w:rPr>
              <w:t>2</w:t>
            </w:r>
          </w:p>
        </w:tc>
        <w:tc>
          <w:tcPr>
            <w:tcW w:w="841" w:type="dxa"/>
          </w:tcPr>
          <w:p>
            <w:pPr>
              <w:pStyle w:val="TableParagraph"/>
              <w:spacing w:before="2"/>
              <w:ind w:left="29" w:right="60"/>
              <w:jc w:val="center"/>
              <w:rPr>
                <w:sz w:val="15"/>
              </w:rPr>
            </w:pPr>
            <w:r>
              <w:rPr>
                <w:w w:val="105"/>
                <w:sz w:val="15"/>
              </w:rPr>
              <w:t>417</w:t>
            </w:r>
          </w:p>
        </w:tc>
      </w:tr>
    </w:tbl>
    <w:p>
      <w:pPr>
        <w:pStyle w:val="BodyText"/>
        <w:rPr>
          <w:b/>
          <w:sz w:val="20"/>
        </w:rPr>
      </w:pPr>
    </w:p>
    <w:p>
      <w:pPr>
        <w:pStyle w:val="BodyText"/>
        <w:rPr>
          <w:b/>
          <w:sz w:val="20"/>
        </w:rPr>
      </w:pPr>
    </w:p>
    <w:p>
      <w:pPr>
        <w:pStyle w:val="BodyText"/>
        <w:spacing w:before="10"/>
        <w:rPr>
          <w:b/>
          <w:sz w:val="19"/>
        </w:rPr>
      </w:pPr>
    </w:p>
    <w:p>
      <w:pPr>
        <w:spacing w:before="74"/>
        <w:ind w:left="1462" w:right="1340" w:firstLine="0"/>
        <w:jc w:val="left"/>
        <w:rPr>
          <w:sz w:val="20"/>
        </w:rPr>
      </w:pPr>
      <w:r>
        <w:rPr>
          <w:b/>
          <w:sz w:val="20"/>
        </w:rPr>
        <w:t>Fuente</w:t>
      </w:r>
      <w:r>
        <w:rPr>
          <w:sz w:val="20"/>
        </w:rPr>
        <w:t>: Estimaciones del CONEVAL con base en el Censo de Población y Vivienda 2010.</w:t>
      </w:r>
    </w:p>
    <w:p>
      <w:pPr>
        <w:spacing w:after="0"/>
        <w:jc w:val="left"/>
        <w:rPr>
          <w:sz w:val="20"/>
        </w:rPr>
        <w:sectPr>
          <w:pgSz w:w="15840" w:h="12240" w:orient="landscape"/>
          <w:pgMar w:header="0" w:footer="992" w:top="1140" w:bottom="1180" w:left="2260" w:right="2260"/>
        </w:sectPr>
      </w:pPr>
    </w:p>
    <w:p>
      <w:pPr>
        <w:pStyle w:val="BodyText"/>
        <w:rPr>
          <w:sz w:val="20"/>
        </w:rPr>
      </w:pPr>
    </w:p>
    <w:p>
      <w:pPr>
        <w:pStyle w:val="BodyText"/>
        <w:spacing w:before="9"/>
      </w:pPr>
    </w:p>
    <w:p>
      <w:pPr>
        <w:spacing w:after="0"/>
        <w:sectPr>
          <w:pgSz w:w="15840" w:h="12240" w:orient="landscape"/>
          <w:pgMar w:header="0" w:footer="992" w:top="1140" w:bottom="1180" w:left="2260" w:right="2260"/>
        </w:sectPr>
      </w:pPr>
    </w:p>
    <w:p>
      <w:pPr>
        <w:pStyle w:val="BodyText"/>
        <w:spacing w:before="198"/>
        <w:ind w:left="1822" w:right="-19"/>
      </w:pPr>
      <w:r>
        <w:rPr/>
        <w:pict>
          <v:shape style="position:absolute;margin-left:193.721191pt;margin-top:12.426573pt;width:418.45pt;height:.1pt;mso-position-horizontal-relative:page;mso-position-vertical-relative:paragraph;z-index:-680680" coordorigin="3874,249" coordsize="8369,0" path="m3874,249l3874,249,12243,249e" filled="false" stroked="true" strokeweight=".49974pt" strokecolor="#000000">
            <v:path arrowok="t"/>
            <w10:wrap type="none"/>
          </v:shape>
        </w:pict>
      </w:r>
      <w:r>
        <w:rPr/>
        <w:t>Anexo 12.</w:t>
      </w:r>
    </w:p>
    <w:p>
      <w:pPr>
        <w:spacing w:before="88"/>
        <w:ind w:left="730" w:right="0" w:firstLine="0"/>
        <w:jc w:val="left"/>
        <w:rPr>
          <w:b/>
          <w:sz w:val="13"/>
        </w:rPr>
      </w:pPr>
      <w:r>
        <w:rPr/>
        <w:br w:type="column"/>
      </w:r>
      <w:r>
        <w:rPr>
          <w:b/>
          <w:w w:val="105"/>
          <w:sz w:val="13"/>
        </w:rPr>
        <w:t>Marginación. Municipios del Estado de México en Grado Muy Bajo</w:t>
      </w:r>
    </w:p>
    <w:p>
      <w:pPr>
        <w:spacing w:after="0"/>
        <w:jc w:val="left"/>
        <w:rPr>
          <w:sz w:val="13"/>
        </w:rPr>
        <w:sectPr>
          <w:type w:val="continuous"/>
          <w:pgSz w:w="15840" w:h="12240" w:orient="landscape"/>
          <w:pgMar w:top="0" w:bottom="280" w:left="2260" w:right="2260"/>
          <w:cols w:num="2" w:equalWidth="0">
            <w:col w:w="2904" w:space="40"/>
            <w:col w:w="8376"/>
          </w:cols>
        </w:sectPr>
      </w:pPr>
    </w:p>
    <w:p>
      <w:pPr>
        <w:pStyle w:val="BodyText"/>
        <w:spacing w:before="7"/>
        <w:rPr>
          <w:b/>
          <w:sz w:val="9"/>
        </w:rPr>
      </w:pPr>
    </w:p>
    <w:tbl>
      <w:tblPr>
        <w:tblW w:w="0" w:type="auto"/>
        <w:jc w:val="left"/>
        <w:tblInd w:w="16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2"/>
        <w:gridCol w:w="732"/>
        <w:gridCol w:w="1700"/>
        <w:gridCol w:w="1058"/>
        <w:gridCol w:w="913"/>
        <w:gridCol w:w="878"/>
        <w:gridCol w:w="888"/>
        <w:gridCol w:w="732"/>
        <w:gridCol w:w="732"/>
      </w:tblGrid>
      <w:tr>
        <w:trPr>
          <w:trHeight w:val="1020" w:hRule="exact"/>
        </w:trPr>
        <w:tc>
          <w:tcPr>
            <w:tcW w:w="732" w:type="dxa"/>
          </w:tcPr>
          <w:p>
            <w:pPr>
              <w:pStyle w:val="TableParagraph"/>
              <w:spacing w:line="273" w:lineRule="auto" w:before="3"/>
              <w:ind w:left="46" w:right="19" w:firstLine="41"/>
              <w:rPr>
                <w:b/>
                <w:sz w:val="13"/>
              </w:rPr>
            </w:pPr>
            <w:r>
              <w:rPr>
                <w:b/>
                <w:w w:val="105"/>
                <w:sz w:val="13"/>
              </w:rPr>
              <w:t>Clave de la entidad </w:t>
            </w:r>
            <w:r>
              <w:rPr>
                <w:b/>
                <w:sz w:val="13"/>
              </w:rPr>
              <w:t>federativa</w:t>
            </w:r>
          </w:p>
        </w:tc>
        <w:tc>
          <w:tcPr>
            <w:tcW w:w="732" w:type="dxa"/>
          </w:tcPr>
          <w:p>
            <w:pPr>
              <w:pStyle w:val="TableParagraph"/>
              <w:spacing w:line="273" w:lineRule="auto" w:before="3"/>
              <w:ind w:left="45" w:right="33" w:firstLine="24"/>
              <w:rPr>
                <w:b/>
                <w:sz w:val="13"/>
              </w:rPr>
            </w:pPr>
            <w:r>
              <w:rPr>
                <w:b/>
                <w:w w:val="105"/>
                <w:sz w:val="13"/>
              </w:rPr>
              <w:t>Clave del </w:t>
            </w:r>
            <w:r>
              <w:rPr>
                <w:b/>
                <w:sz w:val="13"/>
              </w:rPr>
              <w:t>municipio</w:t>
            </w:r>
          </w:p>
        </w:tc>
        <w:tc>
          <w:tcPr>
            <w:tcW w:w="1700" w:type="dxa"/>
          </w:tcPr>
          <w:p>
            <w:pPr>
              <w:pStyle w:val="TableParagraph"/>
              <w:rPr>
                <w:b/>
                <w:sz w:val="12"/>
              </w:rPr>
            </w:pPr>
          </w:p>
          <w:p>
            <w:pPr>
              <w:pStyle w:val="TableParagraph"/>
              <w:rPr>
                <w:b/>
                <w:sz w:val="12"/>
              </w:rPr>
            </w:pPr>
          </w:p>
          <w:p>
            <w:pPr>
              <w:pStyle w:val="TableParagraph"/>
              <w:spacing w:before="1"/>
              <w:rPr>
                <w:b/>
                <w:sz w:val="13"/>
              </w:rPr>
            </w:pPr>
          </w:p>
          <w:p>
            <w:pPr>
              <w:pStyle w:val="TableParagraph"/>
              <w:spacing w:before="1"/>
              <w:ind w:left="532"/>
              <w:rPr>
                <w:b/>
                <w:sz w:val="13"/>
              </w:rPr>
            </w:pPr>
            <w:r>
              <w:rPr>
                <w:b/>
                <w:w w:val="105"/>
                <w:sz w:val="13"/>
              </w:rPr>
              <w:t>Municipio</w:t>
            </w:r>
          </w:p>
        </w:tc>
        <w:tc>
          <w:tcPr>
            <w:tcW w:w="1058" w:type="dxa"/>
          </w:tcPr>
          <w:p>
            <w:pPr>
              <w:pStyle w:val="TableParagraph"/>
              <w:spacing w:line="273" w:lineRule="auto" w:before="3"/>
              <w:ind w:left="386" w:hanging="181"/>
              <w:rPr>
                <w:b/>
                <w:sz w:val="13"/>
              </w:rPr>
            </w:pPr>
            <w:r>
              <w:rPr>
                <w:b/>
                <w:sz w:val="13"/>
              </w:rPr>
              <w:t>Población </w:t>
            </w:r>
            <w:r>
              <w:rPr>
                <w:b/>
                <w:w w:val="105"/>
                <w:sz w:val="13"/>
              </w:rPr>
              <w:t>total</w:t>
            </w:r>
          </w:p>
        </w:tc>
        <w:tc>
          <w:tcPr>
            <w:tcW w:w="913" w:type="dxa"/>
          </w:tcPr>
          <w:p>
            <w:pPr>
              <w:pStyle w:val="TableParagraph"/>
              <w:spacing w:line="273" w:lineRule="auto" w:before="3"/>
              <w:ind w:left="54" w:right="-6" w:firstLine="109"/>
              <w:rPr>
                <w:b/>
                <w:sz w:val="13"/>
              </w:rPr>
            </w:pPr>
            <w:r>
              <w:rPr>
                <w:b/>
                <w:w w:val="105"/>
                <w:sz w:val="13"/>
              </w:rPr>
              <w:t>Índice de </w:t>
            </w:r>
            <w:r>
              <w:rPr>
                <w:b/>
                <w:sz w:val="13"/>
              </w:rPr>
              <w:t>marginación</w:t>
            </w:r>
          </w:p>
        </w:tc>
        <w:tc>
          <w:tcPr>
            <w:tcW w:w="878" w:type="dxa"/>
          </w:tcPr>
          <w:p>
            <w:pPr>
              <w:pStyle w:val="TableParagraph"/>
              <w:spacing w:line="273" w:lineRule="auto" w:before="3"/>
              <w:ind w:left="36" w:firstLine="104"/>
              <w:rPr>
                <w:b/>
                <w:sz w:val="13"/>
              </w:rPr>
            </w:pPr>
            <w:r>
              <w:rPr>
                <w:b/>
                <w:w w:val="105"/>
                <w:sz w:val="13"/>
              </w:rPr>
              <w:t>Grado de </w:t>
            </w:r>
            <w:r>
              <w:rPr>
                <w:b/>
                <w:sz w:val="13"/>
              </w:rPr>
              <w:t>marginación</w:t>
            </w:r>
          </w:p>
        </w:tc>
        <w:tc>
          <w:tcPr>
            <w:tcW w:w="888" w:type="dxa"/>
          </w:tcPr>
          <w:p>
            <w:pPr>
              <w:pStyle w:val="TableParagraph"/>
              <w:spacing w:line="273" w:lineRule="auto" w:before="3"/>
              <w:ind w:left="40" w:right="40"/>
              <w:jc w:val="center"/>
              <w:rPr>
                <w:b/>
                <w:sz w:val="13"/>
              </w:rPr>
            </w:pPr>
            <w:r>
              <w:rPr>
                <w:b/>
                <w:w w:val="105"/>
                <w:sz w:val="13"/>
              </w:rPr>
              <w:t>Índice de </w:t>
            </w:r>
            <w:r>
              <w:rPr>
                <w:b/>
                <w:sz w:val="13"/>
              </w:rPr>
              <w:t>marginación </w:t>
            </w:r>
            <w:r>
              <w:rPr>
                <w:b/>
                <w:w w:val="105"/>
                <w:sz w:val="13"/>
              </w:rPr>
              <w:t>escala</w:t>
            </w:r>
          </w:p>
          <w:p>
            <w:pPr>
              <w:pStyle w:val="TableParagraph"/>
              <w:ind w:left="39" w:right="40"/>
              <w:jc w:val="center"/>
              <w:rPr>
                <w:b/>
                <w:sz w:val="13"/>
              </w:rPr>
            </w:pPr>
            <w:r>
              <w:rPr>
                <w:b/>
                <w:w w:val="105"/>
                <w:sz w:val="13"/>
              </w:rPr>
              <w:t>0 a 100</w:t>
            </w:r>
          </w:p>
        </w:tc>
        <w:tc>
          <w:tcPr>
            <w:tcW w:w="732" w:type="dxa"/>
          </w:tcPr>
          <w:p>
            <w:pPr>
              <w:pStyle w:val="TableParagraph"/>
              <w:spacing w:line="273" w:lineRule="auto" w:before="3"/>
              <w:ind w:left="28" w:right="21"/>
              <w:jc w:val="center"/>
              <w:rPr>
                <w:b/>
                <w:sz w:val="13"/>
              </w:rPr>
            </w:pPr>
            <w:r>
              <w:rPr>
                <w:b/>
                <w:w w:val="105"/>
                <w:sz w:val="13"/>
              </w:rPr>
              <w:t>Lugar que</w:t>
            </w:r>
            <w:r>
              <w:rPr>
                <w:b/>
                <w:w w:val="103"/>
                <w:sz w:val="13"/>
              </w:rPr>
              <w:t> </w:t>
            </w:r>
            <w:r>
              <w:rPr>
                <w:b/>
                <w:w w:val="105"/>
                <w:sz w:val="13"/>
              </w:rPr>
              <w:t>ocupa en el     contexto estatal</w:t>
            </w:r>
          </w:p>
        </w:tc>
        <w:tc>
          <w:tcPr>
            <w:tcW w:w="732" w:type="dxa"/>
          </w:tcPr>
          <w:p>
            <w:pPr>
              <w:pStyle w:val="TableParagraph"/>
              <w:spacing w:line="273" w:lineRule="auto" w:before="3"/>
              <w:ind w:left="28" w:right="22"/>
              <w:jc w:val="center"/>
              <w:rPr>
                <w:b/>
                <w:sz w:val="13"/>
              </w:rPr>
            </w:pPr>
            <w:r>
              <w:rPr>
                <w:b/>
                <w:w w:val="105"/>
                <w:sz w:val="13"/>
              </w:rPr>
              <w:t>Lugar que</w:t>
            </w:r>
            <w:r>
              <w:rPr>
                <w:b/>
                <w:w w:val="103"/>
                <w:sz w:val="13"/>
              </w:rPr>
              <w:t> </w:t>
            </w:r>
            <w:r>
              <w:rPr>
                <w:b/>
                <w:w w:val="105"/>
                <w:sz w:val="13"/>
              </w:rPr>
              <w:t>ocupa en el     contexto nacional</w:t>
            </w:r>
          </w:p>
        </w:tc>
      </w:tr>
      <w:tr>
        <w:trPr>
          <w:trHeight w:val="170" w:hRule="exact"/>
        </w:trPr>
        <w:tc>
          <w:tcPr>
            <w:tcW w:w="732" w:type="dxa"/>
          </w:tcPr>
          <w:p>
            <w:pPr/>
          </w:p>
        </w:tc>
        <w:tc>
          <w:tcPr>
            <w:tcW w:w="732" w:type="dxa"/>
          </w:tcPr>
          <w:p>
            <w:pPr/>
          </w:p>
        </w:tc>
        <w:tc>
          <w:tcPr>
            <w:tcW w:w="1700" w:type="dxa"/>
          </w:tcPr>
          <w:p>
            <w:pPr/>
          </w:p>
        </w:tc>
        <w:tc>
          <w:tcPr>
            <w:tcW w:w="1058" w:type="dxa"/>
          </w:tcPr>
          <w:p>
            <w:pPr/>
          </w:p>
        </w:tc>
        <w:tc>
          <w:tcPr>
            <w:tcW w:w="913" w:type="dxa"/>
          </w:tcPr>
          <w:p>
            <w:pPr>
              <w:pStyle w:val="TableParagraph"/>
              <w:spacing w:before="3"/>
              <w:ind w:left="306" w:right="-6"/>
              <w:rPr>
                <w:sz w:val="13"/>
              </w:rPr>
            </w:pPr>
            <w:r>
              <w:rPr>
                <w:w w:val="105"/>
                <w:sz w:val="13"/>
              </w:rPr>
              <w:t>2010</w:t>
            </w:r>
          </w:p>
        </w:tc>
        <w:tc>
          <w:tcPr>
            <w:tcW w:w="878" w:type="dxa"/>
          </w:tcPr>
          <w:p>
            <w:pPr>
              <w:pStyle w:val="TableParagraph"/>
              <w:spacing w:before="3"/>
              <w:ind w:left="134" w:right="131"/>
              <w:jc w:val="center"/>
              <w:rPr>
                <w:sz w:val="13"/>
              </w:rPr>
            </w:pPr>
            <w:r>
              <w:rPr>
                <w:w w:val="105"/>
                <w:sz w:val="13"/>
              </w:rPr>
              <w:t>2010</w:t>
            </w:r>
          </w:p>
        </w:tc>
        <w:tc>
          <w:tcPr>
            <w:tcW w:w="888" w:type="dxa"/>
          </w:tcPr>
          <w:p>
            <w:pPr>
              <w:pStyle w:val="TableParagraph"/>
              <w:spacing w:before="3"/>
              <w:ind w:right="287"/>
              <w:jc w:val="right"/>
              <w:rPr>
                <w:sz w:val="13"/>
              </w:rPr>
            </w:pPr>
            <w:r>
              <w:rPr>
                <w:w w:val="105"/>
                <w:sz w:val="13"/>
              </w:rPr>
              <w:t>2010</w:t>
            </w:r>
          </w:p>
        </w:tc>
        <w:tc>
          <w:tcPr>
            <w:tcW w:w="732" w:type="dxa"/>
          </w:tcPr>
          <w:p>
            <w:pPr>
              <w:pStyle w:val="TableParagraph"/>
              <w:spacing w:before="3"/>
              <w:ind w:right="209"/>
              <w:jc w:val="right"/>
              <w:rPr>
                <w:sz w:val="13"/>
              </w:rPr>
            </w:pPr>
            <w:r>
              <w:rPr>
                <w:w w:val="105"/>
                <w:sz w:val="13"/>
              </w:rPr>
              <w:t>2010</w:t>
            </w:r>
          </w:p>
        </w:tc>
        <w:tc>
          <w:tcPr>
            <w:tcW w:w="732" w:type="dxa"/>
          </w:tcPr>
          <w:p>
            <w:pPr>
              <w:pStyle w:val="TableParagraph"/>
              <w:spacing w:before="3"/>
              <w:ind w:right="209"/>
              <w:jc w:val="right"/>
              <w:rPr>
                <w:sz w:val="13"/>
              </w:rPr>
            </w:pPr>
            <w:r>
              <w:rPr>
                <w:w w:val="105"/>
                <w:sz w:val="13"/>
              </w:rPr>
              <w:t>2010</w:t>
            </w:r>
          </w:p>
        </w:tc>
      </w:tr>
      <w:tr>
        <w:trPr>
          <w:trHeight w:val="170" w:hRule="exact"/>
        </w:trPr>
        <w:tc>
          <w:tcPr>
            <w:tcW w:w="732" w:type="dxa"/>
          </w:tcPr>
          <w:p>
            <w:pPr/>
          </w:p>
        </w:tc>
        <w:tc>
          <w:tcPr>
            <w:tcW w:w="732" w:type="dxa"/>
          </w:tcPr>
          <w:p>
            <w:pPr/>
          </w:p>
        </w:tc>
        <w:tc>
          <w:tcPr>
            <w:tcW w:w="1700" w:type="dxa"/>
          </w:tcPr>
          <w:p>
            <w:pPr>
              <w:pStyle w:val="TableParagraph"/>
              <w:spacing w:before="4"/>
              <w:ind w:left="597" w:right="590"/>
              <w:jc w:val="center"/>
              <w:rPr>
                <w:b/>
                <w:sz w:val="13"/>
              </w:rPr>
            </w:pPr>
            <w:r>
              <w:rPr>
                <w:b/>
                <w:w w:val="105"/>
                <w:sz w:val="13"/>
              </w:rPr>
              <w:t>México</w:t>
            </w:r>
          </w:p>
        </w:tc>
        <w:tc>
          <w:tcPr>
            <w:tcW w:w="1058" w:type="dxa"/>
          </w:tcPr>
          <w:p>
            <w:pPr>
              <w:pStyle w:val="TableParagraph"/>
              <w:spacing w:before="4"/>
              <w:ind w:right="267"/>
              <w:jc w:val="right"/>
              <w:rPr>
                <w:b/>
                <w:sz w:val="13"/>
              </w:rPr>
            </w:pPr>
            <w:r>
              <w:rPr>
                <w:b/>
                <w:w w:val="105"/>
                <w:sz w:val="13"/>
              </w:rPr>
              <w:t>15 175 862</w:t>
            </w:r>
          </w:p>
        </w:tc>
        <w:tc>
          <w:tcPr>
            <w:tcW w:w="913" w:type="dxa"/>
          </w:tcPr>
          <w:p>
            <w:pPr/>
          </w:p>
        </w:tc>
        <w:tc>
          <w:tcPr>
            <w:tcW w:w="878" w:type="dxa"/>
          </w:tcPr>
          <w:p>
            <w:pPr/>
          </w:p>
        </w:tc>
        <w:tc>
          <w:tcPr>
            <w:tcW w:w="888" w:type="dxa"/>
          </w:tcPr>
          <w:p>
            <w:pPr/>
          </w:p>
        </w:tc>
        <w:tc>
          <w:tcPr>
            <w:tcW w:w="732" w:type="dxa"/>
          </w:tcPr>
          <w:p>
            <w:pPr/>
          </w:p>
        </w:tc>
        <w:tc>
          <w:tcPr>
            <w:tcW w:w="732" w:type="dxa"/>
          </w:tcPr>
          <w:p>
            <w:pPr/>
          </w:p>
        </w:tc>
      </w:tr>
      <w:tr>
        <w:trPr>
          <w:trHeight w:val="170" w:hRule="exact"/>
        </w:trPr>
        <w:tc>
          <w:tcPr>
            <w:tcW w:w="732" w:type="dxa"/>
            <w:shd w:val="clear" w:color="auto" w:fill="F1DCDB"/>
          </w:tcPr>
          <w:p>
            <w:pPr>
              <w:pStyle w:val="TableParagraph"/>
              <w:spacing w:before="4"/>
              <w:ind w:left="267" w:right="262"/>
              <w:jc w:val="center"/>
              <w:rPr>
                <w:sz w:val="13"/>
              </w:rPr>
            </w:pPr>
            <w:r>
              <w:rPr>
                <w:w w:val="105"/>
                <w:sz w:val="13"/>
              </w:rPr>
              <w:t>15</w:t>
            </w:r>
          </w:p>
        </w:tc>
        <w:tc>
          <w:tcPr>
            <w:tcW w:w="732" w:type="dxa"/>
            <w:shd w:val="clear" w:color="auto" w:fill="F1DCDB"/>
          </w:tcPr>
          <w:p>
            <w:pPr>
              <w:pStyle w:val="TableParagraph"/>
              <w:spacing w:before="4"/>
              <w:ind w:left="26" w:right="22"/>
              <w:jc w:val="center"/>
              <w:rPr>
                <w:sz w:val="13"/>
              </w:rPr>
            </w:pPr>
            <w:r>
              <w:rPr>
                <w:w w:val="105"/>
                <w:sz w:val="13"/>
              </w:rPr>
              <w:t>002</w:t>
            </w:r>
          </w:p>
        </w:tc>
        <w:tc>
          <w:tcPr>
            <w:tcW w:w="1700" w:type="dxa"/>
            <w:shd w:val="clear" w:color="auto" w:fill="F1DCDB"/>
          </w:tcPr>
          <w:p>
            <w:pPr>
              <w:pStyle w:val="TableParagraph"/>
              <w:spacing w:before="4"/>
              <w:ind w:left="20"/>
              <w:rPr>
                <w:sz w:val="13"/>
              </w:rPr>
            </w:pPr>
            <w:r>
              <w:rPr>
                <w:w w:val="105"/>
                <w:sz w:val="13"/>
              </w:rPr>
              <w:t>Acolman</w:t>
            </w:r>
          </w:p>
        </w:tc>
        <w:tc>
          <w:tcPr>
            <w:tcW w:w="1058" w:type="dxa"/>
            <w:shd w:val="clear" w:color="auto" w:fill="F1DCDB"/>
          </w:tcPr>
          <w:p>
            <w:pPr>
              <w:pStyle w:val="TableParagraph"/>
              <w:spacing w:before="4"/>
              <w:ind w:right="268"/>
              <w:jc w:val="right"/>
              <w:rPr>
                <w:sz w:val="13"/>
              </w:rPr>
            </w:pPr>
            <w:r>
              <w:rPr>
                <w:w w:val="105"/>
                <w:sz w:val="13"/>
              </w:rPr>
              <w:t>136 558</w:t>
            </w:r>
          </w:p>
        </w:tc>
        <w:tc>
          <w:tcPr>
            <w:tcW w:w="913" w:type="dxa"/>
            <w:shd w:val="clear" w:color="auto" w:fill="F1DCDB"/>
          </w:tcPr>
          <w:p>
            <w:pPr>
              <w:pStyle w:val="TableParagraph"/>
              <w:spacing w:before="4"/>
              <w:ind w:left="350" w:right="-6"/>
              <w:rPr>
                <w:sz w:val="13"/>
              </w:rPr>
            </w:pPr>
            <w:r>
              <w:rPr>
                <w:w w:val="105"/>
                <w:sz w:val="13"/>
              </w:rPr>
              <w:t>-1.32310</w:t>
            </w:r>
          </w:p>
        </w:tc>
        <w:tc>
          <w:tcPr>
            <w:tcW w:w="878" w:type="dxa"/>
            <w:shd w:val="clear" w:color="auto" w:fill="F1DCDB"/>
          </w:tcPr>
          <w:p>
            <w:pPr>
              <w:pStyle w:val="TableParagraph"/>
              <w:spacing w:before="4"/>
              <w:ind w:left="143" w:right="131"/>
              <w:jc w:val="center"/>
              <w:rPr>
                <w:sz w:val="13"/>
              </w:rPr>
            </w:pPr>
            <w:r>
              <w:rPr>
                <w:w w:val="105"/>
                <w:sz w:val="13"/>
              </w:rPr>
              <w:t>Muy bajo</w:t>
            </w:r>
          </w:p>
        </w:tc>
        <w:tc>
          <w:tcPr>
            <w:tcW w:w="888" w:type="dxa"/>
            <w:shd w:val="clear" w:color="auto" w:fill="F1DCDB"/>
          </w:tcPr>
          <w:p>
            <w:pPr>
              <w:pStyle w:val="TableParagraph"/>
              <w:spacing w:before="4"/>
              <w:ind w:right="266"/>
              <w:jc w:val="right"/>
              <w:rPr>
                <w:sz w:val="13"/>
              </w:rPr>
            </w:pPr>
            <w:r>
              <w:rPr>
                <w:sz w:val="13"/>
              </w:rPr>
              <w:t>12.722</w:t>
            </w:r>
          </w:p>
        </w:tc>
        <w:tc>
          <w:tcPr>
            <w:tcW w:w="732" w:type="dxa"/>
            <w:shd w:val="clear" w:color="auto" w:fill="F1DCDB"/>
          </w:tcPr>
          <w:p>
            <w:pPr>
              <w:pStyle w:val="TableParagraph"/>
              <w:spacing w:before="4"/>
              <w:ind w:right="246"/>
              <w:jc w:val="right"/>
              <w:rPr>
                <w:sz w:val="13"/>
              </w:rPr>
            </w:pPr>
            <w:r>
              <w:rPr>
                <w:w w:val="105"/>
                <w:sz w:val="13"/>
              </w:rPr>
              <w:t>94</w:t>
            </w:r>
          </w:p>
        </w:tc>
        <w:tc>
          <w:tcPr>
            <w:tcW w:w="732" w:type="dxa"/>
            <w:shd w:val="clear" w:color="auto" w:fill="F1DCDB"/>
          </w:tcPr>
          <w:p>
            <w:pPr>
              <w:pStyle w:val="TableParagraph"/>
              <w:spacing w:before="4"/>
              <w:ind w:right="265"/>
              <w:jc w:val="right"/>
              <w:rPr>
                <w:sz w:val="13"/>
              </w:rPr>
            </w:pPr>
            <w:r>
              <w:rPr>
                <w:w w:val="105"/>
                <w:sz w:val="13"/>
              </w:rPr>
              <w:t>2 241</w:t>
            </w:r>
          </w:p>
        </w:tc>
      </w:tr>
      <w:tr>
        <w:trPr>
          <w:trHeight w:val="170" w:hRule="exact"/>
        </w:trPr>
        <w:tc>
          <w:tcPr>
            <w:tcW w:w="732" w:type="dxa"/>
          </w:tcPr>
          <w:p>
            <w:pPr>
              <w:pStyle w:val="TableParagraph"/>
              <w:spacing w:before="4"/>
              <w:ind w:left="267" w:right="262"/>
              <w:jc w:val="center"/>
              <w:rPr>
                <w:sz w:val="13"/>
              </w:rPr>
            </w:pPr>
            <w:r>
              <w:rPr>
                <w:w w:val="105"/>
                <w:sz w:val="13"/>
              </w:rPr>
              <w:t>15</w:t>
            </w:r>
          </w:p>
        </w:tc>
        <w:tc>
          <w:tcPr>
            <w:tcW w:w="732" w:type="dxa"/>
          </w:tcPr>
          <w:p>
            <w:pPr>
              <w:pStyle w:val="TableParagraph"/>
              <w:spacing w:before="4"/>
              <w:ind w:left="26" w:right="22"/>
              <w:jc w:val="center"/>
              <w:rPr>
                <w:sz w:val="13"/>
              </w:rPr>
            </w:pPr>
            <w:r>
              <w:rPr>
                <w:w w:val="105"/>
                <w:sz w:val="13"/>
              </w:rPr>
              <w:t>013</w:t>
            </w:r>
          </w:p>
        </w:tc>
        <w:tc>
          <w:tcPr>
            <w:tcW w:w="1700" w:type="dxa"/>
          </w:tcPr>
          <w:p>
            <w:pPr>
              <w:pStyle w:val="TableParagraph"/>
              <w:spacing w:before="4"/>
              <w:ind w:left="20"/>
              <w:rPr>
                <w:sz w:val="13"/>
              </w:rPr>
            </w:pPr>
            <w:r>
              <w:rPr>
                <w:w w:val="105"/>
                <w:sz w:val="13"/>
              </w:rPr>
              <w:t>Atizapán de Zaragoza</w:t>
            </w:r>
          </w:p>
        </w:tc>
        <w:tc>
          <w:tcPr>
            <w:tcW w:w="1058" w:type="dxa"/>
          </w:tcPr>
          <w:p>
            <w:pPr>
              <w:pStyle w:val="TableParagraph"/>
              <w:spacing w:before="4"/>
              <w:ind w:right="268"/>
              <w:jc w:val="right"/>
              <w:rPr>
                <w:sz w:val="13"/>
              </w:rPr>
            </w:pPr>
            <w:r>
              <w:rPr>
                <w:w w:val="105"/>
                <w:sz w:val="13"/>
              </w:rPr>
              <w:t>489 937</w:t>
            </w:r>
          </w:p>
        </w:tc>
        <w:tc>
          <w:tcPr>
            <w:tcW w:w="913" w:type="dxa"/>
          </w:tcPr>
          <w:p>
            <w:pPr>
              <w:pStyle w:val="TableParagraph"/>
              <w:spacing w:before="4"/>
              <w:ind w:left="350" w:right="-6"/>
              <w:rPr>
                <w:sz w:val="13"/>
              </w:rPr>
            </w:pPr>
            <w:r>
              <w:rPr>
                <w:w w:val="105"/>
                <w:sz w:val="13"/>
              </w:rPr>
              <w:t>-1.79774</w:t>
            </w:r>
          </w:p>
        </w:tc>
        <w:tc>
          <w:tcPr>
            <w:tcW w:w="878" w:type="dxa"/>
          </w:tcPr>
          <w:p>
            <w:pPr>
              <w:pStyle w:val="TableParagraph"/>
              <w:spacing w:before="4"/>
              <w:ind w:left="143" w:right="131"/>
              <w:jc w:val="center"/>
              <w:rPr>
                <w:sz w:val="13"/>
              </w:rPr>
            </w:pPr>
            <w:r>
              <w:rPr>
                <w:w w:val="105"/>
                <w:sz w:val="13"/>
              </w:rPr>
              <w:t>Muy bajo</w:t>
            </w:r>
          </w:p>
        </w:tc>
        <w:tc>
          <w:tcPr>
            <w:tcW w:w="888" w:type="dxa"/>
          </w:tcPr>
          <w:p>
            <w:pPr>
              <w:pStyle w:val="TableParagraph"/>
              <w:spacing w:before="4"/>
              <w:ind w:right="264"/>
              <w:jc w:val="right"/>
              <w:rPr>
                <w:sz w:val="13"/>
              </w:rPr>
            </w:pPr>
            <w:r>
              <w:rPr>
                <w:w w:val="105"/>
                <w:sz w:val="13"/>
              </w:rPr>
              <w:t>7.359</w:t>
            </w:r>
          </w:p>
        </w:tc>
        <w:tc>
          <w:tcPr>
            <w:tcW w:w="732" w:type="dxa"/>
          </w:tcPr>
          <w:p>
            <w:pPr>
              <w:pStyle w:val="TableParagraph"/>
              <w:spacing w:before="4"/>
              <w:ind w:right="207"/>
              <w:jc w:val="right"/>
              <w:rPr>
                <w:sz w:val="13"/>
              </w:rPr>
            </w:pPr>
            <w:r>
              <w:rPr>
                <w:w w:val="105"/>
                <w:sz w:val="13"/>
              </w:rPr>
              <w:t>120</w:t>
            </w:r>
          </w:p>
        </w:tc>
        <w:tc>
          <w:tcPr>
            <w:tcW w:w="732" w:type="dxa"/>
          </w:tcPr>
          <w:p>
            <w:pPr>
              <w:pStyle w:val="TableParagraph"/>
              <w:spacing w:before="4"/>
              <w:ind w:right="265"/>
              <w:jc w:val="right"/>
              <w:rPr>
                <w:sz w:val="13"/>
              </w:rPr>
            </w:pPr>
            <w:r>
              <w:rPr>
                <w:w w:val="105"/>
                <w:sz w:val="13"/>
              </w:rPr>
              <w:t>2 417</w:t>
            </w:r>
          </w:p>
        </w:tc>
      </w:tr>
      <w:tr>
        <w:trPr>
          <w:trHeight w:val="170" w:hRule="exact"/>
        </w:trPr>
        <w:tc>
          <w:tcPr>
            <w:tcW w:w="732" w:type="dxa"/>
            <w:shd w:val="clear" w:color="auto" w:fill="F1DCDB"/>
          </w:tcPr>
          <w:p>
            <w:pPr>
              <w:pStyle w:val="TableParagraph"/>
              <w:spacing w:before="4"/>
              <w:ind w:left="267" w:right="262"/>
              <w:jc w:val="center"/>
              <w:rPr>
                <w:sz w:val="13"/>
              </w:rPr>
            </w:pPr>
            <w:r>
              <w:rPr>
                <w:w w:val="105"/>
                <w:sz w:val="13"/>
              </w:rPr>
              <w:t>15</w:t>
            </w:r>
          </w:p>
        </w:tc>
        <w:tc>
          <w:tcPr>
            <w:tcW w:w="732" w:type="dxa"/>
            <w:shd w:val="clear" w:color="auto" w:fill="F1DCDB"/>
          </w:tcPr>
          <w:p>
            <w:pPr>
              <w:pStyle w:val="TableParagraph"/>
              <w:spacing w:before="4"/>
              <w:ind w:left="26" w:right="22"/>
              <w:jc w:val="center"/>
              <w:rPr>
                <w:sz w:val="13"/>
              </w:rPr>
            </w:pPr>
            <w:r>
              <w:rPr>
                <w:w w:val="105"/>
                <w:sz w:val="13"/>
              </w:rPr>
              <w:t>019</w:t>
            </w:r>
          </w:p>
        </w:tc>
        <w:tc>
          <w:tcPr>
            <w:tcW w:w="1700" w:type="dxa"/>
            <w:shd w:val="clear" w:color="auto" w:fill="F1DCDB"/>
          </w:tcPr>
          <w:p>
            <w:pPr>
              <w:pStyle w:val="TableParagraph"/>
              <w:spacing w:before="4"/>
              <w:ind w:left="20"/>
              <w:rPr>
                <w:sz w:val="13"/>
              </w:rPr>
            </w:pPr>
            <w:r>
              <w:rPr>
                <w:w w:val="105"/>
                <w:sz w:val="13"/>
              </w:rPr>
              <w:t>Capulhuac</w:t>
            </w:r>
          </w:p>
        </w:tc>
        <w:tc>
          <w:tcPr>
            <w:tcW w:w="1058" w:type="dxa"/>
            <w:shd w:val="clear" w:color="auto" w:fill="F1DCDB"/>
          </w:tcPr>
          <w:p>
            <w:pPr>
              <w:pStyle w:val="TableParagraph"/>
              <w:spacing w:before="4"/>
              <w:ind w:right="266"/>
              <w:jc w:val="right"/>
              <w:rPr>
                <w:sz w:val="13"/>
              </w:rPr>
            </w:pPr>
            <w:r>
              <w:rPr>
                <w:w w:val="105"/>
                <w:sz w:val="13"/>
              </w:rPr>
              <w:t>34 101</w:t>
            </w:r>
          </w:p>
        </w:tc>
        <w:tc>
          <w:tcPr>
            <w:tcW w:w="913" w:type="dxa"/>
            <w:shd w:val="clear" w:color="auto" w:fill="F1DCDB"/>
          </w:tcPr>
          <w:p>
            <w:pPr>
              <w:pStyle w:val="TableParagraph"/>
              <w:spacing w:before="4"/>
              <w:ind w:left="350" w:right="-6"/>
              <w:rPr>
                <w:sz w:val="13"/>
              </w:rPr>
            </w:pPr>
            <w:r>
              <w:rPr>
                <w:w w:val="105"/>
                <w:sz w:val="13"/>
              </w:rPr>
              <w:t>-1.27162</w:t>
            </w:r>
          </w:p>
        </w:tc>
        <w:tc>
          <w:tcPr>
            <w:tcW w:w="878" w:type="dxa"/>
            <w:shd w:val="clear" w:color="auto" w:fill="F1DCDB"/>
          </w:tcPr>
          <w:p>
            <w:pPr>
              <w:pStyle w:val="TableParagraph"/>
              <w:spacing w:before="4"/>
              <w:ind w:left="143" w:right="131"/>
              <w:jc w:val="center"/>
              <w:rPr>
                <w:sz w:val="13"/>
              </w:rPr>
            </w:pPr>
            <w:r>
              <w:rPr>
                <w:w w:val="105"/>
                <w:sz w:val="13"/>
              </w:rPr>
              <w:t>Muy bajo</w:t>
            </w:r>
          </w:p>
        </w:tc>
        <w:tc>
          <w:tcPr>
            <w:tcW w:w="888" w:type="dxa"/>
            <w:shd w:val="clear" w:color="auto" w:fill="F1DCDB"/>
          </w:tcPr>
          <w:p>
            <w:pPr>
              <w:pStyle w:val="TableParagraph"/>
              <w:spacing w:before="4"/>
              <w:ind w:right="266"/>
              <w:jc w:val="right"/>
              <w:rPr>
                <w:sz w:val="13"/>
              </w:rPr>
            </w:pPr>
            <w:r>
              <w:rPr>
                <w:sz w:val="13"/>
              </w:rPr>
              <w:t>13.304</w:t>
            </w:r>
          </w:p>
        </w:tc>
        <w:tc>
          <w:tcPr>
            <w:tcW w:w="732" w:type="dxa"/>
            <w:shd w:val="clear" w:color="auto" w:fill="F1DCDB"/>
          </w:tcPr>
          <w:p>
            <w:pPr>
              <w:pStyle w:val="TableParagraph"/>
              <w:spacing w:before="4"/>
              <w:ind w:right="246"/>
              <w:jc w:val="right"/>
              <w:rPr>
                <w:sz w:val="13"/>
              </w:rPr>
            </w:pPr>
            <w:r>
              <w:rPr>
                <w:w w:val="105"/>
                <w:sz w:val="13"/>
              </w:rPr>
              <w:t>89</w:t>
            </w:r>
          </w:p>
        </w:tc>
        <w:tc>
          <w:tcPr>
            <w:tcW w:w="732" w:type="dxa"/>
            <w:shd w:val="clear" w:color="auto" w:fill="F1DCDB"/>
          </w:tcPr>
          <w:p>
            <w:pPr>
              <w:pStyle w:val="TableParagraph"/>
              <w:spacing w:before="4"/>
              <w:ind w:right="265"/>
              <w:jc w:val="right"/>
              <w:rPr>
                <w:sz w:val="13"/>
              </w:rPr>
            </w:pPr>
            <w:r>
              <w:rPr>
                <w:w w:val="105"/>
                <w:sz w:val="13"/>
              </w:rPr>
              <w:t>2 209</w:t>
            </w:r>
          </w:p>
        </w:tc>
      </w:tr>
      <w:tr>
        <w:trPr>
          <w:trHeight w:val="170" w:hRule="exact"/>
        </w:trPr>
        <w:tc>
          <w:tcPr>
            <w:tcW w:w="732" w:type="dxa"/>
          </w:tcPr>
          <w:p>
            <w:pPr>
              <w:pStyle w:val="TableParagraph"/>
              <w:spacing w:before="4"/>
              <w:ind w:left="267" w:right="262"/>
              <w:jc w:val="center"/>
              <w:rPr>
                <w:sz w:val="13"/>
              </w:rPr>
            </w:pPr>
            <w:r>
              <w:rPr>
                <w:w w:val="105"/>
                <w:sz w:val="13"/>
              </w:rPr>
              <w:t>15</w:t>
            </w:r>
          </w:p>
        </w:tc>
        <w:tc>
          <w:tcPr>
            <w:tcW w:w="732" w:type="dxa"/>
          </w:tcPr>
          <w:p>
            <w:pPr>
              <w:pStyle w:val="TableParagraph"/>
              <w:spacing w:before="4"/>
              <w:ind w:left="26" w:right="22"/>
              <w:jc w:val="center"/>
              <w:rPr>
                <w:sz w:val="13"/>
              </w:rPr>
            </w:pPr>
            <w:r>
              <w:rPr>
                <w:w w:val="105"/>
                <w:sz w:val="13"/>
              </w:rPr>
              <w:t>020</w:t>
            </w:r>
          </w:p>
        </w:tc>
        <w:tc>
          <w:tcPr>
            <w:tcW w:w="1700" w:type="dxa"/>
          </w:tcPr>
          <w:p>
            <w:pPr>
              <w:pStyle w:val="TableParagraph"/>
              <w:spacing w:before="4"/>
              <w:ind w:left="20"/>
              <w:rPr>
                <w:sz w:val="13"/>
              </w:rPr>
            </w:pPr>
            <w:r>
              <w:rPr>
                <w:w w:val="105"/>
                <w:sz w:val="13"/>
              </w:rPr>
              <w:t>Coacalco de Berriozábal</w:t>
            </w:r>
          </w:p>
        </w:tc>
        <w:tc>
          <w:tcPr>
            <w:tcW w:w="1058" w:type="dxa"/>
          </w:tcPr>
          <w:p>
            <w:pPr>
              <w:pStyle w:val="TableParagraph"/>
              <w:spacing w:before="4"/>
              <w:ind w:right="268"/>
              <w:jc w:val="right"/>
              <w:rPr>
                <w:sz w:val="13"/>
              </w:rPr>
            </w:pPr>
            <w:r>
              <w:rPr>
                <w:w w:val="105"/>
                <w:sz w:val="13"/>
              </w:rPr>
              <w:t>278 064</w:t>
            </w:r>
          </w:p>
        </w:tc>
        <w:tc>
          <w:tcPr>
            <w:tcW w:w="913" w:type="dxa"/>
          </w:tcPr>
          <w:p>
            <w:pPr>
              <w:pStyle w:val="TableParagraph"/>
              <w:spacing w:before="4"/>
              <w:ind w:left="350" w:right="-6"/>
              <w:rPr>
                <w:sz w:val="13"/>
              </w:rPr>
            </w:pPr>
            <w:r>
              <w:rPr>
                <w:w w:val="105"/>
                <w:sz w:val="13"/>
              </w:rPr>
              <w:t>-2.05024</w:t>
            </w:r>
          </w:p>
        </w:tc>
        <w:tc>
          <w:tcPr>
            <w:tcW w:w="878" w:type="dxa"/>
          </w:tcPr>
          <w:p>
            <w:pPr>
              <w:pStyle w:val="TableParagraph"/>
              <w:spacing w:before="4"/>
              <w:ind w:left="143" w:right="131"/>
              <w:jc w:val="center"/>
              <w:rPr>
                <w:sz w:val="13"/>
              </w:rPr>
            </w:pPr>
            <w:r>
              <w:rPr>
                <w:w w:val="105"/>
                <w:sz w:val="13"/>
              </w:rPr>
              <w:t>Muy bajo</w:t>
            </w:r>
          </w:p>
        </w:tc>
        <w:tc>
          <w:tcPr>
            <w:tcW w:w="888" w:type="dxa"/>
          </w:tcPr>
          <w:p>
            <w:pPr>
              <w:pStyle w:val="TableParagraph"/>
              <w:spacing w:before="4"/>
              <w:ind w:right="264"/>
              <w:jc w:val="right"/>
              <w:rPr>
                <w:sz w:val="13"/>
              </w:rPr>
            </w:pPr>
            <w:r>
              <w:rPr>
                <w:w w:val="105"/>
                <w:sz w:val="13"/>
              </w:rPr>
              <w:t>4.506</w:t>
            </w:r>
          </w:p>
        </w:tc>
        <w:tc>
          <w:tcPr>
            <w:tcW w:w="732" w:type="dxa"/>
          </w:tcPr>
          <w:p>
            <w:pPr>
              <w:pStyle w:val="TableParagraph"/>
              <w:spacing w:before="4"/>
              <w:ind w:right="207"/>
              <w:jc w:val="right"/>
              <w:rPr>
                <w:sz w:val="13"/>
              </w:rPr>
            </w:pPr>
            <w:r>
              <w:rPr>
                <w:w w:val="105"/>
                <w:sz w:val="13"/>
              </w:rPr>
              <w:t>125</w:t>
            </w:r>
          </w:p>
        </w:tc>
        <w:tc>
          <w:tcPr>
            <w:tcW w:w="732" w:type="dxa"/>
          </w:tcPr>
          <w:p>
            <w:pPr>
              <w:pStyle w:val="TableParagraph"/>
              <w:spacing w:before="4"/>
              <w:ind w:right="265"/>
              <w:jc w:val="right"/>
              <w:rPr>
                <w:sz w:val="13"/>
              </w:rPr>
            </w:pPr>
            <w:r>
              <w:rPr>
                <w:w w:val="105"/>
                <w:sz w:val="13"/>
              </w:rPr>
              <w:t>2 451</w:t>
            </w:r>
          </w:p>
        </w:tc>
      </w:tr>
      <w:tr>
        <w:trPr>
          <w:trHeight w:val="171" w:hRule="exact"/>
        </w:trPr>
        <w:tc>
          <w:tcPr>
            <w:tcW w:w="732" w:type="dxa"/>
            <w:shd w:val="clear" w:color="auto" w:fill="F1DCDB"/>
          </w:tcPr>
          <w:p>
            <w:pPr>
              <w:pStyle w:val="TableParagraph"/>
              <w:spacing w:before="4"/>
              <w:ind w:left="267" w:right="262"/>
              <w:jc w:val="center"/>
              <w:rPr>
                <w:sz w:val="13"/>
              </w:rPr>
            </w:pPr>
            <w:r>
              <w:rPr>
                <w:w w:val="105"/>
                <w:sz w:val="13"/>
              </w:rPr>
              <w:t>15</w:t>
            </w:r>
          </w:p>
        </w:tc>
        <w:tc>
          <w:tcPr>
            <w:tcW w:w="732" w:type="dxa"/>
            <w:shd w:val="clear" w:color="auto" w:fill="F1DCDB"/>
          </w:tcPr>
          <w:p>
            <w:pPr>
              <w:pStyle w:val="TableParagraph"/>
              <w:spacing w:before="4"/>
              <w:ind w:left="26" w:right="22"/>
              <w:jc w:val="center"/>
              <w:rPr>
                <w:sz w:val="13"/>
              </w:rPr>
            </w:pPr>
            <w:r>
              <w:rPr>
                <w:w w:val="105"/>
                <w:sz w:val="13"/>
              </w:rPr>
              <w:t>022</w:t>
            </w:r>
          </w:p>
        </w:tc>
        <w:tc>
          <w:tcPr>
            <w:tcW w:w="1700" w:type="dxa"/>
            <w:shd w:val="clear" w:color="auto" w:fill="F1DCDB"/>
          </w:tcPr>
          <w:p>
            <w:pPr>
              <w:pStyle w:val="TableParagraph"/>
              <w:spacing w:before="4"/>
              <w:ind w:left="20"/>
              <w:rPr>
                <w:sz w:val="13"/>
              </w:rPr>
            </w:pPr>
            <w:r>
              <w:rPr>
                <w:w w:val="105"/>
                <w:sz w:val="13"/>
              </w:rPr>
              <w:t>Cocotitlán</w:t>
            </w:r>
          </w:p>
        </w:tc>
        <w:tc>
          <w:tcPr>
            <w:tcW w:w="1058" w:type="dxa"/>
            <w:shd w:val="clear" w:color="auto" w:fill="F1DCDB"/>
          </w:tcPr>
          <w:p>
            <w:pPr>
              <w:pStyle w:val="TableParagraph"/>
              <w:spacing w:before="4"/>
              <w:ind w:right="266"/>
              <w:jc w:val="right"/>
              <w:rPr>
                <w:sz w:val="13"/>
              </w:rPr>
            </w:pPr>
            <w:r>
              <w:rPr>
                <w:w w:val="105"/>
                <w:sz w:val="13"/>
              </w:rPr>
              <w:t>12 142</w:t>
            </w:r>
          </w:p>
        </w:tc>
        <w:tc>
          <w:tcPr>
            <w:tcW w:w="913" w:type="dxa"/>
            <w:shd w:val="clear" w:color="auto" w:fill="F1DCDB"/>
          </w:tcPr>
          <w:p>
            <w:pPr>
              <w:pStyle w:val="TableParagraph"/>
              <w:spacing w:before="4"/>
              <w:ind w:left="350" w:right="-6"/>
              <w:rPr>
                <w:sz w:val="13"/>
              </w:rPr>
            </w:pPr>
            <w:r>
              <w:rPr>
                <w:w w:val="105"/>
                <w:sz w:val="13"/>
              </w:rPr>
              <w:t>-1.32818</w:t>
            </w:r>
          </w:p>
        </w:tc>
        <w:tc>
          <w:tcPr>
            <w:tcW w:w="878" w:type="dxa"/>
            <w:shd w:val="clear" w:color="auto" w:fill="F1DCDB"/>
          </w:tcPr>
          <w:p>
            <w:pPr>
              <w:pStyle w:val="TableParagraph"/>
              <w:spacing w:before="4"/>
              <w:ind w:left="143" w:right="131"/>
              <w:jc w:val="center"/>
              <w:rPr>
                <w:sz w:val="13"/>
              </w:rPr>
            </w:pPr>
            <w:r>
              <w:rPr>
                <w:w w:val="105"/>
                <w:sz w:val="13"/>
              </w:rPr>
              <w:t>Muy bajo</w:t>
            </w:r>
          </w:p>
        </w:tc>
        <w:tc>
          <w:tcPr>
            <w:tcW w:w="888" w:type="dxa"/>
            <w:shd w:val="clear" w:color="auto" w:fill="F1DCDB"/>
          </w:tcPr>
          <w:p>
            <w:pPr>
              <w:pStyle w:val="TableParagraph"/>
              <w:spacing w:before="4"/>
              <w:ind w:right="266"/>
              <w:jc w:val="right"/>
              <w:rPr>
                <w:sz w:val="13"/>
              </w:rPr>
            </w:pPr>
            <w:r>
              <w:rPr>
                <w:sz w:val="13"/>
              </w:rPr>
              <w:t>12.665</w:t>
            </w:r>
          </w:p>
        </w:tc>
        <w:tc>
          <w:tcPr>
            <w:tcW w:w="732" w:type="dxa"/>
            <w:shd w:val="clear" w:color="auto" w:fill="F1DCDB"/>
          </w:tcPr>
          <w:p>
            <w:pPr>
              <w:pStyle w:val="TableParagraph"/>
              <w:spacing w:before="4"/>
              <w:ind w:right="246"/>
              <w:jc w:val="right"/>
              <w:rPr>
                <w:sz w:val="13"/>
              </w:rPr>
            </w:pPr>
            <w:r>
              <w:rPr>
                <w:w w:val="105"/>
                <w:sz w:val="13"/>
              </w:rPr>
              <w:t>95</w:t>
            </w:r>
          </w:p>
        </w:tc>
        <w:tc>
          <w:tcPr>
            <w:tcW w:w="732" w:type="dxa"/>
            <w:shd w:val="clear" w:color="auto" w:fill="F1DCDB"/>
          </w:tcPr>
          <w:p>
            <w:pPr>
              <w:pStyle w:val="TableParagraph"/>
              <w:spacing w:before="4"/>
              <w:ind w:right="265"/>
              <w:jc w:val="right"/>
              <w:rPr>
                <w:sz w:val="13"/>
              </w:rPr>
            </w:pPr>
            <w:r>
              <w:rPr>
                <w:w w:val="105"/>
                <w:sz w:val="13"/>
              </w:rPr>
              <w:t>2 243</w:t>
            </w:r>
          </w:p>
        </w:tc>
      </w:tr>
      <w:tr>
        <w:trPr>
          <w:trHeight w:val="170" w:hRule="exact"/>
        </w:trPr>
        <w:tc>
          <w:tcPr>
            <w:tcW w:w="732" w:type="dxa"/>
          </w:tcPr>
          <w:p>
            <w:pPr>
              <w:pStyle w:val="TableParagraph"/>
              <w:spacing w:before="3"/>
              <w:ind w:left="267" w:right="262"/>
              <w:jc w:val="center"/>
              <w:rPr>
                <w:sz w:val="13"/>
              </w:rPr>
            </w:pPr>
            <w:r>
              <w:rPr>
                <w:w w:val="105"/>
                <w:sz w:val="13"/>
              </w:rPr>
              <w:t>15</w:t>
            </w:r>
          </w:p>
        </w:tc>
        <w:tc>
          <w:tcPr>
            <w:tcW w:w="732" w:type="dxa"/>
          </w:tcPr>
          <w:p>
            <w:pPr>
              <w:pStyle w:val="TableParagraph"/>
              <w:spacing w:before="3"/>
              <w:ind w:left="26" w:right="22"/>
              <w:jc w:val="center"/>
              <w:rPr>
                <w:sz w:val="13"/>
              </w:rPr>
            </w:pPr>
            <w:r>
              <w:rPr>
                <w:w w:val="105"/>
                <w:sz w:val="13"/>
              </w:rPr>
              <w:t>024</w:t>
            </w:r>
          </w:p>
        </w:tc>
        <w:tc>
          <w:tcPr>
            <w:tcW w:w="1700" w:type="dxa"/>
          </w:tcPr>
          <w:p>
            <w:pPr>
              <w:pStyle w:val="TableParagraph"/>
              <w:spacing w:before="3"/>
              <w:ind w:left="20"/>
              <w:rPr>
                <w:sz w:val="13"/>
              </w:rPr>
            </w:pPr>
            <w:r>
              <w:rPr>
                <w:w w:val="105"/>
                <w:sz w:val="13"/>
              </w:rPr>
              <w:t>Cuautitlán</w:t>
            </w:r>
          </w:p>
        </w:tc>
        <w:tc>
          <w:tcPr>
            <w:tcW w:w="1058" w:type="dxa"/>
          </w:tcPr>
          <w:p>
            <w:pPr>
              <w:pStyle w:val="TableParagraph"/>
              <w:spacing w:before="3"/>
              <w:ind w:right="268"/>
              <w:jc w:val="right"/>
              <w:rPr>
                <w:sz w:val="13"/>
              </w:rPr>
            </w:pPr>
            <w:r>
              <w:rPr>
                <w:w w:val="105"/>
                <w:sz w:val="13"/>
              </w:rPr>
              <w:t>140 059</w:t>
            </w:r>
          </w:p>
        </w:tc>
        <w:tc>
          <w:tcPr>
            <w:tcW w:w="913" w:type="dxa"/>
          </w:tcPr>
          <w:p>
            <w:pPr>
              <w:pStyle w:val="TableParagraph"/>
              <w:spacing w:before="3"/>
              <w:ind w:left="350" w:right="-6"/>
              <w:rPr>
                <w:sz w:val="13"/>
              </w:rPr>
            </w:pPr>
            <w:r>
              <w:rPr>
                <w:w w:val="105"/>
                <w:sz w:val="13"/>
              </w:rPr>
              <w:t>-1.88018</w:t>
            </w:r>
          </w:p>
        </w:tc>
        <w:tc>
          <w:tcPr>
            <w:tcW w:w="878" w:type="dxa"/>
          </w:tcPr>
          <w:p>
            <w:pPr>
              <w:pStyle w:val="TableParagraph"/>
              <w:spacing w:before="3"/>
              <w:ind w:left="143" w:right="131"/>
              <w:jc w:val="center"/>
              <w:rPr>
                <w:sz w:val="13"/>
              </w:rPr>
            </w:pPr>
            <w:r>
              <w:rPr>
                <w:w w:val="105"/>
                <w:sz w:val="13"/>
              </w:rPr>
              <w:t>Muy bajo</w:t>
            </w:r>
          </w:p>
        </w:tc>
        <w:tc>
          <w:tcPr>
            <w:tcW w:w="888" w:type="dxa"/>
          </w:tcPr>
          <w:p>
            <w:pPr>
              <w:pStyle w:val="TableParagraph"/>
              <w:spacing w:before="3"/>
              <w:ind w:right="264"/>
              <w:jc w:val="right"/>
              <w:rPr>
                <w:sz w:val="13"/>
              </w:rPr>
            </w:pPr>
            <w:r>
              <w:rPr>
                <w:w w:val="105"/>
                <w:sz w:val="13"/>
              </w:rPr>
              <w:t>6.427</w:t>
            </w:r>
          </w:p>
        </w:tc>
        <w:tc>
          <w:tcPr>
            <w:tcW w:w="732" w:type="dxa"/>
          </w:tcPr>
          <w:p>
            <w:pPr>
              <w:pStyle w:val="TableParagraph"/>
              <w:spacing w:before="3"/>
              <w:ind w:right="207"/>
              <w:jc w:val="right"/>
              <w:rPr>
                <w:sz w:val="13"/>
              </w:rPr>
            </w:pPr>
            <w:r>
              <w:rPr>
                <w:w w:val="105"/>
                <w:sz w:val="13"/>
              </w:rPr>
              <w:t>122</w:t>
            </w:r>
          </w:p>
        </w:tc>
        <w:tc>
          <w:tcPr>
            <w:tcW w:w="732" w:type="dxa"/>
          </w:tcPr>
          <w:p>
            <w:pPr>
              <w:pStyle w:val="TableParagraph"/>
              <w:spacing w:before="3"/>
              <w:ind w:right="265"/>
              <w:jc w:val="right"/>
              <w:rPr>
                <w:sz w:val="13"/>
              </w:rPr>
            </w:pPr>
            <w:r>
              <w:rPr>
                <w:w w:val="105"/>
                <w:sz w:val="13"/>
              </w:rPr>
              <w:t>2 432</w:t>
            </w:r>
          </w:p>
        </w:tc>
      </w:tr>
      <w:tr>
        <w:trPr>
          <w:trHeight w:val="170" w:hRule="exact"/>
        </w:trPr>
        <w:tc>
          <w:tcPr>
            <w:tcW w:w="732" w:type="dxa"/>
            <w:shd w:val="clear" w:color="auto" w:fill="F1DCDB"/>
          </w:tcPr>
          <w:p>
            <w:pPr>
              <w:pStyle w:val="TableParagraph"/>
              <w:spacing w:before="2"/>
              <w:ind w:left="267" w:right="262"/>
              <w:jc w:val="center"/>
              <w:rPr>
                <w:sz w:val="13"/>
              </w:rPr>
            </w:pPr>
            <w:r>
              <w:rPr>
                <w:w w:val="105"/>
                <w:sz w:val="13"/>
              </w:rPr>
              <w:t>15</w:t>
            </w:r>
          </w:p>
        </w:tc>
        <w:tc>
          <w:tcPr>
            <w:tcW w:w="732" w:type="dxa"/>
            <w:shd w:val="clear" w:color="auto" w:fill="F1DCDB"/>
          </w:tcPr>
          <w:p>
            <w:pPr>
              <w:pStyle w:val="TableParagraph"/>
              <w:spacing w:before="2"/>
              <w:ind w:left="26" w:right="22"/>
              <w:jc w:val="center"/>
              <w:rPr>
                <w:sz w:val="13"/>
              </w:rPr>
            </w:pPr>
            <w:r>
              <w:rPr>
                <w:w w:val="105"/>
                <w:sz w:val="13"/>
              </w:rPr>
              <w:t>027</w:t>
            </w:r>
          </w:p>
        </w:tc>
        <w:tc>
          <w:tcPr>
            <w:tcW w:w="1700" w:type="dxa"/>
            <w:shd w:val="clear" w:color="auto" w:fill="F1DCDB"/>
          </w:tcPr>
          <w:p>
            <w:pPr>
              <w:pStyle w:val="TableParagraph"/>
              <w:spacing w:before="2"/>
              <w:ind w:left="20"/>
              <w:rPr>
                <w:sz w:val="13"/>
              </w:rPr>
            </w:pPr>
            <w:r>
              <w:rPr>
                <w:w w:val="105"/>
                <w:sz w:val="13"/>
              </w:rPr>
              <w:t>Chapultepec</w:t>
            </w:r>
          </w:p>
        </w:tc>
        <w:tc>
          <w:tcPr>
            <w:tcW w:w="1058" w:type="dxa"/>
            <w:shd w:val="clear" w:color="auto" w:fill="F1DCDB"/>
          </w:tcPr>
          <w:p>
            <w:pPr>
              <w:pStyle w:val="TableParagraph"/>
              <w:spacing w:before="2"/>
              <w:ind w:right="265"/>
              <w:jc w:val="right"/>
              <w:rPr>
                <w:sz w:val="13"/>
              </w:rPr>
            </w:pPr>
            <w:r>
              <w:rPr>
                <w:w w:val="105"/>
                <w:sz w:val="13"/>
              </w:rPr>
              <w:t>9 676</w:t>
            </w:r>
          </w:p>
        </w:tc>
        <w:tc>
          <w:tcPr>
            <w:tcW w:w="913" w:type="dxa"/>
            <w:shd w:val="clear" w:color="auto" w:fill="F1DCDB"/>
          </w:tcPr>
          <w:p>
            <w:pPr>
              <w:pStyle w:val="TableParagraph"/>
              <w:spacing w:before="2"/>
              <w:ind w:left="350" w:right="-6"/>
              <w:rPr>
                <w:sz w:val="13"/>
              </w:rPr>
            </w:pPr>
            <w:r>
              <w:rPr>
                <w:w w:val="105"/>
                <w:sz w:val="13"/>
              </w:rPr>
              <w:t>-1.39025</w:t>
            </w:r>
          </w:p>
        </w:tc>
        <w:tc>
          <w:tcPr>
            <w:tcW w:w="878" w:type="dxa"/>
            <w:shd w:val="clear" w:color="auto" w:fill="F1DCDB"/>
          </w:tcPr>
          <w:p>
            <w:pPr>
              <w:pStyle w:val="TableParagraph"/>
              <w:spacing w:before="2"/>
              <w:ind w:left="143" w:right="131"/>
              <w:jc w:val="center"/>
              <w:rPr>
                <w:sz w:val="13"/>
              </w:rPr>
            </w:pPr>
            <w:r>
              <w:rPr>
                <w:w w:val="105"/>
                <w:sz w:val="13"/>
              </w:rPr>
              <w:t>Muy bajo</w:t>
            </w:r>
          </w:p>
        </w:tc>
        <w:tc>
          <w:tcPr>
            <w:tcW w:w="888" w:type="dxa"/>
            <w:shd w:val="clear" w:color="auto" w:fill="F1DCDB"/>
          </w:tcPr>
          <w:p>
            <w:pPr>
              <w:pStyle w:val="TableParagraph"/>
              <w:spacing w:before="2"/>
              <w:ind w:right="259"/>
              <w:jc w:val="right"/>
              <w:rPr>
                <w:sz w:val="13"/>
              </w:rPr>
            </w:pPr>
            <w:r>
              <w:rPr>
                <w:w w:val="105"/>
                <w:sz w:val="13"/>
              </w:rPr>
              <w:t>11.963</w:t>
            </w:r>
          </w:p>
        </w:tc>
        <w:tc>
          <w:tcPr>
            <w:tcW w:w="732" w:type="dxa"/>
            <w:shd w:val="clear" w:color="auto" w:fill="F1DCDB"/>
          </w:tcPr>
          <w:p>
            <w:pPr>
              <w:pStyle w:val="TableParagraph"/>
              <w:spacing w:before="2"/>
              <w:ind w:right="207"/>
              <w:jc w:val="right"/>
              <w:rPr>
                <w:sz w:val="13"/>
              </w:rPr>
            </w:pPr>
            <w:r>
              <w:rPr>
                <w:w w:val="105"/>
                <w:sz w:val="13"/>
              </w:rPr>
              <w:t>101</w:t>
            </w:r>
          </w:p>
        </w:tc>
        <w:tc>
          <w:tcPr>
            <w:tcW w:w="732" w:type="dxa"/>
            <w:shd w:val="clear" w:color="auto" w:fill="F1DCDB"/>
          </w:tcPr>
          <w:p>
            <w:pPr>
              <w:pStyle w:val="TableParagraph"/>
              <w:spacing w:before="2"/>
              <w:ind w:right="265"/>
              <w:jc w:val="right"/>
              <w:rPr>
                <w:sz w:val="13"/>
              </w:rPr>
            </w:pPr>
            <w:r>
              <w:rPr>
                <w:w w:val="105"/>
                <w:sz w:val="13"/>
              </w:rPr>
              <w:t>2 280</w:t>
            </w:r>
          </w:p>
        </w:tc>
      </w:tr>
      <w:tr>
        <w:trPr>
          <w:trHeight w:val="170" w:hRule="exact"/>
        </w:trPr>
        <w:tc>
          <w:tcPr>
            <w:tcW w:w="732" w:type="dxa"/>
          </w:tcPr>
          <w:p>
            <w:pPr>
              <w:pStyle w:val="TableParagraph"/>
              <w:spacing w:before="2"/>
              <w:ind w:left="267" w:right="262"/>
              <w:jc w:val="center"/>
              <w:rPr>
                <w:sz w:val="13"/>
              </w:rPr>
            </w:pPr>
            <w:r>
              <w:rPr>
                <w:w w:val="105"/>
                <w:sz w:val="13"/>
              </w:rPr>
              <w:t>15</w:t>
            </w:r>
          </w:p>
        </w:tc>
        <w:tc>
          <w:tcPr>
            <w:tcW w:w="732" w:type="dxa"/>
          </w:tcPr>
          <w:p>
            <w:pPr>
              <w:pStyle w:val="TableParagraph"/>
              <w:spacing w:before="2"/>
              <w:ind w:left="26" w:right="22"/>
              <w:jc w:val="center"/>
              <w:rPr>
                <w:sz w:val="13"/>
              </w:rPr>
            </w:pPr>
            <w:r>
              <w:rPr>
                <w:w w:val="105"/>
                <w:sz w:val="13"/>
              </w:rPr>
              <w:t>029</w:t>
            </w:r>
          </w:p>
        </w:tc>
        <w:tc>
          <w:tcPr>
            <w:tcW w:w="1700" w:type="dxa"/>
          </w:tcPr>
          <w:p>
            <w:pPr>
              <w:pStyle w:val="TableParagraph"/>
              <w:spacing w:before="2"/>
              <w:ind w:left="20"/>
              <w:rPr>
                <w:sz w:val="13"/>
              </w:rPr>
            </w:pPr>
            <w:r>
              <w:rPr>
                <w:w w:val="105"/>
                <w:sz w:val="13"/>
              </w:rPr>
              <w:t>Chicoloapan</w:t>
            </w:r>
          </w:p>
        </w:tc>
        <w:tc>
          <w:tcPr>
            <w:tcW w:w="1058" w:type="dxa"/>
          </w:tcPr>
          <w:p>
            <w:pPr>
              <w:pStyle w:val="TableParagraph"/>
              <w:spacing w:before="2"/>
              <w:ind w:right="268"/>
              <w:jc w:val="right"/>
              <w:rPr>
                <w:sz w:val="13"/>
              </w:rPr>
            </w:pPr>
            <w:r>
              <w:rPr>
                <w:w w:val="105"/>
                <w:sz w:val="13"/>
              </w:rPr>
              <w:t>175 053</w:t>
            </w:r>
          </w:p>
        </w:tc>
        <w:tc>
          <w:tcPr>
            <w:tcW w:w="913" w:type="dxa"/>
          </w:tcPr>
          <w:p>
            <w:pPr>
              <w:pStyle w:val="TableParagraph"/>
              <w:spacing w:before="2"/>
              <w:ind w:left="350" w:right="-6"/>
              <w:rPr>
                <w:sz w:val="13"/>
              </w:rPr>
            </w:pPr>
            <w:r>
              <w:rPr>
                <w:w w:val="105"/>
                <w:sz w:val="13"/>
              </w:rPr>
              <w:t>-1.57633</w:t>
            </w:r>
          </w:p>
        </w:tc>
        <w:tc>
          <w:tcPr>
            <w:tcW w:w="878" w:type="dxa"/>
          </w:tcPr>
          <w:p>
            <w:pPr>
              <w:pStyle w:val="TableParagraph"/>
              <w:spacing w:before="2"/>
              <w:ind w:left="143" w:right="131"/>
              <w:jc w:val="center"/>
              <w:rPr>
                <w:sz w:val="13"/>
              </w:rPr>
            </w:pPr>
            <w:r>
              <w:rPr>
                <w:w w:val="105"/>
                <w:sz w:val="13"/>
              </w:rPr>
              <w:t>Muy bajo</w:t>
            </w:r>
          </w:p>
        </w:tc>
        <w:tc>
          <w:tcPr>
            <w:tcW w:w="888" w:type="dxa"/>
          </w:tcPr>
          <w:p>
            <w:pPr>
              <w:pStyle w:val="TableParagraph"/>
              <w:spacing w:before="2"/>
              <w:ind w:right="264"/>
              <w:jc w:val="right"/>
              <w:rPr>
                <w:sz w:val="13"/>
              </w:rPr>
            </w:pPr>
            <w:r>
              <w:rPr>
                <w:w w:val="105"/>
                <w:sz w:val="13"/>
              </w:rPr>
              <w:t>9.860</w:t>
            </w:r>
          </w:p>
        </w:tc>
        <w:tc>
          <w:tcPr>
            <w:tcW w:w="732" w:type="dxa"/>
          </w:tcPr>
          <w:p>
            <w:pPr>
              <w:pStyle w:val="TableParagraph"/>
              <w:spacing w:before="2"/>
              <w:ind w:right="211"/>
              <w:jc w:val="right"/>
              <w:rPr>
                <w:sz w:val="13"/>
              </w:rPr>
            </w:pPr>
            <w:r>
              <w:rPr>
                <w:sz w:val="13"/>
              </w:rPr>
              <w:t>110</w:t>
            </w:r>
          </w:p>
        </w:tc>
        <w:tc>
          <w:tcPr>
            <w:tcW w:w="732" w:type="dxa"/>
          </w:tcPr>
          <w:p>
            <w:pPr>
              <w:pStyle w:val="TableParagraph"/>
              <w:spacing w:before="2"/>
              <w:ind w:right="265"/>
              <w:jc w:val="right"/>
              <w:rPr>
                <w:sz w:val="13"/>
              </w:rPr>
            </w:pPr>
            <w:r>
              <w:rPr>
                <w:w w:val="105"/>
                <w:sz w:val="13"/>
              </w:rPr>
              <w:t>2 339</w:t>
            </w:r>
          </w:p>
        </w:tc>
      </w:tr>
      <w:tr>
        <w:trPr>
          <w:trHeight w:val="170" w:hRule="exact"/>
        </w:trPr>
        <w:tc>
          <w:tcPr>
            <w:tcW w:w="732" w:type="dxa"/>
            <w:shd w:val="clear" w:color="auto" w:fill="F1DCDB"/>
          </w:tcPr>
          <w:p>
            <w:pPr>
              <w:pStyle w:val="TableParagraph"/>
              <w:spacing w:before="2"/>
              <w:ind w:left="267" w:right="262"/>
              <w:jc w:val="center"/>
              <w:rPr>
                <w:sz w:val="13"/>
              </w:rPr>
            </w:pPr>
            <w:r>
              <w:rPr>
                <w:w w:val="105"/>
                <w:sz w:val="13"/>
              </w:rPr>
              <w:t>15</w:t>
            </w:r>
          </w:p>
        </w:tc>
        <w:tc>
          <w:tcPr>
            <w:tcW w:w="732" w:type="dxa"/>
            <w:shd w:val="clear" w:color="auto" w:fill="F1DCDB"/>
          </w:tcPr>
          <w:p>
            <w:pPr>
              <w:pStyle w:val="TableParagraph"/>
              <w:spacing w:before="2"/>
              <w:ind w:left="26" w:right="22"/>
              <w:jc w:val="center"/>
              <w:rPr>
                <w:sz w:val="13"/>
              </w:rPr>
            </w:pPr>
            <w:r>
              <w:rPr>
                <w:w w:val="105"/>
                <w:sz w:val="13"/>
              </w:rPr>
              <w:t>030</w:t>
            </w:r>
          </w:p>
        </w:tc>
        <w:tc>
          <w:tcPr>
            <w:tcW w:w="1700" w:type="dxa"/>
            <w:shd w:val="clear" w:color="auto" w:fill="F1DCDB"/>
          </w:tcPr>
          <w:p>
            <w:pPr>
              <w:pStyle w:val="TableParagraph"/>
              <w:spacing w:before="2"/>
              <w:ind w:left="20"/>
              <w:rPr>
                <w:sz w:val="13"/>
              </w:rPr>
            </w:pPr>
            <w:r>
              <w:rPr>
                <w:w w:val="105"/>
                <w:sz w:val="13"/>
              </w:rPr>
              <w:t>Chiconcuac</w:t>
            </w:r>
          </w:p>
        </w:tc>
        <w:tc>
          <w:tcPr>
            <w:tcW w:w="1058" w:type="dxa"/>
            <w:shd w:val="clear" w:color="auto" w:fill="F1DCDB"/>
          </w:tcPr>
          <w:p>
            <w:pPr>
              <w:pStyle w:val="TableParagraph"/>
              <w:spacing w:before="2"/>
              <w:ind w:right="266"/>
              <w:jc w:val="right"/>
              <w:rPr>
                <w:sz w:val="13"/>
              </w:rPr>
            </w:pPr>
            <w:r>
              <w:rPr>
                <w:w w:val="105"/>
                <w:sz w:val="13"/>
              </w:rPr>
              <w:t>22 819</w:t>
            </w:r>
          </w:p>
        </w:tc>
        <w:tc>
          <w:tcPr>
            <w:tcW w:w="913" w:type="dxa"/>
            <w:shd w:val="clear" w:color="auto" w:fill="F1DCDB"/>
          </w:tcPr>
          <w:p>
            <w:pPr>
              <w:pStyle w:val="TableParagraph"/>
              <w:spacing w:before="2"/>
              <w:ind w:left="350" w:right="-6"/>
              <w:rPr>
                <w:sz w:val="13"/>
              </w:rPr>
            </w:pPr>
            <w:r>
              <w:rPr>
                <w:w w:val="105"/>
                <w:sz w:val="13"/>
              </w:rPr>
              <w:t>-1.35790</w:t>
            </w:r>
          </w:p>
        </w:tc>
        <w:tc>
          <w:tcPr>
            <w:tcW w:w="878" w:type="dxa"/>
            <w:shd w:val="clear" w:color="auto" w:fill="F1DCDB"/>
          </w:tcPr>
          <w:p>
            <w:pPr>
              <w:pStyle w:val="TableParagraph"/>
              <w:spacing w:before="2"/>
              <w:ind w:left="143" w:right="131"/>
              <w:jc w:val="center"/>
              <w:rPr>
                <w:sz w:val="13"/>
              </w:rPr>
            </w:pPr>
            <w:r>
              <w:rPr>
                <w:w w:val="105"/>
                <w:sz w:val="13"/>
              </w:rPr>
              <w:t>Muy bajo</w:t>
            </w:r>
          </w:p>
        </w:tc>
        <w:tc>
          <w:tcPr>
            <w:tcW w:w="888" w:type="dxa"/>
            <w:shd w:val="clear" w:color="auto" w:fill="F1DCDB"/>
          </w:tcPr>
          <w:p>
            <w:pPr>
              <w:pStyle w:val="TableParagraph"/>
              <w:spacing w:before="2"/>
              <w:ind w:right="266"/>
              <w:jc w:val="right"/>
              <w:rPr>
                <w:sz w:val="13"/>
              </w:rPr>
            </w:pPr>
            <w:r>
              <w:rPr>
                <w:sz w:val="13"/>
              </w:rPr>
              <w:t>12.329</w:t>
            </w:r>
          </w:p>
        </w:tc>
        <w:tc>
          <w:tcPr>
            <w:tcW w:w="732" w:type="dxa"/>
            <w:shd w:val="clear" w:color="auto" w:fill="F1DCDB"/>
          </w:tcPr>
          <w:p>
            <w:pPr>
              <w:pStyle w:val="TableParagraph"/>
              <w:spacing w:before="2"/>
              <w:ind w:right="246"/>
              <w:jc w:val="right"/>
              <w:rPr>
                <w:sz w:val="13"/>
              </w:rPr>
            </w:pPr>
            <w:r>
              <w:rPr>
                <w:w w:val="105"/>
                <w:sz w:val="13"/>
              </w:rPr>
              <w:t>99</w:t>
            </w:r>
          </w:p>
        </w:tc>
        <w:tc>
          <w:tcPr>
            <w:tcW w:w="732" w:type="dxa"/>
            <w:shd w:val="clear" w:color="auto" w:fill="F1DCDB"/>
          </w:tcPr>
          <w:p>
            <w:pPr>
              <w:pStyle w:val="TableParagraph"/>
              <w:spacing w:before="2"/>
              <w:ind w:right="265"/>
              <w:jc w:val="right"/>
              <w:rPr>
                <w:sz w:val="13"/>
              </w:rPr>
            </w:pPr>
            <w:r>
              <w:rPr>
                <w:w w:val="105"/>
                <w:sz w:val="13"/>
              </w:rPr>
              <w:t>2 263</w:t>
            </w:r>
          </w:p>
        </w:tc>
      </w:tr>
      <w:tr>
        <w:trPr>
          <w:trHeight w:val="170" w:hRule="exact"/>
        </w:trPr>
        <w:tc>
          <w:tcPr>
            <w:tcW w:w="732" w:type="dxa"/>
          </w:tcPr>
          <w:p>
            <w:pPr>
              <w:pStyle w:val="TableParagraph"/>
              <w:spacing w:before="3"/>
              <w:ind w:left="267" w:right="262"/>
              <w:jc w:val="center"/>
              <w:rPr>
                <w:sz w:val="13"/>
              </w:rPr>
            </w:pPr>
            <w:r>
              <w:rPr>
                <w:w w:val="105"/>
                <w:sz w:val="13"/>
              </w:rPr>
              <w:t>15</w:t>
            </w:r>
          </w:p>
        </w:tc>
        <w:tc>
          <w:tcPr>
            <w:tcW w:w="732" w:type="dxa"/>
          </w:tcPr>
          <w:p>
            <w:pPr>
              <w:pStyle w:val="TableParagraph"/>
              <w:spacing w:before="3"/>
              <w:ind w:left="26" w:right="22"/>
              <w:jc w:val="center"/>
              <w:rPr>
                <w:sz w:val="13"/>
              </w:rPr>
            </w:pPr>
            <w:r>
              <w:rPr>
                <w:w w:val="105"/>
                <w:sz w:val="13"/>
              </w:rPr>
              <w:t>033</w:t>
            </w:r>
          </w:p>
        </w:tc>
        <w:tc>
          <w:tcPr>
            <w:tcW w:w="1700" w:type="dxa"/>
          </w:tcPr>
          <w:p>
            <w:pPr>
              <w:pStyle w:val="TableParagraph"/>
              <w:spacing w:before="3"/>
              <w:ind w:left="20"/>
              <w:rPr>
                <w:sz w:val="13"/>
              </w:rPr>
            </w:pPr>
            <w:r>
              <w:rPr>
                <w:w w:val="105"/>
                <w:sz w:val="13"/>
              </w:rPr>
              <w:t>Ecatepec de Morelos</w:t>
            </w:r>
          </w:p>
        </w:tc>
        <w:tc>
          <w:tcPr>
            <w:tcW w:w="1058" w:type="dxa"/>
          </w:tcPr>
          <w:p>
            <w:pPr>
              <w:pStyle w:val="TableParagraph"/>
              <w:spacing w:before="3"/>
              <w:ind w:right="270"/>
              <w:jc w:val="right"/>
              <w:rPr>
                <w:sz w:val="13"/>
              </w:rPr>
            </w:pPr>
            <w:r>
              <w:rPr>
                <w:w w:val="105"/>
                <w:sz w:val="13"/>
              </w:rPr>
              <w:t>1 656 107</w:t>
            </w:r>
          </w:p>
        </w:tc>
        <w:tc>
          <w:tcPr>
            <w:tcW w:w="913" w:type="dxa"/>
          </w:tcPr>
          <w:p>
            <w:pPr>
              <w:pStyle w:val="TableParagraph"/>
              <w:spacing w:before="3"/>
              <w:ind w:left="350" w:right="-6"/>
              <w:rPr>
                <w:sz w:val="13"/>
              </w:rPr>
            </w:pPr>
            <w:r>
              <w:rPr>
                <w:w w:val="105"/>
                <w:sz w:val="13"/>
              </w:rPr>
              <w:t>-1.61804</w:t>
            </w:r>
          </w:p>
        </w:tc>
        <w:tc>
          <w:tcPr>
            <w:tcW w:w="878" w:type="dxa"/>
          </w:tcPr>
          <w:p>
            <w:pPr>
              <w:pStyle w:val="TableParagraph"/>
              <w:spacing w:before="3"/>
              <w:ind w:left="143" w:right="131"/>
              <w:jc w:val="center"/>
              <w:rPr>
                <w:sz w:val="13"/>
              </w:rPr>
            </w:pPr>
            <w:r>
              <w:rPr>
                <w:w w:val="105"/>
                <w:sz w:val="13"/>
              </w:rPr>
              <w:t>Muy bajo</w:t>
            </w:r>
          </w:p>
        </w:tc>
        <w:tc>
          <w:tcPr>
            <w:tcW w:w="888" w:type="dxa"/>
          </w:tcPr>
          <w:p>
            <w:pPr>
              <w:pStyle w:val="TableParagraph"/>
              <w:spacing w:before="3"/>
              <w:ind w:right="264"/>
              <w:jc w:val="right"/>
              <w:rPr>
                <w:sz w:val="13"/>
              </w:rPr>
            </w:pPr>
            <w:r>
              <w:rPr>
                <w:w w:val="105"/>
                <w:sz w:val="13"/>
              </w:rPr>
              <w:t>9.389</w:t>
            </w:r>
          </w:p>
        </w:tc>
        <w:tc>
          <w:tcPr>
            <w:tcW w:w="732" w:type="dxa"/>
          </w:tcPr>
          <w:p>
            <w:pPr>
              <w:pStyle w:val="TableParagraph"/>
              <w:spacing w:before="3"/>
              <w:ind w:right="211"/>
              <w:jc w:val="right"/>
              <w:rPr>
                <w:sz w:val="13"/>
              </w:rPr>
            </w:pPr>
            <w:r>
              <w:rPr>
                <w:sz w:val="13"/>
              </w:rPr>
              <w:t>113</w:t>
            </w:r>
          </w:p>
        </w:tc>
        <w:tc>
          <w:tcPr>
            <w:tcW w:w="732" w:type="dxa"/>
          </w:tcPr>
          <w:p>
            <w:pPr>
              <w:pStyle w:val="TableParagraph"/>
              <w:spacing w:before="3"/>
              <w:ind w:right="265"/>
              <w:jc w:val="right"/>
              <w:rPr>
                <w:sz w:val="13"/>
              </w:rPr>
            </w:pPr>
            <w:r>
              <w:rPr>
                <w:w w:val="105"/>
                <w:sz w:val="13"/>
              </w:rPr>
              <w:t>2 352</w:t>
            </w:r>
          </w:p>
        </w:tc>
      </w:tr>
      <w:tr>
        <w:trPr>
          <w:trHeight w:val="170" w:hRule="exact"/>
        </w:trPr>
        <w:tc>
          <w:tcPr>
            <w:tcW w:w="732" w:type="dxa"/>
            <w:shd w:val="clear" w:color="auto" w:fill="F1DCDB"/>
          </w:tcPr>
          <w:p>
            <w:pPr>
              <w:pStyle w:val="TableParagraph"/>
              <w:spacing w:before="3"/>
              <w:ind w:left="267" w:right="262"/>
              <w:jc w:val="center"/>
              <w:rPr>
                <w:sz w:val="13"/>
              </w:rPr>
            </w:pPr>
            <w:r>
              <w:rPr>
                <w:w w:val="105"/>
                <w:sz w:val="13"/>
              </w:rPr>
              <w:t>15</w:t>
            </w:r>
          </w:p>
        </w:tc>
        <w:tc>
          <w:tcPr>
            <w:tcW w:w="732" w:type="dxa"/>
            <w:shd w:val="clear" w:color="auto" w:fill="F1DCDB"/>
          </w:tcPr>
          <w:p>
            <w:pPr>
              <w:pStyle w:val="TableParagraph"/>
              <w:spacing w:before="3"/>
              <w:ind w:left="26" w:right="22"/>
              <w:jc w:val="center"/>
              <w:rPr>
                <w:sz w:val="13"/>
              </w:rPr>
            </w:pPr>
            <w:r>
              <w:rPr>
                <w:w w:val="105"/>
                <w:sz w:val="13"/>
              </w:rPr>
              <w:t>035</w:t>
            </w:r>
          </w:p>
        </w:tc>
        <w:tc>
          <w:tcPr>
            <w:tcW w:w="1700" w:type="dxa"/>
            <w:shd w:val="clear" w:color="auto" w:fill="F1DCDB"/>
          </w:tcPr>
          <w:p>
            <w:pPr>
              <w:pStyle w:val="TableParagraph"/>
              <w:spacing w:before="3"/>
              <w:ind w:left="20"/>
              <w:rPr>
                <w:sz w:val="13"/>
              </w:rPr>
            </w:pPr>
            <w:r>
              <w:rPr>
                <w:w w:val="105"/>
                <w:sz w:val="13"/>
              </w:rPr>
              <w:t>Huehuetoca</w:t>
            </w:r>
          </w:p>
        </w:tc>
        <w:tc>
          <w:tcPr>
            <w:tcW w:w="1058" w:type="dxa"/>
            <w:shd w:val="clear" w:color="auto" w:fill="F1DCDB"/>
          </w:tcPr>
          <w:p>
            <w:pPr>
              <w:pStyle w:val="TableParagraph"/>
              <w:spacing w:before="3"/>
              <w:ind w:right="268"/>
              <w:jc w:val="right"/>
              <w:rPr>
                <w:sz w:val="13"/>
              </w:rPr>
            </w:pPr>
            <w:r>
              <w:rPr>
                <w:w w:val="105"/>
                <w:sz w:val="13"/>
              </w:rPr>
              <w:t>100 023</w:t>
            </w:r>
          </w:p>
        </w:tc>
        <w:tc>
          <w:tcPr>
            <w:tcW w:w="913" w:type="dxa"/>
            <w:shd w:val="clear" w:color="auto" w:fill="F1DCDB"/>
          </w:tcPr>
          <w:p>
            <w:pPr>
              <w:pStyle w:val="TableParagraph"/>
              <w:spacing w:before="3"/>
              <w:ind w:left="350" w:right="-6"/>
              <w:rPr>
                <w:sz w:val="13"/>
              </w:rPr>
            </w:pPr>
            <w:r>
              <w:rPr>
                <w:w w:val="105"/>
                <w:sz w:val="13"/>
              </w:rPr>
              <w:t>-1.45046</w:t>
            </w:r>
          </w:p>
        </w:tc>
        <w:tc>
          <w:tcPr>
            <w:tcW w:w="878" w:type="dxa"/>
            <w:shd w:val="clear" w:color="auto" w:fill="F1DCDB"/>
          </w:tcPr>
          <w:p>
            <w:pPr>
              <w:pStyle w:val="TableParagraph"/>
              <w:spacing w:before="3"/>
              <w:ind w:left="143" w:right="131"/>
              <w:jc w:val="center"/>
              <w:rPr>
                <w:sz w:val="13"/>
              </w:rPr>
            </w:pPr>
            <w:r>
              <w:rPr>
                <w:w w:val="105"/>
                <w:sz w:val="13"/>
              </w:rPr>
              <w:t>Muy bajo</w:t>
            </w:r>
          </w:p>
        </w:tc>
        <w:tc>
          <w:tcPr>
            <w:tcW w:w="888" w:type="dxa"/>
            <w:shd w:val="clear" w:color="auto" w:fill="F1DCDB"/>
          </w:tcPr>
          <w:p>
            <w:pPr>
              <w:pStyle w:val="TableParagraph"/>
              <w:spacing w:before="3"/>
              <w:ind w:right="259"/>
              <w:jc w:val="right"/>
              <w:rPr>
                <w:sz w:val="13"/>
              </w:rPr>
            </w:pPr>
            <w:r>
              <w:rPr>
                <w:w w:val="105"/>
                <w:sz w:val="13"/>
              </w:rPr>
              <w:t>11.283</w:t>
            </w:r>
          </w:p>
        </w:tc>
        <w:tc>
          <w:tcPr>
            <w:tcW w:w="732" w:type="dxa"/>
            <w:shd w:val="clear" w:color="auto" w:fill="F1DCDB"/>
          </w:tcPr>
          <w:p>
            <w:pPr>
              <w:pStyle w:val="TableParagraph"/>
              <w:spacing w:before="3"/>
              <w:ind w:right="207"/>
              <w:jc w:val="right"/>
              <w:rPr>
                <w:sz w:val="13"/>
              </w:rPr>
            </w:pPr>
            <w:r>
              <w:rPr>
                <w:w w:val="105"/>
                <w:sz w:val="13"/>
              </w:rPr>
              <w:t>105</w:t>
            </w:r>
          </w:p>
        </w:tc>
        <w:tc>
          <w:tcPr>
            <w:tcW w:w="732" w:type="dxa"/>
            <w:shd w:val="clear" w:color="auto" w:fill="F1DCDB"/>
          </w:tcPr>
          <w:p>
            <w:pPr>
              <w:pStyle w:val="TableParagraph"/>
              <w:spacing w:before="3"/>
              <w:ind w:right="265"/>
              <w:jc w:val="right"/>
              <w:rPr>
                <w:sz w:val="13"/>
              </w:rPr>
            </w:pPr>
            <w:r>
              <w:rPr>
                <w:w w:val="105"/>
                <w:sz w:val="13"/>
              </w:rPr>
              <w:t>2 299</w:t>
            </w:r>
          </w:p>
        </w:tc>
      </w:tr>
      <w:tr>
        <w:trPr>
          <w:trHeight w:val="170" w:hRule="exact"/>
        </w:trPr>
        <w:tc>
          <w:tcPr>
            <w:tcW w:w="732" w:type="dxa"/>
          </w:tcPr>
          <w:p>
            <w:pPr>
              <w:pStyle w:val="TableParagraph"/>
              <w:spacing w:before="3"/>
              <w:ind w:left="267" w:right="262"/>
              <w:jc w:val="center"/>
              <w:rPr>
                <w:sz w:val="13"/>
              </w:rPr>
            </w:pPr>
            <w:r>
              <w:rPr>
                <w:w w:val="105"/>
                <w:sz w:val="13"/>
              </w:rPr>
              <w:t>15</w:t>
            </w:r>
          </w:p>
        </w:tc>
        <w:tc>
          <w:tcPr>
            <w:tcW w:w="732" w:type="dxa"/>
          </w:tcPr>
          <w:p>
            <w:pPr>
              <w:pStyle w:val="TableParagraph"/>
              <w:spacing w:before="3"/>
              <w:ind w:left="26" w:right="22"/>
              <w:jc w:val="center"/>
              <w:rPr>
                <w:sz w:val="13"/>
              </w:rPr>
            </w:pPr>
            <w:r>
              <w:rPr>
                <w:w w:val="105"/>
                <w:sz w:val="13"/>
              </w:rPr>
              <w:t>037</w:t>
            </w:r>
          </w:p>
        </w:tc>
        <w:tc>
          <w:tcPr>
            <w:tcW w:w="1700" w:type="dxa"/>
          </w:tcPr>
          <w:p>
            <w:pPr>
              <w:pStyle w:val="TableParagraph"/>
              <w:spacing w:before="3"/>
              <w:ind w:left="20"/>
              <w:rPr>
                <w:sz w:val="13"/>
              </w:rPr>
            </w:pPr>
            <w:r>
              <w:rPr>
                <w:w w:val="105"/>
                <w:sz w:val="13"/>
              </w:rPr>
              <w:t>Huixquilucan</w:t>
            </w:r>
          </w:p>
        </w:tc>
        <w:tc>
          <w:tcPr>
            <w:tcW w:w="1058" w:type="dxa"/>
          </w:tcPr>
          <w:p>
            <w:pPr>
              <w:pStyle w:val="TableParagraph"/>
              <w:spacing w:before="3"/>
              <w:ind w:right="268"/>
              <w:jc w:val="right"/>
              <w:rPr>
                <w:sz w:val="13"/>
              </w:rPr>
            </w:pPr>
            <w:r>
              <w:rPr>
                <w:w w:val="105"/>
                <w:sz w:val="13"/>
              </w:rPr>
              <w:t>242 167</w:t>
            </w:r>
          </w:p>
        </w:tc>
        <w:tc>
          <w:tcPr>
            <w:tcW w:w="913" w:type="dxa"/>
          </w:tcPr>
          <w:p>
            <w:pPr>
              <w:pStyle w:val="TableParagraph"/>
              <w:spacing w:before="3"/>
              <w:ind w:left="350" w:right="-6"/>
              <w:rPr>
                <w:sz w:val="13"/>
              </w:rPr>
            </w:pPr>
            <w:r>
              <w:rPr>
                <w:w w:val="105"/>
                <w:sz w:val="13"/>
              </w:rPr>
              <w:t>-1.66478</w:t>
            </w:r>
          </w:p>
        </w:tc>
        <w:tc>
          <w:tcPr>
            <w:tcW w:w="878" w:type="dxa"/>
          </w:tcPr>
          <w:p>
            <w:pPr>
              <w:pStyle w:val="TableParagraph"/>
              <w:spacing w:before="3"/>
              <w:ind w:left="143" w:right="131"/>
              <w:jc w:val="center"/>
              <w:rPr>
                <w:sz w:val="13"/>
              </w:rPr>
            </w:pPr>
            <w:r>
              <w:rPr>
                <w:w w:val="105"/>
                <w:sz w:val="13"/>
              </w:rPr>
              <w:t>Muy bajo</w:t>
            </w:r>
          </w:p>
        </w:tc>
        <w:tc>
          <w:tcPr>
            <w:tcW w:w="888" w:type="dxa"/>
          </w:tcPr>
          <w:p>
            <w:pPr>
              <w:pStyle w:val="TableParagraph"/>
              <w:spacing w:before="3"/>
              <w:ind w:right="264"/>
              <w:jc w:val="right"/>
              <w:rPr>
                <w:sz w:val="13"/>
              </w:rPr>
            </w:pPr>
            <w:r>
              <w:rPr>
                <w:w w:val="105"/>
                <w:sz w:val="13"/>
              </w:rPr>
              <w:t>8.861</w:t>
            </w:r>
          </w:p>
        </w:tc>
        <w:tc>
          <w:tcPr>
            <w:tcW w:w="732" w:type="dxa"/>
          </w:tcPr>
          <w:p>
            <w:pPr>
              <w:pStyle w:val="TableParagraph"/>
              <w:spacing w:before="3"/>
              <w:ind w:right="211"/>
              <w:jc w:val="right"/>
              <w:rPr>
                <w:sz w:val="13"/>
              </w:rPr>
            </w:pPr>
            <w:r>
              <w:rPr>
                <w:sz w:val="13"/>
              </w:rPr>
              <w:t>115</w:t>
            </w:r>
          </w:p>
        </w:tc>
        <w:tc>
          <w:tcPr>
            <w:tcW w:w="732" w:type="dxa"/>
          </w:tcPr>
          <w:p>
            <w:pPr>
              <w:pStyle w:val="TableParagraph"/>
              <w:spacing w:before="3"/>
              <w:ind w:right="265"/>
              <w:jc w:val="right"/>
              <w:rPr>
                <w:sz w:val="13"/>
              </w:rPr>
            </w:pPr>
            <w:r>
              <w:rPr>
                <w:w w:val="105"/>
                <w:sz w:val="13"/>
              </w:rPr>
              <w:t>2 378</w:t>
            </w:r>
          </w:p>
        </w:tc>
      </w:tr>
      <w:tr>
        <w:trPr>
          <w:trHeight w:val="170" w:hRule="exact"/>
        </w:trPr>
        <w:tc>
          <w:tcPr>
            <w:tcW w:w="732" w:type="dxa"/>
            <w:shd w:val="clear" w:color="auto" w:fill="F1DCDB"/>
          </w:tcPr>
          <w:p>
            <w:pPr>
              <w:pStyle w:val="TableParagraph"/>
              <w:spacing w:before="2"/>
              <w:ind w:left="267" w:right="262"/>
              <w:jc w:val="center"/>
              <w:rPr>
                <w:sz w:val="13"/>
              </w:rPr>
            </w:pPr>
            <w:r>
              <w:rPr>
                <w:w w:val="105"/>
                <w:sz w:val="13"/>
              </w:rPr>
              <w:t>15</w:t>
            </w:r>
          </w:p>
        </w:tc>
        <w:tc>
          <w:tcPr>
            <w:tcW w:w="732" w:type="dxa"/>
            <w:shd w:val="clear" w:color="auto" w:fill="F1DCDB"/>
          </w:tcPr>
          <w:p>
            <w:pPr>
              <w:pStyle w:val="TableParagraph"/>
              <w:spacing w:before="2"/>
              <w:ind w:left="26" w:right="22"/>
              <w:jc w:val="center"/>
              <w:rPr>
                <w:sz w:val="13"/>
              </w:rPr>
            </w:pPr>
            <w:r>
              <w:rPr>
                <w:w w:val="105"/>
                <w:sz w:val="13"/>
              </w:rPr>
              <w:t>039</w:t>
            </w:r>
          </w:p>
        </w:tc>
        <w:tc>
          <w:tcPr>
            <w:tcW w:w="1700" w:type="dxa"/>
            <w:shd w:val="clear" w:color="auto" w:fill="F1DCDB"/>
          </w:tcPr>
          <w:p>
            <w:pPr>
              <w:pStyle w:val="TableParagraph"/>
              <w:spacing w:before="2"/>
              <w:ind w:left="20"/>
              <w:rPr>
                <w:sz w:val="13"/>
              </w:rPr>
            </w:pPr>
            <w:r>
              <w:rPr>
                <w:w w:val="105"/>
                <w:sz w:val="13"/>
              </w:rPr>
              <w:t>Ixtapaluca</w:t>
            </w:r>
          </w:p>
        </w:tc>
        <w:tc>
          <w:tcPr>
            <w:tcW w:w="1058" w:type="dxa"/>
            <w:shd w:val="clear" w:color="auto" w:fill="F1DCDB"/>
          </w:tcPr>
          <w:p>
            <w:pPr>
              <w:pStyle w:val="TableParagraph"/>
              <w:spacing w:before="2"/>
              <w:ind w:right="268"/>
              <w:jc w:val="right"/>
              <w:rPr>
                <w:sz w:val="13"/>
              </w:rPr>
            </w:pPr>
            <w:r>
              <w:rPr>
                <w:w w:val="105"/>
                <w:sz w:val="13"/>
              </w:rPr>
              <w:t>467 361</w:t>
            </w:r>
          </w:p>
        </w:tc>
        <w:tc>
          <w:tcPr>
            <w:tcW w:w="913" w:type="dxa"/>
            <w:shd w:val="clear" w:color="auto" w:fill="F1DCDB"/>
          </w:tcPr>
          <w:p>
            <w:pPr>
              <w:pStyle w:val="TableParagraph"/>
              <w:spacing w:before="2"/>
              <w:ind w:left="350" w:right="-6"/>
              <w:rPr>
                <w:sz w:val="13"/>
              </w:rPr>
            </w:pPr>
            <w:r>
              <w:rPr>
                <w:w w:val="105"/>
                <w:sz w:val="13"/>
              </w:rPr>
              <w:t>-1.51931</w:t>
            </w:r>
          </w:p>
        </w:tc>
        <w:tc>
          <w:tcPr>
            <w:tcW w:w="878" w:type="dxa"/>
            <w:shd w:val="clear" w:color="auto" w:fill="F1DCDB"/>
          </w:tcPr>
          <w:p>
            <w:pPr>
              <w:pStyle w:val="TableParagraph"/>
              <w:spacing w:before="2"/>
              <w:ind w:left="143" w:right="131"/>
              <w:jc w:val="center"/>
              <w:rPr>
                <w:sz w:val="13"/>
              </w:rPr>
            </w:pPr>
            <w:r>
              <w:rPr>
                <w:w w:val="105"/>
                <w:sz w:val="13"/>
              </w:rPr>
              <w:t>Muy bajo</w:t>
            </w:r>
          </w:p>
        </w:tc>
        <w:tc>
          <w:tcPr>
            <w:tcW w:w="888" w:type="dxa"/>
            <w:shd w:val="clear" w:color="auto" w:fill="F1DCDB"/>
          </w:tcPr>
          <w:p>
            <w:pPr>
              <w:pStyle w:val="TableParagraph"/>
              <w:spacing w:before="2"/>
              <w:ind w:right="266"/>
              <w:jc w:val="right"/>
              <w:rPr>
                <w:sz w:val="13"/>
              </w:rPr>
            </w:pPr>
            <w:r>
              <w:rPr>
                <w:sz w:val="13"/>
              </w:rPr>
              <w:t>10.505</w:t>
            </w:r>
          </w:p>
        </w:tc>
        <w:tc>
          <w:tcPr>
            <w:tcW w:w="732" w:type="dxa"/>
            <w:shd w:val="clear" w:color="auto" w:fill="F1DCDB"/>
          </w:tcPr>
          <w:p>
            <w:pPr>
              <w:pStyle w:val="TableParagraph"/>
              <w:spacing w:before="2"/>
              <w:ind w:right="207"/>
              <w:jc w:val="right"/>
              <w:rPr>
                <w:sz w:val="13"/>
              </w:rPr>
            </w:pPr>
            <w:r>
              <w:rPr>
                <w:w w:val="105"/>
                <w:sz w:val="13"/>
              </w:rPr>
              <w:t>109</w:t>
            </w:r>
          </w:p>
        </w:tc>
        <w:tc>
          <w:tcPr>
            <w:tcW w:w="732" w:type="dxa"/>
            <w:shd w:val="clear" w:color="auto" w:fill="F1DCDB"/>
          </w:tcPr>
          <w:p>
            <w:pPr>
              <w:pStyle w:val="TableParagraph"/>
              <w:spacing w:before="2"/>
              <w:ind w:right="265"/>
              <w:jc w:val="right"/>
              <w:rPr>
                <w:sz w:val="13"/>
              </w:rPr>
            </w:pPr>
            <w:r>
              <w:rPr>
                <w:w w:val="105"/>
                <w:sz w:val="13"/>
              </w:rPr>
              <w:t>2 321</w:t>
            </w:r>
          </w:p>
        </w:tc>
      </w:tr>
      <w:tr>
        <w:trPr>
          <w:trHeight w:val="170" w:hRule="exact"/>
        </w:trPr>
        <w:tc>
          <w:tcPr>
            <w:tcW w:w="732" w:type="dxa"/>
          </w:tcPr>
          <w:p>
            <w:pPr>
              <w:pStyle w:val="TableParagraph"/>
              <w:spacing w:before="3"/>
              <w:ind w:left="267" w:right="262"/>
              <w:jc w:val="center"/>
              <w:rPr>
                <w:sz w:val="13"/>
              </w:rPr>
            </w:pPr>
            <w:r>
              <w:rPr>
                <w:w w:val="105"/>
                <w:sz w:val="13"/>
              </w:rPr>
              <w:t>15</w:t>
            </w:r>
          </w:p>
        </w:tc>
        <w:tc>
          <w:tcPr>
            <w:tcW w:w="732" w:type="dxa"/>
          </w:tcPr>
          <w:p>
            <w:pPr>
              <w:pStyle w:val="TableParagraph"/>
              <w:spacing w:before="3"/>
              <w:ind w:left="26" w:right="22"/>
              <w:jc w:val="center"/>
              <w:rPr>
                <w:sz w:val="13"/>
              </w:rPr>
            </w:pPr>
            <w:r>
              <w:rPr>
                <w:w w:val="105"/>
                <w:sz w:val="13"/>
              </w:rPr>
              <w:t>044</w:t>
            </w:r>
          </w:p>
        </w:tc>
        <w:tc>
          <w:tcPr>
            <w:tcW w:w="1700" w:type="dxa"/>
          </w:tcPr>
          <w:p>
            <w:pPr>
              <w:pStyle w:val="TableParagraph"/>
              <w:spacing w:before="3"/>
              <w:ind w:left="20"/>
              <w:rPr>
                <w:sz w:val="13"/>
              </w:rPr>
            </w:pPr>
            <w:r>
              <w:rPr>
                <w:w w:val="105"/>
                <w:sz w:val="13"/>
              </w:rPr>
              <w:t>Jaltenco</w:t>
            </w:r>
          </w:p>
        </w:tc>
        <w:tc>
          <w:tcPr>
            <w:tcW w:w="1058" w:type="dxa"/>
          </w:tcPr>
          <w:p>
            <w:pPr>
              <w:pStyle w:val="TableParagraph"/>
              <w:spacing w:before="3"/>
              <w:ind w:right="266"/>
              <w:jc w:val="right"/>
              <w:rPr>
                <w:sz w:val="13"/>
              </w:rPr>
            </w:pPr>
            <w:r>
              <w:rPr>
                <w:w w:val="105"/>
                <w:sz w:val="13"/>
              </w:rPr>
              <w:t>26 328</w:t>
            </w:r>
          </w:p>
        </w:tc>
        <w:tc>
          <w:tcPr>
            <w:tcW w:w="913" w:type="dxa"/>
          </w:tcPr>
          <w:p>
            <w:pPr>
              <w:pStyle w:val="TableParagraph"/>
              <w:spacing w:before="3"/>
              <w:ind w:left="350" w:right="-6"/>
              <w:rPr>
                <w:sz w:val="13"/>
              </w:rPr>
            </w:pPr>
            <w:r>
              <w:rPr>
                <w:w w:val="105"/>
                <w:sz w:val="13"/>
              </w:rPr>
              <w:t>-1.84001</w:t>
            </w:r>
          </w:p>
        </w:tc>
        <w:tc>
          <w:tcPr>
            <w:tcW w:w="878" w:type="dxa"/>
          </w:tcPr>
          <w:p>
            <w:pPr>
              <w:pStyle w:val="TableParagraph"/>
              <w:spacing w:before="3"/>
              <w:ind w:left="143" w:right="131"/>
              <w:jc w:val="center"/>
              <w:rPr>
                <w:sz w:val="13"/>
              </w:rPr>
            </w:pPr>
            <w:r>
              <w:rPr>
                <w:w w:val="105"/>
                <w:sz w:val="13"/>
              </w:rPr>
              <w:t>Muy bajo</w:t>
            </w:r>
          </w:p>
        </w:tc>
        <w:tc>
          <w:tcPr>
            <w:tcW w:w="888" w:type="dxa"/>
          </w:tcPr>
          <w:p>
            <w:pPr>
              <w:pStyle w:val="TableParagraph"/>
              <w:spacing w:before="3"/>
              <w:ind w:right="264"/>
              <w:jc w:val="right"/>
              <w:rPr>
                <w:sz w:val="13"/>
              </w:rPr>
            </w:pPr>
            <w:r>
              <w:rPr>
                <w:w w:val="105"/>
                <w:sz w:val="13"/>
              </w:rPr>
              <w:t>6.881</w:t>
            </w:r>
          </w:p>
        </w:tc>
        <w:tc>
          <w:tcPr>
            <w:tcW w:w="732" w:type="dxa"/>
          </w:tcPr>
          <w:p>
            <w:pPr>
              <w:pStyle w:val="TableParagraph"/>
              <w:spacing w:before="3"/>
              <w:ind w:right="207"/>
              <w:jc w:val="right"/>
              <w:rPr>
                <w:sz w:val="13"/>
              </w:rPr>
            </w:pPr>
            <w:r>
              <w:rPr>
                <w:w w:val="105"/>
                <w:sz w:val="13"/>
              </w:rPr>
              <w:t>121</w:t>
            </w:r>
          </w:p>
        </w:tc>
        <w:tc>
          <w:tcPr>
            <w:tcW w:w="732" w:type="dxa"/>
          </w:tcPr>
          <w:p>
            <w:pPr>
              <w:pStyle w:val="TableParagraph"/>
              <w:spacing w:before="3"/>
              <w:ind w:right="265"/>
              <w:jc w:val="right"/>
              <w:rPr>
                <w:sz w:val="13"/>
              </w:rPr>
            </w:pPr>
            <w:r>
              <w:rPr>
                <w:w w:val="105"/>
                <w:sz w:val="13"/>
              </w:rPr>
              <w:t>2 426</w:t>
            </w:r>
          </w:p>
        </w:tc>
      </w:tr>
      <w:tr>
        <w:trPr>
          <w:trHeight w:val="170" w:hRule="exact"/>
        </w:trPr>
        <w:tc>
          <w:tcPr>
            <w:tcW w:w="732" w:type="dxa"/>
            <w:shd w:val="clear" w:color="auto" w:fill="F1DCDB"/>
          </w:tcPr>
          <w:p>
            <w:pPr>
              <w:pStyle w:val="TableParagraph"/>
              <w:spacing w:before="3"/>
              <w:ind w:left="267" w:right="262"/>
              <w:jc w:val="center"/>
              <w:rPr>
                <w:sz w:val="13"/>
              </w:rPr>
            </w:pPr>
            <w:r>
              <w:rPr>
                <w:w w:val="105"/>
                <w:sz w:val="13"/>
              </w:rPr>
              <w:t>15</w:t>
            </w:r>
          </w:p>
        </w:tc>
        <w:tc>
          <w:tcPr>
            <w:tcW w:w="732" w:type="dxa"/>
            <w:shd w:val="clear" w:color="auto" w:fill="F1DCDB"/>
          </w:tcPr>
          <w:p>
            <w:pPr>
              <w:pStyle w:val="TableParagraph"/>
              <w:spacing w:before="3"/>
              <w:ind w:left="26" w:right="22"/>
              <w:jc w:val="center"/>
              <w:rPr>
                <w:sz w:val="13"/>
              </w:rPr>
            </w:pPr>
            <w:r>
              <w:rPr>
                <w:w w:val="105"/>
                <w:sz w:val="13"/>
              </w:rPr>
              <w:t>051</w:t>
            </w:r>
          </w:p>
        </w:tc>
        <w:tc>
          <w:tcPr>
            <w:tcW w:w="1700" w:type="dxa"/>
            <w:shd w:val="clear" w:color="auto" w:fill="F1DCDB"/>
          </w:tcPr>
          <w:p>
            <w:pPr>
              <w:pStyle w:val="TableParagraph"/>
              <w:spacing w:before="3"/>
              <w:ind w:left="20"/>
              <w:rPr>
                <w:sz w:val="13"/>
              </w:rPr>
            </w:pPr>
            <w:r>
              <w:rPr>
                <w:w w:val="105"/>
                <w:sz w:val="13"/>
              </w:rPr>
              <w:t>Lerma</w:t>
            </w:r>
          </w:p>
        </w:tc>
        <w:tc>
          <w:tcPr>
            <w:tcW w:w="1058" w:type="dxa"/>
            <w:shd w:val="clear" w:color="auto" w:fill="F1DCDB"/>
          </w:tcPr>
          <w:p>
            <w:pPr>
              <w:pStyle w:val="TableParagraph"/>
              <w:spacing w:before="3"/>
              <w:ind w:right="268"/>
              <w:jc w:val="right"/>
              <w:rPr>
                <w:sz w:val="13"/>
              </w:rPr>
            </w:pPr>
            <w:r>
              <w:rPr>
                <w:w w:val="105"/>
                <w:sz w:val="13"/>
              </w:rPr>
              <w:t>134 799</w:t>
            </w:r>
          </w:p>
        </w:tc>
        <w:tc>
          <w:tcPr>
            <w:tcW w:w="913" w:type="dxa"/>
            <w:shd w:val="clear" w:color="auto" w:fill="F1DCDB"/>
          </w:tcPr>
          <w:p>
            <w:pPr>
              <w:pStyle w:val="TableParagraph"/>
              <w:spacing w:before="3"/>
              <w:ind w:left="350" w:right="-6"/>
              <w:rPr>
                <w:sz w:val="13"/>
              </w:rPr>
            </w:pPr>
            <w:r>
              <w:rPr>
                <w:w w:val="105"/>
                <w:sz w:val="13"/>
              </w:rPr>
              <w:t>-1.28106</w:t>
            </w:r>
          </w:p>
        </w:tc>
        <w:tc>
          <w:tcPr>
            <w:tcW w:w="878" w:type="dxa"/>
            <w:shd w:val="clear" w:color="auto" w:fill="F1DCDB"/>
          </w:tcPr>
          <w:p>
            <w:pPr>
              <w:pStyle w:val="TableParagraph"/>
              <w:spacing w:before="3"/>
              <w:ind w:left="143" w:right="131"/>
              <w:jc w:val="center"/>
              <w:rPr>
                <w:sz w:val="13"/>
              </w:rPr>
            </w:pPr>
            <w:r>
              <w:rPr>
                <w:w w:val="105"/>
                <w:sz w:val="13"/>
              </w:rPr>
              <w:t>Muy bajo</w:t>
            </w:r>
          </w:p>
        </w:tc>
        <w:tc>
          <w:tcPr>
            <w:tcW w:w="888" w:type="dxa"/>
            <w:shd w:val="clear" w:color="auto" w:fill="F1DCDB"/>
          </w:tcPr>
          <w:p>
            <w:pPr>
              <w:pStyle w:val="TableParagraph"/>
              <w:spacing w:before="3"/>
              <w:ind w:right="266"/>
              <w:jc w:val="right"/>
              <w:rPr>
                <w:sz w:val="13"/>
              </w:rPr>
            </w:pPr>
            <w:r>
              <w:rPr>
                <w:sz w:val="13"/>
              </w:rPr>
              <w:t>13.197</w:t>
            </w:r>
          </w:p>
        </w:tc>
        <w:tc>
          <w:tcPr>
            <w:tcW w:w="732" w:type="dxa"/>
            <w:shd w:val="clear" w:color="auto" w:fill="F1DCDB"/>
          </w:tcPr>
          <w:p>
            <w:pPr>
              <w:pStyle w:val="TableParagraph"/>
              <w:spacing w:before="3"/>
              <w:ind w:right="246"/>
              <w:jc w:val="right"/>
              <w:rPr>
                <w:sz w:val="13"/>
              </w:rPr>
            </w:pPr>
            <w:r>
              <w:rPr>
                <w:w w:val="105"/>
                <w:sz w:val="13"/>
              </w:rPr>
              <w:t>91</w:t>
            </w:r>
          </w:p>
        </w:tc>
        <w:tc>
          <w:tcPr>
            <w:tcW w:w="732" w:type="dxa"/>
            <w:shd w:val="clear" w:color="auto" w:fill="F1DCDB"/>
          </w:tcPr>
          <w:p>
            <w:pPr>
              <w:pStyle w:val="TableParagraph"/>
              <w:spacing w:before="3"/>
              <w:ind w:right="265"/>
              <w:jc w:val="right"/>
              <w:rPr>
                <w:sz w:val="13"/>
              </w:rPr>
            </w:pPr>
            <w:r>
              <w:rPr>
                <w:w w:val="105"/>
                <w:sz w:val="13"/>
              </w:rPr>
              <w:t>2 215</w:t>
            </w:r>
          </w:p>
        </w:tc>
      </w:tr>
      <w:tr>
        <w:trPr>
          <w:trHeight w:val="170" w:hRule="exact"/>
        </w:trPr>
        <w:tc>
          <w:tcPr>
            <w:tcW w:w="732" w:type="dxa"/>
          </w:tcPr>
          <w:p>
            <w:pPr>
              <w:pStyle w:val="TableParagraph"/>
              <w:spacing w:before="4"/>
              <w:ind w:left="267" w:right="262"/>
              <w:jc w:val="center"/>
              <w:rPr>
                <w:sz w:val="13"/>
              </w:rPr>
            </w:pPr>
            <w:r>
              <w:rPr>
                <w:w w:val="105"/>
                <w:sz w:val="13"/>
              </w:rPr>
              <w:t>15</w:t>
            </w:r>
          </w:p>
        </w:tc>
        <w:tc>
          <w:tcPr>
            <w:tcW w:w="732" w:type="dxa"/>
          </w:tcPr>
          <w:p>
            <w:pPr>
              <w:pStyle w:val="TableParagraph"/>
              <w:spacing w:before="4"/>
              <w:ind w:left="26" w:right="22"/>
              <w:jc w:val="center"/>
              <w:rPr>
                <w:sz w:val="13"/>
              </w:rPr>
            </w:pPr>
            <w:r>
              <w:rPr>
                <w:w w:val="105"/>
                <w:sz w:val="13"/>
              </w:rPr>
              <w:t>053</w:t>
            </w:r>
          </w:p>
        </w:tc>
        <w:tc>
          <w:tcPr>
            <w:tcW w:w="1700" w:type="dxa"/>
          </w:tcPr>
          <w:p>
            <w:pPr>
              <w:pStyle w:val="TableParagraph"/>
              <w:spacing w:before="4"/>
              <w:ind w:left="20"/>
              <w:rPr>
                <w:sz w:val="13"/>
              </w:rPr>
            </w:pPr>
            <w:r>
              <w:rPr>
                <w:w w:val="105"/>
                <w:sz w:val="13"/>
              </w:rPr>
              <w:t>Melchor Ocampo</w:t>
            </w:r>
          </w:p>
        </w:tc>
        <w:tc>
          <w:tcPr>
            <w:tcW w:w="1058" w:type="dxa"/>
          </w:tcPr>
          <w:p>
            <w:pPr>
              <w:pStyle w:val="TableParagraph"/>
              <w:spacing w:before="4"/>
              <w:ind w:right="266"/>
              <w:jc w:val="right"/>
              <w:rPr>
                <w:sz w:val="13"/>
              </w:rPr>
            </w:pPr>
            <w:r>
              <w:rPr>
                <w:w w:val="105"/>
                <w:sz w:val="13"/>
              </w:rPr>
              <w:t>50 240</w:t>
            </w:r>
          </w:p>
        </w:tc>
        <w:tc>
          <w:tcPr>
            <w:tcW w:w="913" w:type="dxa"/>
          </w:tcPr>
          <w:p>
            <w:pPr>
              <w:pStyle w:val="TableParagraph"/>
              <w:spacing w:before="4"/>
              <w:ind w:left="350" w:right="-6"/>
              <w:rPr>
                <w:sz w:val="13"/>
              </w:rPr>
            </w:pPr>
            <w:r>
              <w:rPr>
                <w:w w:val="105"/>
                <w:sz w:val="13"/>
              </w:rPr>
              <w:t>-1.35570</w:t>
            </w:r>
          </w:p>
        </w:tc>
        <w:tc>
          <w:tcPr>
            <w:tcW w:w="878" w:type="dxa"/>
          </w:tcPr>
          <w:p>
            <w:pPr>
              <w:pStyle w:val="TableParagraph"/>
              <w:spacing w:before="4"/>
              <w:ind w:left="143" w:right="131"/>
              <w:jc w:val="center"/>
              <w:rPr>
                <w:sz w:val="13"/>
              </w:rPr>
            </w:pPr>
            <w:r>
              <w:rPr>
                <w:w w:val="105"/>
                <w:sz w:val="13"/>
              </w:rPr>
              <w:t>Muy bajo</w:t>
            </w:r>
          </w:p>
        </w:tc>
        <w:tc>
          <w:tcPr>
            <w:tcW w:w="888" w:type="dxa"/>
          </w:tcPr>
          <w:p>
            <w:pPr>
              <w:pStyle w:val="TableParagraph"/>
              <w:spacing w:before="4"/>
              <w:ind w:right="266"/>
              <w:jc w:val="right"/>
              <w:rPr>
                <w:sz w:val="13"/>
              </w:rPr>
            </w:pPr>
            <w:r>
              <w:rPr>
                <w:sz w:val="13"/>
              </w:rPr>
              <w:t>12.354</w:t>
            </w:r>
          </w:p>
        </w:tc>
        <w:tc>
          <w:tcPr>
            <w:tcW w:w="732" w:type="dxa"/>
          </w:tcPr>
          <w:p>
            <w:pPr>
              <w:pStyle w:val="TableParagraph"/>
              <w:spacing w:before="4"/>
              <w:ind w:right="246"/>
              <w:jc w:val="right"/>
              <w:rPr>
                <w:sz w:val="13"/>
              </w:rPr>
            </w:pPr>
            <w:r>
              <w:rPr>
                <w:w w:val="105"/>
                <w:sz w:val="13"/>
              </w:rPr>
              <w:t>98</w:t>
            </w:r>
          </w:p>
        </w:tc>
        <w:tc>
          <w:tcPr>
            <w:tcW w:w="732" w:type="dxa"/>
          </w:tcPr>
          <w:p>
            <w:pPr>
              <w:pStyle w:val="TableParagraph"/>
              <w:spacing w:before="4"/>
              <w:ind w:right="265"/>
              <w:jc w:val="right"/>
              <w:rPr>
                <w:sz w:val="13"/>
              </w:rPr>
            </w:pPr>
            <w:r>
              <w:rPr>
                <w:w w:val="105"/>
                <w:sz w:val="13"/>
              </w:rPr>
              <w:t>2 261</w:t>
            </w:r>
          </w:p>
        </w:tc>
      </w:tr>
      <w:tr>
        <w:trPr>
          <w:trHeight w:val="170" w:hRule="exact"/>
        </w:trPr>
        <w:tc>
          <w:tcPr>
            <w:tcW w:w="732" w:type="dxa"/>
            <w:shd w:val="clear" w:color="auto" w:fill="F1DCDB"/>
          </w:tcPr>
          <w:p>
            <w:pPr>
              <w:pStyle w:val="TableParagraph"/>
              <w:spacing w:before="4"/>
              <w:ind w:left="267" w:right="262"/>
              <w:jc w:val="center"/>
              <w:rPr>
                <w:sz w:val="13"/>
              </w:rPr>
            </w:pPr>
            <w:r>
              <w:rPr>
                <w:w w:val="105"/>
                <w:sz w:val="13"/>
              </w:rPr>
              <w:t>15</w:t>
            </w:r>
          </w:p>
        </w:tc>
        <w:tc>
          <w:tcPr>
            <w:tcW w:w="732" w:type="dxa"/>
            <w:shd w:val="clear" w:color="auto" w:fill="F1DCDB"/>
          </w:tcPr>
          <w:p>
            <w:pPr>
              <w:pStyle w:val="TableParagraph"/>
              <w:spacing w:before="4"/>
              <w:ind w:left="26" w:right="22"/>
              <w:jc w:val="center"/>
              <w:rPr>
                <w:sz w:val="13"/>
              </w:rPr>
            </w:pPr>
            <w:r>
              <w:rPr>
                <w:w w:val="105"/>
                <w:sz w:val="13"/>
              </w:rPr>
              <w:t>054</w:t>
            </w:r>
          </w:p>
        </w:tc>
        <w:tc>
          <w:tcPr>
            <w:tcW w:w="1700" w:type="dxa"/>
            <w:shd w:val="clear" w:color="auto" w:fill="F1DCDB"/>
          </w:tcPr>
          <w:p>
            <w:pPr>
              <w:pStyle w:val="TableParagraph"/>
              <w:spacing w:before="4"/>
              <w:ind w:left="20"/>
              <w:rPr>
                <w:sz w:val="13"/>
              </w:rPr>
            </w:pPr>
            <w:r>
              <w:rPr>
                <w:w w:val="105"/>
                <w:sz w:val="13"/>
              </w:rPr>
              <w:t>Metepec</w:t>
            </w:r>
          </w:p>
        </w:tc>
        <w:tc>
          <w:tcPr>
            <w:tcW w:w="1058" w:type="dxa"/>
            <w:shd w:val="clear" w:color="auto" w:fill="F1DCDB"/>
          </w:tcPr>
          <w:p>
            <w:pPr>
              <w:pStyle w:val="TableParagraph"/>
              <w:spacing w:before="4"/>
              <w:ind w:right="268"/>
              <w:jc w:val="right"/>
              <w:rPr>
                <w:sz w:val="13"/>
              </w:rPr>
            </w:pPr>
            <w:r>
              <w:rPr>
                <w:w w:val="105"/>
                <w:sz w:val="13"/>
              </w:rPr>
              <w:t>214 162</w:t>
            </w:r>
          </w:p>
        </w:tc>
        <w:tc>
          <w:tcPr>
            <w:tcW w:w="913" w:type="dxa"/>
            <w:shd w:val="clear" w:color="auto" w:fill="F1DCDB"/>
          </w:tcPr>
          <w:p>
            <w:pPr>
              <w:pStyle w:val="TableParagraph"/>
              <w:spacing w:before="4"/>
              <w:ind w:left="350" w:right="-6"/>
              <w:rPr>
                <w:sz w:val="13"/>
              </w:rPr>
            </w:pPr>
            <w:r>
              <w:rPr>
                <w:w w:val="105"/>
                <w:sz w:val="13"/>
              </w:rPr>
              <w:t>-1.96475</w:t>
            </w:r>
          </w:p>
        </w:tc>
        <w:tc>
          <w:tcPr>
            <w:tcW w:w="878" w:type="dxa"/>
            <w:shd w:val="clear" w:color="auto" w:fill="F1DCDB"/>
          </w:tcPr>
          <w:p>
            <w:pPr>
              <w:pStyle w:val="TableParagraph"/>
              <w:spacing w:before="4"/>
              <w:ind w:left="143" w:right="131"/>
              <w:jc w:val="center"/>
              <w:rPr>
                <w:sz w:val="13"/>
              </w:rPr>
            </w:pPr>
            <w:r>
              <w:rPr>
                <w:w w:val="105"/>
                <w:sz w:val="13"/>
              </w:rPr>
              <w:t>Muy bajo</w:t>
            </w:r>
          </w:p>
        </w:tc>
        <w:tc>
          <w:tcPr>
            <w:tcW w:w="888" w:type="dxa"/>
            <w:shd w:val="clear" w:color="auto" w:fill="F1DCDB"/>
          </w:tcPr>
          <w:p>
            <w:pPr>
              <w:pStyle w:val="TableParagraph"/>
              <w:spacing w:before="4"/>
              <w:ind w:right="264"/>
              <w:jc w:val="right"/>
              <w:rPr>
                <w:sz w:val="13"/>
              </w:rPr>
            </w:pPr>
            <w:r>
              <w:rPr>
                <w:w w:val="105"/>
                <w:sz w:val="13"/>
              </w:rPr>
              <w:t>5.471</w:t>
            </w:r>
          </w:p>
        </w:tc>
        <w:tc>
          <w:tcPr>
            <w:tcW w:w="732" w:type="dxa"/>
            <w:shd w:val="clear" w:color="auto" w:fill="F1DCDB"/>
          </w:tcPr>
          <w:p>
            <w:pPr>
              <w:pStyle w:val="TableParagraph"/>
              <w:spacing w:before="4"/>
              <w:ind w:right="207"/>
              <w:jc w:val="right"/>
              <w:rPr>
                <w:sz w:val="13"/>
              </w:rPr>
            </w:pPr>
            <w:r>
              <w:rPr>
                <w:w w:val="105"/>
                <w:sz w:val="13"/>
              </w:rPr>
              <w:t>124</w:t>
            </w:r>
          </w:p>
        </w:tc>
        <w:tc>
          <w:tcPr>
            <w:tcW w:w="732" w:type="dxa"/>
            <w:shd w:val="clear" w:color="auto" w:fill="F1DCDB"/>
          </w:tcPr>
          <w:p>
            <w:pPr>
              <w:pStyle w:val="TableParagraph"/>
              <w:spacing w:before="4"/>
              <w:ind w:right="265"/>
              <w:jc w:val="right"/>
              <w:rPr>
                <w:sz w:val="13"/>
              </w:rPr>
            </w:pPr>
            <w:r>
              <w:rPr>
                <w:w w:val="105"/>
                <w:sz w:val="13"/>
              </w:rPr>
              <w:t>2 444</w:t>
            </w:r>
          </w:p>
        </w:tc>
      </w:tr>
      <w:tr>
        <w:trPr>
          <w:trHeight w:val="170" w:hRule="exact"/>
        </w:trPr>
        <w:tc>
          <w:tcPr>
            <w:tcW w:w="732" w:type="dxa"/>
          </w:tcPr>
          <w:p>
            <w:pPr>
              <w:pStyle w:val="TableParagraph"/>
              <w:spacing w:before="4"/>
              <w:ind w:left="267" w:right="262"/>
              <w:jc w:val="center"/>
              <w:rPr>
                <w:sz w:val="13"/>
              </w:rPr>
            </w:pPr>
            <w:r>
              <w:rPr>
                <w:w w:val="105"/>
                <w:sz w:val="13"/>
              </w:rPr>
              <w:t>15</w:t>
            </w:r>
          </w:p>
        </w:tc>
        <w:tc>
          <w:tcPr>
            <w:tcW w:w="732" w:type="dxa"/>
          </w:tcPr>
          <w:p>
            <w:pPr>
              <w:pStyle w:val="TableParagraph"/>
              <w:spacing w:before="4"/>
              <w:ind w:left="26" w:right="22"/>
              <w:jc w:val="center"/>
              <w:rPr>
                <w:sz w:val="13"/>
              </w:rPr>
            </w:pPr>
            <w:r>
              <w:rPr>
                <w:w w:val="105"/>
                <w:sz w:val="13"/>
              </w:rPr>
              <w:t>055</w:t>
            </w:r>
          </w:p>
        </w:tc>
        <w:tc>
          <w:tcPr>
            <w:tcW w:w="1700" w:type="dxa"/>
          </w:tcPr>
          <w:p>
            <w:pPr>
              <w:pStyle w:val="TableParagraph"/>
              <w:spacing w:before="4"/>
              <w:ind w:left="20"/>
              <w:rPr>
                <w:sz w:val="13"/>
              </w:rPr>
            </w:pPr>
            <w:r>
              <w:rPr>
                <w:w w:val="105"/>
                <w:sz w:val="13"/>
              </w:rPr>
              <w:t>Mexicaltzingo</w:t>
            </w:r>
          </w:p>
        </w:tc>
        <w:tc>
          <w:tcPr>
            <w:tcW w:w="1058" w:type="dxa"/>
          </w:tcPr>
          <w:p>
            <w:pPr>
              <w:pStyle w:val="TableParagraph"/>
              <w:spacing w:before="4"/>
              <w:ind w:right="264"/>
              <w:jc w:val="right"/>
              <w:rPr>
                <w:sz w:val="13"/>
              </w:rPr>
            </w:pPr>
            <w:r>
              <w:rPr>
                <w:w w:val="105"/>
                <w:sz w:val="13"/>
              </w:rPr>
              <w:t>11 712</w:t>
            </w:r>
          </w:p>
        </w:tc>
        <w:tc>
          <w:tcPr>
            <w:tcW w:w="913" w:type="dxa"/>
          </w:tcPr>
          <w:p>
            <w:pPr>
              <w:pStyle w:val="TableParagraph"/>
              <w:spacing w:before="4"/>
              <w:ind w:left="350" w:right="-6"/>
              <w:rPr>
                <w:sz w:val="13"/>
              </w:rPr>
            </w:pPr>
            <w:r>
              <w:rPr>
                <w:w w:val="105"/>
                <w:sz w:val="13"/>
              </w:rPr>
              <w:t>-1.42266</w:t>
            </w:r>
          </w:p>
        </w:tc>
        <w:tc>
          <w:tcPr>
            <w:tcW w:w="878" w:type="dxa"/>
          </w:tcPr>
          <w:p>
            <w:pPr>
              <w:pStyle w:val="TableParagraph"/>
              <w:spacing w:before="4"/>
              <w:ind w:left="143" w:right="131"/>
              <w:jc w:val="center"/>
              <w:rPr>
                <w:sz w:val="13"/>
              </w:rPr>
            </w:pPr>
            <w:r>
              <w:rPr>
                <w:w w:val="105"/>
                <w:sz w:val="13"/>
              </w:rPr>
              <w:t>Muy bajo</w:t>
            </w:r>
          </w:p>
        </w:tc>
        <w:tc>
          <w:tcPr>
            <w:tcW w:w="888" w:type="dxa"/>
          </w:tcPr>
          <w:p>
            <w:pPr>
              <w:pStyle w:val="TableParagraph"/>
              <w:spacing w:before="4"/>
              <w:ind w:right="259"/>
              <w:jc w:val="right"/>
              <w:rPr>
                <w:sz w:val="13"/>
              </w:rPr>
            </w:pPr>
            <w:r>
              <w:rPr>
                <w:w w:val="105"/>
                <w:sz w:val="13"/>
              </w:rPr>
              <w:t>11.597</w:t>
            </w:r>
          </w:p>
        </w:tc>
        <w:tc>
          <w:tcPr>
            <w:tcW w:w="732" w:type="dxa"/>
          </w:tcPr>
          <w:p>
            <w:pPr>
              <w:pStyle w:val="TableParagraph"/>
              <w:spacing w:before="4"/>
              <w:ind w:right="207"/>
              <w:jc w:val="right"/>
              <w:rPr>
                <w:sz w:val="13"/>
              </w:rPr>
            </w:pPr>
            <w:r>
              <w:rPr>
                <w:w w:val="105"/>
                <w:sz w:val="13"/>
              </w:rPr>
              <w:t>103</w:t>
            </w:r>
          </w:p>
        </w:tc>
        <w:tc>
          <w:tcPr>
            <w:tcW w:w="732" w:type="dxa"/>
          </w:tcPr>
          <w:p>
            <w:pPr>
              <w:pStyle w:val="TableParagraph"/>
              <w:spacing w:before="4"/>
              <w:ind w:right="265"/>
              <w:jc w:val="right"/>
              <w:rPr>
                <w:sz w:val="13"/>
              </w:rPr>
            </w:pPr>
            <w:r>
              <w:rPr>
                <w:w w:val="105"/>
                <w:sz w:val="13"/>
              </w:rPr>
              <w:t>2 291</w:t>
            </w:r>
          </w:p>
        </w:tc>
      </w:tr>
      <w:tr>
        <w:trPr>
          <w:trHeight w:val="171" w:hRule="exact"/>
        </w:trPr>
        <w:tc>
          <w:tcPr>
            <w:tcW w:w="732" w:type="dxa"/>
            <w:shd w:val="clear" w:color="auto" w:fill="F1DCDB"/>
          </w:tcPr>
          <w:p>
            <w:pPr>
              <w:pStyle w:val="TableParagraph"/>
              <w:spacing w:before="4"/>
              <w:ind w:left="267" w:right="262"/>
              <w:jc w:val="center"/>
              <w:rPr>
                <w:sz w:val="13"/>
              </w:rPr>
            </w:pPr>
            <w:r>
              <w:rPr>
                <w:w w:val="105"/>
                <w:sz w:val="13"/>
              </w:rPr>
              <w:t>15</w:t>
            </w:r>
          </w:p>
        </w:tc>
        <w:tc>
          <w:tcPr>
            <w:tcW w:w="732" w:type="dxa"/>
            <w:shd w:val="clear" w:color="auto" w:fill="F1DCDB"/>
          </w:tcPr>
          <w:p>
            <w:pPr>
              <w:pStyle w:val="TableParagraph"/>
              <w:spacing w:before="4"/>
              <w:ind w:left="26" w:right="22"/>
              <w:jc w:val="center"/>
              <w:rPr>
                <w:sz w:val="13"/>
              </w:rPr>
            </w:pPr>
            <w:r>
              <w:rPr>
                <w:w w:val="105"/>
                <w:sz w:val="13"/>
              </w:rPr>
              <w:t>057</w:t>
            </w:r>
          </w:p>
        </w:tc>
        <w:tc>
          <w:tcPr>
            <w:tcW w:w="1700" w:type="dxa"/>
            <w:shd w:val="clear" w:color="auto" w:fill="F1DCDB"/>
          </w:tcPr>
          <w:p>
            <w:pPr>
              <w:pStyle w:val="TableParagraph"/>
              <w:spacing w:before="4"/>
              <w:ind w:left="20"/>
              <w:rPr>
                <w:sz w:val="13"/>
              </w:rPr>
            </w:pPr>
            <w:r>
              <w:rPr>
                <w:w w:val="105"/>
                <w:sz w:val="13"/>
              </w:rPr>
              <w:t>Naucalpan de Juárez</w:t>
            </w:r>
          </w:p>
        </w:tc>
        <w:tc>
          <w:tcPr>
            <w:tcW w:w="1058" w:type="dxa"/>
            <w:shd w:val="clear" w:color="auto" w:fill="F1DCDB"/>
          </w:tcPr>
          <w:p>
            <w:pPr>
              <w:pStyle w:val="TableParagraph"/>
              <w:spacing w:before="4"/>
              <w:ind w:right="268"/>
              <w:jc w:val="right"/>
              <w:rPr>
                <w:sz w:val="13"/>
              </w:rPr>
            </w:pPr>
            <w:r>
              <w:rPr>
                <w:w w:val="105"/>
                <w:sz w:val="13"/>
              </w:rPr>
              <w:t>833 779</w:t>
            </w:r>
          </w:p>
        </w:tc>
        <w:tc>
          <w:tcPr>
            <w:tcW w:w="913" w:type="dxa"/>
            <w:shd w:val="clear" w:color="auto" w:fill="F1DCDB"/>
          </w:tcPr>
          <w:p>
            <w:pPr>
              <w:pStyle w:val="TableParagraph"/>
              <w:spacing w:before="4"/>
              <w:ind w:left="350" w:right="-6"/>
              <w:rPr>
                <w:sz w:val="13"/>
              </w:rPr>
            </w:pPr>
            <w:r>
              <w:rPr>
                <w:w w:val="105"/>
                <w:sz w:val="13"/>
              </w:rPr>
              <w:t>-1.66487</w:t>
            </w:r>
          </w:p>
        </w:tc>
        <w:tc>
          <w:tcPr>
            <w:tcW w:w="878" w:type="dxa"/>
            <w:shd w:val="clear" w:color="auto" w:fill="F1DCDB"/>
          </w:tcPr>
          <w:p>
            <w:pPr>
              <w:pStyle w:val="TableParagraph"/>
              <w:spacing w:before="4"/>
              <w:ind w:left="143" w:right="131"/>
              <w:jc w:val="center"/>
              <w:rPr>
                <w:sz w:val="13"/>
              </w:rPr>
            </w:pPr>
            <w:r>
              <w:rPr>
                <w:w w:val="105"/>
                <w:sz w:val="13"/>
              </w:rPr>
              <w:t>Muy bajo</w:t>
            </w:r>
          </w:p>
        </w:tc>
        <w:tc>
          <w:tcPr>
            <w:tcW w:w="888" w:type="dxa"/>
            <w:shd w:val="clear" w:color="auto" w:fill="F1DCDB"/>
          </w:tcPr>
          <w:p>
            <w:pPr>
              <w:pStyle w:val="TableParagraph"/>
              <w:spacing w:before="4"/>
              <w:ind w:right="264"/>
              <w:jc w:val="right"/>
              <w:rPr>
                <w:sz w:val="13"/>
              </w:rPr>
            </w:pPr>
            <w:r>
              <w:rPr>
                <w:w w:val="105"/>
                <w:sz w:val="13"/>
              </w:rPr>
              <w:t>8.860</w:t>
            </w:r>
          </w:p>
        </w:tc>
        <w:tc>
          <w:tcPr>
            <w:tcW w:w="732" w:type="dxa"/>
            <w:shd w:val="clear" w:color="auto" w:fill="F1DCDB"/>
          </w:tcPr>
          <w:p>
            <w:pPr>
              <w:pStyle w:val="TableParagraph"/>
              <w:spacing w:before="4"/>
              <w:ind w:right="211"/>
              <w:jc w:val="right"/>
              <w:rPr>
                <w:sz w:val="13"/>
              </w:rPr>
            </w:pPr>
            <w:r>
              <w:rPr>
                <w:sz w:val="13"/>
              </w:rPr>
              <w:t>116</w:t>
            </w:r>
          </w:p>
        </w:tc>
        <w:tc>
          <w:tcPr>
            <w:tcW w:w="732" w:type="dxa"/>
            <w:shd w:val="clear" w:color="auto" w:fill="F1DCDB"/>
          </w:tcPr>
          <w:p>
            <w:pPr>
              <w:pStyle w:val="TableParagraph"/>
              <w:spacing w:before="4"/>
              <w:ind w:right="265"/>
              <w:jc w:val="right"/>
              <w:rPr>
                <w:sz w:val="13"/>
              </w:rPr>
            </w:pPr>
            <w:r>
              <w:rPr>
                <w:w w:val="105"/>
                <w:sz w:val="13"/>
              </w:rPr>
              <w:t>2 379</w:t>
            </w:r>
          </w:p>
        </w:tc>
      </w:tr>
      <w:tr>
        <w:trPr>
          <w:trHeight w:val="170" w:hRule="exact"/>
        </w:trPr>
        <w:tc>
          <w:tcPr>
            <w:tcW w:w="732" w:type="dxa"/>
          </w:tcPr>
          <w:p>
            <w:pPr>
              <w:pStyle w:val="TableParagraph"/>
              <w:spacing w:before="2"/>
              <w:ind w:left="267" w:right="262"/>
              <w:jc w:val="center"/>
              <w:rPr>
                <w:sz w:val="13"/>
              </w:rPr>
            </w:pPr>
            <w:r>
              <w:rPr>
                <w:w w:val="105"/>
                <w:sz w:val="13"/>
              </w:rPr>
              <w:t>15</w:t>
            </w:r>
          </w:p>
        </w:tc>
        <w:tc>
          <w:tcPr>
            <w:tcW w:w="732" w:type="dxa"/>
          </w:tcPr>
          <w:p>
            <w:pPr>
              <w:pStyle w:val="TableParagraph"/>
              <w:spacing w:before="2"/>
              <w:ind w:left="26" w:right="22"/>
              <w:jc w:val="center"/>
              <w:rPr>
                <w:sz w:val="13"/>
              </w:rPr>
            </w:pPr>
            <w:r>
              <w:rPr>
                <w:w w:val="105"/>
                <w:sz w:val="13"/>
              </w:rPr>
              <w:t>058</w:t>
            </w:r>
          </w:p>
        </w:tc>
        <w:tc>
          <w:tcPr>
            <w:tcW w:w="1700" w:type="dxa"/>
          </w:tcPr>
          <w:p>
            <w:pPr>
              <w:pStyle w:val="TableParagraph"/>
              <w:spacing w:before="2"/>
              <w:ind w:left="20"/>
              <w:rPr>
                <w:sz w:val="13"/>
              </w:rPr>
            </w:pPr>
            <w:r>
              <w:rPr>
                <w:w w:val="105"/>
                <w:sz w:val="13"/>
              </w:rPr>
              <w:t>Nezahualcóyotl</w:t>
            </w:r>
          </w:p>
        </w:tc>
        <w:tc>
          <w:tcPr>
            <w:tcW w:w="1058" w:type="dxa"/>
          </w:tcPr>
          <w:p>
            <w:pPr>
              <w:pStyle w:val="TableParagraph"/>
              <w:spacing w:before="2"/>
              <w:ind w:right="266"/>
              <w:jc w:val="right"/>
              <w:rPr>
                <w:sz w:val="13"/>
              </w:rPr>
            </w:pPr>
            <w:r>
              <w:rPr>
                <w:w w:val="105"/>
                <w:sz w:val="13"/>
              </w:rPr>
              <w:t>1 110 565</w:t>
            </w:r>
          </w:p>
        </w:tc>
        <w:tc>
          <w:tcPr>
            <w:tcW w:w="913" w:type="dxa"/>
          </w:tcPr>
          <w:p>
            <w:pPr>
              <w:pStyle w:val="TableParagraph"/>
              <w:spacing w:before="2"/>
              <w:ind w:left="350" w:right="-6"/>
              <w:rPr>
                <w:sz w:val="13"/>
              </w:rPr>
            </w:pPr>
            <w:r>
              <w:rPr>
                <w:w w:val="105"/>
                <w:sz w:val="13"/>
              </w:rPr>
              <w:t>-1.66096</w:t>
            </w:r>
          </w:p>
        </w:tc>
        <w:tc>
          <w:tcPr>
            <w:tcW w:w="878" w:type="dxa"/>
          </w:tcPr>
          <w:p>
            <w:pPr>
              <w:pStyle w:val="TableParagraph"/>
              <w:spacing w:before="2"/>
              <w:ind w:left="143" w:right="131"/>
              <w:jc w:val="center"/>
              <w:rPr>
                <w:sz w:val="13"/>
              </w:rPr>
            </w:pPr>
            <w:r>
              <w:rPr>
                <w:w w:val="105"/>
                <w:sz w:val="13"/>
              </w:rPr>
              <w:t>Muy bajo</w:t>
            </w:r>
          </w:p>
        </w:tc>
        <w:tc>
          <w:tcPr>
            <w:tcW w:w="888" w:type="dxa"/>
          </w:tcPr>
          <w:p>
            <w:pPr>
              <w:pStyle w:val="TableParagraph"/>
              <w:spacing w:before="2"/>
              <w:ind w:right="264"/>
              <w:jc w:val="right"/>
              <w:rPr>
                <w:sz w:val="13"/>
              </w:rPr>
            </w:pPr>
            <w:r>
              <w:rPr>
                <w:w w:val="105"/>
                <w:sz w:val="13"/>
              </w:rPr>
              <w:t>8.904</w:t>
            </w:r>
          </w:p>
        </w:tc>
        <w:tc>
          <w:tcPr>
            <w:tcW w:w="732" w:type="dxa"/>
          </w:tcPr>
          <w:p>
            <w:pPr>
              <w:pStyle w:val="TableParagraph"/>
              <w:spacing w:before="2"/>
              <w:ind w:right="211"/>
              <w:jc w:val="right"/>
              <w:rPr>
                <w:sz w:val="13"/>
              </w:rPr>
            </w:pPr>
            <w:r>
              <w:rPr>
                <w:sz w:val="13"/>
              </w:rPr>
              <w:t>114</w:t>
            </w:r>
          </w:p>
        </w:tc>
        <w:tc>
          <w:tcPr>
            <w:tcW w:w="732" w:type="dxa"/>
          </w:tcPr>
          <w:p>
            <w:pPr>
              <w:pStyle w:val="TableParagraph"/>
              <w:spacing w:before="2"/>
              <w:ind w:right="265"/>
              <w:jc w:val="right"/>
              <w:rPr>
                <w:sz w:val="13"/>
              </w:rPr>
            </w:pPr>
            <w:r>
              <w:rPr>
                <w:w w:val="105"/>
                <w:sz w:val="13"/>
              </w:rPr>
              <w:t>2 375</w:t>
            </w:r>
          </w:p>
        </w:tc>
      </w:tr>
      <w:tr>
        <w:trPr>
          <w:trHeight w:val="170" w:hRule="exact"/>
        </w:trPr>
        <w:tc>
          <w:tcPr>
            <w:tcW w:w="732" w:type="dxa"/>
            <w:shd w:val="clear" w:color="auto" w:fill="F1DCDB"/>
          </w:tcPr>
          <w:p>
            <w:pPr>
              <w:pStyle w:val="TableParagraph"/>
              <w:spacing w:before="2"/>
              <w:ind w:left="267" w:right="262"/>
              <w:jc w:val="center"/>
              <w:rPr>
                <w:sz w:val="13"/>
              </w:rPr>
            </w:pPr>
            <w:r>
              <w:rPr>
                <w:w w:val="105"/>
                <w:sz w:val="13"/>
              </w:rPr>
              <w:t>15</w:t>
            </w:r>
          </w:p>
        </w:tc>
        <w:tc>
          <w:tcPr>
            <w:tcW w:w="732" w:type="dxa"/>
            <w:shd w:val="clear" w:color="auto" w:fill="F1DCDB"/>
          </w:tcPr>
          <w:p>
            <w:pPr>
              <w:pStyle w:val="TableParagraph"/>
              <w:spacing w:before="2"/>
              <w:ind w:left="26" w:right="22"/>
              <w:jc w:val="center"/>
              <w:rPr>
                <w:sz w:val="13"/>
              </w:rPr>
            </w:pPr>
            <w:r>
              <w:rPr>
                <w:w w:val="105"/>
                <w:sz w:val="13"/>
              </w:rPr>
              <w:t>060</w:t>
            </w:r>
          </w:p>
        </w:tc>
        <w:tc>
          <w:tcPr>
            <w:tcW w:w="1700" w:type="dxa"/>
            <w:shd w:val="clear" w:color="auto" w:fill="F1DCDB"/>
          </w:tcPr>
          <w:p>
            <w:pPr>
              <w:pStyle w:val="TableParagraph"/>
              <w:spacing w:before="2"/>
              <w:ind w:left="20"/>
              <w:rPr>
                <w:sz w:val="13"/>
              </w:rPr>
            </w:pPr>
            <w:r>
              <w:rPr>
                <w:w w:val="105"/>
                <w:sz w:val="13"/>
              </w:rPr>
              <w:t>Nicolás Romero</w:t>
            </w:r>
          </w:p>
        </w:tc>
        <w:tc>
          <w:tcPr>
            <w:tcW w:w="1058" w:type="dxa"/>
            <w:shd w:val="clear" w:color="auto" w:fill="F1DCDB"/>
          </w:tcPr>
          <w:p>
            <w:pPr>
              <w:pStyle w:val="TableParagraph"/>
              <w:spacing w:before="2"/>
              <w:ind w:right="268"/>
              <w:jc w:val="right"/>
              <w:rPr>
                <w:sz w:val="13"/>
              </w:rPr>
            </w:pPr>
            <w:r>
              <w:rPr>
                <w:w w:val="105"/>
                <w:sz w:val="13"/>
              </w:rPr>
              <w:t>366 602</w:t>
            </w:r>
          </w:p>
        </w:tc>
        <w:tc>
          <w:tcPr>
            <w:tcW w:w="913" w:type="dxa"/>
            <w:shd w:val="clear" w:color="auto" w:fill="F1DCDB"/>
          </w:tcPr>
          <w:p>
            <w:pPr>
              <w:pStyle w:val="TableParagraph"/>
              <w:spacing w:before="2"/>
              <w:ind w:left="350" w:right="-6"/>
              <w:rPr>
                <w:sz w:val="13"/>
              </w:rPr>
            </w:pPr>
            <w:r>
              <w:rPr>
                <w:w w:val="105"/>
                <w:sz w:val="13"/>
              </w:rPr>
              <w:t>-1.41817</w:t>
            </w:r>
          </w:p>
        </w:tc>
        <w:tc>
          <w:tcPr>
            <w:tcW w:w="878" w:type="dxa"/>
            <w:shd w:val="clear" w:color="auto" w:fill="F1DCDB"/>
          </w:tcPr>
          <w:p>
            <w:pPr>
              <w:pStyle w:val="TableParagraph"/>
              <w:spacing w:before="2"/>
              <w:ind w:left="143" w:right="131"/>
              <w:jc w:val="center"/>
              <w:rPr>
                <w:sz w:val="13"/>
              </w:rPr>
            </w:pPr>
            <w:r>
              <w:rPr>
                <w:w w:val="105"/>
                <w:sz w:val="13"/>
              </w:rPr>
              <w:t>Muy bajo</w:t>
            </w:r>
          </w:p>
        </w:tc>
        <w:tc>
          <w:tcPr>
            <w:tcW w:w="888" w:type="dxa"/>
            <w:shd w:val="clear" w:color="auto" w:fill="F1DCDB"/>
          </w:tcPr>
          <w:p>
            <w:pPr>
              <w:pStyle w:val="TableParagraph"/>
              <w:spacing w:before="2"/>
              <w:ind w:right="259"/>
              <w:jc w:val="right"/>
              <w:rPr>
                <w:sz w:val="13"/>
              </w:rPr>
            </w:pPr>
            <w:r>
              <w:rPr>
                <w:w w:val="105"/>
                <w:sz w:val="13"/>
              </w:rPr>
              <w:t>11.648</w:t>
            </w:r>
          </w:p>
        </w:tc>
        <w:tc>
          <w:tcPr>
            <w:tcW w:w="732" w:type="dxa"/>
            <w:shd w:val="clear" w:color="auto" w:fill="F1DCDB"/>
          </w:tcPr>
          <w:p>
            <w:pPr>
              <w:pStyle w:val="TableParagraph"/>
              <w:spacing w:before="2"/>
              <w:ind w:right="207"/>
              <w:jc w:val="right"/>
              <w:rPr>
                <w:sz w:val="13"/>
              </w:rPr>
            </w:pPr>
            <w:r>
              <w:rPr>
                <w:w w:val="105"/>
                <w:sz w:val="13"/>
              </w:rPr>
              <w:t>102</w:t>
            </w:r>
          </w:p>
        </w:tc>
        <w:tc>
          <w:tcPr>
            <w:tcW w:w="732" w:type="dxa"/>
            <w:shd w:val="clear" w:color="auto" w:fill="F1DCDB"/>
          </w:tcPr>
          <w:p>
            <w:pPr>
              <w:pStyle w:val="TableParagraph"/>
              <w:spacing w:before="2"/>
              <w:ind w:right="265"/>
              <w:jc w:val="right"/>
              <w:rPr>
                <w:sz w:val="13"/>
              </w:rPr>
            </w:pPr>
            <w:r>
              <w:rPr>
                <w:w w:val="105"/>
                <w:sz w:val="13"/>
              </w:rPr>
              <w:t>2 290</w:t>
            </w:r>
          </w:p>
        </w:tc>
      </w:tr>
      <w:tr>
        <w:trPr>
          <w:trHeight w:val="170" w:hRule="exact"/>
        </w:trPr>
        <w:tc>
          <w:tcPr>
            <w:tcW w:w="732" w:type="dxa"/>
          </w:tcPr>
          <w:p>
            <w:pPr>
              <w:pStyle w:val="TableParagraph"/>
              <w:spacing w:before="3"/>
              <w:ind w:left="267" w:right="262"/>
              <w:jc w:val="center"/>
              <w:rPr>
                <w:sz w:val="13"/>
              </w:rPr>
            </w:pPr>
            <w:r>
              <w:rPr>
                <w:w w:val="105"/>
                <w:sz w:val="13"/>
              </w:rPr>
              <w:t>15</w:t>
            </w:r>
          </w:p>
        </w:tc>
        <w:tc>
          <w:tcPr>
            <w:tcW w:w="732" w:type="dxa"/>
          </w:tcPr>
          <w:p>
            <w:pPr>
              <w:pStyle w:val="TableParagraph"/>
              <w:spacing w:before="3"/>
              <w:ind w:left="26" w:right="22"/>
              <w:jc w:val="center"/>
              <w:rPr>
                <w:sz w:val="13"/>
              </w:rPr>
            </w:pPr>
            <w:r>
              <w:rPr>
                <w:w w:val="105"/>
                <w:sz w:val="13"/>
              </w:rPr>
              <w:t>062</w:t>
            </w:r>
          </w:p>
        </w:tc>
        <w:tc>
          <w:tcPr>
            <w:tcW w:w="1700" w:type="dxa"/>
          </w:tcPr>
          <w:p>
            <w:pPr>
              <w:pStyle w:val="TableParagraph"/>
              <w:spacing w:before="3"/>
              <w:ind w:left="20"/>
              <w:rPr>
                <w:sz w:val="13"/>
              </w:rPr>
            </w:pPr>
            <w:r>
              <w:rPr>
                <w:w w:val="105"/>
                <w:sz w:val="13"/>
              </w:rPr>
              <w:t>Ocoyoacac</w:t>
            </w:r>
          </w:p>
        </w:tc>
        <w:tc>
          <w:tcPr>
            <w:tcW w:w="1058" w:type="dxa"/>
          </w:tcPr>
          <w:p>
            <w:pPr>
              <w:pStyle w:val="TableParagraph"/>
              <w:spacing w:before="3"/>
              <w:ind w:right="266"/>
              <w:jc w:val="right"/>
              <w:rPr>
                <w:sz w:val="13"/>
              </w:rPr>
            </w:pPr>
            <w:r>
              <w:rPr>
                <w:w w:val="105"/>
                <w:sz w:val="13"/>
              </w:rPr>
              <w:t>61 805</w:t>
            </w:r>
          </w:p>
        </w:tc>
        <w:tc>
          <w:tcPr>
            <w:tcW w:w="913" w:type="dxa"/>
          </w:tcPr>
          <w:p>
            <w:pPr>
              <w:pStyle w:val="TableParagraph"/>
              <w:spacing w:before="3"/>
              <w:ind w:left="350" w:right="-6"/>
              <w:rPr>
                <w:sz w:val="13"/>
              </w:rPr>
            </w:pPr>
            <w:r>
              <w:rPr>
                <w:w w:val="105"/>
                <w:sz w:val="13"/>
              </w:rPr>
              <w:t>-1.33385</w:t>
            </w:r>
          </w:p>
        </w:tc>
        <w:tc>
          <w:tcPr>
            <w:tcW w:w="878" w:type="dxa"/>
          </w:tcPr>
          <w:p>
            <w:pPr>
              <w:pStyle w:val="TableParagraph"/>
              <w:spacing w:before="3"/>
              <w:ind w:left="143" w:right="131"/>
              <w:jc w:val="center"/>
              <w:rPr>
                <w:sz w:val="13"/>
              </w:rPr>
            </w:pPr>
            <w:r>
              <w:rPr>
                <w:w w:val="105"/>
                <w:sz w:val="13"/>
              </w:rPr>
              <w:t>Muy bajo</w:t>
            </w:r>
          </w:p>
        </w:tc>
        <w:tc>
          <w:tcPr>
            <w:tcW w:w="888" w:type="dxa"/>
          </w:tcPr>
          <w:p>
            <w:pPr>
              <w:pStyle w:val="TableParagraph"/>
              <w:spacing w:before="3"/>
              <w:ind w:right="266"/>
              <w:jc w:val="right"/>
              <w:rPr>
                <w:sz w:val="13"/>
              </w:rPr>
            </w:pPr>
            <w:r>
              <w:rPr>
                <w:sz w:val="13"/>
              </w:rPr>
              <w:t>12.600</w:t>
            </w:r>
          </w:p>
        </w:tc>
        <w:tc>
          <w:tcPr>
            <w:tcW w:w="732" w:type="dxa"/>
          </w:tcPr>
          <w:p>
            <w:pPr>
              <w:pStyle w:val="TableParagraph"/>
              <w:spacing w:before="3"/>
              <w:ind w:right="246"/>
              <w:jc w:val="right"/>
              <w:rPr>
                <w:sz w:val="13"/>
              </w:rPr>
            </w:pPr>
            <w:r>
              <w:rPr>
                <w:w w:val="105"/>
                <w:sz w:val="13"/>
              </w:rPr>
              <w:t>96</w:t>
            </w:r>
          </w:p>
        </w:tc>
        <w:tc>
          <w:tcPr>
            <w:tcW w:w="732" w:type="dxa"/>
          </w:tcPr>
          <w:p>
            <w:pPr>
              <w:pStyle w:val="TableParagraph"/>
              <w:spacing w:before="3"/>
              <w:ind w:right="265"/>
              <w:jc w:val="right"/>
              <w:rPr>
                <w:sz w:val="13"/>
              </w:rPr>
            </w:pPr>
            <w:r>
              <w:rPr>
                <w:w w:val="105"/>
                <w:sz w:val="13"/>
              </w:rPr>
              <w:t>2 246</w:t>
            </w:r>
          </w:p>
        </w:tc>
      </w:tr>
      <w:tr>
        <w:trPr>
          <w:trHeight w:val="170" w:hRule="exact"/>
        </w:trPr>
        <w:tc>
          <w:tcPr>
            <w:tcW w:w="732" w:type="dxa"/>
            <w:shd w:val="clear" w:color="auto" w:fill="F1DCDB"/>
          </w:tcPr>
          <w:p>
            <w:pPr>
              <w:pStyle w:val="TableParagraph"/>
              <w:spacing w:before="3"/>
              <w:ind w:left="267" w:right="262"/>
              <w:jc w:val="center"/>
              <w:rPr>
                <w:sz w:val="13"/>
              </w:rPr>
            </w:pPr>
            <w:r>
              <w:rPr>
                <w:w w:val="105"/>
                <w:sz w:val="13"/>
              </w:rPr>
              <w:t>15</w:t>
            </w:r>
          </w:p>
        </w:tc>
        <w:tc>
          <w:tcPr>
            <w:tcW w:w="732" w:type="dxa"/>
            <w:shd w:val="clear" w:color="auto" w:fill="F1DCDB"/>
          </w:tcPr>
          <w:p>
            <w:pPr>
              <w:pStyle w:val="TableParagraph"/>
              <w:spacing w:before="3"/>
              <w:ind w:left="26" w:right="22"/>
              <w:jc w:val="center"/>
              <w:rPr>
                <w:sz w:val="13"/>
              </w:rPr>
            </w:pPr>
            <w:r>
              <w:rPr>
                <w:w w:val="105"/>
                <w:sz w:val="13"/>
              </w:rPr>
              <w:t>072</w:t>
            </w:r>
          </w:p>
        </w:tc>
        <w:tc>
          <w:tcPr>
            <w:tcW w:w="1700" w:type="dxa"/>
            <w:shd w:val="clear" w:color="auto" w:fill="F1DCDB"/>
          </w:tcPr>
          <w:p>
            <w:pPr>
              <w:pStyle w:val="TableParagraph"/>
              <w:spacing w:before="3"/>
              <w:ind w:left="20"/>
              <w:rPr>
                <w:sz w:val="13"/>
              </w:rPr>
            </w:pPr>
            <w:r>
              <w:rPr>
                <w:w w:val="105"/>
                <w:sz w:val="13"/>
              </w:rPr>
              <w:t>Rayón</w:t>
            </w:r>
          </w:p>
        </w:tc>
        <w:tc>
          <w:tcPr>
            <w:tcW w:w="1058" w:type="dxa"/>
            <w:shd w:val="clear" w:color="auto" w:fill="F1DCDB"/>
          </w:tcPr>
          <w:p>
            <w:pPr>
              <w:pStyle w:val="TableParagraph"/>
              <w:spacing w:before="3"/>
              <w:ind w:right="266"/>
              <w:jc w:val="right"/>
              <w:rPr>
                <w:sz w:val="13"/>
              </w:rPr>
            </w:pPr>
            <w:r>
              <w:rPr>
                <w:w w:val="105"/>
                <w:sz w:val="13"/>
              </w:rPr>
              <w:t>12 748</w:t>
            </w:r>
          </w:p>
        </w:tc>
        <w:tc>
          <w:tcPr>
            <w:tcW w:w="913" w:type="dxa"/>
            <w:shd w:val="clear" w:color="auto" w:fill="F1DCDB"/>
          </w:tcPr>
          <w:p>
            <w:pPr>
              <w:pStyle w:val="TableParagraph"/>
              <w:spacing w:before="3"/>
              <w:ind w:left="350" w:right="-6"/>
              <w:rPr>
                <w:sz w:val="13"/>
              </w:rPr>
            </w:pPr>
            <w:r>
              <w:rPr>
                <w:w w:val="105"/>
                <w:sz w:val="13"/>
              </w:rPr>
              <w:t>-1.25237</w:t>
            </w:r>
          </w:p>
        </w:tc>
        <w:tc>
          <w:tcPr>
            <w:tcW w:w="878" w:type="dxa"/>
            <w:shd w:val="clear" w:color="auto" w:fill="F1DCDB"/>
          </w:tcPr>
          <w:p>
            <w:pPr>
              <w:pStyle w:val="TableParagraph"/>
              <w:spacing w:before="3"/>
              <w:ind w:left="143" w:right="131"/>
              <w:jc w:val="center"/>
              <w:rPr>
                <w:sz w:val="13"/>
              </w:rPr>
            </w:pPr>
            <w:r>
              <w:rPr>
                <w:w w:val="105"/>
                <w:sz w:val="13"/>
              </w:rPr>
              <w:t>Muy bajo</w:t>
            </w:r>
          </w:p>
        </w:tc>
        <w:tc>
          <w:tcPr>
            <w:tcW w:w="888" w:type="dxa"/>
            <w:shd w:val="clear" w:color="auto" w:fill="F1DCDB"/>
          </w:tcPr>
          <w:p>
            <w:pPr>
              <w:pStyle w:val="TableParagraph"/>
              <w:spacing w:before="3"/>
              <w:ind w:right="266"/>
              <w:jc w:val="right"/>
              <w:rPr>
                <w:sz w:val="13"/>
              </w:rPr>
            </w:pPr>
            <w:r>
              <w:rPr>
                <w:sz w:val="13"/>
              </w:rPr>
              <w:t>13.521</w:t>
            </w:r>
          </w:p>
        </w:tc>
        <w:tc>
          <w:tcPr>
            <w:tcW w:w="732" w:type="dxa"/>
            <w:shd w:val="clear" w:color="auto" w:fill="F1DCDB"/>
          </w:tcPr>
          <w:p>
            <w:pPr>
              <w:pStyle w:val="TableParagraph"/>
              <w:spacing w:before="3"/>
              <w:ind w:right="246"/>
              <w:jc w:val="right"/>
              <w:rPr>
                <w:sz w:val="13"/>
              </w:rPr>
            </w:pPr>
            <w:r>
              <w:rPr>
                <w:w w:val="105"/>
                <w:sz w:val="13"/>
              </w:rPr>
              <w:t>88</w:t>
            </w:r>
          </w:p>
        </w:tc>
        <w:tc>
          <w:tcPr>
            <w:tcW w:w="732" w:type="dxa"/>
            <w:shd w:val="clear" w:color="auto" w:fill="F1DCDB"/>
          </w:tcPr>
          <w:p>
            <w:pPr>
              <w:pStyle w:val="TableParagraph"/>
              <w:spacing w:before="3"/>
              <w:ind w:right="265"/>
              <w:jc w:val="right"/>
              <w:rPr>
                <w:sz w:val="13"/>
              </w:rPr>
            </w:pPr>
            <w:r>
              <w:rPr>
                <w:w w:val="105"/>
                <w:sz w:val="13"/>
              </w:rPr>
              <w:t>2 196</w:t>
            </w:r>
          </w:p>
        </w:tc>
      </w:tr>
      <w:tr>
        <w:trPr>
          <w:trHeight w:val="170" w:hRule="exact"/>
        </w:trPr>
        <w:tc>
          <w:tcPr>
            <w:tcW w:w="732" w:type="dxa"/>
          </w:tcPr>
          <w:p>
            <w:pPr>
              <w:pStyle w:val="TableParagraph"/>
              <w:spacing w:before="2"/>
              <w:ind w:left="267" w:right="262"/>
              <w:jc w:val="center"/>
              <w:rPr>
                <w:sz w:val="13"/>
              </w:rPr>
            </w:pPr>
            <w:r>
              <w:rPr>
                <w:w w:val="105"/>
                <w:sz w:val="13"/>
              </w:rPr>
              <w:t>15</w:t>
            </w:r>
          </w:p>
        </w:tc>
        <w:tc>
          <w:tcPr>
            <w:tcW w:w="732" w:type="dxa"/>
          </w:tcPr>
          <w:p>
            <w:pPr>
              <w:pStyle w:val="TableParagraph"/>
              <w:spacing w:before="2"/>
              <w:ind w:left="26" w:right="22"/>
              <w:jc w:val="center"/>
              <w:rPr>
                <w:sz w:val="13"/>
              </w:rPr>
            </w:pPr>
            <w:r>
              <w:rPr>
                <w:w w:val="105"/>
                <w:sz w:val="13"/>
              </w:rPr>
              <w:t>073</w:t>
            </w:r>
          </w:p>
        </w:tc>
        <w:tc>
          <w:tcPr>
            <w:tcW w:w="1700" w:type="dxa"/>
          </w:tcPr>
          <w:p>
            <w:pPr>
              <w:pStyle w:val="TableParagraph"/>
              <w:spacing w:before="2"/>
              <w:ind w:left="20"/>
              <w:rPr>
                <w:sz w:val="13"/>
              </w:rPr>
            </w:pPr>
            <w:r>
              <w:rPr>
                <w:w w:val="105"/>
                <w:sz w:val="13"/>
              </w:rPr>
              <w:t>San Antonio la Isla</w:t>
            </w:r>
          </w:p>
        </w:tc>
        <w:tc>
          <w:tcPr>
            <w:tcW w:w="1058" w:type="dxa"/>
          </w:tcPr>
          <w:p>
            <w:pPr>
              <w:pStyle w:val="TableParagraph"/>
              <w:spacing w:before="2"/>
              <w:ind w:right="266"/>
              <w:jc w:val="right"/>
              <w:rPr>
                <w:sz w:val="13"/>
              </w:rPr>
            </w:pPr>
            <w:r>
              <w:rPr>
                <w:w w:val="105"/>
                <w:sz w:val="13"/>
              </w:rPr>
              <w:t>22 152</w:t>
            </w:r>
          </w:p>
        </w:tc>
        <w:tc>
          <w:tcPr>
            <w:tcW w:w="913" w:type="dxa"/>
          </w:tcPr>
          <w:p>
            <w:pPr>
              <w:pStyle w:val="TableParagraph"/>
              <w:spacing w:before="2"/>
              <w:ind w:left="350" w:right="-6"/>
              <w:rPr>
                <w:sz w:val="13"/>
              </w:rPr>
            </w:pPr>
            <w:r>
              <w:rPr>
                <w:w w:val="105"/>
                <w:sz w:val="13"/>
              </w:rPr>
              <w:t>-1.51339</w:t>
            </w:r>
          </w:p>
        </w:tc>
        <w:tc>
          <w:tcPr>
            <w:tcW w:w="878" w:type="dxa"/>
          </w:tcPr>
          <w:p>
            <w:pPr>
              <w:pStyle w:val="TableParagraph"/>
              <w:spacing w:before="2"/>
              <w:ind w:left="143" w:right="131"/>
              <w:jc w:val="center"/>
              <w:rPr>
                <w:sz w:val="13"/>
              </w:rPr>
            </w:pPr>
            <w:r>
              <w:rPr>
                <w:w w:val="105"/>
                <w:sz w:val="13"/>
              </w:rPr>
              <w:t>Muy bajo</w:t>
            </w:r>
          </w:p>
        </w:tc>
        <w:tc>
          <w:tcPr>
            <w:tcW w:w="888" w:type="dxa"/>
          </w:tcPr>
          <w:p>
            <w:pPr>
              <w:pStyle w:val="TableParagraph"/>
              <w:spacing w:before="2"/>
              <w:ind w:right="266"/>
              <w:jc w:val="right"/>
              <w:rPr>
                <w:sz w:val="13"/>
              </w:rPr>
            </w:pPr>
            <w:r>
              <w:rPr>
                <w:sz w:val="13"/>
              </w:rPr>
              <w:t>10.572</w:t>
            </w:r>
          </w:p>
        </w:tc>
        <w:tc>
          <w:tcPr>
            <w:tcW w:w="732" w:type="dxa"/>
          </w:tcPr>
          <w:p>
            <w:pPr>
              <w:pStyle w:val="TableParagraph"/>
              <w:spacing w:before="2"/>
              <w:ind w:right="207"/>
              <w:jc w:val="right"/>
              <w:rPr>
                <w:sz w:val="13"/>
              </w:rPr>
            </w:pPr>
            <w:r>
              <w:rPr>
                <w:w w:val="105"/>
                <w:sz w:val="13"/>
              </w:rPr>
              <w:t>108</w:t>
            </w:r>
          </w:p>
        </w:tc>
        <w:tc>
          <w:tcPr>
            <w:tcW w:w="732" w:type="dxa"/>
          </w:tcPr>
          <w:p>
            <w:pPr>
              <w:pStyle w:val="TableParagraph"/>
              <w:spacing w:before="2"/>
              <w:ind w:right="265"/>
              <w:jc w:val="right"/>
              <w:rPr>
                <w:sz w:val="13"/>
              </w:rPr>
            </w:pPr>
            <w:r>
              <w:rPr>
                <w:w w:val="105"/>
                <w:sz w:val="13"/>
              </w:rPr>
              <w:t>2 319</w:t>
            </w:r>
          </w:p>
        </w:tc>
      </w:tr>
      <w:tr>
        <w:trPr>
          <w:trHeight w:val="170" w:hRule="exact"/>
        </w:trPr>
        <w:tc>
          <w:tcPr>
            <w:tcW w:w="732" w:type="dxa"/>
            <w:shd w:val="clear" w:color="auto" w:fill="F1DCDB"/>
          </w:tcPr>
          <w:p>
            <w:pPr>
              <w:pStyle w:val="TableParagraph"/>
              <w:spacing w:before="2"/>
              <w:ind w:left="267" w:right="262"/>
              <w:jc w:val="center"/>
              <w:rPr>
                <w:sz w:val="13"/>
              </w:rPr>
            </w:pPr>
            <w:r>
              <w:rPr>
                <w:w w:val="105"/>
                <w:sz w:val="13"/>
              </w:rPr>
              <w:t>15</w:t>
            </w:r>
          </w:p>
        </w:tc>
        <w:tc>
          <w:tcPr>
            <w:tcW w:w="732" w:type="dxa"/>
            <w:shd w:val="clear" w:color="auto" w:fill="F1DCDB"/>
          </w:tcPr>
          <w:p>
            <w:pPr>
              <w:pStyle w:val="TableParagraph"/>
              <w:spacing w:before="2"/>
              <w:ind w:left="26" w:right="22"/>
              <w:jc w:val="center"/>
              <w:rPr>
                <w:sz w:val="13"/>
              </w:rPr>
            </w:pPr>
            <w:r>
              <w:rPr>
                <w:w w:val="105"/>
                <w:sz w:val="13"/>
              </w:rPr>
              <w:t>076</w:t>
            </w:r>
          </w:p>
        </w:tc>
        <w:tc>
          <w:tcPr>
            <w:tcW w:w="1700" w:type="dxa"/>
            <w:shd w:val="clear" w:color="auto" w:fill="F1DCDB"/>
          </w:tcPr>
          <w:p>
            <w:pPr>
              <w:pStyle w:val="TableParagraph"/>
              <w:spacing w:before="2"/>
              <w:ind w:left="20"/>
              <w:rPr>
                <w:sz w:val="13"/>
              </w:rPr>
            </w:pPr>
            <w:r>
              <w:rPr>
                <w:w w:val="105"/>
                <w:sz w:val="13"/>
              </w:rPr>
              <w:t>San Mateo Atenco</w:t>
            </w:r>
          </w:p>
        </w:tc>
        <w:tc>
          <w:tcPr>
            <w:tcW w:w="1058" w:type="dxa"/>
            <w:shd w:val="clear" w:color="auto" w:fill="F1DCDB"/>
          </w:tcPr>
          <w:p>
            <w:pPr>
              <w:pStyle w:val="TableParagraph"/>
              <w:spacing w:before="2"/>
              <w:ind w:right="266"/>
              <w:jc w:val="right"/>
              <w:rPr>
                <w:sz w:val="13"/>
              </w:rPr>
            </w:pPr>
            <w:r>
              <w:rPr>
                <w:w w:val="105"/>
                <w:sz w:val="13"/>
              </w:rPr>
              <w:t>72 579</w:t>
            </w:r>
          </w:p>
        </w:tc>
        <w:tc>
          <w:tcPr>
            <w:tcW w:w="913" w:type="dxa"/>
            <w:shd w:val="clear" w:color="auto" w:fill="F1DCDB"/>
          </w:tcPr>
          <w:p>
            <w:pPr>
              <w:pStyle w:val="TableParagraph"/>
              <w:spacing w:before="2"/>
              <w:ind w:left="350" w:right="-6"/>
              <w:rPr>
                <w:sz w:val="13"/>
              </w:rPr>
            </w:pPr>
            <w:r>
              <w:rPr>
                <w:w w:val="105"/>
                <w:sz w:val="13"/>
              </w:rPr>
              <w:t>-1.33584</w:t>
            </w:r>
          </w:p>
        </w:tc>
        <w:tc>
          <w:tcPr>
            <w:tcW w:w="878" w:type="dxa"/>
            <w:shd w:val="clear" w:color="auto" w:fill="F1DCDB"/>
          </w:tcPr>
          <w:p>
            <w:pPr>
              <w:pStyle w:val="TableParagraph"/>
              <w:spacing w:before="2"/>
              <w:ind w:left="143" w:right="131"/>
              <w:jc w:val="center"/>
              <w:rPr>
                <w:sz w:val="13"/>
              </w:rPr>
            </w:pPr>
            <w:r>
              <w:rPr>
                <w:w w:val="105"/>
                <w:sz w:val="13"/>
              </w:rPr>
              <w:t>Muy bajo</w:t>
            </w:r>
          </w:p>
        </w:tc>
        <w:tc>
          <w:tcPr>
            <w:tcW w:w="888" w:type="dxa"/>
            <w:shd w:val="clear" w:color="auto" w:fill="F1DCDB"/>
          </w:tcPr>
          <w:p>
            <w:pPr>
              <w:pStyle w:val="TableParagraph"/>
              <w:spacing w:before="2"/>
              <w:ind w:right="266"/>
              <w:jc w:val="right"/>
              <w:rPr>
                <w:sz w:val="13"/>
              </w:rPr>
            </w:pPr>
            <w:r>
              <w:rPr>
                <w:sz w:val="13"/>
              </w:rPr>
              <w:t>12.578</w:t>
            </w:r>
          </w:p>
        </w:tc>
        <w:tc>
          <w:tcPr>
            <w:tcW w:w="732" w:type="dxa"/>
            <w:shd w:val="clear" w:color="auto" w:fill="F1DCDB"/>
          </w:tcPr>
          <w:p>
            <w:pPr>
              <w:pStyle w:val="TableParagraph"/>
              <w:spacing w:before="2"/>
              <w:ind w:right="246"/>
              <w:jc w:val="right"/>
              <w:rPr>
                <w:sz w:val="13"/>
              </w:rPr>
            </w:pPr>
            <w:r>
              <w:rPr>
                <w:w w:val="105"/>
                <w:sz w:val="13"/>
              </w:rPr>
              <w:t>97</w:t>
            </w:r>
          </w:p>
        </w:tc>
        <w:tc>
          <w:tcPr>
            <w:tcW w:w="732" w:type="dxa"/>
            <w:shd w:val="clear" w:color="auto" w:fill="F1DCDB"/>
          </w:tcPr>
          <w:p>
            <w:pPr>
              <w:pStyle w:val="TableParagraph"/>
              <w:spacing w:before="2"/>
              <w:ind w:right="265"/>
              <w:jc w:val="right"/>
              <w:rPr>
                <w:sz w:val="13"/>
              </w:rPr>
            </w:pPr>
            <w:r>
              <w:rPr>
                <w:w w:val="105"/>
                <w:sz w:val="13"/>
              </w:rPr>
              <w:t>2 248</w:t>
            </w:r>
          </w:p>
        </w:tc>
      </w:tr>
      <w:tr>
        <w:trPr>
          <w:trHeight w:val="170" w:hRule="exact"/>
        </w:trPr>
        <w:tc>
          <w:tcPr>
            <w:tcW w:w="732" w:type="dxa"/>
          </w:tcPr>
          <w:p>
            <w:pPr>
              <w:pStyle w:val="TableParagraph"/>
              <w:spacing w:before="2"/>
              <w:ind w:left="267" w:right="262"/>
              <w:jc w:val="center"/>
              <w:rPr>
                <w:sz w:val="13"/>
              </w:rPr>
            </w:pPr>
            <w:r>
              <w:rPr>
                <w:w w:val="105"/>
                <w:sz w:val="13"/>
              </w:rPr>
              <w:t>15</w:t>
            </w:r>
          </w:p>
        </w:tc>
        <w:tc>
          <w:tcPr>
            <w:tcW w:w="732" w:type="dxa"/>
          </w:tcPr>
          <w:p>
            <w:pPr>
              <w:pStyle w:val="TableParagraph"/>
              <w:spacing w:before="2"/>
              <w:ind w:left="26" w:right="22"/>
              <w:jc w:val="center"/>
              <w:rPr>
                <w:sz w:val="13"/>
              </w:rPr>
            </w:pPr>
            <w:r>
              <w:rPr>
                <w:w w:val="105"/>
                <w:sz w:val="13"/>
              </w:rPr>
              <w:t>081</w:t>
            </w:r>
          </w:p>
        </w:tc>
        <w:tc>
          <w:tcPr>
            <w:tcW w:w="1700" w:type="dxa"/>
          </w:tcPr>
          <w:p>
            <w:pPr>
              <w:pStyle w:val="TableParagraph"/>
              <w:spacing w:before="2"/>
              <w:ind w:left="20"/>
              <w:rPr>
                <w:sz w:val="13"/>
              </w:rPr>
            </w:pPr>
            <w:r>
              <w:rPr>
                <w:w w:val="105"/>
                <w:sz w:val="13"/>
              </w:rPr>
              <w:t>Tecámac</w:t>
            </w:r>
          </w:p>
        </w:tc>
        <w:tc>
          <w:tcPr>
            <w:tcW w:w="1058" w:type="dxa"/>
          </w:tcPr>
          <w:p>
            <w:pPr>
              <w:pStyle w:val="TableParagraph"/>
              <w:spacing w:before="2"/>
              <w:ind w:right="268"/>
              <w:jc w:val="right"/>
              <w:rPr>
                <w:sz w:val="13"/>
              </w:rPr>
            </w:pPr>
            <w:r>
              <w:rPr>
                <w:w w:val="105"/>
                <w:sz w:val="13"/>
              </w:rPr>
              <w:t>364 579</w:t>
            </w:r>
          </w:p>
        </w:tc>
        <w:tc>
          <w:tcPr>
            <w:tcW w:w="913" w:type="dxa"/>
          </w:tcPr>
          <w:p>
            <w:pPr>
              <w:pStyle w:val="TableParagraph"/>
              <w:spacing w:before="2"/>
              <w:ind w:left="350" w:right="-6"/>
              <w:rPr>
                <w:sz w:val="13"/>
              </w:rPr>
            </w:pPr>
            <w:r>
              <w:rPr>
                <w:w w:val="105"/>
                <w:sz w:val="13"/>
              </w:rPr>
              <w:t>-1.76677</w:t>
            </w:r>
          </w:p>
        </w:tc>
        <w:tc>
          <w:tcPr>
            <w:tcW w:w="878" w:type="dxa"/>
          </w:tcPr>
          <w:p>
            <w:pPr>
              <w:pStyle w:val="TableParagraph"/>
              <w:spacing w:before="2"/>
              <w:ind w:left="143" w:right="131"/>
              <w:jc w:val="center"/>
              <w:rPr>
                <w:sz w:val="13"/>
              </w:rPr>
            </w:pPr>
            <w:r>
              <w:rPr>
                <w:w w:val="105"/>
                <w:sz w:val="13"/>
              </w:rPr>
              <w:t>Muy bajo</w:t>
            </w:r>
          </w:p>
        </w:tc>
        <w:tc>
          <w:tcPr>
            <w:tcW w:w="888" w:type="dxa"/>
          </w:tcPr>
          <w:p>
            <w:pPr>
              <w:pStyle w:val="TableParagraph"/>
              <w:spacing w:before="2"/>
              <w:ind w:right="264"/>
              <w:jc w:val="right"/>
              <w:rPr>
                <w:sz w:val="13"/>
              </w:rPr>
            </w:pPr>
            <w:r>
              <w:rPr>
                <w:w w:val="105"/>
                <w:sz w:val="13"/>
              </w:rPr>
              <w:t>7.709</w:t>
            </w:r>
          </w:p>
        </w:tc>
        <w:tc>
          <w:tcPr>
            <w:tcW w:w="732" w:type="dxa"/>
          </w:tcPr>
          <w:p>
            <w:pPr>
              <w:pStyle w:val="TableParagraph"/>
              <w:spacing w:before="2"/>
              <w:ind w:right="211"/>
              <w:jc w:val="right"/>
              <w:rPr>
                <w:sz w:val="13"/>
              </w:rPr>
            </w:pPr>
            <w:r>
              <w:rPr>
                <w:sz w:val="13"/>
              </w:rPr>
              <w:t>118</w:t>
            </w:r>
          </w:p>
        </w:tc>
        <w:tc>
          <w:tcPr>
            <w:tcW w:w="732" w:type="dxa"/>
          </w:tcPr>
          <w:p>
            <w:pPr>
              <w:pStyle w:val="TableParagraph"/>
              <w:spacing w:before="2"/>
              <w:ind w:right="265"/>
              <w:jc w:val="right"/>
              <w:rPr>
                <w:sz w:val="13"/>
              </w:rPr>
            </w:pPr>
            <w:r>
              <w:rPr>
                <w:w w:val="105"/>
                <w:sz w:val="13"/>
              </w:rPr>
              <w:t>2 408</w:t>
            </w:r>
          </w:p>
        </w:tc>
      </w:tr>
      <w:tr>
        <w:trPr>
          <w:trHeight w:val="170" w:hRule="exact"/>
        </w:trPr>
        <w:tc>
          <w:tcPr>
            <w:tcW w:w="732" w:type="dxa"/>
            <w:shd w:val="clear" w:color="auto" w:fill="F1DCDB"/>
          </w:tcPr>
          <w:p>
            <w:pPr>
              <w:pStyle w:val="TableParagraph"/>
              <w:spacing w:before="2"/>
              <w:ind w:left="267" w:right="262"/>
              <w:jc w:val="center"/>
              <w:rPr>
                <w:sz w:val="13"/>
              </w:rPr>
            </w:pPr>
            <w:r>
              <w:rPr>
                <w:w w:val="105"/>
                <w:sz w:val="13"/>
              </w:rPr>
              <w:t>15</w:t>
            </w:r>
          </w:p>
        </w:tc>
        <w:tc>
          <w:tcPr>
            <w:tcW w:w="732" w:type="dxa"/>
            <w:shd w:val="clear" w:color="auto" w:fill="F1DCDB"/>
          </w:tcPr>
          <w:p>
            <w:pPr>
              <w:pStyle w:val="TableParagraph"/>
              <w:spacing w:before="2"/>
              <w:ind w:left="26" w:right="22"/>
              <w:jc w:val="center"/>
              <w:rPr>
                <w:sz w:val="13"/>
              </w:rPr>
            </w:pPr>
            <w:r>
              <w:rPr>
                <w:w w:val="105"/>
                <w:sz w:val="13"/>
              </w:rPr>
              <w:t>091</w:t>
            </w:r>
          </w:p>
        </w:tc>
        <w:tc>
          <w:tcPr>
            <w:tcW w:w="1700" w:type="dxa"/>
            <w:shd w:val="clear" w:color="auto" w:fill="F1DCDB"/>
          </w:tcPr>
          <w:p>
            <w:pPr>
              <w:pStyle w:val="TableParagraph"/>
              <w:spacing w:before="2"/>
              <w:ind w:left="20"/>
              <w:rPr>
                <w:sz w:val="13"/>
              </w:rPr>
            </w:pPr>
            <w:r>
              <w:rPr>
                <w:w w:val="105"/>
                <w:sz w:val="13"/>
              </w:rPr>
              <w:t>Teoloyucán</w:t>
            </w:r>
          </w:p>
        </w:tc>
        <w:tc>
          <w:tcPr>
            <w:tcW w:w="1058" w:type="dxa"/>
            <w:shd w:val="clear" w:color="auto" w:fill="F1DCDB"/>
          </w:tcPr>
          <w:p>
            <w:pPr>
              <w:pStyle w:val="TableParagraph"/>
              <w:spacing w:before="2"/>
              <w:ind w:right="261"/>
              <w:jc w:val="right"/>
              <w:rPr>
                <w:sz w:val="13"/>
              </w:rPr>
            </w:pPr>
            <w:r>
              <w:rPr>
                <w:w w:val="105"/>
                <w:sz w:val="13"/>
              </w:rPr>
              <w:t>63 115</w:t>
            </w:r>
          </w:p>
        </w:tc>
        <w:tc>
          <w:tcPr>
            <w:tcW w:w="913" w:type="dxa"/>
            <w:shd w:val="clear" w:color="auto" w:fill="F1DCDB"/>
          </w:tcPr>
          <w:p>
            <w:pPr>
              <w:pStyle w:val="TableParagraph"/>
              <w:spacing w:before="2"/>
              <w:ind w:left="350" w:right="-6"/>
              <w:rPr>
                <w:sz w:val="13"/>
              </w:rPr>
            </w:pPr>
            <w:r>
              <w:rPr>
                <w:w w:val="105"/>
                <w:sz w:val="13"/>
              </w:rPr>
              <w:t>-1.45603</w:t>
            </w:r>
          </w:p>
        </w:tc>
        <w:tc>
          <w:tcPr>
            <w:tcW w:w="878" w:type="dxa"/>
            <w:shd w:val="clear" w:color="auto" w:fill="F1DCDB"/>
          </w:tcPr>
          <w:p>
            <w:pPr>
              <w:pStyle w:val="TableParagraph"/>
              <w:spacing w:before="2"/>
              <w:ind w:left="143" w:right="131"/>
              <w:jc w:val="center"/>
              <w:rPr>
                <w:sz w:val="13"/>
              </w:rPr>
            </w:pPr>
            <w:r>
              <w:rPr>
                <w:w w:val="105"/>
                <w:sz w:val="13"/>
              </w:rPr>
              <w:t>Muy bajo</w:t>
            </w:r>
          </w:p>
        </w:tc>
        <w:tc>
          <w:tcPr>
            <w:tcW w:w="888" w:type="dxa"/>
            <w:shd w:val="clear" w:color="auto" w:fill="F1DCDB"/>
          </w:tcPr>
          <w:p>
            <w:pPr>
              <w:pStyle w:val="TableParagraph"/>
              <w:spacing w:before="2"/>
              <w:ind w:right="259"/>
              <w:jc w:val="right"/>
              <w:rPr>
                <w:sz w:val="13"/>
              </w:rPr>
            </w:pPr>
            <w:r>
              <w:rPr>
                <w:w w:val="105"/>
                <w:sz w:val="13"/>
              </w:rPr>
              <w:t>11.220</w:t>
            </w:r>
          </w:p>
        </w:tc>
        <w:tc>
          <w:tcPr>
            <w:tcW w:w="732" w:type="dxa"/>
            <w:shd w:val="clear" w:color="auto" w:fill="F1DCDB"/>
          </w:tcPr>
          <w:p>
            <w:pPr>
              <w:pStyle w:val="TableParagraph"/>
              <w:spacing w:before="2"/>
              <w:ind w:right="207"/>
              <w:jc w:val="right"/>
              <w:rPr>
                <w:sz w:val="13"/>
              </w:rPr>
            </w:pPr>
            <w:r>
              <w:rPr>
                <w:w w:val="105"/>
                <w:sz w:val="13"/>
              </w:rPr>
              <w:t>106</w:t>
            </w:r>
          </w:p>
        </w:tc>
        <w:tc>
          <w:tcPr>
            <w:tcW w:w="732" w:type="dxa"/>
            <w:shd w:val="clear" w:color="auto" w:fill="F1DCDB"/>
          </w:tcPr>
          <w:p>
            <w:pPr>
              <w:pStyle w:val="TableParagraph"/>
              <w:spacing w:before="2"/>
              <w:ind w:right="265"/>
              <w:jc w:val="right"/>
              <w:rPr>
                <w:sz w:val="13"/>
              </w:rPr>
            </w:pPr>
            <w:r>
              <w:rPr>
                <w:w w:val="105"/>
                <w:sz w:val="13"/>
              </w:rPr>
              <w:t>2 304</w:t>
            </w:r>
          </w:p>
        </w:tc>
      </w:tr>
      <w:tr>
        <w:trPr>
          <w:trHeight w:val="170" w:hRule="exact"/>
        </w:trPr>
        <w:tc>
          <w:tcPr>
            <w:tcW w:w="732" w:type="dxa"/>
          </w:tcPr>
          <w:p>
            <w:pPr>
              <w:pStyle w:val="TableParagraph"/>
              <w:spacing w:before="4"/>
              <w:ind w:left="267" w:right="262"/>
              <w:jc w:val="center"/>
              <w:rPr>
                <w:sz w:val="13"/>
              </w:rPr>
            </w:pPr>
            <w:r>
              <w:rPr>
                <w:w w:val="105"/>
                <w:sz w:val="13"/>
              </w:rPr>
              <w:t>15</w:t>
            </w:r>
          </w:p>
        </w:tc>
        <w:tc>
          <w:tcPr>
            <w:tcW w:w="732" w:type="dxa"/>
          </w:tcPr>
          <w:p>
            <w:pPr>
              <w:pStyle w:val="TableParagraph"/>
              <w:spacing w:before="4"/>
              <w:ind w:left="26" w:right="22"/>
              <w:jc w:val="center"/>
              <w:rPr>
                <w:sz w:val="13"/>
              </w:rPr>
            </w:pPr>
            <w:r>
              <w:rPr>
                <w:w w:val="105"/>
                <w:sz w:val="13"/>
              </w:rPr>
              <w:t>092</w:t>
            </w:r>
          </w:p>
        </w:tc>
        <w:tc>
          <w:tcPr>
            <w:tcW w:w="1700" w:type="dxa"/>
          </w:tcPr>
          <w:p>
            <w:pPr>
              <w:pStyle w:val="TableParagraph"/>
              <w:spacing w:before="4"/>
              <w:ind w:left="20"/>
              <w:rPr>
                <w:sz w:val="13"/>
              </w:rPr>
            </w:pPr>
            <w:r>
              <w:rPr>
                <w:w w:val="105"/>
                <w:sz w:val="13"/>
              </w:rPr>
              <w:t>Teotihuacán</w:t>
            </w:r>
          </w:p>
        </w:tc>
        <w:tc>
          <w:tcPr>
            <w:tcW w:w="1058" w:type="dxa"/>
          </w:tcPr>
          <w:p>
            <w:pPr>
              <w:pStyle w:val="TableParagraph"/>
              <w:spacing w:before="4"/>
              <w:ind w:right="266"/>
              <w:jc w:val="right"/>
              <w:rPr>
                <w:sz w:val="13"/>
              </w:rPr>
            </w:pPr>
            <w:r>
              <w:rPr>
                <w:w w:val="105"/>
                <w:sz w:val="13"/>
              </w:rPr>
              <w:t>53 010</w:t>
            </w:r>
          </w:p>
        </w:tc>
        <w:tc>
          <w:tcPr>
            <w:tcW w:w="913" w:type="dxa"/>
          </w:tcPr>
          <w:p>
            <w:pPr>
              <w:pStyle w:val="TableParagraph"/>
              <w:spacing w:before="4"/>
              <w:ind w:left="350" w:right="-6"/>
              <w:rPr>
                <w:sz w:val="13"/>
              </w:rPr>
            </w:pPr>
            <w:r>
              <w:rPr>
                <w:w w:val="105"/>
                <w:sz w:val="13"/>
              </w:rPr>
              <w:t>-1.29778</w:t>
            </w:r>
          </w:p>
        </w:tc>
        <w:tc>
          <w:tcPr>
            <w:tcW w:w="878" w:type="dxa"/>
          </w:tcPr>
          <w:p>
            <w:pPr>
              <w:pStyle w:val="TableParagraph"/>
              <w:spacing w:before="4"/>
              <w:ind w:left="143" w:right="131"/>
              <w:jc w:val="center"/>
              <w:rPr>
                <w:sz w:val="13"/>
              </w:rPr>
            </w:pPr>
            <w:r>
              <w:rPr>
                <w:w w:val="105"/>
                <w:sz w:val="13"/>
              </w:rPr>
              <w:t>Muy bajo</w:t>
            </w:r>
          </w:p>
        </w:tc>
        <w:tc>
          <w:tcPr>
            <w:tcW w:w="888" w:type="dxa"/>
          </w:tcPr>
          <w:p>
            <w:pPr>
              <w:pStyle w:val="TableParagraph"/>
              <w:spacing w:before="4"/>
              <w:ind w:right="266"/>
              <w:jc w:val="right"/>
              <w:rPr>
                <w:sz w:val="13"/>
              </w:rPr>
            </w:pPr>
            <w:r>
              <w:rPr>
                <w:sz w:val="13"/>
              </w:rPr>
              <w:t>13.008</w:t>
            </w:r>
          </w:p>
        </w:tc>
        <w:tc>
          <w:tcPr>
            <w:tcW w:w="732" w:type="dxa"/>
          </w:tcPr>
          <w:p>
            <w:pPr>
              <w:pStyle w:val="TableParagraph"/>
              <w:spacing w:before="4"/>
              <w:ind w:right="246"/>
              <w:jc w:val="right"/>
              <w:rPr>
                <w:sz w:val="13"/>
              </w:rPr>
            </w:pPr>
            <w:r>
              <w:rPr>
                <w:w w:val="105"/>
                <w:sz w:val="13"/>
              </w:rPr>
              <w:t>92</w:t>
            </w:r>
          </w:p>
        </w:tc>
        <w:tc>
          <w:tcPr>
            <w:tcW w:w="732" w:type="dxa"/>
          </w:tcPr>
          <w:p>
            <w:pPr>
              <w:pStyle w:val="TableParagraph"/>
              <w:spacing w:before="4"/>
              <w:ind w:right="265"/>
              <w:jc w:val="right"/>
              <w:rPr>
                <w:sz w:val="13"/>
              </w:rPr>
            </w:pPr>
            <w:r>
              <w:rPr>
                <w:w w:val="105"/>
                <w:sz w:val="13"/>
              </w:rPr>
              <w:t>2 228</w:t>
            </w:r>
          </w:p>
        </w:tc>
      </w:tr>
      <w:tr>
        <w:trPr>
          <w:trHeight w:val="170" w:hRule="exact"/>
        </w:trPr>
        <w:tc>
          <w:tcPr>
            <w:tcW w:w="732" w:type="dxa"/>
            <w:shd w:val="clear" w:color="auto" w:fill="F1DCDB"/>
          </w:tcPr>
          <w:p>
            <w:pPr>
              <w:pStyle w:val="TableParagraph"/>
              <w:spacing w:before="4"/>
              <w:ind w:left="267" w:right="262"/>
              <w:jc w:val="center"/>
              <w:rPr>
                <w:sz w:val="13"/>
              </w:rPr>
            </w:pPr>
            <w:r>
              <w:rPr>
                <w:w w:val="105"/>
                <w:sz w:val="13"/>
              </w:rPr>
              <w:t>15</w:t>
            </w:r>
          </w:p>
        </w:tc>
        <w:tc>
          <w:tcPr>
            <w:tcW w:w="732" w:type="dxa"/>
            <w:shd w:val="clear" w:color="auto" w:fill="F1DCDB"/>
          </w:tcPr>
          <w:p>
            <w:pPr>
              <w:pStyle w:val="TableParagraph"/>
              <w:spacing w:before="4"/>
              <w:ind w:left="26" w:right="22"/>
              <w:jc w:val="center"/>
              <w:rPr>
                <w:sz w:val="13"/>
              </w:rPr>
            </w:pPr>
            <w:r>
              <w:rPr>
                <w:w w:val="105"/>
                <w:sz w:val="13"/>
              </w:rPr>
              <w:t>095</w:t>
            </w:r>
          </w:p>
        </w:tc>
        <w:tc>
          <w:tcPr>
            <w:tcW w:w="1700" w:type="dxa"/>
            <w:shd w:val="clear" w:color="auto" w:fill="F1DCDB"/>
          </w:tcPr>
          <w:p>
            <w:pPr>
              <w:pStyle w:val="TableParagraph"/>
              <w:spacing w:before="4"/>
              <w:ind w:left="20"/>
              <w:rPr>
                <w:sz w:val="13"/>
              </w:rPr>
            </w:pPr>
            <w:r>
              <w:rPr>
                <w:w w:val="105"/>
                <w:sz w:val="13"/>
              </w:rPr>
              <w:t>Tepotzotlán</w:t>
            </w:r>
          </w:p>
        </w:tc>
        <w:tc>
          <w:tcPr>
            <w:tcW w:w="1058" w:type="dxa"/>
            <w:shd w:val="clear" w:color="auto" w:fill="F1DCDB"/>
          </w:tcPr>
          <w:p>
            <w:pPr>
              <w:pStyle w:val="TableParagraph"/>
              <w:spacing w:before="4"/>
              <w:ind w:right="266"/>
              <w:jc w:val="right"/>
              <w:rPr>
                <w:sz w:val="13"/>
              </w:rPr>
            </w:pPr>
            <w:r>
              <w:rPr>
                <w:w w:val="105"/>
                <w:sz w:val="13"/>
              </w:rPr>
              <w:t>88 559</w:t>
            </w:r>
          </w:p>
        </w:tc>
        <w:tc>
          <w:tcPr>
            <w:tcW w:w="913" w:type="dxa"/>
            <w:shd w:val="clear" w:color="auto" w:fill="F1DCDB"/>
          </w:tcPr>
          <w:p>
            <w:pPr>
              <w:pStyle w:val="TableParagraph"/>
              <w:spacing w:before="4"/>
              <w:ind w:left="350" w:right="-6"/>
              <w:rPr>
                <w:sz w:val="13"/>
              </w:rPr>
            </w:pPr>
            <w:r>
              <w:rPr>
                <w:w w:val="105"/>
                <w:sz w:val="13"/>
              </w:rPr>
              <w:t>-1.38073</w:t>
            </w:r>
          </w:p>
        </w:tc>
        <w:tc>
          <w:tcPr>
            <w:tcW w:w="878" w:type="dxa"/>
            <w:shd w:val="clear" w:color="auto" w:fill="F1DCDB"/>
          </w:tcPr>
          <w:p>
            <w:pPr>
              <w:pStyle w:val="TableParagraph"/>
              <w:spacing w:before="4"/>
              <w:ind w:left="143" w:right="131"/>
              <w:jc w:val="center"/>
              <w:rPr>
                <w:sz w:val="13"/>
              </w:rPr>
            </w:pPr>
            <w:r>
              <w:rPr>
                <w:w w:val="105"/>
                <w:sz w:val="13"/>
              </w:rPr>
              <w:t>Muy bajo</w:t>
            </w:r>
          </w:p>
        </w:tc>
        <w:tc>
          <w:tcPr>
            <w:tcW w:w="888" w:type="dxa"/>
            <w:shd w:val="clear" w:color="auto" w:fill="F1DCDB"/>
          </w:tcPr>
          <w:p>
            <w:pPr>
              <w:pStyle w:val="TableParagraph"/>
              <w:spacing w:before="4"/>
              <w:ind w:right="266"/>
              <w:jc w:val="right"/>
              <w:rPr>
                <w:sz w:val="13"/>
              </w:rPr>
            </w:pPr>
            <w:r>
              <w:rPr>
                <w:sz w:val="13"/>
              </w:rPr>
              <w:t>12.071</w:t>
            </w:r>
          </w:p>
        </w:tc>
        <w:tc>
          <w:tcPr>
            <w:tcW w:w="732" w:type="dxa"/>
            <w:shd w:val="clear" w:color="auto" w:fill="F1DCDB"/>
          </w:tcPr>
          <w:p>
            <w:pPr>
              <w:pStyle w:val="TableParagraph"/>
              <w:spacing w:before="4"/>
              <w:ind w:right="207"/>
              <w:jc w:val="right"/>
              <w:rPr>
                <w:sz w:val="13"/>
              </w:rPr>
            </w:pPr>
            <w:r>
              <w:rPr>
                <w:w w:val="105"/>
                <w:sz w:val="13"/>
              </w:rPr>
              <w:t>100</w:t>
            </w:r>
          </w:p>
        </w:tc>
        <w:tc>
          <w:tcPr>
            <w:tcW w:w="732" w:type="dxa"/>
            <w:shd w:val="clear" w:color="auto" w:fill="F1DCDB"/>
          </w:tcPr>
          <w:p>
            <w:pPr>
              <w:pStyle w:val="TableParagraph"/>
              <w:spacing w:before="4"/>
              <w:ind w:right="265"/>
              <w:jc w:val="right"/>
              <w:rPr>
                <w:sz w:val="13"/>
              </w:rPr>
            </w:pPr>
            <w:r>
              <w:rPr>
                <w:w w:val="105"/>
                <w:sz w:val="13"/>
              </w:rPr>
              <w:t>2 278</w:t>
            </w:r>
          </w:p>
        </w:tc>
      </w:tr>
      <w:tr>
        <w:trPr>
          <w:trHeight w:val="170" w:hRule="exact"/>
        </w:trPr>
        <w:tc>
          <w:tcPr>
            <w:tcW w:w="732" w:type="dxa"/>
          </w:tcPr>
          <w:p>
            <w:pPr>
              <w:pStyle w:val="TableParagraph"/>
              <w:spacing w:before="4"/>
              <w:ind w:left="267" w:right="262"/>
              <w:jc w:val="center"/>
              <w:rPr>
                <w:sz w:val="13"/>
              </w:rPr>
            </w:pPr>
            <w:r>
              <w:rPr>
                <w:w w:val="105"/>
                <w:sz w:val="13"/>
              </w:rPr>
              <w:t>15</w:t>
            </w:r>
          </w:p>
        </w:tc>
        <w:tc>
          <w:tcPr>
            <w:tcW w:w="732" w:type="dxa"/>
          </w:tcPr>
          <w:p>
            <w:pPr>
              <w:pStyle w:val="TableParagraph"/>
              <w:spacing w:before="4"/>
              <w:ind w:left="26" w:right="22"/>
              <w:jc w:val="center"/>
              <w:rPr>
                <w:sz w:val="13"/>
              </w:rPr>
            </w:pPr>
            <w:r>
              <w:rPr>
                <w:w w:val="105"/>
                <w:sz w:val="13"/>
              </w:rPr>
              <w:t>096</w:t>
            </w:r>
          </w:p>
        </w:tc>
        <w:tc>
          <w:tcPr>
            <w:tcW w:w="1700" w:type="dxa"/>
          </w:tcPr>
          <w:p>
            <w:pPr>
              <w:pStyle w:val="TableParagraph"/>
              <w:spacing w:before="4"/>
              <w:ind w:left="20"/>
              <w:rPr>
                <w:sz w:val="13"/>
              </w:rPr>
            </w:pPr>
            <w:r>
              <w:rPr>
                <w:w w:val="105"/>
                <w:sz w:val="13"/>
              </w:rPr>
              <w:t>Tequixquiac</w:t>
            </w:r>
          </w:p>
        </w:tc>
        <w:tc>
          <w:tcPr>
            <w:tcW w:w="1058" w:type="dxa"/>
          </w:tcPr>
          <w:p>
            <w:pPr>
              <w:pStyle w:val="TableParagraph"/>
              <w:spacing w:before="4"/>
              <w:ind w:right="266"/>
              <w:jc w:val="right"/>
              <w:rPr>
                <w:sz w:val="13"/>
              </w:rPr>
            </w:pPr>
            <w:r>
              <w:rPr>
                <w:w w:val="105"/>
                <w:sz w:val="13"/>
              </w:rPr>
              <w:t>33 907</w:t>
            </w:r>
          </w:p>
        </w:tc>
        <w:tc>
          <w:tcPr>
            <w:tcW w:w="913" w:type="dxa"/>
          </w:tcPr>
          <w:p>
            <w:pPr>
              <w:pStyle w:val="TableParagraph"/>
              <w:spacing w:before="4"/>
              <w:ind w:left="350" w:right="-6"/>
              <w:rPr>
                <w:sz w:val="13"/>
              </w:rPr>
            </w:pPr>
            <w:r>
              <w:rPr>
                <w:w w:val="105"/>
                <w:sz w:val="13"/>
              </w:rPr>
              <w:t>-1.30455</w:t>
            </w:r>
          </w:p>
        </w:tc>
        <w:tc>
          <w:tcPr>
            <w:tcW w:w="878" w:type="dxa"/>
          </w:tcPr>
          <w:p>
            <w:pPr>
              <w:pStyle w:val="TableParagraph"/>
              <w:spacing w:before="4"/>
              <w:ind w:left="143" w:right="131"/>
              <w:jc w:val="center"/>
              <w:rPr>
                <w:sz w:val="13"/>
              </w:rPr>
            </w:pPr>
            <w:r>
              <w:rPr>
                <w:w w:val="105"/>
                <w:sz w:val="13"/>
              </w:rPr>
              <w:t>Muy bajo</w:t>
            </w:r>
          </w:p>
        </w:tc>
        <w:tc>
          <w:tcPr>
            <w:tcW w:w="888" w:type="dxa"/>
          </w:tcPr>
          <w:p>
            <w:pPr>
              <w:pStyle w:val="TableParagraph"/>
              <w:spacing w:before="4"/>
              <w:ind w:right="266"/>
              <w:jc w:val="right"/>
              <w:rPr>
                <w:sz w:val="13"/>
              </w:rPr>
            </w:pPr>
            <w:r>
              <w:rPr>
                <w:sz w:val="13"/>
              </w:rPr>
              <w:t>12.932</w:t>
            </w:r>
          </w:p>
        </w:tc>
        <w:tc>
          <w:tcPr>
            <w:tcW w:w="732" w:type="dxa"/>
          </w:tcPr>
          <w:p>
            <w:pPr>
              <w:pStyle w:val="TableParagraph"/>
              <w:spacing w:before="4"/>
              <w:ind w:right="246"/>
              <w:jc w:val="right"/>
              <w:rPr>
                <w:sz w:val="13"/>
              </w:rPr>
            </w:pPr>
            <w:r>
              <w:rPr>
                <w:w w:val="105"/>
                <w:sz w:val="13"/>
              </w:rPr>
              <w:t>93</w:t>
            </w:r>
          </w:p>
        </w:tc>
        <w:tc>
          <w:tcPr>
            <w:tcW w:w="732" w:type="dxa"/>
          </w:tcPr>
          <w:p>
            <w:pPr>
              <w:pStyle w:val="TableParagraph"/>
              <w:spacing w:before="4"/>
              <w:ind w:right="265"/>
              <w:jc w:val="right"/>
              <w:rPr>
                <w:sz w:val="13"/>
              </w:rPr>
            </w:pPr>
            <w:r>
              <w:rPr>
                <w:w w:val="105"/>
                <w:sz w:val="13"/>
              </w:rPr>
              <w:t>2 234</w:t>
            </w:r>
          </w:p>
        </w:tc>
      </w:tr>
      <w:tr>
        <w:trPr>
          <w:trHeight w:val="170" w:hRule="exact"/>
        </w:trPr>
        <w:tc>
          <w:tcPr>
            <w:tcW w:w="732" w:type="dxa"/>
            <w:shd w:val="clear" w:color="auto" w:fill="F1DCDB"/>
          </w:tcPr>
          <w:p>
            <w:pPr>
              <w:pStyle w:val="TableParagraph"/>
              <w:spacing w:before="4"/>
              <w:ind w:left="267" w:right="262"/>
              <w:jc w:val="center"/>
              <w:rPr>
                <w:sz w:val="13"/>
              </w:rPr>
            </w:pPr>
            <w:r>
              <w:rPr>
                <w:w w:val="105"/>
                <w:sz w:val="13"/>
              </w:rPr>
              <w:t>15</w:t>
            </w:r>
          </w:p>
        </w:tc>
        <w:tc>
          <w:tcPr>
            <w:tcW w:w="732" w:type="dxa"/>
            <w:shd w:val="clear" w:color="auto" w:fill="F1DCDB"/>
          </w:tcPr>
          <w:p>
            <w:pPr>
              <w:pStyle w:val="TableParagraph"/>
              <w:spacing w:before="4"/>
              <w:ind w:left="26" w:right="22"/>
              <w:jc w:val="center"/>
              <w:rPr>
                <w:sz w:val="13"/>
              </w:rPr>
            </w:pPr>
            <w:r>
              <w:rPr>
                <w:w w:val="105"/>
                <w:sz w:val="13"/>
              </w:rPr>
              <w:t>099</w:t>
            </w:r>
          </w:p>
        </w:tc>
        <w:tc>
          <w:tcPr>
            <w:tcW w:w="1700" w:type="dxa"/>
            <w:shd w:val="clear" w:color="auto" w:fill="F1DCDB"/>
          </w:tcPr>
          <w:p>
            <w:pPr>
              <w:pStyle w:val="TableParagraph"/>
              <w:spacing w:before="4"/>
              <w:ind w:left="20"/>
              <w:rPr>
                <w:sz w:val="13"/>
              </w:rPr>
            </w:pPr>
            <w:r>
              <w:rPr>
                <w:w w:val="105"/>
                <w:sz w:val="13"/>
              </w:rPr>
              <w:t>Texcoco</w:t>
            </w:r>
          </w:p>
        </w:tc>
        <w:tc>
          <w:tcPr>
            <w:tcW w:w="1058" w:type="dxa"/>
            <w:shd w:val="clear" w:color="auto" w:fill="F1DCDB"/>
          </w:tcPr>
          <w:p>
            <w:pPr>
              <w:pStyle w:val="TableParagraph"/>
              <w:spacing w:before="4"/>
              <w:ind w:right="268"/>
              <w:jc w:val="right"/>
              <w:rPr>
                <w:sz w:val="13"/>
              </w:rPr>
            </w:pPr>
            <w:r>
              <w:rPr>
                <w:w w:val="105"/>
                <w:sz w:val="13"/>
              </w:rPr>
              <w:t>235 151</w:t>
            </w:r>
          </w:p>
        </w:tc>
        <w:tc>
          <w:tcPr>
            <w:tcW w:w="913" w:type="dxa"/>
            <w:shd w:val="clear" w:color="auto" w:fill="F1DCDB"/>
          </w:tcPr>
          <w:p>
            <w:pPr>
              <w:pStyle w:val="TableParagraph"/>
              <w:spacing w:before="4"/>
              <w:ind w:left="350" w:right="-6"/>
              <w:rPr>
                <w:sz w:val="13"/>
              </w:rPr>
            </w:pPr>
            <w:r>
              <w:rPr>
                <w:w w:val="105"/>
                <w:sz w:val="13"/>
              </w:rPr>
              <w:t>-1.47604</w:t>
            </w:r>
          </w:p>
        </w:tc>
        <w:tc>
          <w:tcPr>
            <w:tcW w:w="878" w:type="dxa"/>
            <w:shd w:val="clear" w:color="auto" w:fill="F1DCDB"/>
          </w:tcPr>
          <w:p>
            <w:pPr>
              <w:pStyle w:val="TableParagraph"/>
              <w:spacing w:before="4"/>
              <w:ind w:left="143" w:right="131"/>
              <w:jc w:val="center"/>
              <w:rPr>
                <w:sz w:val="13"/>
              </w:rPr>
            </w:pPr>
            <w:r>
              <w:rPr>
                <w:w w:val="105"/>
                <w:sz w:val="13"/>
              </w:rPr>
              <w:t>Muy bajo</w:t>
            </w:r>
          </w:p>
        </w:tc>
        <w:tc>
          <w:tcPr>
            <w:tcW w:w="888" w:type="dxa"/>
            <w:shd w:val="clear" w:color="auto" w:fill="F1DCDB"/>
          </w:tcPr>
          <w:p>
            <w:pPr>
              <w:pStyle w:val="TableParagraph"/>
              <w:spacing w:before="4"/>
              <w:ind w:right="266"/>
              <w:jc w:val="right"/>
              <w:rPr>
                <w:sz w:val="13"/>
              </w:rPr>
            </w:pPr>
            <w:r>
              <w:rPr>
                <w:sz w:val="13"/>
              </w:rPr>
              <w:t>10.994</w:t>
            </w:r>
          </w:p>
        </w:tc>
        <w:tc>
          <w:tcPr>
            <w:tcW w:w="732" w:type="dxa"/>
            <w:shd w:val="clear" w:color="auto" w:fill="F1DCDB"/>
          </w:tcPr>
          <w:p>
            <w:pPr>
              <w:pStyle w:val="TableParagraph"/>
              <w:spacing w:before="4"/>
              <w:ind w:right="207"/>
              <w:jc w:val="right"/>
              <w:rPr>
                <w:sz w:val="13"/>
              </w:rPr>
            </w:pPr>
            <w:r>
              <w:rPr>
                <w:w w:val="105"/>
                <w:sz w:val="13"/>
              </w:rPr>
              <w:t>107</w:t>
            </w:r>
          </w:p>
        </w:tc>
        <w:tc>
          <w:tcPr>
            <w:tcW w:w="732" w:type="dxa"/>
            <w:shd w:val="clear" w:color="auto" w:fill="F1DCDB"/>
          </w:tcPr>
          <w:p>
            <w:pPr>
              <w:pStyle w:val="TableParagraph"/>
              <w:spacing w:before="4"/>
              <w:ind w:right="265"/>
              <w:jc w:val="right"/>
              <w:rPr>
                <w:sz w:val="13"/>
              </w:rPr>
            </w:pPr>
            <w:r>
              <w:rPr>
                <w:w w:val="105"/>
                <w:sz w:val="13"/>
              </w:rPr>
              <w:t>2 308</w:t>
            </w:r>
          </w:p>
        </w:tc>
      </w:tr>
      <w:tr>
        <w:trPr>
          <w:trHeight w:val="170" w:hRule="exact"/>
        </w:trPr>
        <w:tc>
          <w:tcPr>
            <w:tcW w:w="732" w:type="dxa"/>
          </w:tcPr>
          <w:p>
            <w:pPr>
              <w:pStyle w:val="TableParagraph"/>
              <w:spacing w:before="4"/>
              <w:ind w:left="267" w:right="262"/>
              <w:jc w:val="center"/>
              <w:rPr>
                <w:sz w:val="13"/>
              </w:rPr>
            </w:pPr>
            <w:r>
              <w:rPr>
                <w:w w:val="105"/>
                <w:sz w:val="13"/>
              </w:rPr>
              <w:t>15</w:t>
            </w:r>
          </w:p>
        </w:tc>
        <w:tc>
          <w:tcPr>
            <w:tcW w:w="732" w:type="dxa"/>
          </w:tcPr>
          <w:p>
            <w:pPr>
              <w:pStyle w:val="TableParagraph"/>
              <w:spacing w:before="4"/>
              <w:ind w:left="26" w:right="22"/>
              <w:jc w:val="center"/>
              <w:rPr>
                <w:sz w:val="13"/>
              </w:rPr>
            </w:pPr>
            <w:r>
              <w:rPr>
                <w:w w:val="105"/>
                <w:sz w:val="13"/>
              </w:rPr>
              <w:t>103</w:t>
            </w:r>
          </w:p>
        </w:tc>
        <w:tc>
          <w:tcPr>
            <w:tcW w:w="1700" w:type="dxa"/>
          </w:tcPr>
          <w:p>
            <w:pPr>
              <w:pStyle w:val="TableParagraph"/>
              <w:spacing w:before="4"/>
              <w:ind w:left="20"/>
              <w:rPr>
                <w:sz w:val="13"/>
              </w:rPr>
            </w:pPr>
            <w:r>
              <w:rPr>
                <w:w w:val="105"/>
                <w:sz w:val="13"/>
              </w:rPr>
              <w:t>Tlalmanalco</w:t>
            </w:r>
          </w:p>
        </w:tc>
        <w:tc>
          <w:tcPr>
            <w:tcW w:w="1058" w:type="dxa"/>
          </w:tcPr>
          <w:p>
            <w:pPr>
              <w:pStyle w:val="TableParagraph"/>
              <w:spacing w:before="4"/>
              <w:ind w:right="266"/>
              <w:jc w:val="right"/>
              <w:rPr>
                <w:sz w:val="13"/>
              </w:rPr>
            </w:pPr>
            <w:r>
              <w:rPr>
                <w:w w:val="105"/>
                <w:sz w:val="13"/>
              </w:rPr>
              <w:t>46 130</w:t>
            </w:r>
          </w:p>
        </w:tc>
        <w:tc>
          <w:tcPr>
            <w:tcW w:w="913" w:type="dxa"/>
          </w:tcPr>
          <w:p>
            <w:pPr>
              <w:pStyle w:val="TableParagraph"/>
              <w:spacing w:before="4"/>
              <w:ind w:left="350" w:right="-6"/>
              <w:rPr>
                <w:sz w:val="13"/>
              </w:rPr>
            </w:pPr>
            <w:r>
              <w:rPr>
                <w:w w:val="105"/>
                <w:sz w:val="13"/>
              </w:rPr>
              <w:t>-1.42864</w:t>
            </w:r>
          </w:p>
        </w:tc>
        <w:tc>
          <w:tcPr>
            <w:tcW w:w="878" w:type="dxa"/>
          </w:tcPr>
          <w:p>
            <w:pPr>
              <w:pStyle w:val="TableParagraph"/>
              <w:spacing w:before="4"/>
              <w:ind w:left="143" w:right="131"/>
              <w:jc w:val="center"/>
              <w:rPr>
                <w:sz w:val="13"/>
              </w:rPr>
            </w:pPr>
            <w:r>
              <w:rPr>
                <w:w w:val="105"/>
                <w:sz w:val="13"/>
              </w:rPr>
              <w:t>Muy bajo</w:t>
            </w:r>
          </w:p>
        </w:tc>
        <w:tc>
          <w:tcPr>
            <w:tcW w:w="888" w:type="dxa"/>
          </w:tcPr>
          <w:p>
            <w:pPr>
              <w:pStyle w:val="TableParagraph"/>
              <w:spacing w:before="4"/>
              <w:ind w:right="259"/>
              <w:jc w:val="right"/>
              <w:rPr>
                <w:sz w:val="13"/>
              </w:rPr>
            </w:pPr>
            <w:r>
              <w:rPr>
                <w:w w:val="105"/>
                <w:sz w:val="13"/>
              </w:rPr>
              <w:t>11.529</w:t>
            </w:r>
          </w:p>
        </w:tc>
        <w:tc>
          <w:tcPr>
            <w:tcW w:w="732" w:type="dxa"/>
          </w:tcPr>
          <w:p>
            <w:pPr>
              <w:pStyle w:val="TableParagraph"/>
              <w:spacing w:before="4"/>
              <w:ind w:right="207"/>
              <w:jc w:val="right"/>
              <w:rPr>
                <w:sz w:val="13"/>
              </w:rPr>
            </w:pPr>
            <w:r>
              <w:rPr>
                <w:w w:val="105"/>
                <w:sz w:val="13"/>
              </w:rPr>
              <w:t>104</w:t>
            </w:r>
          </w:p>
        </w:tc>
        <w:tc>
          <w:tcPr>
            <w:tcW w:w="732" w:type="dxa"/>
          </w:tcPr>
          <w:p>
            <w:pPr>
              <w:pStyle w:val="TableParagraph"/>
              <w:spacing w:before="4"/>
              <w:ind w:right="265"/>
              <w:jc w:val="right"/>
              <w:rPr>
                <w:sz w:val="13"/>
              </w:rPr>
            </w:pPr>
            <w:r>
              <w:rPr>
                <w:w w:val="105"/>
                <w:sz w:val="13"/>
              </w:rPr>
              <w:t>2 295</w:t>
            </w:r>
          </w:p>
        </w:tc>
      </w:tr>
      <w:tr>
        <w:trPr>
          <w:trHeight w:val="171" w:hRule="exact"/>
        </w:trPr>
        <w:tc>
          <w:tcPr>
            <w:tcW w:w="732" w:type="dxa"/>
            <w:shd w:val="clear" w:color="auto" w:fill="F1DCDB"/>
          </w:tcPr>
          <w:p>
            <w:pPr>
              <w:pStyle w:val="TableParagraph"/>
              <w:spacing w:before="4"/>
              <w:ind w:left="267" w:right="262"/>
              <w:jc w:val="center"/>
              <w:rPr>
                <w:sz w:val="13"/>
              </w:rPr>
            </w:pPr>
            <w:r>
              <w:rPr>
                <w:w w:val="105"/>
                <w:sz w:val="13"/>
              </w:rPr>
              <w:t>15</w:t>
            </w:r>
          </w:p>
        </w:tc>
        <w:tc>
          <w:tcPr>
            <w:tcW w:w="732" w:type="dxa"/>
            <w:shd w:val="clear" w:color="auto" w:fill="F1DCDB"/>
          </w:tcPr>
          <w:p>
            <w:pPr>
              <w:pStyle w:val="TableParagraph"/>
              <w:spacing w:before="4"/>
              <w:ind w:left="26" w:right="22"/>
              <w:jc w:val="center"/>
              <w:rPr>
                <w:sz w:val="13"/>
              </w:rPr>
            </w:pPr>
            <w:r>
              <w:rPr>
                <w:w w:val="105"/>
                <w:sz w:val="13"/>
              </w:rPr>
              <w:t>104</w:t>
            </w:r>
          </w:p>
        </w:tc>
        <w:tc>
          <w:tcPr>
            <w:tcW w:w="1700" w:type="dxa"/>
            <w:shd w:val="clear" w:color="auto" w:fill="F1DCDB"/>
          </w:tcPr>
          <w:p>
            <w:pPr>
              <w:pStyle w:val="TableParagraph"/>
              <w:spacing w:before="4"/>
              <w:ind w:left="20"/>
              <w:rPr>
                <w:sz w:val="13"/>
              </w:rPr>
            </w:pPr>
            <w:r>
              <w:rPr>
                <w:w w:val="105"/>
                <w:sz w:val="13"/>
              </w:rPr>
              <w:t>Tlalnepantla de Baz</w:t>
            </w:r>
          </w:p>
        </w:tc>
        <w:tc>
          <w:tcPr>
            <w:tcW w:w="1058" w:type="dxa"/>
            <w:shd w:val="clear" w:color="auto" w:fill="F1DCDB"/>
          </w:tcPr>
          <w:p>
            <w:pPr>
              <w:pStyle w:val="TableParagraph"/>
              <w:spacing w:before="4"/>
              <w:ind w:right="268"/>
              <w:jc w:val="right"/>
              <w:rPr>
                <w:sz w:val="13"/>
              </w:rPr>
            </w:pPr>
            <w:r>
              <w:rPr>
                <w:w w:val="105"/>
                <w:sz w:val="13"/>
              </w:rPr>
              <w:t>664 225</w:t>
            </w:r>
          </w:p>
        </w:tc>
        <w:tc>
          <w:tcPr>
            <w:tcW w:w="913" w:type="dxa"/>
            <w:shd w:val="clear" w:color="auto" w:fill="F1DCDB"/>
          </w:tcPr>
          <w:p>
            <w:pPr>
              <w:pStyle w:val="TableParagraph"/>
              <w:spacing w:before="4"/>
              <w:ind w:left="350" w:right="-6"/>
              <w:rPr>
                <w:sz w:val="13"/>
              </w:rPr>
            </w:pPr>
            <w:r>
              <w:rPr>
                <w:w w:val="105"/>
                <w:sz w:val="13"/>
              </w:rPr>
              <w:t>-1.78844</w:t>
            </w:r>
          </w:p>
        </w:tc>
        <w:tc>
          <w:tcPr>
            <w:tcW w:w="878" w:type="dxa"/>
            <w:shd w:val="clear" w:color="auto" w:fill="F1DCDB"/>
          </w:tcPr>
          <w:p>
            <w:pPr>
              <w:pStyle w:val="TableParagraph"/>
              <w:spacing w:before="4"/>
              <w:ind w:left="143" w:right="131"/>
              <w:jc w:val="center"/>
              <w:rPr>
                <w:sz w:val="13"/>
              </w:rPr>
            </w:pPr>
            <w:r>
              <w:rPr>
                <w:w w:val="105"/>
                <w:sz w:val="13"/>
              </w:rPr>
              <w:t>Muy bajo</w:t>
            </w:r>
          </w:p>
        </w:tc>
        <w:tc>
          <w:tcPr>
            <w:tcW w:w="888" w:type="dxa"/>
            <w:shd w:val="clear" w:color="auto" w:fill="F1DCDB"/>
          </w:tcPr>
          <w:p>
            <w:pPr>
              <w:pStyle w:val="TableParagraph"/>
              <w:spacing w:before="4"/>
              <w:ind w:right="264"/>
              <w:jc w:val="right"/>
              <w:rPr>
                <w:sz w:val="13"/>
              </w:rPr>
            </w:pPr>
            <w:r>
              <w:rPr>
                <w:w w:val="105"/>
                <w:sz w:val="13"/>
              </w:rPr>
              <w:t>7.464</w:t>
            </w:r>
          </w:p>
        </w:tc>
        <w:tc>
          <w:tcPr>
            <w:tcW w:w="732" w:type="dxa"/>
            <w:shd w:val="clear" w:color="auto" w:fill="F1DCDB"/>
          </w:tcPr>
          <w:p>
            <w:pPr>
              <w:pStyle w:val="TableParagraph"/>
              <w:spacing w:before="4"/>
              <w:ind w:right="211"/>
              <w:jc w:val="right"/>
              <w:rPr>
                <w:sz w:val="13"/>
              </w:rPr>
            </w:pPr>
            <w:r>
              <w:rPr>
                <w:sz w:val="13"/>
              </w:rPr>
              <w:t>119</w:t>
            </w:r>
          </w:p>
        </w:tc>
        <w:tc>
          <w:tcPr>
            <w:tcW w:w="732" w:type="dxa"/>
            <w:shd w:val="clear" w:color="auto" w:fill="F1DCDB"/>
          </w:tcPr>
          <w:p>
            <w:pPr>
              <w:pStyle w:val="TableParagraph"/>
              <w:spacing w:before="4"/>
              <w:ind w:right="265"/>
              <w:jc w:val="right"/>
              <w:rPr>
                <w:sz w:val="13"/>
              </w:rPr>
            </w:pPr>
            <w:r>
              <w:rPr>
                <w:w w:val="105"/>
                <w:sz w:val="13"/>
              </w:rPr>
              <w:t>2 413</w:t>
            </w:r>
          </w:p>
        </w:tc>
      </w:tr>
      <w:tr>
        <w:trPr>
          <w:trHeight w:val="170" w:hRule="exact"/>
        </w:trPr>
        <w:tc>
          <w:tcPr>
            <w:tcW w:w="732" w:type="dxa"/>
          </w:tcPr>
          <w:p>
            <w:pPr>
              <w:pStyle w:val="TableParagraph"/>
              <w:spacing w:before="3"/>
              <w:ind w:left="267" w:right="262"/>
              <w:jc w:val="center"/>
              <w:rPr>
                <w:sz w:val="13"/>
              </w:rPr>
            </w:pPr>
            <w:r>
              <w:rPr>
                <w:w w:val="105"/>
                <w:sz w:val="13"/>
              </w:rPr>
              <w:t>15</w:t>
            </w:r>
          </w:p>
        </w:tc>
        <w:tc>
          <w:tcPr>
            <w:tcW w:w="732" w:type="dxa"/>
          </w:tcPr>
          <w:p>
            <w:pPr>
              <w:pStyle w:val="TableParagraph"/>
              <w:spacing w:before="3"/>
              <w:ind w:left="26" w:right="22"/>
              <w:jc w:val="center"/>
              <w:rPr>
                <w:sz w:val="13"/>
              </w:rPr>
            </w:pPr>
            <w:r>
              <w:rPr>
                <w:w w:val="105"/>
                <w:sz w:val="13"/>
              </w:rPr>
              <w:t>106</w:t>
            </w:r>
          </w:p>
        </w:tc>
        <w:tc>
          <w:tcPr>
            <w:tcW w:w="1700" w:type="dxa"/>
          </w:tcPr>
          <w:p>
            <w:pPr>
              <w:pStyle w:val="TableParagraph"/>
              <w:spacing w:before="3"/>
              <w:ind w:left="20"/>
              <w:rPr>
                <w:sz w:val="13"/>
              </w:rPr>
            </w:pPr>
            <w:r>
              <w:rPr>
                <w:w w:val="105"/>
                <w:sz w:val="13"/>
              </w:rPr>
              <w:t>Toluca</w:t>
            </w:r>
          </w:p>
        </w:tc>
        <w:tc>
          <w:tcPr>
            <w:tcW w:w="1058" w:type="dxa"/>
          </w:tcPr>
          <w:p>
            <w:pPr>
              <w:pStyle w:val="TableParagraph"/>
              <w:spacing w:before="3"/>
              <w:ind w:right="268"/>
              <w:jc w:val="right"/>
              <w:rPr>
                <w:sz w:val="13"/>
              </w:rPr>
            </w:pPr>
            <w:r>
              <w:rPr>
                <w:w w:val="105"/>
                <w:sz w:val="13"/>
              </w:rPr>
              <w:t>819 561</w:t>
            </w:r>
          </w:p>
        </w:tc>
        <w:tc>
          <w:tcPr>
            <w:tcW w:w="913" w:type="dxa"/>
          </w:tcPr>
          <w:p>
            <w:pPr>
              <w:pStyle w:val="TableParagraph"/>
              <w:spacing w:before="3"/>
              <w:ind w:left="350" w:right="-6"/>
              <w:rPr>
                <w:sz w:val="13"/>
              </w:rPr>
            </w:pPr>
            <w:r>
              <w:rPr>
                <w:w w:val="105"/>
                <w:sz w:val="13"/>
              </w:rPr>
              <w:t>-1.60430</w:t>
            </w:r>
          </w:p>
        </w:tc>
        <w:tc>
          <w:tcPr>
            <w:tcW w:w="878" w:type="dxa"/>
          </w:tcPr>
          <w:p>
            <w:pPr>
              <w:pStyle w:val="TableParagraph"/>
              <w:spacing w:before="3"/>
              <w:ind w:left="143" w:right="131"/>
              <w:jc w:val="center"/>
              <w:rPr>
                <w:sz w:val="13"/>
              </w:rPr>
            </w:pPr>
            <w:r>
              <w:rPr>
                <w:w w:val="105"/>
                <w:sz w:val="13"/>
              </w:rPr>
              <w:t>Muy bajo</w:t>
            </w:r>
          </w:p>
        </w:tc>
        <w:tc>
          <w:tcPr>
            <w:tcW w:w="888" w:type="dxa"/>
          </w:tcPr>
          <w:p>
            <w:pPr>
              <w:pStyle w:val="TableParagraph"/>
              <w:spacing w:before="3"/>
              <w:ind w:right="264"/>
              <w:jc w:val="right"/>
              <w:rPr>
                <w:sz w:val="13"/>
              </w:rPr>
            </w:pPr>
            <w:r>
              <w:rPr>
                <w:w w:val="105"/>
                <w:sz w:val="13"/>
              </w:rPr>
              <w:t>9.544</w:t>
            </w:r>
          </w:p>
        </w:tc>
        <w:tc>
          <w:tcPr>
            <w:tcW w:w="732" w:type="dxa"/>
          </w:tcPr>
          <w:p>
            <w:pPr>
              <w:pStyle w:val="TableParagraph"/>
              <w:spacing w:before="3"/>
              <w:ind w:right="211"/>
              <w:jc w:val="right"/>
              <w:rPr>
                <w:sz w:val="13"/>
              </w:rPr>
            </w:pPr>
            <w:r>
              <w:rPr>
                <w:sz w:val="13"/>
              </w:rPr>
              <w:t>112</w:t>
            </w:r>
          </w:p>
        </w:tc>
        <w:tc>
          <w:tcPr>
            <w:tcW w:w="732" w:type="dxa"/>
          </w:tcPr>
          <w:p>
            <w:pPr>
              <w:pStyle w:val="TableParagraph"/>
              <w:spacing w:before="3"/>
              <w:ind w:right="265"/>
              <w:jc w:val="right"/>
              <w:rPr>
                <w:sz w:val="13"/>
              </w:rPr>
            </w:pPr>
            <w:r>
              <w:rPr>
                <w:w w:val="105"/>
                <w:sz w:val="13"/>
              </w:rPr>
              <w:t>2 348</w:t>
            </w:r>
          </w:p>
        </w:tc>
      </w:tr>
      <w:tr>
        <w:trPr>
          <w:trHeight w:val="170" w:hRule="exact"/>
        </w:trPr>
        <w:tc>
          <w:tcPr>
            <w:tcW w:w="732" w:type="dxa"/>
            <w:shd w:val="clear" w:color="auto" w:fill="F1DCDB"/>
          </w:tcPr>
          <w:p>
            <w:pPr>
              <w:pStyle w:val="TableParagraph"/>
              <w:spacing w:before="3"/>
              <w:ind w:left="267" w:right="262"/>
              <w:jc w:val="center"/>
              <w:rPr>
                <w:sz w:val="13"/>
              </w:rPr>
            </w:pPr>
            <w:r>
              <w:rPr>
                <w:w w:val="105"/>
                <w:sz w:val="13"/>
              </w:rPr>
              <w:t>15</w:t>
            </w:r>
          </w:p>
        </w:tc>
        <w:tc>
          <w:tcPr>
            <w:tcW w:w="732" w:type="dxa"/>
            <w:shd w:val="clear" w:color="auto" w:fill="F1DCDB"/>
          </w:tcPr>
          <w:p>
            <w:pPr>
              <w:pStyle w:val="TableParagraph"/>
              <w:spacing w:before="3"/>
              <w:ind w:left="26" w:right="22"/>
              <w:jc w:val="center"/>
              <w:rPr>
                <w:sz w:val="13"/>
              </w:rPr>
            </w:pPr>
            <w:r>
              <w:rPr>
                <w:w w:val="105"/>
                <w:sz w:val="13"/>
              </w:rPr>
              <w:t>108</w:t>
            </w:r>
          </w:p>
        </w:tc>
        <w:tc>
          <w:tcPr>
            <w:tcW w:w="1700" w:type="dxa"/>
            <w:shd w:val="clear" w:color="auto" w:fill="F1DCDB"/>
          </w:tcPr>
          <w:p>
            <w:pPr>
              <w:pStyle w:val="TableParagraph"/>
              <w:spacing w:before="3"/>
              <w:ind w:left="20"/>
              <w:rPr>
                <w:sz w:val="13"/>
              </w:rPr>
            </w:pPr>
            <w:r>
              <w:rPr>
                <w:w w:val="105"/>
                <w:sz w:val="13"/>
              </w:rPr>
              <w:t>Tultepec</w:t>
            </w:r>
          </w:p>
        </w:tc>
        <w:tc>
          <w:tcPr>
            <w:tcW w:w="1058" w:type="dxa"/>
            <w:shd w:val="clear" w:color="auto" w:fill="F1DCDB"/>
          </w:tcPr>
          <w:p>
            <w:pPr>
              <w:pStyle w:val="TableParagraph"/>
              <w:spacing w:before="3"/>
              <w:ind w:right="266"/>
              <w:jc w:val="right"/>
              <w:rPr>
                <w:sz w:val="13"/>
              </w:rPr>
            </w:pPr>
            <w:r>
              <w:rPr>
                <w:w w:val="105"/>
                <w:sz w:val="13"/>
              </w:rPr>
              <w:t>91 808</w:t>
            </w:r>
          </w:p>
        </w:tc>
        <w:tc>
          <w:tcPr>
            <w:tcW w:w="913" w:type="dxa"/>
            <w:shd w:val="clear" w:color="auto" w:fill="F1DCDB"/>
          </w:tcPr>
          <w:p>
            <w:pPr>
              <w:pStyle w:val="TableParagraph"/>
              <w:spacing w:before="3"/>
              <w:ind w:left="350" w:right="-6"/>
              <w:rPr>
                <w:sz w:val="13"/>
              </w:rPr>
            </w:pPr>
            <w:r>
              <w:rPr>
                <w:w w:val="105"/>
                <w:sz w:val="13"/>
              </w:rPr>
              <w:t>-1.57674</w:t>
            </w:r>
          </w:p>
        </w:tc>
        <w:tc>
          <w:tcPr>
            <w:tcW w:w="878" w:type="dxa"/>
            <w:shd w:val="clear" w:color="auto" w:fill="F1DCDB"/>
          </w:tcPr>
          <w:p>
            <w:pPr>
              <w:pStyle w:val="TableParagraph"/>
              <w:spacing w:before="3"/>
              <w:ind w:left="143" w:right="131"/>
              <w:jc w:val="center"/>
              <w:rPr>
                <w:sz w:val="13"/>
              </w:rPr>
            </w:pPr>
            <w:r>
              <w:rPr>
                <w:w w:val="105"/>
                <w:sz w:val="13"/>
              </w:rPr>
              <w:t>Muy bajo</w:t>
            </w:r>
          </w:p>
        </w:tc>
        <w:tc>
          <w:tcPr>
            <w:tcW w:w="888" w:type="dxa"/>
            <w:shd w:val="clear" w:color="auto" w:fill="F1DCDB"/>
          </w:tcPr>
          <w:p>
            <w:pPr>
              <w:pStyle w:val="TableParagraph"/>
              <w:spacing w:before="3"/>
              <w:ind w:right="264"/>
              <w:jc w:val="right"/>
              <w:rPr>
                <w:sz w:val="13"/>
              </w:rPr>
            </w:pPr>
            <w:r>
              <w:rPr>
                <w:w w:val="105"/>
                <w:sz w:val="13"/>
              </w:rPr>
              <w:t>9.856</w:t>
            </w:r>
          </w:p>
        </w:tc>
        <w:tc>
          <w:tcPr>
            <w:tcW w:w="732" w:type="dxa"/>
            <w:shd w:val="clear" w:color="auto" w:fill="F1DCDB"/>
          </w:tcPr>
          <w:p>
            <w:pPr>
              <w:pStyle w:val="TableParagraph"/>
              <w:spacing w:before="3"/>
              <w:ind w:right="214"/>
              <w:jc w:val="right"/>
              <w:rPr>
                <w:sz w:val="13"/>
              </w:rPr>
            </w:pPr>
            <w:r>
              <w:rPr>
                <w:sz w:val="13"/>
              </w:rPr>
              <w:t>111</w:t>
            </w:r>
          </w:p>
        </w:tc>
        <w:tc>
          <w:tcPr>
            <w:tcW w:w="732" w:type="dxa"/>
            <w:shd w:val="clear" w:color="auto" w:fill="F1DCDB"/>
          </w:tcPr>
          <w:p>
            <w:pPr>
              <w:pStyle w:val="TableParagraph"/>
              <w:spacing w:before="3"/>
              <w:ind w:right="265"/>
              <w:jc w:val="right"/>
              <w:rPr>
                <w:sz w:val="13"/>
              </w:rPr>
            </w:pPr>
            <w:r>
              <w:rPr>
                <w:w w:val="105"/>
                <w:sz w:val="13"/>
              </w:rPr>
              <w:t>2 340</w:t>
            </w:r>
          </w:p>
        </w:tc>
      </w:tr>
      <w:tr>
        <w:trPr>
          <w:trHeight w:val="170" w:hRule="exact"/>
        </w:trPr>
        <w:tc>
          <w:tcPr>
            <w:tcW w:w="732" w:type="dxa"/>
          </w:tcPr>
          <w:p>
            <w:pPr>
              <w:pStyle w:val="TableParagraph"/>
              <w:spacing w:before="2"/>
              <w:ind w:left="267" w:right="262"/>
              <w:jc w:val="center"/>
              <w:rPr>
                <w:sz w:val="13"/>
              </w:rPr>
            </w:pPr>
            <w:r>
              <w:rPr>
                <w:w w:val="105"/>
                <w:sz w:val="13"/>
              </w:rPr>
              <w:t>15</w:t>
            </w:r>
          </w:p>
        </w:tc>
        <w:tc>
          <w:tcPr>
            <w:tcW w:w="732" w:type="dxa"/>
          </w:tcPr>
          <w:p>
            <w:pPr>
              <w:pStyle w:val="TableParagraph"/>
              <w:spacing w:before="2"/>
              <w:ind w:left="26" w:right="22"/>
              <w:jc w:val="center"/>
              <w:rPr>
                <w:sz w:val="13"/>
              </w:rPr>
            </w:pPr>
            <w:r>
              <w:rPr>
                <w:w w:val="105"/>
                <w:sz w:val="13"/>
              </w:rPr>
              <w:t>109</w:t>
            </w:r>
          </w:p>
        </w:tc>
        <w:tc>
          <w:tcPr>
            <w:tcW w:w="1700" w:type="dxa"/>
          </w:tcPr>
          <w:p>
            <w:pPr>
              <w:pStyle w:val="TableParagraph"/>
              <w:spacing w:before="2"/>
              <w:ind w:left="20"/>
              <w:rPr>
                <w:sz w:val="13"/>
              </w:rPr>
            </w:pPr>
            <w:r>
              <w:rPr>
                <w:w w:val="105"/>
                <w:sz w:val="13"/>
              </w:rPr>
              <w:t>Tultitlán</w:t>
            </w:r>
          </w:p>
        </w:tc>
        <w:tc>
          <w:tcPr>
            <w:tcW w:w="1058" w:type="dxa"/>
          </w:tcPr>
          <w:p>
            <w:pPr>
              <w:pStyle w:val="TableParagraph"/>
              <w:spacing w:before="2"/>
              <w:ind w:right="268"/>
              <w:jc w:val="right"/>
              <w:rPr>
                <w:sz w:val="13"/>
              </w:rPr>
            </w:pPr>
            <w:r>
              <w:rPr>
                <w:w w:val="105"/>
                <w:sz w:val="13"/>
              </w:rPr>
              <w:t>524 074</w:t>
            </w:r>
          </w:p>
        </w:tc>
        <w:tc>
          <w:tcPr>
            <w:tcW w:w="913" w:type="dxa"/>
          </w:tcPr>
          <w:p>
            <w:pPr>
              <w:pStyle w:val="TableParagraph"/>
              <w:spacing w:before="2"/>
              <w:ind w:left="350" w:right="-6"/>
              <w:rPr>
                <w:sz w:val="13"/>
              </w:rPr>
            </w:pPr>
            <w:r>
              <w:rPr>
                <w:w w:val="105"/>
                <w:sz w:val="13"/>
              </w:rPr>
              <w:t>-1.71986</w:t>
            </w:r>
          </w:p>
        </w:tc>
        <w:tc>
          <w:tcPr>
            <w:tcW w:w="878" w:type="dxa"/>
          </w:tcPr>
          <w:p>
            <w:pPr>
              <w:pStyle w:val="TableParagraph"/>
              <w:spacing w:before="2"/>
              <w:ind w:left="143" w:right="131"/>
              <w:jc w:val="center"/>
              <w:rPr>
                <w:sz w:val="13"/>
              </w:rPr>
            </w:pPr>
            <w:r>
              <w:rPr>
                <w:w w:val="105"/>
                <w:sz w:val="13"/>
              </w:rPr>
              <w:t>Muy bajo</w:t>
            </w:r>
          </w:p>
        </w:tc>
        <w:tc>
          <w:tcPr>
            <w:tcW w:w="888" w:type="dxa"/>
          </w:tcPr>
          <w:p>
            <w:pPr>
              <w:pStyle w:val="TableParagraph"/>
              <w:spacing w:before="2"/>
              <w:ind w:right="264"/>
              <w:jc w:val="right"/>
              <w:rPr>
                <w:sz w:val="13"/>
              </w:rPr>
            </w:pPr>
            <w:r>
              <w:rPr>
                <w:w w:val="105"/>
                <w:sz w:val="13"/>
              </w:rPr>
              <w:t>8.239</w:t>
            </w:r>
          </w:p>
        </w:tc>
        <w:tc>
          <w:tcPr>
            <w:tcW w:w="732" w:type="dxa"/>
          </w:tcPr>
          <w:p>
            <w:pPr>
              <w:pStyle w:val="TableParagraph"/>
              <w:spacing w:before="2"/>
              <w:ind w:right="211"/>
              <w:jc w:val="right"/>
              <w:rPr>
                <w:sz w:val="13"/>
              </w:rPr>
            </w:pPr>
            <w:r>
              <w:rPr>
                <w:sz w:val="13"/>
              </w:rPr>
              <w:t>117</w:t>
            </w:r>
          </w:p>
        </w:tc>
        <w:tc>
          <w:tcPr>
            <w:tcW w:w="732" w:type="dxa"/>
          </w:tcPr>
          <w:p>
            <w:pPr>
              <w:pStyle w:val="TableParagraph"/>
              <w:spacing w:before="2"/>
              <w:ind w:right="265"/>
              <w:jc w:val="right"/>
              <w:rPr>
                <w:sz w:val="13"/>
              </w:rPr>
            </w:pPr>
            <w:r>
              <w:rPr>
                <w:w w:val="105"/>
                <w:sz w:val="13"/>
              </w:rPr>
              <w:t>2 395</w:t>
            </w:r>
          </w:p>
        </w:tc>
      </w:tr>
      <w:tr>
        <w:trPr>
          <w:trHeight w:val="170" w:hRule="exact"/>
        </w:trPr>
        <w:tc>
          <w:tcPr>
            <w:tcW w:w="732" w:type="dxa"/>
            <w:shd w:val="clear" w:color="auto" w:fill="F1DCDB"/>
          </w:tcPr>
          <w:p>
            <w:pPr>
              <w:pStyle w:val="TableParagraph"/>
              <w:spacing w:before="2"/>
              <w:ind w:left="267" w:right="262"/>
              <w:jc w:val="center"/>
              <w:rPr>
                <w:sz w:val="13"/>
              </w:rPr>
            </w:pPr>
            <w:r>
              <w:rPr>
                <w:w w:val="105"/>
                <w:sz w:val="13"/>
              </w:rPr>
              <w:t>15</w:t>
            </w:r>
          </w:p>
        </w:tc>
        <w:tc>
          <w:tcPr>
            <w:tcW w:w="732" w:type="dxa"/>
            <w:shd w:val="clear" w:color="auto" w:fill="F1DCDB"/>
          </w:tcPr>
          <w:p>
            <w:pPr>
              <w:pStyle w:val="TableParagraph"/>
              <w:spacing w:before="2"/>
              <w:ind w:left="26" w:right="22"/>
              <w:jc w:val="center"/>
              <w:rPr>
                <w:sz w:val="13"/>
              </w:rPr>
            </w:pPr>
            <w:r>
              <w:rPr>
                <w:w w:val="105"/>
                <w:sz w:val="13"/>
              </w:rPr>
              <w:t>120</w:t>
            </w:r>
          </w:p>
        </w:tc>
        <w:tc>
          <w:tcPr>
            <w:tcW w:w="1700" w:type="dxa"/>
            <w:shd w:val="clear" w:color="auto" w:fill="F1DCDB"/>
          </w:tcPr>
          <w:p>
            <w:pPr>
              <w:pStyle w:val="TableParagraph"/>
              <w:spacing w:before="2"/>
              <w:ind w:left="20"/>
              <w:rPr>
                <w:sz w:val="13"/>
              </w:rPr>
            </w:pPr>
            <w:r>
              <w:rPr>
                <w:w w:val="105"/>
                <w:sz w:val="13"/>
              </w:rPr>
              <w:t>Zumpango</w:t>
            </w:r>
          </w:p>
        </w:tc>
        <w:tc>
          <w:tcPr>
            <w:tcW w:w="1058" w:type="dxa"/>
            <w:shd w:val="clear" w:color="auto" w:fill="F1DCDB"/>
          </w:tcPr>
          <w:p>
            <w:pPr>
              <w:pStyle w:val="TableParagraph"/>
              <w:spacing w:before="2"/>
              <w:ind w:right="268"/>
              <w:jc w:val="right"/>
              <w:rPr>
                <w:sz w:val="13"/>
              </w:rPr>
            </w:pPr>
            <w:r>
              <w:rPr>
                <w:w w:val="105"/>
                <w:sz w:val="13"/>
              </w:rPr>
              <w:t>159 647</w:t>
            </w:r>
          </w:p>
        </w:tc>
        <w:tc>
          <w:tcPr>
            <w:tcW w:w="913" w:type="dxa"/>
            <w:shd w:val="clear" w:color="auto" w:fill="F1DCDB"/>
          </w:tcPr>
          <w:p>
            <w:pPr>
              <w:pStyle w:val="TableParagraph"/>
              <w:spacing w:before="2"/>
              <w:ind w:left="350" w:right="-6"/>
              <w:rPr>
                <w:sz w:val="13"/>
              </w:rPr>
            </w:pPr>
            <w:r>
              <w:rPr>
                <w:w w:val="105"/>
                <w:sz w:val="13"/>
              </w:rPr>
              <w:t>-1.27677</w:t>
            </w:r>
          </w:p>
        </w:tc>
        <w:tc>
          <w:tcPr>
            <w:tcW w:w="878" w:type="dxa"/>
            <w:shd w:val="clear" w:color="auto" w:fill="F1DCDB"/>
          </w:tcPr>
          <w:p>
            <w:pPr>
              <w:pStyle w:val="TableParagraph"/>
              <w:spacing w:before="2"/>
              <w:ind w:left="143" w:right="131"/>
              <w:jc w:val="center"/>
              <w:rPr>
                <w:sz w:val="13"/>
              </w:rPr>
            </w:pPr>
            <w:r>
              <w:rPr>
                <w:w w:val="105"/>
                <w:sz w:val="13"/>
              </w:rPr>
              <w:t>Muy bajo</w:t>
            </w:r>
          </w:p>
        </w:tc>
        <w:tc>
          <w:tcPr>
            <w:tcW w:w="888" w:type="dxa"/>
            <w:shd w:val="clear" w:color="auto" w:fill="F1DCDB"/>
          </w:tcPr>
          <w:p>
            <w:pPr>
              <w:pStyle w:val="TableParagraph"/>
              <w:spacing w:before="2"/>
              <w:ind w:right="266"/>
              <w:jc w:val="right"/>
              <w:rPr>
                <w:sz w:val="13"/>
              </w:rPr>
            </w:pPr>
            <w:r>
              <w:rPr>
                <w:sz w:val="13"/>
              </w:rPr>
              <w:t>13.246</w:t>
            </w:r>
          </w:p>
        </w:tc>
        <w:tc>
          <w:tcPr>
            <w:tcW w:w="732" w:type="dxa"/>
            <w:shd w:val="clear" w:color="auto" w:fill="F1DCDB"/>
          </w:tcPr>
          <w:p>
            <w:pPr>
              <w:pStyle w:val="TableParagraph"/>
              <w:spacing w:before="2"/>
              <w:ind w:right="246"/>
              <w:jc w:val="right"/>
              <w:rPr>
                <w:sz w:val="13"/>
              </w:rPr>
            </w:pPr>
            <w:r>
              <w:rPr>
                <w:w w:val="105"/>
                <w:sz w:val="13"/>
              </w:rPr>
              <w:t>90</w:t>
            </w:r>
          </w:p>
        </w:tc>
        <w:tc>
          <w:tcPr>
            <w:tcW w:w="732" w:type="dxa"/>
            <w:shd w:val="clear" w:color="auto" w:fill="F1DCDB"/>
          </w:tcPr>
          <w:p>
            <w:pPr>
              <w:pStyle w:val="TableParagraph"/>
              <w:spacing w:before="2"/>
              <w:ind w:right="265"/>
              <w:jc w:val="right"/>
              <w:rPr>
                <w:sz w:val="13"/>
              </w:rPr>
            </w:pPr>
            <w:r>
              <w:rPr>
                <w:w w:val="105"/>
                <w:sz w:val="13"/>
              </w:rPr>
              <w:t>2 212</w:t>
            </w:r>
          </w:p>
        </w:tc>
      </w:tr>
      <w:tr>
        <w:trPr>
          <w:trHeight w:val="170" w:hRule="exact"/>
        </w:trPr>
        <w:tc>
          <w:tcPr>
            <w:tcW w:w="732" w:type="dxa"/>
          </w:tcPr>
          <w:p>
            <w:pPr>
              <w:pStyle w:val="TableParagraph"/>
              <w:spacing w:before="2"/>
              <w:ind w:left="267" w:right="262"/>
              <w:jc w:val="center"/>
              <w:rPr>
                <w:sz w:val="13"/>
              </w:rPr>
            </w:pPr>
            <w:r>
              <w:rPr>
                <w:w w:val="105"/>
                <w:sz w:val="13"/>
              </w:rPr>
              <w:t>15</w:t>
            </w:r>
          </w:p>
        </w:tc>
        <w:tc>
          <w:tcPr>
            <w:tcW w:w="732" w:type="dxa"/>
          </w:tcPr>
          <w:p>
            <w:pPr>
              <w:pStyle w:val="TableParagraph"/>
              <w:spacing w:before="2"/>
              <w:ind w:left="26" w:right="22"/>
              <w:jc w:val="center"/>
              <w:rPr>
                <w:sz w:val="13"/>
              </w:rPr>
            </w:pPr>
            <w:r>
              <w:rPr>
                <w:w w:val="105"/>
                <w:sz w:val="13"/>
              </w:rPr>
              <w:t>121</w:t>
            </w:r>
          </w:p>
        </w:tc>
        <w:tc>
          <w:tcPr>
            <w:tcW w:w="1700" w:type="dxa"/>
          </w:tcPr>
          <w:p>
            <w:pPr>
              <w:pStyle w:val="TableParagraph"/>
              <w:spacing w:before="2"/>
              <w:ind w:left="20"/>
              <w:rPr>
                <w:sz w:val="13"/>
              </w:rPr>
            </w:pPr>
            <w:r>
              <w:rPr>
                <w:w w:val="105"/>
                <w:sz w:val="13"/>
              </w:rPr>
              <w:t>Cuautitlán Izcalli</w:t>
            </w:r>
          </w:p>
        </w:tc>
        <w:tc>
          <w:tcPr>
            <w:tcW w:w="1058" w:type="dxa"/>
          </w:tcPr>
          <w:p>
            <w:pPr>
              <w:pStyle w:val="TableParagraph"/>
              <w:spacing w:before="2"/>
              <w:ind w:right="264"/>
              <w:jc w:val="right"/>
              <w:rPr>
                <w:sz w:val="13"/>
              </w:rPr>
            </w:pPr>
            <w:r>
              <w:rPr>
                <w:w w:val="105"/>
                <w:sz w:val="13"/>
              </w:rPr>
              <w:t>511 675</w:t>
            </w:r>
          </w:p>
        </w:tc>
        <w:tc>
          <w:tcPr>
            <w:tcW w:w="913" w:type="dxa"/>
          </w:tcPr>
          <w:p>
            <w:pPr>
              <w:pStyle w:val="TableParagraph"/>
              <w:spacing w:before="2"/>
              <w:ind w:left="350" w:right="-6"/>
              <w:rPr>
                <w:sz w:val="13"/>
              </w:rPr>
            </w:pPr>
            <w:r>
              <w:rPr>
                <w:w w:val="105"/>
                <w:sz w:val="13"/>
              </w:rPr>
              <w:t>-1.94061</w:t>
            </w:r>
          </w:p>
        </w:tc>
        <w:tc>
          <w:tcPr>
            <w:tcW w:w="878" w:type="dxa"/>
          </w:tcPr>
          <w:p>
            <w:pPr>
              <w:pStyle w:val="TableParagraph"/>
              <w:spacing w:before="2"/>
              <w:ind w:left="143" w:right="131"/>
              <w:jc w:val="center"/>
              <w:rPr>
                <w:sz w:val="13"/>
              </w:rPr>
            </w:pPr>
            <w:r>
              <w:rPr>
                <w:w w:val="105"/>
                <w:sz w:val="13"/>
              </w:rPr>
              <w:t>Muy bajo</w:t>
            </w:r>
          </w:p>
        </w:tc>
        <w:tc>
          <w:tcPr>
            <w:tcW w:w="888" w:type="dxa"/>
          </w:tcPr>
          <w:p>
            <w:pPr>
              <w:pStyle w:val="TableParagraph"/>
              <w:spacing w:before="2"/>
              <w:ind w:right="264"/>
              <w:jc w:val="right"/>
              <w:rPr>
                <w:sz w:val="13"/>
              </w:rPr>
            </w:pPr>
            <w:r>
              <w:rPr>
                <w:w w:val="105"/>
                <w:sz w:val="13"/>
              </w:rPr>
              <w:t>5.744</w:t>
            </w:r>
          </w:p>
        </w:tc>
        <w:tc>
          <w:tcPr>
            <w:tcW w:w="732" w:type="dxa"/>
          </w:tcPr>
          <w:p>
            <w:pPr>
              <w:pStyle w:val="TableParagraph"/>
              <w:spacing w:before="2"/>
              <w:ind w:right="207"/>
              <w:jc w:val="right"/>
              <w:rPr>
                <w:sz w:val="13"/>
              </w:rPr>
            </w:pPr>
            <w:r>
              <w:rPr>
                <w:w w:val="105"/>
                <w:sz w:val="13"/>
              </w:rPr>
              <w:t>123</w:t>
            </w:r>
          </w:p>
        </w:tc>
        <w:tc>
          <w:tcPr>
            <w:tcW w:w="732" w:type="dxa"/>
          </w:tcPr>
          <w:p>
            <w:pPr>
              <w:pStyle w:val="TableParagraph"/>
              <w:spacing w:before="2"/>
              <w:ind w:right="265"/>
              <w:jc w:val="right"/>
              <w:rPr>
                <w:sz w:val="13"/>
              </w:rPr>
            </w:pPr>
            <w:r>
              <w:rPr>
                <w:w w:val="105"/>
                <w:sz w:val="13"/>
              </w:rPr>
              <w:t>2 443</w:t>
            </w:r>
          </w:p>
        </w:tc>
      </w:tr>
    </w:tbl>
    <w:p>
      <w:pPr>
        <w:spacing w:after="0"/>
        <w:jc w:val="right"/>
        <w:rPr>
          <w:sz w:val="13"/>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spacing w:before="1"/>
        <w:rPr>
          <w:b/>
        </w:rPr>
      </w:pPr>
    </w:p>
    <w:p>
      <w:pPr>
        <w:spacing w:line="186" w:lineRule="exact" w:before="74"/>
        <w:ind w:left="2162" w:right="0" w:firstLine="0"/>
        <w:jc w:val="left"/>
        <w:rPr>
          <w:sz w:val="20"/>
        </w:rPr>
      </w:pPr>
      <w:r>
        <w:rPr>
          <w:b/>
          <w:sz w:val="20"/>
        </w:rPr>
        <w:t>Fuente</w:t>
      </w:r>
      <w:r>
        <w:rPr>
          <w:sz w:val="20"/>
        </w:rPr>
        <w:t>: Estimaciones del CONEVAL con base en el Censo de Población y Vivienda 2010.</w:t>
      </w:r>
    </w:p>
    <w:p>
      <w:pPr>
        <w:pStyle w:val="BodyText"/>
        <w:spacing w:line="232" w:lineRule="exact"/>
        <w:ind w:left="2522"/>
      </w:pPr>
      <w:r>
        <w:rPr/>
        <w:t>Anexo 13.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spacing w:before="85" w:after="8"/>
        <w:ind w:left="2952" w:right="0" w:firstLine="0"/>
        <w:jc w:val="left"/>
        <w:rPr>
          <w:b/>
          <w:sz w:val="14"/>
        </w:rPr>
      </w:pPr>
      <w:r>
        <w:rPr>
          <w:b/>
          <w:w w:val="95"/>
          <w:sz w:val="14"/>
        </w:rPr>
        <w:t>Participación Social en el Fondo para la Infraestructura Social Municipal (FISM) 2008 Estado de México</w:t>
      </w:r>
    </w:p>
    <w:p>
      <w:pPr>
        <w:pStyle w:val="BodyText"/>
        <w:spacing w:line="20" w:lineRule="exact"/>
        <w:ind w:left="111"/>
        <w:rPr>
          <w:sz w:val="2"/>
        </w:rPr>
      </w:pPr>
      <w:r>
        <w:rPr>
          <w:sz w:val="2"/>
        </w:rPr>
        <w:pict>
          <v:group style="width:608.75pt;height:.550pt;mso-position-horizontal-relative:char;mso-position-vertical-relative:line" coordorigin="0,0" coordsize="12175,11">
            <v:shape style="position:absolute;left:6;top:6;width:12164;height:2" coordorigin="6,6" coordsize="12164,0" path="m6,6l6,6,12169,6e" filled="false" stroked="true" strokeweight=".519724pt" strokecolor="#000000">
              <v:path arrowok="t"/>
            </v:shape>
          </v:group>
        </w:pict>
      </w:r>
      <w:r>
        <w:rPr>
          <w:sz w:val="2"/>
        </w:rPr>
      </w:r>
    </w:p>
    <w:p>
      <w:pPr>
        <w:pStyle w:val="BodyText"/>
        <w:spacing w:before="7" w:after="1"/>
        <w:rPr>
          <w:b/>
          <w:sz w:val="29"/>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3"/>
        <w:gridCol w:w="1501"/>
        <w:gridCol w:w="1501"/>
        <w:gridCol w:w="1501"/>
        <w:gridCol w:w="1270"/>
        <w:gridCol w:w="1305"/>
        <w:gridCol w:w="1729"/>
        <w:gridCol w:w="1218"/>
        <w:gridCol w:w="1304"/>
      </w:tblGrid>
      <w:tr>
        <w:trPr>
          <w:trHeight w:val="1446" w:hRule="exact"/>
        </w:trPr>
        <w:tc>
          <w:tcPr>
            <w:tcW w:w="833"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spacing w:line="268" w:lineRule="auto"/>
              <w:ind w:left="230" w:hanging="88"/>
              <w:rPr>
                <w:b/>
                <w:sz w:val="14"/>
              </w:rPr>
            </w:pPr>
            <w:r>
              <w:rPr>
                <w:b/>
                <w:w w:val="90"/>
                <w:sz w:val="14"/>
              </w:rPr>
              <w:t>Ejercicio </w:t>
            </w:r>
            <w:r>
              <w:rPr>
                <w:b/>
                <w:sz w:val="14"/>
              </w:rPr>
              <w:t>Fiscal</w:t>
            </w:r>
          </w:p>
        </w:tc>
        <w:tc>
          <w:tcPr>
            <w:tcW w:w="1501"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rPr>
                <w:b/>
                <w:sz w:val="14"/>
              </w:rPr>
            </w:pPr>
          </w:p>
          <w:p>
            <w:pPr>
              <w:pStyle w:val="TableParagraph"/>
              <w:spacing w:before="1"/>
              <w:rPr>
                <w:b/>
                <w:sz w:val="13"/>
              </w:rPr>
            </w:pPr>
          </w:p>
          <w:p>
            <w:pPr>
              <w:pStyle w:val="TableParagraph"/>
              <w:ind w:left="185"/>
              <w:rPr>
                <w:b/>
                <w:sz w:val="14"/>
              </w:rPr>
            </w:pPr>
            <w:r>
              <w:rPr>
                <w:b/>
                <w:w w:val="95"/>
                <w:sz w:val="14"/>
              </w:rPr>
              <w:t>Entidad municipal</w:t>
            </w:r>
          </w:p>
        </w:tc>
        <w:tc>
          <w:tcPr>
            <w:tcW w:w="1501" w:type="dxa"/>
            <w:tcBorders>
              <w:left w:val="single" w:sz="4" w:space="0" w:color="000000"/>
              <w:right w:val="single" w:sz="4" w:space="0" w:color="000000"/>
            </w:tcBorders>
          </w:tcPr>
          <w:p>
            <w:pPr>
              <w:pStyle w:val="TableParagraph"/>
              <w:spacing w:line="268" w:lineRule="auto" w:before="2"/>
              <w:ind w:left="96" w:right="85"/>
              <w:jc w:val="center"/>
              <w:rPr>
                <w:b/>
                <w:sz w:val="14"/>
              </w:rPr>
            </w:pPr>
            <w:r>
              <w:rPr>
                <w:b/>
                <w:sz w:val="14"/>
              </w:rPr>
              <w:t>¿Existe</w:t>
            </w:r>
            <w:r>
              <w:rPr>
                <w:b/>
                <w:spacing w:val="-23"/>
                <w:sz w:val="14"/>
              </w:rPr>
              <w:t> </w:t>
            </w:r>
            <w:r>
              <w:rPr>
                <w:b/>
                <w:sz w:val="14"/>
              </w:rPr>
              <w:t>y</w:t>
            </w:r>
            <w:r>
              <w:rPr>
                <w:b/>
                <w:spacing w:val="-23"/>
                <w:sz w:val="14"/>
              </w:rPr>
              <w:t> </w:t>
            </w:r>
            <w:r>
              <w:rPr>
                <w:b/>
                <w:sz w:val="14"/>
              </w:rPr>
              <w:t>opera</w:t>
            </w:r>
            <w:r>
              <w:rPr>
                <w:b/>
                <w:spacing w:val="-23"/>
                <w:sz w:val="14"/>
              </w:rPr>
              <w:t> </w:t>
            </w:r>
            <w:r>
              <w:rPr>
                <w:b/>
                <w:sz w:val="14"/>
              </w:rPr>
              <w:t>en</w:t>
            </w:r>
            <w:r>
              <w:rPr>
                <w:b/>
                <w:spacing w:val="-23"/>
                <w:sz w:val="14"/>
              </w:rPr>
              <w:t> </w:t>
            </w:r>
            <w:r>
              <w:rPr>
                <w:b/>
                <w:sz w:val="14"/>
              </w:rPr>
              <w:t>el Municipio el COPLADEM o CODEMUN?</w:t>
            </w:r>
          </w:p>
        </w:tc>
        <w:tc>
          <w:tcPr>
            <w:tcW w:w="1501" w:type="dxa"/>
            <w:tcBorders>
              <w:left w:val="single" w:sz="4" w:space="0" w:color="000000"/>
              <w:right w:val="single" w:sz="4" w:space="0" w:color="000000"/>
            </w:tcBorders>
          </w:tcPr>
          <w:p>
            <w:pPr>
              <w:pStyle w:val="TableParagraph"/>
              <w:spacing w:line="268" w:lineRule="auto" w:before="2"/>
              <w:ind w:left="61" w:right="50"/>
              <w:jc w:val="center"/>
              <w:rPr>
                <w:b/>
                <w:sz w:val="14"/>
              </w:rPr>
            </w:pPr>
            <w:r>
              <w:rPr>
                <w:b/>
                <w:w w:val="95"/>
                <w:sz w:val="14"/>
              </w:rPr>
              <w:t>El muncipio presenta algún reglamento del funcionamiento del </w:t>
            </w:r>
            <w:r>
              <w:rPr>
                <w:b/>
                <w:sz w:val="14"/>
              </w:rPr>
              <w:t>COPLADEM o´ CODEMUN</w:t>
            </w:r>
          </w:p>
        </w:tc>
        <w:tc>
          <w:tcPr>
            <w:tcW w:w="1270" w:type="dxa"/>
            <w:tcBorders>
              <w:left w:val="single" w:sz="4" w:space="0" w:color="000000"/>
              <w:right w:val="single" w:sz="4" w:space="0" w:color="000000"/>
            </w:tcBorders>
          </w:tcPr>
          <w:p>
            <w:pPr>
              <w:pStyle w:val="TableParagraph"/>
              <w:spacing w:line="268" w:lineRule="auto" w:before="2"/>
              <w:ind w:left="19" w:right="11" w:hanging="2"/>
              <w:jc w:val="center"/>
              <w:rPr>
                <w:b/>
                <w:sz w:val="14"/>
              </w:rPr>
            </w:pPr>
            <w:r>
              <w:rPr>
                <w:b/>
                <w:sz w:val="14"/>
              </w:rPr>
              <w:t>Número de </w:t>
            </w:r>
            <w:r>
              <w:rPr>
                <w:b/>
                <w:w w:val="95"/>
                <w:sz w:val="14"/>
              </w:rPr>
              <w:t>sesiones de</w:t>
            </w:r>
            <w:r>
              <w:rPr>
                <w:b/>
                <w:spacing w:val="-23"/>
                <w:w w:val="95"/>
                <w:sz w:val="14"/>
              </w:rPr>
              <w:t> </w:t>
            </w:r>
            <w:r>
              <w:rPr>
                <w:b/>
                <w:w w:val="95"/>
                <w:sz w:val="14"/>
              </w:rPr>
              <w:t>trabajo </w:t>
            </w:r>
            <w:r>
              <w:rPr>
                <w:b/>
                <w:sz w:val="14"/>
              </w:rPr>
              <w:t>que tuvo el </w:t>
            </w:r>
            <w:r>
              <w:rPr>
                <w:b/>
                <w:w w:val="95"/>
                <w:sz w:val="14"/>
              </w:rPr>
              <w:t>COPLADEM</w:t>
            </w:r>
            <w:r>
              <w:rPr>
                <w:b/>
                <w:spacing w:val="-15"/>
                <w:w w:val="95"/>
                <w:sz w:val="14"/>
              </w:rPr>
              <w:t> </w:t>
            </w:r>
            <w:r>
              <w:rPr>
                <w:b/>
                <w:w w:val="95"/>
                <w:sz w:val="14"/>
              </w:rPr>
              <w:t>ó</w:t>
            </w:r>
          </w:p>
          <w:p>
            <w:pPr>
              <w:pStyle w:val="TableParagraph"/>
              <w:spacing w:line="268" w:lineRule="auto"/>
              <w:ind w:left="104" w:right="92"/>
              <w:jc w:val="center"/>
              <w:rPr>
                <w:b/>
                <w:sz w:val="14"/>
              </w:rPr>
            </w:pPr>
            <w:r>
              <w:rPr>
                <w:b/>
                <w:w w:val="95"/>
                <w:sz w:val="14"/>
              </w:rPr>
              <w:t>CODEMUN en el </w:t>
            </w:r>
            <w:r>
              <w:rPr>
                <w:b/>
                <w:sz w:val="14"/>
              </w:rPr>
              <w:t>año</w:t>
            </w:r>
          </w:p>
        </w:tc>
        <w:tc>
          <w:tcPr>
            <w:tcW w:w="1305" w:type="dxa"/>
            <w:tcBorders>
              <w:left w:val="single" w:sz="4" w:space="0" w:color="000000"/>
              <w:right w:val="single" w:sz="4" w:space="0" w:color="000000"/>
            </w:tcBorders>
          </w:tcPr>
          <w:p>
            <w:pPr>
              <w:pStyle w:val="TableParagraph"/>
              <w:spacing w:line="268" w:lineRule="auto" w:before="2"/>
              <w:ind w:left="67" w:right="56" w:hanging="4"/>
              <w:jc w:val="center"/>
              <w:rPr>
                <w:b/>
                <w:sz w:val="14"/>
              </w:rPr>
            </w:pPr>
            <w:r>
              <w:rPr>
                <w:b/>
                <w:sz w:val="14"/>
              </w:rPr>
              <w:t>Número de representantes sociales que en promedio </w:t>
            </w:r>
            <w:r>
              <w:rPr>
                <w:b/>
                <w:w w:val="95"/>
                <w:sz w:val="14"/>
              </w:rPr>
              <w:t>participaron en</w:t>
            </w:r>
            <w:r>
              <w:rPr>
                <w:b/>
                <w:spacing w:val="-21"/>
                <w:w w:val="95"/>
                <w:sz w:val="14"/>
              </w:rPr>
              <w:t> </w:t>
            </w:r>
            <w:r>
              <w:rPr>
                <w:b/>
                <w:w w:val="95"/>
                <w:sz w:val="14"/>
              </w:rPr>
              <w:t>las </w:t>
            </w:r>
            <w:r>
              <w:rPr>
                <w:b/>
                <w:sz w:val="14"/>
              </w:rPr>
              <w:t>sesiones del COPLADEM ó CODEMUN</w:t>
            </w:r>
          </w:p>
        </w:tc>
        <w:tc>
          <w:tcPr>
            <w:tcW w:w="1729" w:type="dxa"/>
            <w:tcBorders>
              <w:left w:val="single" w:sz="4" w:space="0" w:color="000000"/>
              <w:right w:val="single" w:sz="4" w:space="0" w:color="000000"/>
            </w:tcBorders>
          </w:tcPr>
          <w:p>
            <w:pPr>
              <w:pStyle w:val="TableParagraph"/>
              <w:spacing w:line="268" w:lineRule="auto" w:before="2"/>
              <w:ind w:left="71" w:right="62" w:hanging="3"/>
              <w:jc w:val="center"/>
              <w:rPr>
                <w:b/>
                <w:sz w:val="14"/>
              </w:rPr>
            </w:pPr>
            <w:r>
              <w:rPr>
                <w:b/>
                <w:sz w:val="14"/>
              </w:rPr>
              <w:t>Obras y acciones de la muestra auditada que </w:t>
            </w:r>
            <w:r>
              <w:rPr>
                <w:b/>
                <w:w w:val="95"/>
                <w:sz w:val="14"/>
              </w:rPr>
              <w:t>fueron autorizadas por</w:t>
            </w:r>
            <w:r>
              <w:rPr>
                <w:b/>
                <w:spacing w:val="-25"/>
                <w:w w:val="95"/>
                <w:sz w:val="14"/>
              </w:rPr>
              <w:t> </w:t>
            </w:r>
            <w:r>
              <w:rPr>
                <w:b/>
                <w:w w:val="95"/>
                <w:sz w:val="14"/>
              </w:rPr>
              <w:t>el Comité</w:t>
            </w:r>
            <w:r>
              <w:rPr>
                <w:b/>
                <w:spacing w:val="-10"/>
                <w:w w:val="95"/>
                <w:sz w:val="14"/>
              </w:rPr>
              <w:t> </w:t>
            </w:r>
            <w:r>
              <w:rPr>
                <w:b/>
                <w:w w:val="95"/>
                <w:sz w:val="14"/>
              </w:rPr>
              <w:t>de</w:t>
            </w:r>
            <w:r>
              <w:rPr>
                <w:b/>
                <w:spacing w:val="-10"/>
                <w:w w:val="95"/>
                <w:sz w:val="14"/>
              </w:rPr>
              <w:t> </w:t>
            </w:r>
            <w:r>
              <w:rPr>
                <w:b/>
                <w:w w:val="95"/>
                <w:sz w:val="14"/>
              </w:rPr>
              <w:t>planeación</w:t>
            </w:r>
            <w:r>
              <w:rPr>
                <w:b/>
                <w:spacing w:val="-9"/>
                <w:w w:val="95"/>
                <w:sz w:val="14"/>
              </w:rPr>
              <w:t> </w:t>
            </w:r>
            <w:r>
              <w:rPr>
                <w:b/>
                <w:w w:val="95"/>
                <w:sz w:val="14"/>
              </w:rPr>
              <w:t>del </w:t>
            </w:r>
            <w:r>
              <w:rPr>
                <w:b/>
                <w:sz w:val="14"/>
              </w:rPr>
              <w:t>Desarrollo Municipal </w:t>
            </w:r>
            <w:r>
              <w:rPr>
                <w:b/>
                <w:w w:val="95"/>
                <w:sz w:val="14"/>
              </w:rPr>
              <w:t>(COPLADEM) ó Consejo de Desarrollo Municipal </w:t>
            </w:r>
            <w:r>
              <w:rPr>
                <w:b/>
                <w:sz w:val="14"/>
              </w:rPr>
              <w:t>(%)</w:t>
            </w:r>
          </w:p>
        </w:tc>
        <w:tc>
          <w:tcPr>
            <w:tcW w:w="1218" w:type="dxa"/>
            <w:tcBorders>
              <w:left w:val="single" w:sz="4" w:space="0" w:color="000000"/>
              <w:right w:val="single" w:sz="4" w:space="0" w:color="000000"/>
            </w:tcBorders>
          </w:tcPr>
          <w:p>
            <w:pPr>
              <w:pStyle w:val="TableParagraph"/>
              <w:spacing w:line="268" w:lineRule="auto" w:before="2"/>
              <w:ind w:left="39" w:right="35"/>
              <w:jc w:val="center"/>
              <w:rPr>
                <w:b/>
                <w:sz w:val="14"/>
              </w:rPr>
            </w:pPr>
            <w:r>
              <w:rPr>
                <w:b/>
                <w:w w:val="95"/>
                <w:sz w:val="14"/>
              </w:rPr>
              <w:t>Obras y acciones </w:t>
            </w:r>
            <w:r>
              <w:rPr>
                <w:b/>
                <w:sz w:val="14"/>
              </w:rPr>
              <w:t>de la muestra auditada que cuentan con solicitud de la </w:t>
            </w:r>
            <w:r>
              <w:rPr>
                <w:b/>
                <w:w w:val="95"/>
                <w:sz w:val="14"/>
              </w:rPr>
              <w:t>comunidad (%)</w:t>
            </w:r>
          </w:p>
        </w:tc>
        <w:tc>
          <w:tcPr>
            <w:tcW w:w="1304" w:type="dxa"/>
            <w:tcBorders>
              <w:left w:val="single" w:sz="4" w:space="0" w:color="000000"/>
              <w:right w:val="single" w:sz="4" w:space="0" w:color="000000"/>
            </w:tcBorders>
          </w:tcPr>
          <w:p>
            <w:pPr>
              <w:pStyle w:val="TableParagraph"/>
              <w:spacing w:line="268" w:lineRule="auto" w:before="2"/>
              <w:ind w:left="108" w:right="93" w:hanging="8"/>
              <w:jc w:val="center"/>
              <w:rPr>
                <w:b/>
                <w:sz w:val="14"/>
              </w:rPr>
            </w:pPr>
            <w:r>
              <w:rPr>
                <w:b/>
                <w:w w:val="95"/>
                <w:sz w:val="14"/>
              </w:rPr>
              <w:t>Obras y</w:t>
            </w:r>
            <w:r>
              <w:rPr>
                <w:b/>
                <w:spacing w:val="-20"/>
                <w:w w:val="95"/>
                <w:sz w:val="14"/>
              </w:rPr>
              <w:t> </w:t>
            </w:r>
            <w:r>
              <w:rPr>
                <w:b/>
                <w:w w:val="95"/>
                <w:sz w:val="14"/>
              </w:rPr>
              <w:t>acciones </w:t>
            </w:r>
            <w:r>
              <w:rPr>
                <w:b/>
                <w:sz w:val="14"/>
              </w:rPr>
              <w:t>terminadas de</w:t>
            </w:r>
            <w:r>
              <w:rPr>
                <w:b/>
                <w:spacing w:val="-31"/>
                <w:sz w:val="14"/>
              </w:rPr>
              <w:t> </w:t>
            </w:r>
            <w:r>
              <w:rPr>
                <w:b/>
                <w:sz w:val="14"/>
              </w:rPr>
              <w:t>la </w:t>
            </w:r>
            <w:r>
              <w:rPr>
                <w:b/>
                <w:w w:val="95"/>
                <w:sz w:val="14"/>
              </w:rPr>
              <w:t>muestra</w:t>
            </w:r>
            <w:r>
              <w:rPr>
                <w:b/>
                <w:spacing w:val="-17"/>
                <w:w w:val="95"/>
                <w:sz w:val="14"/>
              </w:rPr>
              <w:t> </w:t>
            </w:r>
            <w:r>
              <w:rPr>
                <w:b/>
                <w:w w:val="95"/>
                <w:sz w:val="14"/>
              </w:rPr>
              <w:t>auditada </w:t>
            </w:r>
            <w:r>
              <w:rPr>
                <w:b/>
                <w:sz w:val="14"/>
              </w:rPr>
              <w:t>con</w:t>
            </w:r>
            <w:r>
              <w:rPr>
                <w:b/>
                <w:spacing w:val="-26"/>
                <w:sz w:val="14"/>
              </w:rPr>
              <w:t> </w:t>
            </w:r>
            <w:r>
              <w:rPr>
                <w:b/>
                <w:sz w:val="14"/>
              </w:rPr>
              <w:t>acta</w:t>
            </w:r>
            <w:r>
              <w:rPr>
                <w:b/>
                <w:spacing w:val="-25"/>
                <w:sz w:val="14"/>
              </w:rPr>
              <w:t> </w:t>
            </w:r>
            <w:r>
              <w:rPr>
                <w:b/>
                <w:sz w:val="14"/>
              </w:rPr>
              <w:t>de</w:t>
            </w:r>
          </w:p>
          <w:p>
            <w:pPr>
              <w:pStyle w:val="TableParagraph"/>
              <w:spacing w:line="268" w:lineRule="auto"/>
              <w:ind w:left="15" w:right="4"/>
              <w:jc w:val="center"/>
              <w:rPr>
                <w:b/>
                <w:sz w:val="14"/>
              </w:rPr>
            </w:pPr>
            <w:r>
              <w:rPr>
                <w:b/>
                <w:w w:val="95"/>
                <w:sz w:val="14"/>
              </w:rPr>
              <w:t>entrega-recepción a </w:t>
            </w:r>
            <w:r>
              <w:rPr>
                <w:b/>
                <w:sz w:val="14"/>
              </w:rPr>
              <w:t>la comunidad y al organismo </w:t>
            </w:r>
            <w:r>
              <w:rPr>
                <w:b/>
                <w:w w:val="95"/>
                <w:sz w:val="14"/>
              </w:rPr>
              <w:t>operador (%)</w:t>
            </w:r>
          </w:p>
        </w:tc>
      </w:tr>
      <w:tr>
        <w:trPr>
          <w:trHeight w:val="723" w:hRule="exact"/>
        </w:trPr>
        <w:tc>
          <w:tcPr>
            <w:tcW w:w="833"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4"/>
              <w:rPr>
                <w:b/>
                <w:sz w:val="19"/>
              </w:rPr>
            </w:pPr>
          </w:p>
          <w:p>
            <w:pPr>
              <w:pStyle w:val="TableParagraph"/>
              <w:ind w:right="17"/>
              <w:jc w:val="right"/>
              <w:rPr>
                <w:sz w:val="14"/>
              </w:rPr>
            </w:pPr>
            <w:r>
              <w:rPr>
                <w:w w:val="95"/>
                <w:sz w:val="14"/>
              </w:rPr>
              <w:t>2008</w:t>
            </w:r>
          </w:p>
        </w:tc>
        <w:tc>
          <w:tcPr>
            <w:tcW w:w="1501"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4"/>
              <w:rPr>
                <w:b/>
                <w:sz w:val="19"/>
              </w:rPr>
            </w:pPr>
          </w:p>
          <w:p>
            <w:pPr>
              <w:pStyle w:val="TableParagraph"/>
              <w:ind w:left="19"/>
              <w:rPr>
                <w:sz w:val="14"/>
              </w:rPr>
            </w:pPr>
            <w:r>
              <w:rPr>
                <w:w w:val="95"/>
                <w:sz w:val="14"/>
              </w:rPr>
              <w:t>Almoloya de Juárez</w:t>
            </w:r>
          </w:p>
        </w:tc>
        <w:tc>
          <w:tcPr>
            <w:tcW w:w="1501"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4"/>
              <w:rPr>
                <w:b/>
                <w:sz w:val="19"/>
              </w:rPr>
            </w:pPr>
          </w:p>
          <w:p>
            <w:pPr>
              <w:pStyle w:val="TableParagraph"/>
              <w:ind w:left="19"/>
              <w:rPr>
                <w:sz w:val="14"/>
              </w:rPr>
            </w:pPr>
            <w:r>
              <w:rPr>
                <w:sz w:val="14"/>
              </w:rPr>
              <w:t>CODEMUN</w:t>
            </w:r>
          </w:p>
        </w:tc>
        <w:tc>
          <w:tcPr>
            <w:tcW w:w="1501" w:type="dxa"/>
            <w:tcBorders>
              <w:left w:val="single" w:sz="4" w:space="0" w:color="000000"/>
              <w:right w:val="single" w:sz="4" w:space="0" w:color="000000"/>
            </w:tcBorders>
            <w:shd w:val="clear" w:color="auto" w:fill="F1DCDB"/>
          </w:tcPr>
          <w:p>
            <w:pPr>
              <w:pStyle w:val="TableParagraph"/>
              <w:spacing w:line="268" w:lineRule="auto" w:before="2"/>
              <w:ind w:left="18" w:firstLine="1"/>
              <w:rPr>
                <w:sz w:val="14"/>
              </w:rPr>
            </w:pPr>
            <w:r>
              <w:rPr>
                <w:sz w:val="14"/>
              </w:rPr>
              <w:t>Presentó Reglamento </w:t>
            </w:r>
            <w:r>
              <w:rPr>
                <w:w w:val="95"/>
                <w:sz w:val="14"/>
              </w:rPr>
              <w:t>del Funcionamiento del </w:t>
            </w:r>
            <w:r>
              <w:rPr>
                <w:sz w:val="14"/>
              </w:rPr>
              <w:t>Consejo de Desarrollo Muncipal</w:t>
            </w:r>
          </w:p>
        </w:tc>
        <w:tc>
          <w:tcPr>
            <w:tcW w:w="1270"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111"/>
              <w:ind w:left="598"/>
              <w:rPr>
                <w:sz w:val="14"/>
              </w:rPr>
            </w:pPr>
            <w:r>
              <w:rPr>
                <w:w w:val="93"/>
                <w:sz w:val="14"/>
              </w:rPr>
              <w:t>1</w:t>
            </w:r>
          </w:p>
        </w:tc>
        <w:tc>
          <w:tcPr>
            <w:tcW w:w="1305"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111"/>
              <w:ind w:left="579"/>
              <w:rPr>
                <w:sz w:val="14"/>
              </w:rPr>
            </w:pPr>
            <w:r>
              <w:rPr>
                <w:sz w:val="14"/>
              </w:rPr>
              <w:t>60</w:t>
            </w:r>
          </w:p>
        </w:tc>
        <w:tc>
          <w:tcPr>
            <w:tcW w:w="1729"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4"/>
              <w:rPr>
                <w:b/>
                <w:sz w:val="19"/>
              </w:rPr>
            </w:pPr>
          </w:p>
          <w:p>
            <w:pPr>
              <w:pStyle w:val="TableParagraph"/>
              <w:ind w:left="707" w:right="699"/>
              <w:jc w:val="center"/>
              <w:rPr>
                <w:sz w:val="14"/>
              </w:rPr>
            </w:pPr>
            <w:r>
              <w:rPr>
                <w:sz w:val="14"/>
              </w:rPr>
              <w:t>99.6</w:t>
            </w:r>
          </w:p>
        </w:tc>
        <w:tc>
          <w:tcPr>
            <w:tcW w:w="1218"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4"/>
              <w:rPr>
                <w:b/>
                <w:sz w:val="19"/>
              </w:rPr>
            </w:pPr>
          </w:p>
          <w:p>
            <w:pPr>
              <w:pStyle w:val="TableParagraph"/>
              <w:ind w:left="39" w:right="33"/>
              <w:jc w:val="center"/>
              <w:rPr>
                <w:sz w:val="14"/>
              </w:rPr>
            </w:pPr>
            <w:r>
              <w:rPr>
                <w:sz w:val="14"/>
              </w:rPr>
              <w:t>99.6</w:t>
            </w:r>
          </w:p>
        </w:tc>
        <w:tc>
          <w:tcPr>
            <w:tcW w:w="1304"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4"/>
              <w:rPr>
                <w:b/>
                <w:sz w:val="19"/>
              </w:rPr>
            </w:pPr>
          </w:p>
          <w:p>
            <w:pPr>
              <w:pStyle w:val="TableParagraph"/>
              <w:ind w:left="13" w:right="4"/>
              <w:jc w:val="center"/>
              <w:rPr>
                <w:sz w:val="14"/>
              </w:rPr>
            </w:pPr>
            <w:r>
              <w:rPr>
                <w:sz w:val="14"/>
              </w:rPr>
              <w:t>100</w:t>
            </w:r>
          </w:p>
        </w:tc>
      </w:tr>
      <w:tr>
        <w:trPr>
          <w:trHeight w:val="723" w:hRule="exact"/>
        </w:trPr>
        <w:tc>
          <w:tcPr>
            <w:tcW w:w="833"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right="17"/>
              <w:jc w:val="right"/>
              <w:rPr>
                <w:sz w:val="14"/>
              </w:rPr>
            </w:pPr>
            <w:r>
              <w:rPr>
                <w:w w:val="95"/>
                <w:sz w:val="14"/>
              </w:rPr>
              <w:t>2008</w:t>
            </w:r>
          </w:p>
        </w:tc>
        <w:tc>
          <w:tcPr>
            <w:tcW w:w="1501"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left="19"/>
              <w:rPr>
                <w:sz w:val="14"/>
              </w:rPr>
            </w:pPr>
            <w:r>
              <w:rPr>
                <w:sz w:val="14"/>
              </w:rPr>
              <w:t>Chimalhuacán</w:t>
            </w:r>
          </w:p>
        </w:tc>
        <w:tc>
          <w:tcPr>
            <w:tcW w:w="1501"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left="19"/>
              <w:rPr>
                <w:sz w:val="14"/>
              </w:rPr>
            </w:pPr>
            <w:r>
              <w:rPr>
                <w:sz w:val="14"/>
              </w:rPr>
              <w:t>CODEMUN</w:t>
            </w:r>
          </w:p>
        </w:tc>
        <w:tc>
          <w:tcPr>
            <w:tcW w:w="1501" w:type="dxa"/>
            <w:tcBorders>
              <w:left w:val="single" w:sz="4" w:space="0" w:color="000000"/>
              <w:right w:val="single" w:sz="4" w:space="0" w:color="000000"/>
            </w:tcBorders>
          </w:tcPr>
          <w:p>
            <w:pPr>
              <w:pStyle w:val="TableParagraph"/>
              <w:spacing w:line="268" w:lineRule="auto" w:before="2"/>
              <w:ind w:left="18" w:firstLine="1"/>
              <w:rPr>
                <w:sz w:val="14"/>
              </w:rPr>
            </w:pPr>
            <w:r>
              <w:rPr>
                <w:sz w:val="14"/>
              </w:rPr>
              <w:t>Presentó Reglamento </w:t>
            </w:r>
            <w:r>
              <w:rPr>
                <w:w w:val="95"/>
                <w:sz w:val="14"/>
              </w:rPr>
              <w:t>del Funcionamiento del </w:t>
            </w:r>
            <w:r>
              <w:rPr>
                <w:sz w:val="14"/>
              </w:rPr>
              <w:t>Consejo de Desarrollo Muncipal</w:t>
            </w:r>
          </w:p>
        </w:tc>
        <w:tc>
          <w:tcPr>
            <w:tcW w:w="1270"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left="598"/>
              <w:rPr>
                <w:sz w:val="14"/>
              </w:rPr>
            </w:pPr>
            <w:r>
              <w:rPr>
                <w:w w:val="93"/>
                <w:sz w:val="14"/>
              </w:rPr>
              <w:t>6</w:t>
            </w:r>
          </w:p>
        </w:tc>
        <w:tc>
          <w:tcPr>
            <w:tcW w:w="1305"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left="616"/>
              <w:rPr>
                <w:sz w:val="14"/>
              </w:rPr>
            </w:pPr>
            <w:r>
              <w:rPr>
                <w:w w:val="93"/>
                <w:sz w:val="14"/>
              </w:rPr>
              <w:t>0</w:t>
            </w:r>
          </w:p>
        </w:tc>
        <w:tc>
          <w:tcPr>
            <w:tcW w:w="1729"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left="706" w:right="699"/>
              <w:jc w:val="center"/>
              <w:rPr>
                <w:sz w:val="14"/>
              </w:rPr>
            </w:pPr>
            <w:r>
              <w:rPr>
                <w:sz w:val="14"/>
              </w:rPr>
              <w:t>100</w:t>
            </w:r>
          </w:p>
        </w:tc>
        <w:tc>
          <w:tcPr>
            <w:tcW w:w="1218"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left="39" w:right="34"/>
              <w:jc w:val="center"/>
              <w:rPr>
                <w:sz w:val="14"/>
              </w:rPr>
            </w:pPr>
            <w:r>
              <w:rPr>
                <w:sz w:val="14"/>
              </w:rPr>
              <w:t>100</w:t>
            </w:r>
          </w:p>
        </w:tc>
        <w:tc>
          <w:tcPr>
            <w:tcW w:w="1304"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left="13" w:right="4"/>
              <w:jc w:val="center"/>
              <w:rPr>
                <w:sz w:val="14"/>
              </w:rPr>
            </w:pPr>
            <w:r>
              <w:rPr>
                <w:sz w:val="14"/>
              </w:rPr>
              <w:t>100</w:t>
            </w:r>
          </w:p>
        </w:tc>
      </w:tr>
      <w:tr>
        <w:trPr>
          <w:trHeight w:val="723" w:hRule="exact"/>
        </w:trPr>
        <w:tc>
          <w:tcPr>
            <w:tcW w:w="833"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3"/>
              <w:rPr>
                <w:b/>
                <w:sz w:val="19"/>
              </w:rPr>
            </w:pPr>
          </w:p>
          <w:p>
            <w:pPr>
              <w:pStyle w:val="TableParagraph"/>
              <w:ind w:right="17"/>
              <w:jc w:val="right"/>
              <w:rPr>
                <w:sz w:val="14"/>
              </w:rPr>
            </w:pPr>
            <w:r>
              <w:rPr>
                <w:w w:val="95"/>
                <w:sz w:val="14"/>
              </w:rPr>
              <w:t>2008</w:t>
            </w:r>
          </w:p>
        </w:tc>
        <w:tc>
          <w:tcPr>
            <w:tcW w:w="1501"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3"/>
              <w:rPr>
                <w:b/>
                <w:sz w:val="19"/>
              </w:rPr>
            </w:pPr>
          </w:p>
          <w:p>
            <w:pPr>
              <w:pStyle w:val="TableParagraph"/>
              <w:ind w:left="19"/>
              <w:rPr>
                <w:sz w:val="14"/>
              </w:rPr>
            </w:pPr>
            <w:r>
              <w:rPr>
                <w:sz w:val="14"/>
              </w:rPr>
              <w:t>Nezahualcóyotl</w:t>
            </w:r>
          </w:p>
        </w:tc>
        <w:tc>
          <w:tcPr>
            <w:tcW w:w="1501"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3"/>
              <w:rPr>
                <w:b/>
                <w:sz w:val="19"/>
              </w:rPr>
            </w:pPr>
          </w:p>
          <w:p>
            <w:pPr>
              <w:pStyle w:val="TableParagraph"/>
              <w:ind w:left="19"/>
              <w:rPr>
                <w:sz w:val="14"/>
              </w:rPr>
            </w:pPr>
            <w:r>
              <w:rPr>
                <w:sz w:val="14"/>
              </w:rPr>
              <w:t>CODEMUN</w:t>
            </w:r>
          </w:p>
        </w:tc>
        <w:tc>
          <w:tcPr>
            <w:tcW w:w="1501" w:type="dxa"/>
            <w:tcBorders>
              <w:left w:val="single" w:sz="4" w:space="0" w:color="000000"/>
              <w:right w:val="single" w:sz="4" w:space="0" w:color="000000"/>
            </w:tcBorders>
            <w:shd w:val="clear" w:color="auto" w:fill="F1DCDB"/>
          </w:tcPr>
          <w:p>
            <w:pPr>
              <w:pStyle w:val="TableParagraph"/>
              <w:spacing w:line="268" w:lineRule="auto" w:before="2"/>
              <w:ind w:left="18" w:firstLine="1"/>
              <w:rPr>
                <w:sz w:val="14"/>
              </w:rPr>
            </w:pPr>
            <w:r>
              <w:rPr>
                <w:sz w:val="14"/>
              </w:rPr>
              <w:t>Presentó Reglamento </w:t>
            </w:r>
            <w:r>
              <w:rPr>
                <w:w w:val="95"/>
                <w:sz w:val="14"/>
              </w:rPr>
              <w:t>del Funcionamiento del </w:t>
            </w:r>
            <w:r>
              <w:rPr>
                <w:sz w:val="14"/>
              </w:rPr>
              <w:t>Consejo de Desarrollo Muncipal</w:t>
            </w:r>
          </w:p>
        </w:tc>
        <w:tc>
          <w:tcPr>
            <w:tcW w:w="1270"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3"/>
              <w:rPr>
                <w:b/>
                <w:sz w:val="19"/>
              </w:rPr>
            </w:pPr>
          </w:p>
          <w:p>
            <w:pPr>
              <w:pStyle w:val="TableParagraph"/>
              <w:ind w:left="561"/>
              <w:rPr>
                <w:sz w:val="14"/>
              </w:rPr>
            </w:pPr>
            <w:r>
              <w:rPr>
                <w:sz w:val="14"/>
              </w:rPr>
              <w:t>10</w:t>
            </w:r>
          </w:p>
        </w:tc>
        <w:tc>
          <w:tcPr>
            <w:tcW w:w="1305"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3"/>
              <w:rPr>
                <w:b/>
                <w:sz w:val="19"/>
              </w:rPr>
            </w:pPr>
          </w:p>
          <w:p>
            <w:pPr>
              <w:pStyle w:val="TableParagraph"/>
              <w:ind w:left="579"/>
              <w:rPr>
                <w:sz w:val="14"/>
              </w:rPr>
            </w:pPr>
            <w:r>
              <w:rPr>
                <w:sz w:val="14"/>
              </w:rPr>
              <w:t>13</w:t>
            </w:r>
          </w:p>
        </w:tc>
        <w:tc>
          <w:tcPr>
            <w:tcW w:w="1729"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3"/>
              <w:rPr>
                <w:b/>
                <w:sz w:val="19"/>
              </w:rPr>
            </w:pPr>
          </w:p>
          <w:p>
            <w:pPr>
              <w:pStyle w:val="TableParagraph"/>
              <w:ind w:left="706" w:right="699"/>
              <w:jc w:val="center"/>
              <w:rPr>
                <w:sz w:val="14"/>
              </w:rPr>
            </w:pPr>
            <w:r>
              <w:rPr>
                <w:sz w:val="14"/>
              </w:rPr>
              <w:t>100</w:t>
            </w:r>
          </w:p>
        </w:tc>
        <w:tc>
          <w:tcPr>
            <w:tcW w:w="1218"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3"/>
              <w:rPr>
                <w:b/>
                <w:sz w:val="19"/>
              </w:rPr>
            </w:pPr>
          </w:p>
          <w:p>
            <w:pPr>
              <w:pStyle w:val="TableParagraph"/>
              <w:ind w:left="39" w:right="33"/>
              <w:jc w:val="center"/>
              <w:rPr>
                <w:sz w:val="14"/>
              </w:rPr>
            </w:pPr>
            <w:r>
              <w:rPr>
                <w:sz w:val="14"/>
              </w:rPr>
              <w:t>87.1</w:t>
            </w:r>
          </w:p>
        </w:tc>
        <w:tc>
          <w:tcPr>
            <w:tcW w:w="1304"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spacing w:before="3"/>
              <w:rPr>
                <w:b/>
                <w:sz w:val="19"/>
              </w:rPr>
            </w:pPr>
          </w:p>
          <w:p>
            <w:pPr>
              <w:pStyle w:val="TableParagraph"/>
              <w:ind w:left="13" w:right="4"/>
              <w:jc w:val="center"/>
              <w:rPr>
                <w:sz w:val="14"/>
              </w:rPr>
            </w:pPr>
            <w:r>
              <w:rPr>
                <w:sz w:val="14"/>
              </w:rPr>
              <w:t>90</w:t>
            </w:r>
          </w:p>
        </w:tc>
      </w:tr>
      <w:tr>
        <w:trPr>
          <w:trHeight w:val="723" w:hRule="exact"/>
        </w:trPr>
        <w:tc>
          <w:tcPr>
            <w:tcW w:w="833"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3"/>
              <w:rPr>
                <w:b/>
                <w:sz w:val="19"/>
              </w:rPr>
            </w:pPr>
          </w:p>
          <w:p>
            <w:pPr>
              <w:pStyle w:val="TableParagraph"/>
              <w:ind w:right="17"/>
              <w:jc w:val="right"/>
              <w:rPr>
                <w:sz w:val="14"/>
              </w:rPr>
            </w:pPr>
            <w:r>
              <w:rPr>
                <w:w w:val="95"/>
                <w:sz w:val="14"/>
              </w:rPr>
              <w:t>2008</w:t>
            </w:r>
          </w:p>
        </w:tc>
        <w:tc>
          <w:tcPr>
            <w:tcW w:w="1501"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3"/>
              <w:rPr>
                <w:b/>
                <w:sz w:val="19"/>
              </w:rPr>
            </w:pPr>
          </w:p>
          <w:p>
            <w:pPr>
              <w:pStyle w:val="TableParagraph"/>
              <w:ind w:left="19"/>
              <w:rPr>
                <w:sz w:val="14"/>
              </w:rPr>
            </w:pPr>
            <w:r>
              <w:rPr>
                <w:w w:val="95"/>
                <w:sz w:val="14"/>
              </w:rPr>
              <w:t>San Felipe del Progreso</w:t>
            </w:r>
          </w:p>
        </w:tc>
        <w:tc>
          <w:tcPr>
            <w:tcW w:w="1501"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3"/>
              <w:rPr>
                <w:b/>
                <w:sz w:val="19"/>
              </w:rPr>
            </w:pPr>
          </w:p>
          <w:p>
            <w:pPr>
              <w:pStyle w:val="TableParagraph"/>
              <w:ind w:left="19"/>
              <w:rPr>
                <w:sz w:val="14"/>
              </w:rPr>
            </w:pPr>
            <w:r>
              <w:rPr>
                <w:sz w:val="14"/>
              </w:rPr>
              <w:t>CODEMUN</w:t>
            </w:r>
          </w:p>
        </w:tc>
        <w:tc>
          <w:tcPr>
            <w:tcW w:w="1501" w:type="dxa"/>
            <w:tcBorders>
              <w:left w:val="single" w:sz="4" w:space="0" w:color="000000"/>
              <w:right w:val="single" w:sz="4" w:space="0" w:color="000000"/>
            </w:tcBorders>
          </w:tcPr>
          <w:p>
            <w:pPr>
              <w:pStyle w:val="TableParagraph"/>
              <w:spacing w:line="268" w:lineRule="auto" w:before="2"/>
              <w:ind w:left="18" w:firstLine="1"/>
              <w:rPr>
                <w:sz w:val="14"/>
              </w:rPr>
            </w:pPr>
            <w:r>
              <w:rPr>
                <w:sz w:val="14"/>
              </w:rPr>
              <w:t>Presentó Reglamento </w:t>
            </w:r>
            <w:r>
              <w:rPr>
                <w:w w:val="95"/>
                <w:sz w:val="14"/>
              </w:rPr>
              <w:t>del Funcionamiento del </w:t>
            </w:r>
            <w:r>
              <w:rPr>
                <w:sz w:val="14"/>
              </w:rPr>
              <w:t>Consejo de Desarrollo Muncipal</w:t>
            </w:r>
          </w:p>
        </w:tc>
        <w:tc>
          <w:tcPr>
            <w:tcW w:w="1270"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3"/>
              <w:rPr>
                <w:b/>
                <w:sz w:val="19"/>
              </w:rPr>
            </w:pPr>
          </w:p>
          <w:p>
            <w:pPr>
              <w:pStyle w:val="TableParagraph"/>
              <w:ind w:left="598"/>
              <w:rPr>
                <w:sz w:val="14"/>
              </w:rPr>
            </w:pPr>
            <w:r>
              <w:rPr>
                <w:w w:val="93"/>
                <w:sz w:val="14"/>
              </w:rPr>
              <w:t>4</w:t>
            </w:r>
          </w:p>
        </w:tc>
        <w:tc>
          <w:tcPr>
            <w:tcW w:w="1305"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3"/>
              <w:rPr>
                <w:b/>
                <w:sz w:val="19"/>
              </w:rPr>
            </w:pPr>
          </w:p>
          <w:p>
            <w:pPr>
              <w:pStyle w:val="TableParagraph"/>
              <w:ind w:left="616"/>
              <w:rPr>
                <w:sz w:val="14"/>
              </w:rPr>
            </w:pPr>
            <w:r>
              <w:rPr>
                <w:w w:val="93"/>
                <w:sz w:val="14"/>
              </w:rPr>
              <w:t>0</w:t>
            </w:r>
          </w:p>
        </w:tc>
        <w:tc>
          <w:tcPr>
            <w:tcW w:w="1729"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3"/>
              <w:rPr>
                <w:b/>
                <w:sz w:val="19"/>
              </w:rPr>
            </w:pPr>
          </w:p>
          <w:p>
            <w:pPr>
              <w:pStyle w:val="TableParagraph"/>
              <w:ind w:left="706" w:right="699"/>
              <w:jc w:val="center"/>
              <w:rPr>
                <w:sz w:val="14"/>
              </w:rPr>
            </w:pPr>
            <w:r>
              <w:rPr>
                <w:sz w:val="14"/>
              </w:rPr>
              <w:t>100</w:t>
            </w:r>
          </w:p>
        </w:tc>
        <w:tc>
          <w:tcPr>
            <w:tcW w:w="1218"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3"/>
              <w:rPr>
                <w:b/>
                <w:sz w:val="19"/>
              </w:rPr>
            </w:pPr>
          </w:p>
          <w:p>
            <w:pPr>
              <w:pStyle w:val="TableParagraph"/>
              <w:ind w:left="39" w:right="34"/>
              <w:jc w:val="center"/>
              <w:rPr>
                <w:sz w:val="14"/>
              </w:rPr>
            </w:pPr>
            <w:r>
              <w:rPr>
                <w:sz w:val="14"/>
              </w:rPr>
              <w:t>100</w:t>
            </w:r>
          </w:p>
        </w:tc>
        <w:tc>
          <w:tcPr>
            <w:tcW w:w="1304"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3"/>
              <w:rPr>
                <w:b/>
                <w:sz w:val="19"/>
              </w:rPr>
            </w:pPr>
          </w:p>
          <w:p>
            <w:pPr>
              <w:pStyle w:val="TableParagraph"/>
              <w:ind w:left="13" w:right="4"/>
              <w:jc w:val="center"/>
              <w:rPr>
                <w:sz w:val="14"/>
              </w:rPr>
            </w:pPr>
            <w:r>
              <w:rPr>
                <w:sz w:val="14"/>
              </w:rPr>
              <w:t>100</w:t>
            </w:r>
          </w:p>
        </w:tc>
      </w:tr>
    </w:tbl>
    <w:p>
      <w:pPr>
        <w:pStyle w:val="BodyText"/>
        <w:rPr>
          <w:b/>
          <w:sz w:val="20"/>
        </w:rPr>
      </w:pPr>
    </w:p>
    <w:p>
      <w:pPr>
        <w:pStyle w:val="BodyText"/>
        <w:rPr>
          <w:b/>
          <w:sz w:val="20"/>
        </w:rPr>
      </w:pPr>
    </w:p>
    <w:p>
      <w:pPr>
        <w:pStyle w:val="BodyText"/>
        <w:spacing w:before="6"/>
        <w:rPr>
          <w:b/>
          <w:sz w:val="20"/>
        </w:rPr>
      </w:pPr>
    </w:p>
    <w:p>
      <w:pPr>
        <w:spacing w:before="74"/>
        <w:ind w:left="302" w:right="0" w:firstLine="0"/>
        <w:jc w:val="left"/>
        <w:rPr>
          <w:sz w:val="20"/>
        </w:rPr>
      </w:pPr>
      <w:r>
        <w:rPr>
          <w:b/>
          <w:sz w:val="20"/>
        </w:rPr>
        <w:t>Fuente</w:t>
      </w:r>
      <w:r>
        <w:rPr>
          <w:sz w:val="20"/>
        </w:rPr>
        <w:t>: Elaboración propia con base en el Informe de Resultados de la Fiscalización Superior de las cuentas públicas 2008-2014.</w:t>
      </w:r>
    </w:p>
    <w:p>
      <w:pPr>
        <w:spacing w:after="0"/>
        <w:jc w:val="left"/>
        <w:rPr>
          <w:sz w:val="20"/>
        </w:rPr>
        <w:sectPr>
          <w:pgSz w:w="15840" w:h="12240" w:orient="landscape"/>
          <w:pgMar w:header="0" w:footer="992" w:top="1140" w:bottom="1180" w:left="1800" w:right="1640"/>
        </w:sectPr>
      </w:pPr>
    </w:p>
    <w:p>
      <w:pPr>
        <w:pStyle w:val="BodyText"/>
        <w:rPr>
          <w:sz w:val="20"/>
        </w:rPr>
      </w:pPr>
    </w:p>
    <w:p>
      <w:pPr>
        <w:pStyle w:val="BodyText"/>
        <w:spacing w:before="10"/>
        <w:rPr>
          <w:sz w:val="28"/>
        </w:rPr>
      </w:pPr>
    </w:p>
    <w:p>
      <w:pPr>
        <w:pStyle w:val="BodyText"/>
        <w:spacing w:before="70"/>
        <w:ind w:left="2862"/>
      </w:pPr>
      <w:r>
        <w:rPr/>
        <w:t>Anexo 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0" w:after="7"/>
        <w:ind w:left="3090" w:right="0" w:firstLine="0"/>
        <w:jc w:val="left"/>
        <w:rPr>
          <w:b/>
          <w:sz w:val="15"/>
        </w:rPr>
      </w:pPr>
      <w:r>
        <w:rPr>
          <w:b/>
          <w:w w:val="90"/>
          <w:sz w:val="15"/>
        </w:rPr>
        <w:t>Participación Social en el Fondo para la Infraestructura Social Municipal (FISM) 2009 Estado de México</w:t>
      </w:r>
    </w:p>
    <w:p>
      <w:pPr>
        <w:pStyle w:val="BodyText"/>
        <w:spacing w:line="20" w:lineRule="exact"/>
        <w:ind w:left="106"/>
        <w:rPr>
          <w:sz w:val="2"/>
        </w:rPr>
      </w:pPr>
      <w:r>
        <w:rPr>
          <w:sz w:val="2"/>
        </w:rPr>
        <w:pict>
          <v:group style="width:617.950pt;height:.6pt;mso-position-horizontal-relative:char;mso-position-vertical-relative:line" coordorigin="0,0" coordsize="12359,12">
            <v:shape style="position:absolute;left:6;top:6;width:12347;height:2" coordorigin="6,6" coordsize="12347,0" path="m6,6l6,6,12353,6e" filled="false" stroked="true" strokeweight=".557259pt" strokecolor="#000000">
              <v:path arrowok="t"/>
            </v:shape>
          </v:group>
        </w:pict>
      </w:r>
      <w:r>
        <w:rPr>
          <w:sz w:val="2"/>
        </w:rPr>
      </w:r>
    </w:p>
    <w:p>
      <w:pPr>
        <w:pStyle w:val="BodyText"/>
        <w:rPr>
          <w:b/>
          <w:sz w:val="20"/>
        </w:rPr>
      </w:pPr>
    </w:p>
    <w:p>
      <w:pPr>
        <w:pStyle w:val="BodyText"/>
        <w:spacing w:before="7"/>
        <w:rPr>
          <w:b/>
          <w:sz w:val="11"/>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9"/>
        <w:gridCol w:w="1494"/>
        <w:gridCol w:w="1493"/>
        <w:gridCol w:w="1494"/>
        <w:gridCol w:w="1363"/>
        <w:gridCol w:w="1539"/>
        <w:gridCol w:w="1591"/>
        <w:gridCol w:w="1232"/>
        <w:gridCol w:w="1319"/>
      </w:tblGrid>
      <w:tr>
        <w:trPr>
          <w:trHeight w:val="1148" w:hRule="exact"/>
        </w:trPr>
        <w:tc>
          <w:tcPr>
            <w:tcW w:w="819" w:type="dxa"/>
            <w:tcBorders>
              <w:left w:val="single" w:sz="4" w:space="0" w:color="000000"/>
              <w:right w:val="single" w:sz="4" w:space="0" w:color="000000"/>
            </w:tcBorders>
          </w:tcPr>
          <w:p>
            <w:pPr>
              <w:pStyle w:val="TableParagraph"/>
              <w:rPr>
                <w:b/>
                <w:sz w:val="14"/>
              </w:rPr>
            </w:pPr>
          </w:p>
          <w:p>
            <w:pPr>
              <w:pStyle w:val="TableParagraph"/>
              <w:spacing w:before="2"/>
              <w:rPr>
                <w:b/>
                <w:sz w:val="19"/>
              </w:rPr>
            </w:pPr>
          </w:p>
          <w:p>
            <w:pPr>
              <w:pStyle w:val="TableParagraph"/>
              <w:spacing w:line="266" w:lineRule="auto"/>
              <w:ind w:left="242" w:right="121" w:hanging="106"/>
              <w:rPr>
                <w:b/>
                <w:sz w:val="15"/>
              </w:rPr>
            </w:pPr>
            <w:r>
              <w:rPr>
                <w:b/>
                <w:w w:val="85"/>
                <w:sz w:val="15"/>
              </w:rPr>
              <w:t>Ejercicio </w:t>
            </w:r>
            <w:r>
              <w:rPr>
                <w:b/>
                <w:w w:val="95"/>
                <w:sz w:val="15"/>
              </w:rPr>
              <w:t>fiscal</w:t>
            </w:r>
          </w:p>
        </w:tc>
        <w:tc>
          <w:tcPr>
            <w:tcW w:w="1494"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5"/>
              <w:rPr>
                <w:b/>
                <w:sz w:val="13"/>
              </w:rPr>
            </w:pPr>
          </w:p>
          <w:p>
            <w:pPr>
              <w:pStyle w:val="TableParagraph"/>
              <w:ind w:left="19" w:right="-3"/>
              <w:rPr>
                <w:b/>
                <w:sz w:val="15"/>
              </w:rPr>
            </w:pPr>
            <w:r>
              <w:rPr>
                <w:b/>
                <w:w w:val="85"/>
                <w:sz w:val="15"/>
              </w:rPr>
              <w:t>Entidad Municipal</w:t>
            </w:r>
          </w:p>
        </w:tc>
        <w:tc>
          <w:tcPr>
            <w:tcW w:w="1493" w:type="dxa"/>
            <w:tcBorders>
              <w:left w:val="single" w:sz="4" w:space="0" w:color="000000"/>
              <w:right w:val="single" w:sz="4" w:space="0" w:color="000000"/>
            </w:tcBorders>
          </w:tcPr>
          <w:p>
            <w:pPr>
              <w:pStyle w:val="TableParagraph"/>
              <w:spacing w:line="266" w:lineRule="auto"/>
              <w:ind w:left="18"/>
              <w:rPr>
                <w:b/>
                <w:sz w:val="15"/>
              </w:rPr>
            </w:pPr>
            <w:r>
              <w:rPr>
                <w:b/>
                <w:w w:val="90"/>
                <w:sz w:val="15"/>
              </w:rPr>
              <w:t>¿Existe y opera en el </w:t>
            </w:r>
            <w:r>
              <w:rPr>
                <w:b/>
                <w:w w:val="95"/>
                <w:sz w:val="15"/>
              </w:rPr>
              <w:t>Municipio el </w:t>
            </w:r>
            <w:r>
              <w:rPr>
                <w:b/>
                <w:w w:val="85"/>
                <w:sz w:val="15"/>
              </w:rPr>
              <w:t>COPLADEM o</w:t>
            </w:r>
          </w:p>
          <w:p>
            <w:pPr>
              <w:pStyle w:val="TableParagraph"/>
              <w:ind w:left="17"/>
              <w:rPr>
                <w:b/>
                <w:sz w:val="15"/>
              </w:rPr>
            </w:pPr>
            <w:r>
              <w:rPr>
                <w:b/>
                <w:w w:val="90"/>
                <w:sz w:val="15"/>
              </w:rPr>
              <w:t>CODEMUN u otros?</w:t>
            </w:r>
          </w:p>
        </w:tc>
        <w:tc>
          <w:tcPr>
            <w:tcW w:w="1494" w:type="dxa"/>
            <w:tcBorders>
              <w:left w:val="single" w:sz="4" w:space="0" w:color="000000"/>
              <w:right w:val="single" w:sz="4" w:space="0" w:color="000000"/>
            </w:tcBorders>
          </w:tcPr>
          <w:p>
            <w:pPr>
              <w:pStyle w:val="TableParagraph"/>
              <w:spacing w:line="266" w:lineRule="auto"/>
              <w:ind w:left="18" w:firstLine="1"/>
              <w:rPr>
                <w:b/>
                <w:sz w:val="15"/>
              </w:rPr>
            </w:pPr>
            <w:r>
              <w:rPr>
                <w:b/>
                <w:w w:val="90"/>
                <w:sz w:val="15"/>
              </w:rPr>
              <w:t>El muncipio presenta algun reglamento del </w:t>
            </w:r>
            <w:r>
              <w:rPr>
                <w:b/>
                <w:w w:val="95"/>
                <w:sz w:val="15"/>
              </w:rPr>
              <w:t>funcionamiento del COPLADEM o´ CODEMUN</w:t>
            </w:r>
          </w:p>
        </w:tc>
        <w:tc>
          <w:tcPr>
            <w:tcW w:w="1363" w:type="dxa"/>
            <w:tcBorders>
              <w:left w:val="single" w:sz="4" w:space="0" w:color="000000"/>
              <w:right w:val="single" w:sz="4" w:space="0" w:color="000000"/>
            </w:tcBorders>
          </w:tcPr>
          <w:p>
            <w:pPr>
              <w:pStyle w:val="TableParagraph"/>
              <w:spacing w:line="266" w:lineRule="auto"/>
              <w:ind w:left="17" w:right="1" w:firstLine="2"/>
              <w:rPr>
                <w:b/>
                <w:sz w:val="15"/>
              </w:rPr>
            </w:pPr>
            <w:r>
              <w:rPr>
                <w:b/>
                <w:w w:val="90"/>
                <w:sz w:val="15"/>
              </w:rPr>
              <w:t>Inversión en obras y acciones realizadas </w:t>
            </w:r>
            <w:r>
              <w:rPr>
                <w:b/>
                <w:w w:val="95"/>
                <w:sz w:val="15"/>
              </w:rPr>
              <w:t>a propuesta del COPLADEM ó </w:t>
            </w:r>
            <w:r>
              <w:rPr>
                <w:b/>
                <w:w w:val="85"/>
                <w:sz w:val="15"/>
              </w:rPr>
              <w:t>CODEMUN (%)</w:t>
            </w:r>
          </w:p>
        </w:tc>
        <w:tc>
          <w:tcPr>
            <w:tcW w:w="1539" w:type="dxa"/>
            <w:tcBorders>
              <w:left w:val="single" w:sz="4" w:space="0" w:color="000000"/>
              <w:right w:val="single" w:sz="4" w:space="0" w:color="000000"/>
            </w:tcBorders>
          </w:tcPr>
          <w:p>
            <w:pPr>
              <w:pStyle w:val="TableParagraph"/>
              <w:ind w:left="20" w:right="-4"/>
              <w:rPr>
                <w:b/>
                <w:sz w:val="15"/>
              </w:rPr>
            </w:pPr>
            <w:r>
              <w:rPr>
                <w:b/>
                <w:w w:val="90"/>
                <w:sz w:val="15"/>
              </w:rPr>
              <w:t>EL COPLADEM ó</w:t>
            </w:r>
          </w:p>
          <w:p>
            <w:pPr>
              <w:pStyle w:val="TableParagraph"/>
              <w:spacing w:line="266" w:lineRule="auto" w:before="18"/>
              <w:ind w:left="17" w:right="-4" w:firstLine="2"/>
              <w:rPr>
                <w:b/>
                <w:sz w:val="15"/>
              </w:rPr>
            </w:pPr>
            <w:r>
              <w:rPr>
                <w:b/>
                <w:w w:val="95"/>
                <w:sz w:val="15"/>
              </w:rPr>
              <w:t>CODEMUN sesionó para integrar la </w:t>
            </w:r>
            <w:r>
              <w:rPr>
                <w:b/>
                <w:w w:val="90"/>
                <w:sz w:val="15"/>
              </w:rPr>
              <w:t>propuesta</w:t>
            </w:r>
            <w:r>
              <w:rPr>
                <w:b/>
                <w:spacing w:val="-25"/>
                <w:w w:val="90"/>
                <w:sz w:val="15"/>
              </w:rPr>
              <w:t> </w:t>
            </w:r>
            <w:r>
              <w:rPr>
                <w:b/>
                <w:w w:val="90"/>
                <w:sz w:val="15"/>
              </w:rPr>
              <w:t>del</w:t>
            </w:r>
            <w:r>
              <w:rPr>
                <w:b/>
                <w:spacing w:val="-25"/>
                <w:w w:val="90"/>
                <w:sz w:val="15"/>
              </w:rPr>
              <w:t> </w:t>
            </w:r>
            <w:r>
              <w:rPr>
                <w:b/>
                <w:w w:val="90"/>
                <w:sz w:val="15"/>
              </w:rPr>
              <w:t>programa </w:t>
            </w:r>
            <w:r>
              <w:rPr>
                <w:b/>
                <w:w w:val="85"/>
                <w:sz w:val="15"/>
              </w:rPr>
              <w:t>de</w:t>
            </w:r>
            <w:r>
              <w:rPr>
                <w:b/>
                <w:spacing w:val="11"/>
                <w:w w:val="85"/>
                <w:sz w:val="15"/>
              </w:rPr>
              <w:t> </w:t>
            </w:r>
            <w:r>
              <w:rPr>
                <w:b/>
                <w:w w:val="85"/>
                <w:sz w:val="15"/>
              </w:rPr>
              <w:t>inversión</w:t>
            </w:r>
          </w:p>
        </w:tc>
        <w:tc>
          <w:tcPr>
            <w:tcW w:w="1591" w:type="dxa"/>
            <w:tcBorders>
              <w:left w:val="single" w:sz="4" w:space="0" w:color="000000"/>
              <w:right w:val="single" w:sz="4" w:space="0" w:color="000000"/>
            </w:tcBorders>
          </w:tcPr>
          <w:p>
            <w:pPr>
              <w:pStyle w:val="TableParagraph"/>
              <w:spacing w:line="266" w:lineRule="auto"/>
              <w:ind w:left="18" w:right="5" w:firstLine="1"/>
              <w:rPr>
                <w:b/>
                <w:sz w:val="15"/>
              </w:rPr>
            </w:pPr>
            <w:r>
              <w:rPr>
                <w:b/>
                <w:w w:val="95"/>
                <w:sz w:val="15"/>
              </w:rPr>
              <w:t>Las obras y acciones </w:t>
            </w:r>
            <w:r>
              <w:rPr>
                <w:b/>
                <w:w w:val="90"/>
                <w:sz w:val="15"/>
              </w:rPr>
              <w:t>cuentan con la solicitud de la comunidad</w:t>
            </w:r>
          </w:p>
        </w:tc>
        <w:tc>
          <w:tcPr>
            <w:tcW w:w="1232" w:type="dxa"/>
            <w:tcBorders>
              <w:left w:val="single" w:sz="4" w:space="0" w:color="000000"/>
              <w:right w:val="single" w:sz="4" w:space="0" w:color="000000"/>
            </w:tcBorders>
          </w:tcPr>
          <w:p>
            <w:pPr>
              <w:pStyle w:val="TableParagraph"/>
              <w:spacing w:line="266" w:lineRule="auto"/>
              <w:ind w:left="17" w:right="33" w:firstLine="1"/>
              <w:rPr>
                <w:b/>
                <w:sz w:val="15"/>
              </w:rPr>
            </w:pPr>
            <w:r>
              <w:rPr>
                <w:b/>
                <w:w w:val="90"/>
                <w:sz w:val="15"/>
              </w:rPr>
              <w:t>El COPLADEM ó </w:t>
            </w:r>
            <w:r>
              <w:rPr>
                <w:b/>
                <w:w w:val="95"/>
                <w:sz w:val="15"/>
              </w:rPr>
              <w:t>CODEMUN</w:t>
            </w:r>
          </w:p>
          <w:p>
            <w:pPr>
              <w:pStyle w:val="TableParagraph"/>
              <w:spacing w:line="266" w:lineRule="auto"/>
              <w:ind w:left="19" w:right="33" w:hanging="2"/>
              <w:rPr>
                <w:b/>
                <w:sz w:val="15"/>
              </w:rPr>
            </w:pPr>
            <w:r>
              <w:rPr>
                <w:b/>
                <w:w w:val="90"/>
                <w:sz w:val="15"/>
              </w:rPr>
              <w:t>sesionó para </w:t>
            </w:r>
            <w:r>
              <w:rPr>
                <w:b/>
                <w:w w:val="95"/>
                <w:sz w:val="15"/>
              </w:rPr>
              <w:t>evaluar los </w:t>
            </w:r>
            <w:r>
              <w:rPr>
                <w:b/>
                <w:w w:val="85"/>
                <w:sz w:val="15"/>
              </w:rPr>
              <w:t>resultado del </w:t>
            </w:r>
            <w:r>
              <w:rPr>
                <w:b/>
                <w:w w:val="95"/>
                <w:sz w:val="15"/>
              </w:rPr>
              <w:t>fondo</w:t>
            </w:r>
          </w:p>
        </w:tc>
        <w:tc>
          <w:tcPr>
            <w:tcW w:w="1319" w:type="dxa"/>
            <w:tcBorders>
              <w:left w:val="single" w:sz="4" w:space="0" w:color="000000"/>
              <w:right w:val="single" w:sz="4" w:space="0" w:color="000000"/>
            </w:tcBorders>
          </w:tcPr>
          <w:p>
            <w:pPr>
              <w:pStyle w:val="TableParagraph"/>
              <w:spacing w:line="266" w:lineRule="auto"/>
              <w:ind w:left="19" w:firstLine="1"/>
              <w:rPr>
                <w:b/>
                <w:sz w:val="15"/>
              </w:rPr>
            </w:pPr>
            <w:r>
              <w:rPr>
                <w:b/>
                <w:w w:val="95"/>
                <w:sz w:val="15"/>
              </w:rPr>
              <w:t>Se promovió la constitución del </w:t>
            </w:r>
            <w:r>
              <w:rPr>
                <w:b/>
                <w:w w:val="85"/>
                <w:sz w:val="15"/>
              </w:rPr>
              <w:t>Comité Comunitario </w:t>
            </w:r>
            <w:r>
              <w:rPr>
                <w:b/>
                <w:w w:val="95"/>
                <w:sz w:val="15"/>
              </w:rPr>
              <w:t>de Control y Vigilancia (COCICOVI)</w:t>
            </w:r>
          </w:p>
        </w:tc>
      </w:tr>
      <w:tr>
        <w:trPr>
          <w:trHeight w:val="675" w:hRule="exact"/>
        </w:trPr>
        <w:tc>
          <w:tcPr>
            <w:tcW w:w="819"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ind w:right="17"/>
              <w:jc w:val="right"/>
              <w:rPr>
                <w:sz w:val="15"/>
              </w:rPr>
            </w:pPr>
            <w:r>
              <w:rPr>
                <w:w w:val="85"/>
                <w:sz w:val="15"/>
              </w:rPr>
              <w:t>2009</w:t>
            </w:r>
          </w:p>
        </w:tc>
        <w:tc>
          <w:tcPr>
            <w:tcW w:w="1494"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ind w:left="19" w:right="-3"/>
              <w:rPr>
                <w:sz w:val="15"/>
              </w:rPr>
            </w:pPr>
            <w:r>
              <w:rPr>
                <w:w w:val="90"/>
                <w:sz w:val="15"/>
              </w:rPr>
              <w:t>Ecatepec de Morelos</w:t>
            </w:r>
          </w:p>
        </w:tc>
        <w:tc>
          <w:tcPr>
            <w:tcW w:w="1493"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ind w:left="18"/>
              <w:rPr>
                <w:sz w:val="15"/>
              </w:rPr>
            </w:pPr>
            <w:r>
              <w:rPr>
                <w:w w:val="95"/>
                <w:sz w:val="15"/>
              </w:rPr>
              <w:t>No</w:t>
            </w:r>
          </w:p>
        </w:tc>
        <w:tc>
          <w:tcPr>
            <w:tcW w:w="1494"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ind w:right="653"/>
              <w:jc w:val="right"/>
              <w:rPr>
                <w:sz w:val="15"/>
              </w:rPr>
            </w:pPr>
            <w:r>
              <w:rPr>
                <w:w w:val="85"/>
                <w:sz w:val="15"/>
              </w:rPr>
              <w:t>No</w:t>
            </w:r>
          </w:p>
        </w:tc>
        <w:tc>
          <w:tcPr>
            <w:tcW w:w="1363" w:type="dxa"/>
            <w:tcBorders>
              <w:left w:val="single" w:sz="4" w:space="0" w:color="000000"/>
              <w:right w:val="single" w:sz="4" w:space="0" w:color="000000"/>
            </w:tcBorders>
            <w:shd w:val="clear" w:color="auto" w:fill="F1DCDB"/>
          </w:tcPr>
          <w:p>
            <w:pPr>
              <w:pStyle w:val="TableParagraph"/>
              <w:spacing w:before="9"/>
              <w:rPr>
                <w:b/>
                <w:sz w:val="20"/>
              </w:rPr>
            </w:pPr>
          </w:p>
          <w:p>
            <w:pPr>
              <w:pStyle w:val="TableParagraph"/>
              <w:spacing w:before="1"/>
              <w:ind w:left="9"/>
              <w:jc w:val="center"/>
              <w:rPr>
                <w:sz w:val="15"/>
              </w:rPr>
            </w:pPr>
            <w:r>
              <w:rPr>
                <w:w w:val="86"/>
                <w:sz w:val="15"/>
              </w:rPr>
              <w:t>0</w:t>
            </w:r>
          </w:p>
        </w:tc>
        <w:tc>
          <w:tcPr>
            <w:tcW w:w="1539" w:type="dxa"/>
            <w:tcBorders>
              <w:left w:val="single" w:sz="4" w:space="0" w:color="000000"/>
              <w:right w:val="single" w:sz="4" w:space="0" w:color="000000"/>
            </w:tcBorders>
            <w:shd w:val="clear" w:color="auto" w:fill="F1DCDB"/>
          </w:tcPr>
          <w:p>
            <w:pPr>
              <w:pStyle w:val="TableParagraph"/>
              <w:spacing w:before="9"/>
              <w:rPr>
                <w:b/>
                <w:sz w:val="20"/>
              </w:rPr>
            </w:pPr>
          </w:p>
          <w:p>
            <w:pPr>
              <w:pStyle w:val="TableParagraph"/>
              <w:spacing w:before="1"/>
              <w:ind w:left="658" w:right="648"/>
              <w:jc w:val="center"/>
              <w:rPr>
                <w:sz w:val="15"/>
              </w:rPr>
            </w:pPr>
            <w:r>
              <w:rPr>
                <w:w w:val="95"/>
                <w:sz w:val="15"/>
              </w:rPr>
              <w:t>No</w:t>
            </w:r>
          </w:p>
        </w:tc>
        <w:tc>
          <w:tcPr>
            <w:tcW w:w="1591"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ind w:left="760"/>
              <w:rPr>
                <w:sz w:val="15"/>
              </w:rPr>
            </w:pPr>
            <w:r>
              <w:rPr>
                <w:w w:val="86"/>
                <w:sz w:val="15"/>
              </w:rPr>
              <w:t>0</w:t>
            </w:r>
          </w:p>
        </w:tc>
        <w:tc>
          <w:tcPr>
            <w:tcW w:w="1232"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ind w:right="522"/>
              <w:jc w:val="right"/>
              <w:rPr>
                <w:sz w:val="15"/>
              </w:rPr>
            </w:pPr>
            <w:r>
              <w:rPr>
                <w:w w:val="85"/>
                <w:sz w:val="15"/>
              </w:rPr>
              <w:t>No</w:t>
            </w:r>
          </w:p>
        </w:tc>
        <w:tc>
          <w:tcPr>
            <w:tcW w:w="1319"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ind w:left="519" w:right="510"/>
              <w:jc w:val="center"/>
              <w:rPr>
                <w:sz w:val="15"/>
              </w:rPr>
            </w:pPr>
            <w:r>
              <w:rPr>
                <w:w w:val="95"/>
                <w:sz w:val="15"/>
              </w:rPr>
              <w:t>Si</w:t>
            </w:r>
          </w:p>
        </w:tc>
      </w:tr>
      <w:tr>
        <w:trPr>
          <w:trHeight w:val="686" w:hRule="exact"/>
        </w:trPr>
        <w:tc>
          <w:tcPr>
            <w:tcW w:w="819"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11"/>
              <w:rPr>
                <w:b/>
                <w:sz w:val="14"/>
              </w:rPr>
            </w:pPr>
          </w:p>
          <w:p>
            <w:pPr>
              <w:pStyle w:val="TableParagraph"/>
              <w:ind w:right="17"/>
              <w:jc w:val="right"/>
              <w:rPr>
                <w:sz w:val="15"/>
              </w:rPr>
            </w:pPr>
            <w:r>
              <w:rPr>
                <w:w w:val="85"/>
                <w:sz w:val="15"/>
              </w:rPr>
              <w:t>2009</w:t>
            </w:r>
          </w:p>
        </w:tc>
        <w:tc>
          <w:tcPr>
            <w:tcW w:w="1494"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11"/>
              <w:rPr>
                <w:b/>
                <w:sz w:val="14"/>
              </w:rPr>
            </w:pPr>
          </w:p>
          <w:p>
            <w:pPr>
              <w:pStyle w:val="TableParagraph"/>
              <w:ind w:left="19" w:right="-3"/>
              <w:rPr>
                <w:sz w:val="15"/>
              </w:rPr>
            </w:pPr>
            <w:r>
              <w:rPr>
                <w:w w:val="95"/>
                <w:sz w:val="15"/>
              </w:rPr>
              <w:t>Ixtlahuaca</w:t>
            </w:r>
          </w:p>
        </w:tc>
        <w:tc>
          <w:tcPr>
            <w:tcW w:w="1493"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11"/>
              <w:rPr>
                <w:b/>
                <w:sz w:val="14"/>
              </w:rPr>
            </w:pPr>
          </w:p>
          <w:p>
            <w:pPr>
              <w:pStyle w:val="TableParagraph"/>
              <w:ind w:left="18"/>
              <w:rPr>
                <w:sz w:val="15"/>
              </w:rPr>
            </w:pPr>
            <w:r>
              <w:rPr>
                <w:w w:val="95"/>
                <w:sz w:val="15"/>
              </w:rPr>
              <w:t>CODEMUN</w:t>
            </w:r>
          </w:p>
        </w:tc>
        <w:tc>
          <w:tcPr>
            <w:tcW w:w="1494"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11"/>
              <w:rPr>
                <w:b/>
                <w:sz w:val="14"/>
              </w:rPr>
            </w:pPr>
          </w:p>
          <w:p>
            <w:pPr>
              <w:pStyle w:val="TableParagraph"/>
              <w:ind w:right="653"/>
              <w:jc w:val="right"/>
              <w:rPr>
                <w:sz w:val="15"/>
              </w:rPr>
            </w:pPr>
            <w:r>
              <w:rPr>
                <w:w w:val="85"/>
                <w:sz w:val="15"/>
              </w:rPr>
              <w:t>No</w:t>
            </w:r>
          </w:p>
        </w:tc>
        <w:tc>
          <w:tcPr>
            <w:tcW w:w="1363"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11"/>
              <w:rPr>
                <w:b/>
                <w:sz w:val="14"/>
              </w:rPr>
            </w:pPr>
          </w:p>
          <w:p>
            <w:pPr>
              <w:pStyle w:val="TableParagraph"/>
              <w:ind w:left="540" w:right="534"/>
              <w:jc w:val="center"/>
              <w:rPr>
                <w:sz w:val="15"/>
              </w:rPr>
            </w:pPr>
            <w:r>
              <w:rPr>
                <w:w w:val="95"/>
                <w:sz w:val="15"/>
              </w:rPr>
              <w:t>100</w:t>
            </w:r>
          </w:p>
        </w:tc>
        <w:tc>
          <w:tcPr>
            <w:tcW w:w="1539"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11"/>
              <w:rPr>
                <w:b/>
                <w:sz w:val="14"/>
              </w:rPr>
            </w:pPr>
          </w:p>
          <w:p>
            <w:pPr>
              <w:pStyle w:val="TableParagraph"/>
              <w:ind w:left="656" w:right="648"/>
              <w:jc w:val="center"/>
              <w:rPr>
                <w:sz w:val="15"/>
              </w:rPr>
            </w:pPr>
            <w:r>
              <w:rPr>
                <w:w w:val="95"/>
                <w:sz w:val="15"/>
              </w:rPr>
              <w:t>Si</w:t>
            </w:r>
          </w:p>
        </w:tc>
        <w:tc>
          <w:tcPr>
            <w:tcW w:w="1591"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11"/>
              <w:rPr>
                <w:b/>
                <w:sz w:val="14"/>
              </w:rPr>
            </w:pPr>
          </w:p>
          <w:p>
            <w:pPr>
              <w:pStyle w:val="TableParagraph"/>
              <w:ind w:left="760"/>
              <w:rPr>
                <w:sz w:val="15"/>
              </w:rPr>
            </w:pPr>
            <w:r>
              <w:rPr>
                <w:w w:val="86"/>
                <w:sz w:val="15"/>
              </w:rPr>
              <w:t>0</w:t>
            </w:r>
          </w:p>
        </w:tc>
        <w:tc>
          <w:tcPr>
            <w:tcW w:w="1232"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11"/>
              <w:rPr>
                <w:b/>
                <w:sz w:val="14"/>
              </w:rPr>
            </w:pPr>
          </w:p>
          <w:p>
            <w:pPr>
              <w:pStyle w:val="TableParagraph"/>
              <w:ind w:right="522"/>
              <w:jc w:val="right"/>
              <w:rPr>
                <w:sz w:val="15"/>
              </w:rPr>
            </w:pPr>
            <w:r>
              <w:rPr>
                <w:w w:val="85"/>
                <w:sz w:val="15"/>
              </w:rPr>
              <w:t>No</w:t>
            </w:r>
          </w:p>
        </w:tc>
        <w:tc>
          <w:tcPr>
            <w:tcW w:w="1319" w:type="dxa"/>
            <w:tcBorders>
              <w:left w:val="single" w:sz="4" w:space="0" w:color="000000"/>
              <w:right w:val="single" w:sz="4" w:space="0" w:color="000000"/>
            </w:tcBorders>
          </w:tcPr>
          <w:p>
            <w:pPr>
              <w:pStyle w:val="TableParagraph"/>
              <w:rPr>
                <w:b/>
                <w:sz w:val="14"/>
              </w:rPr>
            </w:pPr>
          </w:p>
          <w:p>
            <w:pPr>
              <w:pStyle w:val="TableParagraph"/>
              <w:rPr>
                <w:b/>
                <w:sz w:val="14"/>
              </w:rPr>
            </w:pPr>
          </w:p>
          <w:p>
            <w:pPr>
              <w:pStyle w:val="TableParagraph"/>
              <w:spacing w:before="11"/>
              <w:rPr>
                <w:b/>
                <w:sz w:val="14"/>
              </w:rPr>
            </w:pPr>
          </w:p>
          <w:p>
            <w:pPr>
              <w:pStyle w:val="TableParagraph"/>
              <w:ind w:left="519" w:right="510"/>
              <w:jc w:val="center"/>
              <w:rPr>
                <w:sz w:val="15"/>
              </w:rPr>
            </w:pPr>
            <w:r>
              <w:rPr>
                <w:w w:val="95"/>
                <w:sz w:val="15"/>
              </w:rPr>
              <w:t>Si</w:t>
            </w:r>
          </w:p>
        </w:tc>
      </w:tr>
      <w:tr>
        <w:trPr>
          <w:trHeight w:val="842" w:hRule="exact"/>
        </w:trPr>
        <w:tc>
          <w:tcPr>
            <w:tcW w:w="819"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spacing w:before="6"/>
              <w:rPr>
                <w:b/>
                <w:sz w:val="14"/>
              </w:rPr>
            </w:pPr>
          </w:p>
          <w:p>
            <w:pPr>
              <w:pStyle w:val="TableParagraph"/>
              <w:ind w:right="17"/>
              <w:jc w:val="right"/>
              <w:rPr>
                <w:sz w:val="15"/>
              </w:rPr>
            </w:pPr>
            <w:r>
              <w:rPr>
                <w:w w:val="85"/>
                <w:sz w:val="15"/>
              </w:rPr>
              <w:t>2009</w:t>
            </w:r>
          </w:p>
        </w:tc>
        <w:tc>
          <w:tcPr>
            <w:tcW w:w="1494"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spacing w:before="6"/>
              <w:rPr>
                <w:b/>
                <w:sz w:val="14"/>
              </w:rPr>
            </w:pPr>
          </w:p>
          <w:p>
            <w:pPr>
              <w:pStyle w:val="TableParagraph"/>
              <w:ind w:left="19" w:right="-3"/>
              <w:rPr>
                <w:sz w:val="15"/>
              </w:rPr>
            </w:pPr>
            <w:r>
              <w:rPr>
                <w:w w:val="90"/>
                <w:sz w:val="15"/>
              </w:rPr>
              <w:t>San Felipe del Progreso</w:t>
            </w:r>
          </w:p>
        </w:tc>
        <w:tc>
          <w:tcPr>
            <w:tcW w:w="1493"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spacing w:before="6"/>
              <w:rPr>
                <w:b/>
                <w:sz w:val="14"/>
              </w:rPr>
            </w:pPr>
          </w:p>
          <w:p>
            <w:pPr>
              <w:pStyle w:val="TableParagraph"/>
              <w:ind w:left="18"/>
              <w:rPr>
                <w:sz w:val="15"/>
              </w:rPr>
            </w:pPr>
            <w:r>
              <w:rPr>
                <w:w w:val="95"/>
                <w:sz w:val="15"/>
              </w:rPr>
              <w:t>CODEMUN</w:t>
            </w:r>
          </w:p>
        </w:tc>
        <w:tc>
          <w:tcPr>
            <w:tcW w:w="1494"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spacing w:before="6"/>
              <w:rPr>
                <w:b/>
                <w:sz w:val="14"/>
              </w:rPr>
            </w:pPr>
          </w:p>
          <w:p>
            <w:pPr>
              <w:pStyle w:val="TableParagraph"/>
              <w:ind w:right="653"/>
              <w:jc w:val="right"/>
              <w:rPr>
                <w:sz w:val="15"/>
              </w:rPr>
            </w:pPr>
            <w:r>
              <w:rPr>
                <w:w w:val="85"/>
                <w:sz w:val="15"/>
              </w:rPr>
              <w:t>No</w:t>
            </w:r>
          </w:p>
        </w:tc>
        <w:tc>
          <w:tcPr>
            <w:tcW w:w="1363"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spacing w:before="6"/>
              <w:rPr>
                <w:b/>
                <w:sz w:val="14"/>
              </w:rPr>
            </w:pPr>
          </w:p>
          <w:p>
            <w:pPr>
              <w:pStyle w:val="TableParagraph"/>
              <w:ind w:left="540" w:right="534"/>
              <w:jc w:val="center"/>
              <w:rPr>
                <w:sz w:val="15"/>
              </w:rPr>
            </w:pPr>
            <w:r>
              <w:rPr>
                <w:w w:val="95"/>
                <w:sz w:val="15"/>
              </w:rPr>
              <w:t>100</w:t>
            </w:r>
          </w:p>
        </w:tc>
        <w:tc>
          <w:tcPr>
            <w:tcW w:w="1539"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spacing w:before="6"/>
              <w:rPr>
                <w:b/>
                <w:sz w:val="14"/>
              </w:rPr>
            </w:pPr>
          </w:p>
          <w:p>
            <w:pPr>
              <w:pStyle w:val="TableParagraph"/>
              <w:ind w:left="656" w:right="648"/>
              <w:jc w:val="center"/>
              <w:rPr>
                <w:sz w:val="15"/>
              </w:rPr>
            </w:pPr>
            <w:r>
              <w:rPr>
                <w:w w:val="95"/>
                <w:sz w:val="15"/>
              </w:rPr>
              <w:t>Si</w:t>
            </w:r>
          </w:p>
        </w:tc>
        <w:tc>
          <w:tcPr>
            <w:tcW w:w="1591"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spacing w:before="6"/>
              <w:rPr>
                <w:b/>
                <w:sz w:val="14"/>
              </w:rPr>
            </w:pPr>
          </w:p>
          <w:p>
            <w:pPr>
              <w:pStyle w:val="TableParagraph"/>
              <w:ind w:left="736" w:right="5"/>
              <w:rPr>
                <w:sz w:val="15"/>
              </w:rPr>
            </w:pPr>
            <w:r>
              <w:rPr>
                <w:w w:val="95"/>
                <w:sz w:val="15"/>
              </w:rPr>
              <w:t>Si</w:t>
            </w:r>
          </w:p>
        </w:tc>
        <w:tc>
          <w:tcPr>
            <w:tcW w:w="1232"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spacing w:before="6"/>
              <w:rPr>
                <w:b/>
                <w:sz w:val="14"/>
              </w:rPr>
            </w:pPr>
          </w:p>
          <w:p>
            <w:pPr>
              <w:pStyle w:val="TableParagraph"/>
              <w:ind w:right="545"/>
              <w:jc w:val="right"/>
              <w:rPr>
                <w:sz w:val="15"/>
              </w:rPr>
            </w:pPr>
            <w:r>
              <w:rPr>
                <w:w w:val="85"/>
                <w:sz w:val="15"/>
              </w:rPr>
              <w:t>Si</w:t>
            </w:r>
          </w:p>
        </w:tc>
        <w:tc>
          <w:tcPr>
            <w:tcW w:w="1319" w:type="dxa"/>
            <w:tcBorders>
              <w:left w:val="single" w:sz="4" w:space="0" w:color="000000"/>
              <w:right w:val="single" w:sz="4" w:space="0" w:color="000000"/>
            </w:tcBorders>
            <w:shd w:val="clear" w:color="auto" w:fill="F1DCDB"/>
          </w:tcPr>
          <w:p>
            <w:pPr>
              <w:pStyle w:val="TableParagraph"/>
              <w:rPr>
                <w:b/>
                <w:sz w:val="14"/>
              </w:rPr>
            </w:pPr>
          </w:p>
          <w:p>
            <w:pPr>
              <w:pStyle w:val="TableParagraph"/>
              <w:rPr>
                <w:b/>
                <w:sz w:val="14"/>
              </w:rPr>
            </w:pPr>
          </w:p>
          <w:p>
            <w:pPr>
              <w:pStyle w:val="TableParagraph"/>
              <w:rPr>
                <w:b/>
                <w:sz w:val="14"/>
              </w:rPr>
            </w:pPr>
          </w:p>
          <w:p>
            <w:pPr>
              <w:pStyle w:val="TableParagraph"/>
              <w:spacing w:before="6"/>
              <w:rPr>
                <w:b/>
                <w:sz w:val="14"/>
              </w:rPr>
            </w:pPr>
          </w:p>
          <w:p>
            <w:pPr>
              <w:pStyle w:val="TableParagraph"/>
              <w:ind w:left="519" w:right="512"/>
              <w:jc w:val="center"/>
              <w:rPr>
                <w:sz w:val="15"/>
              </w:rPr>
            </w:pPr>
            <w:r>
              <w:rPr>
                <w:w w:val="95"/>
                <w:sz w:val="15"/>
              </w:rPr>
              <w:t>N/E</w:t>
            </w:r>
          </w:p>
        </w:tc>
      </w:tr>
      <w:tr>
        <w:trPr>
          <w:trHeight w:val="547" w:hRule="exact"/>
        </w:trPr>
        <w:tc>
          <w:tcPr>
            <w:tcW w:w="819" w:type="dxa"/>
            <w:tcBorders>
              <w:left w:val="single" w:sz="4" w:space="0" w:color="000000"/>
              <w:right w:val="single" w:sz="4" w:space="0" w:color="000000"/>
            </w:tcBorders>
          </w:tcPr>
          <w:p>
            <w:pPr>
              <w:pStyle w:val="TableParagraph"/>
              <w:rPr>
                <w:b/>
                <w:sz w:val="14"/>
              </w:rPr>
            </w:pPr>
          </w:p>
          <w:p>
            <w:pPr>
              <w:pStyle w:val="TableParagraph"/>
              <w:spacing w:before="10"/>
              <w:rPr>
                <w:b/>
                <w:sz w:val="16"/>
              </w:rPr>
            </w:pPr>
          </w:p>
          <w:p>
            <w:pPr>
              <w:pStyle w:val="TableParagraph"/>
              <w:ind w:right="17"/>
              <w:jc w:val="right"/>
              <w:rPr>
                <w:sz w:val="15"/>
              </w:rPr>
            </w:pPr>
            <w:r>
              <w:rPr>
                <w:w w:val="85"/>
                <w:sz w:val="15"/>
              </w:rPr>
              <w:t>2009</w:t>
            </w:r>
          </w:p>
        </w:tc>
        <w:tc>
          <w:tcPr>
            <w:tcW w:w="1494" w:type="dxa"/>
            <w:tcBorders>
              <w:left w:val="single" w:sz="4" w:space="0" w:color="000000"/>
              <w:right w:val="single" w:sz="4" w:space="0" w:color="000000"/>
            </w:tcBorders>
          </w:tcPr>
          <w:p>
            <w:pPr>
              <w:pStyle w:val="TableParagraph"/>
              <w:rPr>
                <w:b/>
                <w:sz w:val="14"/>
              </w:rPr>
            </w:pPr>
          </w:p>
          <w:p>
            <w:pPr>
              <w:pStyle w:val="TableParagraph"/>
              <w:spacing w:before="10"/>
              <w:rPr>
                <w:b/>
                <w:sz w:val="16"/>
              </w:rPr>
            </w:pPr>
          </w:p>
          <w:p>
            <w:pPr>
              <w:pStyle w:val="TableParagraph"/>
              <w:ind w:left="19" w:right="-3"/>
              <w:rPr>
                <w:sz w:val="15"/>
              </w:rPr>
            </w:pPr>
            <w:r>
              <w:rPr>
                <w:w w:val="90"/>
                <w:sz w:val="15"/>
              </w:rPr>
              <w:t>San José del Rincón</w:t>
            </w:r>
          </w:p>
        </w:tc>
        <w:tc>
          <w:tcPr>
            <w:tcW w:w="1493" w:type="dxa"/>
            <w:tcBorders>
              <w:left w:val="single" w:sz="4" w:space="0" w:color="000000"/>
              <w:right w:val="single" w:sz="4" w:space="0" w:color="000000"/>
            </w:tcBorders>
          </w:tcPr>
          <w:p>
            <w:pPr>
              <w:pStyle w:val="TableParagraph"/>
              <w:rPr>
                <w:b/>
                <w:sz w:val="14"/>
              </w:rPr>
            </w:pPr>
          </w:p>
          <w:p>
            <w:pPr>
              <w:pStyle w:val="TableParagraph"/>
              <w:spacing w:before="10"/>
              <w:rPr>
                <w:b/>
                <w:sz w:val="16"/>
              </w:rPr>
            </w:pPr>
          </w:p>
          <w:p>
            <w:pPr>
              <w:pStyle w:val="TableParagraph"/>
              <w:ind w:left="18"/>
              <w:rPr>
                <w:sz w:val="15"/>
              </w:rPr>
            </w:pPr>
            <w:r>
              <w:rPr>
                <w:w w:val="95"/>
                <w:sz w:val="15"/>
              </w:rPr>
              <w:t>CODEMUN</w:t>
            </w:r>
          </w:p>
        </w:tc>
        <w:tc>
          <w:tcPr>
            <w:tcW w:w="1494" w:type="dxa"/>
            <w:tcBorders>
              <w:left w:val="single" w:sz="4" w:space="0" w:color="000000"/>
              <w:right w:val="single" w:sz="4" w:space="0" w:color="000000"/>
            </w:tcBorders>
          </w:tcPr>
          <w:p>
            <w:pPr>
              <w:pStyle w:val="TableParagraph"/>
              <w:rPr>
                <w:b/>
                <w:sz w:val="14"/>
              </w:rPr>
            </w:pPr>
          </w:p>
          <w:p>
            <w:pPr>
              <w:pStyle w:val="TableParagraph"/>
              <w:spacing w:before="10"/>
              <w:rPr>
                <w:b/>
                <w:sz w:val="16"/>
              </w:rPr>
            </w:pPr>
          </w:p>
          <w:p>
            <w:pPr>
              <w:pStyle w:val="TableParagraph"/>
              <w:ind w:right="653"/>
              <w:jc w:val="right"/>
              <w:rPr>
                <w:sz w:val="15"/>
              </w:rPr>
            </w:pPr>
            <w:r>
              <w:rPr>
                <w:w w:val="85"/>
                <w:sz w:val="15"/>
              </w:rPr>
              <w:t>No</w:t>
            </w:r>
          </w:p>
        </w:tc>
        <w:tc>
          <w:tcPr>
            <w:tcW w:w="1363" w:type="dxa"/>
            <w:tcBorders>
              <w:left w:val="single" w:sz="4" w:space="0" w:color="000000"/>
              <w:right w:val="single" w:sz="4" w:space="0" w:color="000000"/>
            </w:tcBorders>
          </w:tcPr>
          <w:p>
            <w:pPr>
              <w:pStyle w:val="TableParagraph"/>
              <w:rPr>
                <w:b/>
                <w:sz w:val="14"/>
              </w:rPr>
            </w:pPr>
          </w:p>
          <w:p>
            <w:pPr>
              <w:pStyle w:val="TableParagraph"/>
              <w:spacing w:before="10"/>
              <w:rPr>
                <w:b/>
                <w:sz w:val="16"/>
              </w:rPr>
            </w:pPr>
          </w:p>
          <w:p>
            <w:pPr>
              <w:pStyle w:val="TableParagraph"/>
              <w:ind w:left="540" w:right="534"/>
              <w:jc w:val="center"/>
              <w:rPr>
                <w:sz w:val="15"/>
              </w:rPr>
            </w:pPr>
            <w:r>
              <w:rPr>
                <w:w w:val="95"/>
                <w:sz w:val="15"/>
              </w:rPr>
              <w:t>100</w:t>
            </w:r>
          </w:p>
        </w:tc>
        <w:tc>
          <w:tcPr>
            <w:tcW w:w="1539" w:type="dxa"/>
            <w:tcBorders>
              <w:left w:val="single" w:sz="4" w:space="0" w:color="000000"/>
              <w:right w:val="single" w:sz="4" w:space="0" w:color="000000"/>
            </w:tcBorders>
          </w:tcPr>
          <w:p>
            <w:pPr>
              <w:pStyle w:val="TableParagraph"/>
              <w:rPr>
                <w:b/>
                <w:sz w:val="14"/>
              </w:rPr>
            </w:pPr>
          </w:p>
          <w:p>
            <w:pPr>
              <w:pStyle w:val="TableParagraph"/>
              <w:spacing w:before="10"/>
              <w:rPr>
                <w:b/>
                <w:sz w:val="16"/>
              </w:rPr>
            </w:pPr>
          </w:p>
          <w:p>
            <w:pPr>
              <w:pStyle w:val="TableParagraph"/>
              <w:ind w:left="656" w:right="648"/>
              <w:jc w:val="center"/>
              <w:rPr>
                <w:sz w:val="15"/>
              </w:rPr>
            </w:pPr>
            <w:r>
              <w:rPr>
                <w:w w:val="95"/>
                <w:sz w:val="15"/>
              </w:rPr>
              <w:t>Si</w:t>
            </w:r>
          </w:p>
        </w:tc>
        <w:tc>
          <w:tcPr>
            <w:tcW w:w="1591" w:type="dxa"/>
            <w:tcBorders>
              <w:left w:val="single" w:sz="4" w:space="0" w:color="000000"/>
              <w:right w:val="single" w:sz="4" w:space="0" w:color="000000"/>
            </w:tcBorders>
          </w:tcPr>
          <w:p>
            <w:pPr>
              <w:pStyle w:val="TableParagraph"/>
              <w:rPr>
                <w:b/>
                <w:sz w:val="14"/>
              </w:rPr>
            </w:pPr>
          </w:p>
          <w:p>
            <w:pPr>
              <w:pStyle w:val="TableParagraph"/>
              <w:spacing w:before="10"/>
              <w:rPr>
                <w:b/>
                <w:sz w:val="16"/>
              </w:rPr>
            </w:pPr>
          </w:p>
          <w:p>
            <w:pPr>
              <w:pStyle w:val="TableParagraph"/>
              <w:ind w:left="686" w:right="5"/>
              <w:rPr>
                <w:sz w:val="15"/>
              </w:rPr>
            </w:pPr>
            <w:r>
              <w:rPr>
                <w:w w:val="95"/>
                <w:sz w:val="15"/>
              </w:rPr>
              <w:t>N/E</w:t>
            </w:r>
          </w:p>
        </w:tc>
        <w:tc>
          <w:tcPr>
            <w:tcW w:w="1232" w:type="dxa"/>
            <w:tcBorders>
              <w:left w:val="single" w:sz="4" w:space="0" w:color="000000"/>
              <w:right w:val="single" w:sz="4" w:space="0" w:color="000000"/>
            </w:tcBorders>
          </w:tcPr>
          <w:p>
            <w:pPr>
              <w:pStyle w:val="TableParagraph"/>
              <w:rPr>
                <w:b/>
                <w:sz w:val="14"/>
              </w:rPr>
            </w:pPr>
          </w:p>
          <w:p>
            <w:pPr>
              <w:pStyle w:val="TableParagraph"/>
              <w:spacing w:before="10"/>
              <w:rPr>
                <w:b/>
                <w:sz w:val="16"/>
              </w:rPr>
            </w:pPr>
          </w:p>
          <w:p>
            <w:pPr>
              <w:pStyle w:val="TableParagraph"/>
              <w:ind w:right="522"/>
              <w:jc w:val="right"/>
              <w:rPr>
                <w:sz w:val="15"/>
              </w:rPr>
            </w:pPr>
            <w:r>
              <w:rPr>
                <w:w w:val="85"/>
                <w:sz w:val="15"/>
              </w:rPr>
              <w:t>No</w:t>
            </w:r>
          </w:p>
        </w:tc>
        <w:tc>
          <w:tcPr>
            <w:tcW w:w="1319" w:type="dxa"/>
            <w:tcBorders>
              <w:left w:val="single" w:sz="4" w:space="0" w:color="000000"/>
              <w:right w:val="single" w:sz="4" w:space="0" w:color="000000"/>
            </w:tcBorders>
          </w:tcPr>
          <w:p>
            <w:pPr>
              <w:pStyle w:val="TableParagraph"/>
              <w:rPr>
                <w:b/>
                <w:sz w:val="14"/>
              </w:rPr>
            </w:pPr>
          </w:p>
          <w:p>
            <w:pPr>
              <w:pStyle w:val="TableParagraph"/>
              <w:spacing w:before="10"/>
              <w:rPr>
                <w:b/>
                <w:sz w:val="16"/>
              </w:rPr>
            </w:pPr>
          </w:p>
          <w:p>
            <w:pPr>
              <w:pStyle w:val="TableParagraph"/>
              <w:ind w:left="519" w:right="512"/>
              <w:jc w:val="center"/>
              <w:rPr>
                <w:sz w:val="15"/>
              </w:rPr>
            </w:pPr>
            <w:r>
              <w:rPr>
                <w:w w:val="95"/>
                <w:sz w:val="15"/>
              </w:rPr>
              <w:t>N/E</w:t>
            </w:r>
          </w:p>
        </w:tc>
      </w:tr>
      <w:tr>
        <w:trPr>
          <w:trHeight w:val="534" w:hRule="exact"/>
        </w:trPr>
        <w:tc>
          <w:tcPr>
            <w:tcW w:w="819"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9"/>
              <w:rPr>
                <w:b/>
                <w:sz w:val="15"/>
              </w:rPr>
            </w:pPr>
          </w:p>
          <w:p>
            <w:pPr>
              <w:pStyle w:val="TableParagraph"/>
              <w:spacing w:before="1"/>
              <w:ind w:right="17"/>
              <w:jc w:val="right"/>
              <w:rPr>
                <w:sz w:val="15"/>
              </w:rPr>
            </w:pPr>
            <w:r>
              <w:rPr>
                <w:w w:val="85"/>
                <w:sz w:val="15"/>
              </w:rPr>
              <w:t>2009</w:t>
            </w:r>
          </w:p>
        </w:tc>
        <w:tc>
          <w:tcPr>
            <w:tcW w:w="1494"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9"/>
              <w:rPr>
                <w:b/>
                <w:sz w:val="15"/>
              </w:rPr>
            </w:pPr>
          </w:p>
          <w:p>
            <w:pPr>
              <w:pStyle w:val="TableParagraph"/>
              <w:spacing w:before="1"/>
              <w:ind w:left="19" w:right="-3"/>
              <w:rPr>
                <w:sz w:val="15"/>
              </w:rPr>
            </w:pPr>
            <w:r>
              <w:rPr>
                <w:w w:val="95"/>
                <w:sz w:val="15"/>
              </w:rPr>
              <w:t>Toluca</w:t>
            </w:r>
          </w:p>
        </w:tc>
        <w:tc>
          <w:tcPr>
            <w:tcW w:w="1493"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9"/>
              <w:rPr>
                <w:b/>
                <w:sz w:val="15"/>
              </w:rPr>
            </w:pPr>
          </w:p>
          <w:p>
            <w:pPr>
              <w:pStyle w:val="TableParagraph"/>
              <w:spacing w:before="1"/>
              <w:ind w:left="18"/>
              <w:rPr>
                <w:sz w:val="15"/>
              </w:rPr>
            </w:pPr>
            <w:r>
              <w:rPr>
                <w:w w:val="95"/>
                <w:sz w:val="15"/>
              </w:rPr>
              <w:t>COPACI</w:t>
            </w:r>
          </w:p>
        </w:tc>
        <w:tc>
          <w:tcPr>
            <w:tcW w:w="1494"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9"/>
              <w:rPr>
                <w:b/>
                <w:sz w:val="15"/>
              </w:rPr>
            </w:pPr>
          </w:p>
          <w:p>
            <w:pPr>
              <w:pStyle w:val="TableParagraph"/>
              <w:spacing w:before="1"/>
              <w:ind w:right="653"/>
              <w:jc w:val="right"/>
              <w:rPr>
                <w:sz w:val="15"/>
              </w:rPr>
            </w:pPr>
            <w:r>
              <w:rPr>
                <w:w w:val="85"/>
                <w:sz w:val="15"/>
              </w:rPr>
              <w:t>No</w:t>
            </w:r>
          </w:p>
        </w:tc>
        <w:tc>
          <w:tcPr>
            <w:tcW w:w="1363"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9"/>
              <w:rPr>
                <w:b/>
                <w:sz w:val="15"/>
              </w:rPr>
            </w:pPr>
          </w:p>
          <w:p>
            <w:pPr>
              <w:pStyle w:val="TableParagraph"/>
              <w:spacing w:before="1"/>
              <w:ind w:left="540" w:right="534"/>
              <w:jc w:val="center"/>
              <w:rPr>
                <w:sz w:val="15"/>
              </w:rPr>
            </w:pPr>
            <w:r>
              <w:rPr>
                <w:w w:val="95"/>
                <w:sz w:val="15"/>
              </w:rPr>
              <w:t>100</w:t>
            </w:r>
          </w:p>
        </w:tc>
        <w:tc>
          <w:tcPr>
            <w:tcW w:w="1539"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9"/>
              <w:rPr>
                <w:b/>
                <w:sz w:val="15"/>
              </w:rPr>
            </w:pPr>
          </w:p>
          <w:p>
            <w:pPr>
              <w:pStyle w:val="TableParagraph"/>
              <w:spacing w:before="1"/>
              <w:ind w:left="656" w:right="648"/>
              <w:jc w:val="center"/>
              <w:rPr>
                <w:sz w:val="15"/>
              </w:rPr>
            </w:pPr>
            <w:r>
              <w:rPr>
                <w:w w:val="95"/>
                <w:sz w:val="15"/>
              </w:rPr>
              <w:t>Si</w:t>
            </w:r>
          </w:p>
        </w:tc>
        <w:tc>
          <w:tcPr>
            <w:tcW w:w="1591"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9"/>
              <w:rPr>
                <w:b/>
                <w:sz w:val="15"/>
              </w:rPr>
            </w:pPr>
          </w:p>
          <w:p>
            <w:pPr>
              <w:pStyle w:val="TableParagraph"/>
              <w:spacing w:before="1"/>
              <w:ind w:left="736" w:right="5"/>
              <w:rPr>
                <w:sz w:val="15"/>
              </w:rPr>
            </w:pPr>
            <w:r>
              <w:rPr>
                <w:w w:val="95"/>
                <w:sz w:val="15"/>
              </w:rPr>
              <w:t>Si</w:t>
            </w:r>
          </w:p>
        </w:tc>
        <w:tc>
          <w:tcPr>
            <w:tcW w:w="1232"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9"/>
              <w:rPr>
                <w:b/>
                <w:sz w:val="15"/>
              </w:rPr>
            </w:pPr>
          </w:p>
          <w:p>
            <w:pPr>
              <w:pStyle w:val="TableParagraph"/>
              <w:spacing w:before="1"/>
              <w:ind w:right="545"/>
              <w:jc w:val="right"/>
              <w:rPr>
                <w:sz w:val="15"/>
              </w:rPr>
            </w:pPr>
            <w:r>
              <w:rPr>
                <w:w w:val="85"/>
                <w:sz w:val="15"/>
              </w:rPr>
              <w:t>Si</w:t>
            </w:r>
          </w:p>
        </w:tc>
        <w:tc>
          <w:tcPr>
            <w:tcW w:w="1319" w:type="dxa"/>
            <w:tcBorders>
              <w:left w:val="single" w:sz="4" w:space="0" w:color="000000"/>
              <w:right w:val="single" w:sz="4" w:space="0" w:color="000000"/>
            </w:tcBorders>
            <w:shd w:val="clear" w:color="auto" w:fill="F1DCDB"/>
          </w:tcPr>
          <w:p>
            <w:pPr>
              <w:pStyle w:val="TableParagraph"/>
              <w:rPr>
                <w:b/>
                <w:sz w:val="14"/>
              </w:rPr>
            </w:pPr>
          </w:p>
          <w:p>
            <w:pPr>
              <w:pStyle w:val="TableParagraph"/>
              <w:spacing w:before="9"/>
              <w:rPr>
                <w:b/>
                <w:sz w:val="15"/>
              </w:rPr>
            </w:pPr>
          </w:p>
          <w:p>
            <w:pPr>
              <w:pStyle w:val="TableParagraph"/>
              <w:spacing w:before="1"/>
              <w:ind w:left="519" w:right="512"/>
              <w:jc w:val="center"/>
              <w:rPr>
                <w:sz w:val="15"/>
              </w:rPr>
            </w:pPr>
            <w:r>
              <w:rPr>
                <w:w w:val="95"/>
                <w:sz w:val="15"/>
              </w:rPr>
              <w:t>N/E</w:t>
            </w:r>
          </w:p>
        </w:tc>
      </w:tr>
    </w:tbl>
    <w:p>
      <w:pPr>
        <w:pStyle w:val="BodyText"/>
        <w:spacing w:before="5"/>
        <w:rPr>
          <w:b/>
          <w:sz w:val="7"/>
        </w:rPr>
      </w:pPr>
    </w:p>
    <w:p>
      <w:pPr>
        <w:spacing w:before="74"/>
        <w:ind w:left="222" w:right="0" w:firstLine="0"/>
        <w:jc w:val="left"/>
        <w:rPr>
          <w:sz w:val="20"/>
        </w:rPr>
      </w:pPr>
      <w:r>
        <w:rPr>
          <w:b/>
          <w:sz w:val="20"/>
        </w:rPr>
        <w:t>Fuente</w:t>
      </w:r>
      <w:r>
        <w:rPr>
          <w:sz w:val="20"/>
        </w:rPr>
        <w:t>: Elaboración propia con base en el Informe de Resultados de la Fiscalización Superior de las cuentas públicas 2008-2014.</w:t>
      </w:r>
    </w:p>
    <w:p>
      <w:pPr>
        <w:spacing w:after="0"/>
        <w:jc w:val="left"/>
        <w:rPr>
          <w:sz w:val="20"/>
        </w:rPr>
        <w:sectPr>
          <w:pgSz w:w="15840" w:h="12240" w:orient="landscape"/>
          <w:pgMar w:header="0" w:footer="992" w:top="1140" w:bottom="1180" w:left="1700" w:right="1560"/>
        </w:sectPr>
      </w:pPr>
    </w:p>
    <w:p>
      <w:pPr>
        <w:pStyle w:val="BodyText"/>
        <w:rPr>
          <w:sz w:val="20"/>
        </w:rPr>
      </w:pPr>
    </w:p>
    <w:p>
      <w:pPr>
        <w:pStyle w:val="BodyText"/>
        <w:rPr>
          <w:sz w:val="20"/>
        </w:rPr>
      </w:pPr>
    </w:p>
    <w:p>
      <w:pPr>
        <w:pStyle w:val="BodyText"/>
        <w:spacing w:before="6"/>
      </w:pPr>
    </w:p>
    <w:p>
      <w:pPr>
        <w:pStyle w:val="BodyText"/>
        <w:spacing w:before="70"/>
        <w:ind w:left="3082"/>
      </w:pPr>
      <w:r>
        <w:rPr/>
        <w:t>Anexo 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86" w:after="6"/>
        <w:ind w:left="3151" w:right="0" w:firstLine="0"/>
        <w:jc w:val="left"/>
        <w:rPr>
          <w:b/>
          <w:sz w:val="13"/>
        </w:rPr>
      </w:pPr>
      <w:r>
        <w:rPr>
          <w:b/>
          <w:sz w:val="13"/>
        </w:rPr>
        <w:t>Participación Social en el Fondo para la Infraestructura Social Municipal (FISM) 2010 Estado de México</w:t>
      </w:r>
    </w:p>
    <w:p>
      <w:pPr>
        <w:pStyle w:val="BodyText"/>
        <w:spacing w:line="20" w:lineRule="exact"/>
        <w:ind w:left="105"/>
        <w:rPr>
          <w:sz w:val="2"/>
        </w:rPr>
      </w:pPr>
      <w:r>
        <w:rPr>
          <w:sz w:val="2"/>
        </w:rPr>
        <w:pict>
          <v:group style="width:613.2pt;height:.550pt;mso-position-horizontal-relative:char;mso-position-vertical-relative:line" coordorigin="0,0" coordsize="12264,11">
            <v:shape style="position:absolute;left:6;top:6;width:12253;height:2" coordorigin="6,6" coordsize="12253,0" path="m6,6l6,6,12258,6e" filled="false" stroked="true" strokeweight=".512142pt" strokecolor="#000000">
              <v:path arrowok="t"/>
            </v:shape>
          </v:group>
        </w:pict>
      </w:r>
      <w:r>
        <w:rPr>
          <w:sz w:val="2"/>
        </w:rPr>
      </w:r>
    </w:p>
    <w:p>
      <w:pPr>
        <w:pStyle w:val="BodyText"/>
        <w:spacing w:before="8"/>
        <w:rPr>
          <w:b/>
          <w:sz w:val="2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9"/>
        <w:gridCol w:w="1435"/>
        <w:gridCol w:w="1435"/>
        <w:gridCol w:w="1435"/>
        <w:gridCol w:w="1434"/>
        <w:gridCol w:w="1551"/>
        <w:gridCol w:w="1716"/>
        <w:gridCol w:w="1330"/>
        <w:gridCol w:w="1266"/>
      </w:tblGrid>
      <w:tr>
        <w:trPr>
          <w:trHeight w:val="1014" w:hRule="exact"/>
        </w:trPr>
        <w:tc>
          <w:tcPr>
            <w:tcW w:w="649" w:type="dxa"/>
            <w:tcBorders>
              <w:left w:val="single" w:sz="4" w:space="0" w:color="000000"/>
              <w:right w:val="single" w:sz="4" w:space="0" w:color="000000"/>
            </w:tcBorders>
          </w:tcPr>
          <w:p>
            <w:pPr>
              <w:pStyle w:val="TableParagraph"/>
              <w:rPr>
                <w:b/>
                <w:sz w:val="12"/>
              </w:rPr>
            </w:pPr>
          </w:p>
          <w:p>
            <w:pPr>
              <w:pStyle w:val="TableParagraph"/>
              <w:spacing w:before="6"/>
              <w:rPr>
                <w:b/>
                <w:sz w:val="17"/>
              </w:rPr>
            </w:pPr>
          </w:p>
          <w:p>
            <w:pPr>
              <w:pStyle w:val="TableParagraph"/>
              <w:spacing w:line="271" w:lineRule="auto"/>
              <w:ind w:left="20" w:right="86" w:hanging="2"/>
              <w:rPr>
                <w:b/>
                <w:sz w:val="13"/>
              </w:rPr>
            </w:pPr>
            <w:r>
              <w:rPr>
                <w:b/>
                <w:w w:val="95"/>
                <w:sz w:val="13"/>
              </w:rPr>
              <w:t>Ejercicio </w:t>
            </w:r>
            <w:r>
              <w:rPr>
                <w:b/>
                <w:sz w:val="13"/>
              </w:rPr>
              <w:t>Fiscal</w:t>
            </w:r>
          </w:p>
        </w:tc>
        <w:tc>
          <w:tcPr>
            <w:tcW w:w="1435" w:type="dxa"/>
            <w:tcBorders>
              <w:left w:val="single" w:sz="4" w:space="0" w:color="000000"/>
              <w:right w:val="single" w:sz="4" w:space="0" w:color="000000"/>
            </w:tcBorders>
          </w:tcPr>
          <w:p>
            <w:pPr>
              <w:pStyle w:val="TableParagraph"/>
              <w:rPr>
                <w:b/>
                <w:sz w:val="12"/>
              </w:rPr>
            </w:pPr>
          </w:p>
          <w:p>
            <w:pPr>
              <w:pStyle w:val="TableParagraph"/>
              <w:rPr>
                <w:b/>
                <w:sz w:val="12"/>
              </w:rPr>
            </w:pPr>
          </w:p>
          <w:p>
            <w:pPr>
              <w:pStyle w:val="TableParagraph"/>
              <w:spacing w:before="8"/>
              <w:rPr>
                <w:b/>
                <w:sz w:val="12"/>
              </w:rPr>
            </w:pPr>
          </w:p>
          <w:p>
            <w:pPr>
              <w:pStyle w:val="TableParagraph"/>
              <w:ind w:left="19"/>
              <w:rPr>
                <w:b/>
                <w:sz w:val="13"/>
              </w:rPr>
            </w:pPr>
            <w:r>
              <w:rPr>
                <w:b/>
                <w:w w:val="95"/>
                <w:sz w:val="13"/>
              </w:rPr>
              <w:t>Entidad Municipal</w:t>
            </w:r>
          </w:p>
        </w:tc>
        <w:tc>
          <w:tcPr>
            <w:tcW w:w="1435" w:type="dxa"/>
            <w:tcBorders>
              <w:left w:val="single" w:sz="4" w:space="0" w:color="000000"/>
              <w:right w:val="single" w:sz="4" w:space="0" w:color="000000"/>
            </w:tcBorders>
          </w:tcPr>
          <w:p>
            <w:pPr>
              <w:pStyle w:val="TableParagraph"/>
              <w:spacing w:line="271" w:lineRule="auto" w:before="1"/>
              <w:ind w:left="18" w:hanging="1"/>
              <w:rPr>
                <w:b/>
                <w:sz w:val="13"/>
              </w:rPr>
            </w:pPr>
            <w:r>
              <w:rPr>
                <w:b/>
                <w:sz w:val="13"/>
              </w:rPr>
              <w:t>¿Existe y opera en el Municipio el </w:t>
            </w:r>
            <w:r>
              <w:rPr>
                <w:b/>
                <w:w w:val="95"/>
                <w:sz w:val="13"/>
              </w:rPr>
              <w:t>COPLADEM o</w:t>
            </w:r>
          </w:p>
          <w:p>
            <w:pPr>
              <w:pStyle w:val="TableParagraph"/>
              <w:ind w:left="16"/>
              <w:rPr>
                <w:b/>
                <w:sz w:val="13"/>
              </w:rPr>
            </w:pPr>
            <w:r>
              <w:rPr>
                <w:b/>
                <w:sz w:val="13"/>
              </w:rPr>
              <w:t>CODEMUN u otros?</w:t>
            </w:r>
          </w:p>
        </w:tc>
        <w:tc>
          <w:tcPr>
            <w:tcW w:w="1435" w:type="dxa"/>
            <w:tcBorders>
              <w:left w:val="single" w:sz="4" w:space="0" w:color="000000"/>
              <w:right w:val="single" w:sz="4" w:space="0" w:color="000000"/>
            </w:tcBorders>
          </w:tcPr>
          <w:p>
            <w:pPr>
              <w:pStyle w:val="TableParagraph"/>
              <w:spacing w:line="271" w:lineRule="auto" w:before="1"/>
              <w:ind w:left="16" w:right="73" w:firstLine="1"/>
              <w:rPr>
                <w:b/>
                <w:sz w:val="13"/>
              </w:rPr>
            </w:pPr>
            <w:r>
              <w:rPr>
                <w:b/>
                <w:sz w:val="13"/>
              </w:rPr>
              <w:t>El muncipio presenta algun reglamento del funcionamiento del COPLADEM o´ CODEMUN</w:t>
            </w:r>
          </w:p>
        </w:tc>
        <w:tc>
          <w:tcPr>
            <w:tcW w:w="1434" w:type="dxa"/>
            <w:tcBorders>
              <w:left w:val="single" w:sz="4" w:space="0" w:color="000000"/>
              <w:right w:val="single" w:sz="4" w:space="0" w:color="000000"/>
            </w:tcBorders>
          </w:tcPr>
          <w:p>
            <w:pPr>
              <w:pStyle w:val="TableParagraph"/>
              <w:spacing w:line="271" w:lineRule="auto" w:before="1"/>
              <w:ind w:left="16" w:firstLine="1"/>
              <w:rPr>
                <w:b/>
                <w:sz w:val="13"/>
              </w:rPr>
            </w:pPr>
            <w:r>
              <w:rPr>
                <w:b/>
                <w:sz w:val="13"/>
              </w:rPr>
              <w:t>Inversión en obras y acciones realizadas a propuesta del COPLADEM ó </w:t>
            </w:r>
            <w:r>
              <w:rPr>
                <w:b/>
                <w:w w:val="95"/>
                <w:sz w:val="13"/>
              </w:rPr>
              <w:t>CODEMUN (%)</w:t>
            </w:r>
          </w:p>
        </w:tc>
        <w:tc>
          <w:tcPr>
            <w:tcW w:w="1551" w:type="dxa"/>
            <w:tcBorders>
              <w:left w:val="single" w:sz="4" w:space="0" w:color="000000"/>
              <w:right w:val="single" w:sz="4" w:space="0" w:color="000000"/>
            </w:tcBorders>
          </w:tcPr>
          <w:p>
            <w:pPr>
              <w:pStyle w:val="TableParagraph"/>
              <w:spacing w:before="1"/>
              <w:ind w:left="18"/>
              <w:jc w:val="both"/>
              <w:rPr>
                <w:b/>
                <w:sz w:val="13"/>
              </w:rPr>
            </w:pPr>
            <w:r>
              <w:rPr>
                <w:b/>
                <w:sz w:val="13"/>
              </w:rPr>
              <w:t>EL COPLADEM ó</w:t>
            </w:r>
          </w:p>
          <w:p>
            <w:pPr>
              <w:pStyle w:val="TableParagraph"/>
              <w:spacing w:line="271" w:lineRule="auto" w:before="19"/>
              <w:ind w:left="18" w:right="55" w:firstLine="1"/>
              <w:jc w:val="both"/>
              <w:rPr>
                <w:b/>
                <w:sz w:val="13"/>
              </w:rPr>
            </w:pPr>
            <w:r>
              <w:rPr>
                <w:b/>
                <w:sz w:val="13"/>
              </w:rPr>
              <w:t>CODEMUN</w:t>
            </w:r>
            <w:r>
              <w:rPr>
                <w:b/>
                <w:spacing w:val="-24"/>
                <w:sz w:val="13"/>
              </w:rPr>
              <w:t> </w:t>
            </w:r>
            <w:r>
              <w:rPr>
                <w:b/>
                <w:sz w:val="13"/>
              </w:rPr>
              <w:t>sesionó</w:t>
            </w:r>
            <w:r>
              <w:rPr>
                <w:b/>
                <w:spacing w:val="-25"/>
                <w:sz w:val="13"/>
              </w:rPr>
              <w:t> </w:t>
            </w:r>
            <w:r>
              <w:rPr>
                <w:b/>
                <w:sz w:val="13"/>
              </w:rPr>
              <w:t>para integrar</w:t>
            </w:r>
            <w:r>
              <w:rPr>
                <w:b/>
                <w:spacing w:val="-19"/>
                <w:sz w:val="13"/>
              </w:rPr>
              <w:t> </w:t>
            </w:r>
            <w:r>
              <w:rPr>
                <w:b/>
                <w:sz w:val="13"/>
              </w:rPr>
              <w:t>la</w:t>
            </w:r>
            <w:r>
              <w:rPr>
                <w:b/>
                <w:spacing w:val="-19"/>
                <w:sz w:val="13"/>
              </w:rPr>
              <w:t> </w:t>
            </w:r>
            <w:r>
              <w:rPr>
                <w:b/>
                <w:sz w:val="13"/>
              </w:rPr>
              <w:t>propuesta</w:t>
            </w:r>
            <w:r>
              <w:rPr>
                <w:b/>
                <w:spacing w:val="-19"/>
                <w:sz w:val="13"/>
              </w:rPr>
              <w:t> </w:t>
            </w:r>
            <w:r>
              <w:rPr>
                <w:b/>
                <w:sz w:val="13"/>
              </w:rPr>
              <w:t>del </w:t>
            </w:r>
            <w:r>
              <w:rPr>
                <w:b/>
                <w:w w:val="95"/>
                <w:sz w:val="13"/>
              </w:rPr>
              <w:t>programa de</w:t>
            </w:r>
            <w:r>
              <w:rPr>
                <w:b/>
                <w:spacing w:val="8"/>
                <w:w w:val="95"/>
                <w:sz w:val="13"/>
              </w:rPr>
              <w:t> </w:t>
            </w:r>
            <w:r>
              <w:rPr>
                <w:b/>
                <w:w w:val="95"/>
                <w:sz w:val="13"/>
              </w:rPr>
              <w:t>inversión</w:t>
            </w:r>
          </w:p>
        </w:tc>
        <w:tc>
          <w:tcPr>
            <w:tcW w:w="1716" w:type="dxa"/>
            <w:tcBorders>
              <w:left w:val="single" w:sz="4" w:space="0" w:color="000000"/>
              <w:right w:val="single" w:sz="4" w:space="0" w:color="000000"/>
            </w:tcBorders>
          </w:tcPr>
          <w:p>
            <w:pPr>
              <w:pStyle w:val="TableParagraph"/>
              <w:spacing w:line="271" w:lineRule="auto" w:before="1"/>
              <w:ind w:left="17"/>
              <w:rPr>
                <w:b/>
                <w:sz w:val="13"/>
              </w:rPr>
            </w:pPr>
            <w:r>
              <w:rPr>
                <w:b/>
                <w:sz w:val="13"/>
              </w:rPr>
              <w:t>Las obras y acciones cuentan con la solicitud de </w:t>
            </w:r>
            <w:r>
              <w:rPr>
                <w:b/>
                <w:w w:val="95"/>
                <w:sz w:val="13"/>
              </w:rPr>
              <w:t>la comunidad</w:t>
            </w:r>
          </w:p>
        </w:tc>
        <w:tc>
          <w:tcPr>
            <w:tcW w:w="1330" w:type="dxa"/>
            <w:tcBorders>
              <w:left w:val="single" w:sz="4" w:space="0" w:color="000000"/>
              <w:right w:val="single" w:sz="4" w:space="0" w:color="000000"/>
            </w:tcBorders>
          </w:tcPr>
          <w:p>
            <w:pPr>
              <w:pStyle w:val="TableParagraph"/>
              <w:spacing w:before="1"/>
              <w:ind w:left="18"/>
              <w:rPr>
                <w:b/>
                <w:sz w:val="13"/>
              </w:rPr>
            </w:pPr>
            <w:r>
              <w:rPr>
                <w:b/>
                <w:sz w:val="13"/>
              </w:rPr>
              <w:t>El COPLADEM ó</w:t>
            </w:r>
          </w:p>
          <w:p>
            <w:pPr>
              <w:pStyle w:val="TableParagraph"/>
              <w:spacing w:line="271" w:lineRule="auto" w:before="19"/>
              <w:ind w:left="17"/>
              <w:rPr>
                <w:b/>
                <w:sz w:val="13"/>
              </w:rPr>
            </w:pPr>
            <w:r>
              <w:rPr>
                <w:b/>
                <w:w w:val="95"/>
                <w:sz w:val="13"/>
              </w:rPr>
              <w:t>CODEMUN sesionó </w:t>
            </w:r>
            <w:r>
              <w:rPr>
                <w:b/>
                <w:sz w:val="13"/>
              </w:rPr>
              <w:t>para evaluar los resultado del fondo</w:t>
            </w:r>
          </w:p>
        </w:tc>
        <w:tc>
          <w:tcPr>
            <w:tcW w:w="1266" w:type="dxa"/>
            <w:tcBorders>
              <w:left w:val="single" w:sz="4" w:space="0" w:color="000000"/>
              <w:right w:val="single" w:sz="4" w:space="0" w:color="000000"/>
            </w:tcBorders>
          </w:tcPr>
          <w:p>
            <w:pPr>
              <w:pStyle w:val="TableParagraph"/>
              <w:spacing w:line="271" w:lineRule="auto" w:before="1"/>
              <w:ind w:left="17" w:firstLine="1"/>
              <w:rPr>
                <w:b/>
                <w:sz w:val="13"/>
              </w:rPr>
            </w:pPr>
            <w:r>
              <w:rPr>
                <w:b/>
                <w:sz w:val="13"/>
              </w:rPr>
              <w:t>Se promovió la constitución del </w:t>
            </w:r>
            <w:r>
              <w:rPr>
                <w:b/>
                <w:w w:val="95"/>
                <w:sz w:val="13"/>
              </w:rPr>
              <w:t>Comité Comunitario </w:t>
            </w:r>
            <w:r>
              <w:rPr>
                <w:b/>
                <w:sz w:val="13"/>
              </w:rPr>
              <w:t>de Control y Vigilancia (COCICOVI)</w:t>
            </w:r>
          </w:p>
        </w:tc>
      </w:tr>
      <w:tr>
        <w:trPr>
          <w:trHeight w:val="436" w:hRule="exact"/>
        </w:trPr>
        <w:tc>
          <w:tcPr>
            <w:tcW w:w="649"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1"/>
              </w:rPr>
            </w:pPr>
          </w:p>
          <w:p>
            <w:pPr>
              <w:pStyle w:val="TableParagraph"/>
              <w:ind w:right="18"/>
              <w:jc w:val="right"/>
              <w:rPr>
                <w:sz w:val="13"/>
              </w:rPr>
            </w:pPr>
            <w:r>
              <w:rPr>
                <w:w w:val="95"/>
                <w:sz w:val="13"/>
              </w:rPr>
              <w:t>2010</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1"/>
              </w:rPr>
            </w:pPr>
          </w:p>
          <w:p>
            <w:pPr>
              <w:pStyle w:val="TableParagraph"/>
              <w:ind w:left="19"/>
              <w:rPr>
                <w:sz w:val="13"/>
              </w:rPr>
            </w:pPr>
            <w:r>
              <w:rPr>
                <w:sz w:val="13"/>
              </w:rPr>
              <w:t>Almoloya de Juárez</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1"/>
              </w:rPr>
            </w:pPr>
          </w:p>
          <w:p>
            <w:pPr>
              <w:pStyle w:val="TableParagraph"/>
              <w:ind w:left="17"/>
              <w:rPr>
                <w:sz w:val="13"/>
              </w:rPr>
            </w:pPr>
            <w:r>
              <w:rPr>
                <w:sz w:val="13"/>
              </w:rPr>
              <w:t>CODEMUN</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1"/>
              </w:rPr>
            </w:pPr>
          </w:p>
          <w:p>
            <w:pPr>
              <w:pStyle w:val="TableParagraph"/>
              <w:ind w:left="613" w:right="606"/>
              <w:jc w:val="center"/>
              <w:rPr>
                <w:sz w:val="13"/>
              </w:rPr>
            </w:pPr>
            <w:r>
              <w:rPr>
                <w:sz w:val="13"/>
              </w:rPr>
              <w:t>No</w:t>
            </w:r>
          </w:p>
        </w:tc>
        <w:tc>
          <w:tcPr>
            <w:tcW w:w="1434" w:type="dxa"/>
            <w:tcBorders>
              <w:left w:val="single" w:sz="4" w:space="0" w:color="000000"/>
              <w:right w:val="single" w:sz="4" w:space="0" w:color="000000"/>
            </w:tcBorders>
            <w:shd w:val="clear" w:color="auto" w:fill="F1DCDB"/>
          </w:tcPr>
          <w:p>
            <w:pPr>
              <w:pStyle w:val="TableParagraph"/>
              <w:spacing w:before="1"/>
              <w:ind w:left="8"/>
              <w:jc w:val="center"/>
              <w:rPr>
                <w:sz w:val="13"/>
              </w:rPr>
            </w:pPr>
            <w:r>
              <w:rPr>
                <w:w w:val="96"/>
                <w:sz w:val="13"/>
              </w:rPr>
              <w:t>0</w:t>
            </w:r>
          </w:p>
        </w:tc>
        <w:tc>
          <w:tcPr>
            <w:tcW w:w="1551" w:type="dxa"/>
            <w:tcBorders>
              <w:left w:val="single" w:sz="4" w:space="0" w:color="000000"/>
              <w:right w:val="single" w:sz="4" w:space="0" w:color="000000"/>
            </w:tcBorders>
            <w:shd w:val="clear" w:color="auto" w:fill="F1DCDB"/>
          </w:tcPr>
          <w:p>
            <w:pPr>
              <w:pStyle w:val="TableParagraph"/>
              <w:spacing w:before="9"/>
              <w:rPr>
                <w:b/>
                <w:sz w:val="11"/>
              </w:rPr>
            </w:pPr>
          </w:p>
          <w:p>
            <w:pPr>
              <w:pStyle w:val="TableParagraph"/>
              <w:ind w:left="647" w:right="637"/>
              <w:jc w:val="center"/>
              <w:rPr>
                <w:sz w:val="13"/>
              </w:rPr>
            </w:pPr>
            <w:r>
              <w:rPr>
                <w:sz w:val="13"/>
              </w:rPr>
              <w:t>N/E</w:t>
            </w:r>
          </w:p>
        </w:tc>
        <w:tc>
          <w:tcPr>
            <w:tcW w:w="1716"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1"/>
              </w:rPr>
            </w:pPr>
          </w:p>
          <w:p>
            <w:pPr>
              <w:pStyle w:val="TableParagraph"/>
              <w:ind w:left="754" w:right="746"/>
              <w:jc w:val="center"/>
              <w:rPr>
                <w:sz w:val="13"/>
              </w:rPr>
            </w:pPr>
            <w:r>
              <w:rPr>
                <w:sz w:val="13"/>
              </w:rPr>
              <w:t>Si</w:t>
            </w:r>
          </w:p>
        </w:tc>
        <w:tc>
          <w:tcPr>
            <w:tcW w:w="1330"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1"/>
              </w:rPr>
            </w:pPr>
          </w:p>
          <w:p>
            <w:pPr>
              <w:pStyle w:val="TableParagraph"/>
              <w:ind w:left="559" w:right="553"/>
              <w:jc w:val="center"/>
              <w:rPr>
                <w:sz w:val="13"/>
              </w:rPr>
            </w:pPr>
            <w:r>
              <w:rPr>
                <w:sz w:val="13"/>
              </w:rPr>
              <w:t>No</w:t>
            </w:r>
          </w:p>
        </w:tc>
        <w:tc>
          <w:tcPr>
            <w:tcW w:w="1266"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1"/>
              </w:rPr>
            </w:pPr>
          </w:p>
          <w:p>
            <w:pPr>
              <w:pStyle w:val="TableParagraph"/>
              <w:ind w:left="525" w:right="520"/>
              <w:jc w:val="center"/>
              <w:rPr>
                <w:sz w:val="13"/>
              </w:rPr>
            </w:pPr>
            <w:r>
              <w:rPr>
                <w:sz w:val="13"/>
              </w:rPr>
              <w:t>Si</w:t>
            </w:r>
          </w:p>
        </w:tc>
      </w:tr>
      <w:tr>
        <w:trPr>
          <w:trHeight w:val="493" w:hRule="exact"/>
        </w:trPr>
        <w:tc>
          <w:tcPr>
            <w:tcW w:w="649" w:type="dxa"/>
            <w:tcBorders>
              <w:left w:val="single" w:sz="4" w:space="0" w:color="000000"/>
              <w:right w:val="single" w:sz="4" w:space="0" w:color="000000"/>
            </w:tcBorders>
          </w:tcPr>
          <w:p>
            <w:pPr>
              <w:pStyle w:val="TableParagraph"/>
              <w:rPr>
                <w:b/>
                <w:sz w:val="12"/>
              </w:rPr>
            </w:pPr>
          </w:p>
          <w:p>
            <w:pPr>
              <w:pStyle w:val="TableParagraph"/>
              <w:spacing w:before="5"/>
              <w:rPr>
                <w:b/>
                <w:sz w:val="16"/>
              </w:rPr>
            </w:pPr>
          </w:p>
          <w:p>
            <w:pPr>
              <w:pStyle w:val="TableParagraph"/>
              <w:ind w:right="18"/>
              <w:jc w:val="right"/>
              <w:rPr>
                <w:sz w:val="13"/>
              </w:rPr>
            </w:pPr>
            <w:r>
              <w:rPr>
                <w:w w:val="95"/>
                <w:sz w:val="13"/>
              </w:rPr>
              <w:t>2010</w:t>
            </w:r>
          </w:p>
        </w:tc>
        <w:tc>
          <w:tcPr>
            <w:tcW w:w="1435" w:type="dxa"/>
            <w:tcBorders>
              <w:left w:val="single" w:sz="4" w:space="0" w:color="000000"/>
              <w:right w:val="single" w:sz="4" w:space="0" w:color="000000"/>
            </w:tcBorders>
          </w:tcPr>
          <w:p>
            <w:pPr>
              <w:pStyle w:val="TableParagraph"/>
              <w:rPr>
                <w:b/>
                <w:sz w:val="12"/>
              </w:rPr>
            </w:pPr>
          </w:p>
          <w:p>
            <w:pPr>
              <w:pStyle w:val="TableParagraph"/>
              <w:spacing w:before="5"/>
              <w:rPr>
                <w:b/>
                <w:sz w:val="16"/>
              </w:rPr>
            </w:pPr>
          </w:p>
          <w:p>
            <w:pPr>
              <w:pStyle w:val="TableParagraph"/>
              <w:ind w:left="19"/>
              <w:rPr>
                <w:sz w:val="13"/>
              </w:rPr>
            </w:pPr>
            <w:r>
              <w:rPr>
                <w:w w:val="95"/>
                <w:sz w:val="13"/>
              </w:rPr>
              <w:t>Atizapán de Zaragoza</w:t>
            </w:r>
          </w:p>
        </w:tc>
        <w:tc>
          <w:tcPr>
            <w:tcW w:w="1435" w:type="dxa"/>
            <w:tcBorders>
              <w:left w:val="single" w:sz="4" w:space="0" w:color="000000"/>
              <w:right w:val="single" w:sz="4" w:space="0" w:color="000000"/>
            </w:tcBorders>
          </w:tcPr>
          <w:p>
            <w:pPr>
              <w:pStyle w:val="TableParagraph"/>
              <w:rPr>
                <w:b/>
                <w:sz w:val="12"/>
              </w:rPr>
            </w:pPr>
          </w:p>
          <w:p>
            <w:pPr>
              <w:pStyle w:val="TableParagraph"/>
              <w:spacing w:before="5"/>
              <w:rPr>
                <w:b/>
                <w:sz w:val="16"/>
              </w:rPr>
            </w:pPr>
          </w:p>
          <w:p>
            <w:pPr>
              <w:pStyle w:val="TableParagraph"/>
              <w:ind w:left="17"/>
              <w:rPr>
                <w:sz w:val="13"/>
              </w:rPr>
            </w:pPr>
            <w:r>
              <w:rPr>
                <w:sz w:val="13"/>
              </w:rPr>
              <w:t>COPLADEMUN</w:t>
            </w:r>
          </w:p>
        </w:tc>
        <w:tc>
          <w:tcPr>
            <w:tcW w:w="1435" w:type="dxa"/>
            <w:tcBorders>
              <w:left w:val="single" w:sz="4" w:space="0" w:color="000000"/>
              <w:right w:val="single" w:sz="4" w:space="0" w:color="000000"/>
            </w:tcBorders>
          </w:tcPr>
          <w:p>
            <w:pPr>
              <w:pStyle w:val="TableParagraph"/>
              <w:rPr>
                <w:b/>
                <w:sz w:val="12"/>
              </w:rPr>
            </w:pPr>
          </w:p>
          <w:p>
            <w:pPr>
              <w:pStyle w:val="TableParagraph"/>
              <w:spacing w:before="5"/>
              <w:rPr>
                <w:b/>
                <w:sz w:val="16"/>
              </w:rPr>
            </w:pPr>
          </w:p>
          <w:p>
            <w:pPr>
              <w:pStyle w:val="TableParagraph"/>
              <w:ind w:left="613" w:right="606"/>
              <w:jc w:val="center"/>
              <w:rPr>
                <w:sz w:val="13"/>
              </w:rPr>
            </w:pPr>
            <w:r>
              <w:rPr>
                <w:sz w:val="13"/>
              </w:rPr>
              <w:t>No</w:t>
            </w:r>
          </w:p>
        </w:tc>
        <w:tc>
          <w:tcPr>
            <w:tcW w:w="1434" w:type="dxa"/>
            <w:tcBorders>
              <w:left w:val="single" w:sz="4" w:space="0" w:color="000000"/>
              <w:right w:val="single" w:sz="4" w:space="0" w:color="000000"/>
            </w:tcBorders>
          </w:tcPr>
          <w:p>
            <w:pPr>
              <w:pStyle w:val="TableParagraph"/>
              <w:spacing w:before="2"/>
              <w:ind w:left="8"/>
              <w:jc w:val="center"/>
              <w:rPr>
                <w:sz w:val="13"/>
              </w:rPr>
            </w:pPr>
            <w:r>
              <w:rPr>
                <w:w w:val="96"/>
                <w:sz w:val="13"/>
              </w:rPr>
              <w:t>0</w:t>
            </w:r>
          </w:p>
        </w:tc>
        <w:tc>
          <w:tcPr>
            <w:tcW w:w="1551" w:type="dxa"/>
            <w:tcBorders>
              <w:left w:val="single" w:sz="4" w:space="0" w:color="000000"/>
              <w:right w:val="single" w:sz="4" w:space="0" w:color="000000"/>
            </w:tcBorders>
          </w:tcPr>
          <w:p>
            <w:pPr>
              <w:pStyle w:val="TableParagraph"/>
              <w:rPr>
                <w:b/>
                <w:sz w:val="12"/>
              </w:rPr>
            </w:pPr>
          </w:p>
          <w:p>
            <w:pPr>
              <w:pStyle w:val="TableParagraph"/>
              <w:spacing w:before="5"/>
              <w:rPr>
                <w:b/>
                <w:sz w:val="16"/>
              </w:rPr>
            </w:pPr>
          </w:p>
          <w:p>
            <w:pPr>
              <w:pStyle w:val="TableParagraph"/>
              <w:ind w:left="647" w:right="637"/>
              <w:jc w:val="center"/>
              <w:rPr>
                <w:sz w:val="13"/>
              </w:rPr>
            </w:pPr>
            <w:r>
              <w:rPr>
                <w:sz w:val="13"/>
              </w:rPr>
              <w:t>N/E</w:t>
            </w:r>
          </w:p>
        </w:tc>
        <w:tc>
          <w:tcPr>
            <w:tcW w:w="1716" w:type="dxa"/>
            <w:tcBorders>
              <w:left w:val="single" w:sz="4" w:space="0" w:color="000000"/>
              <w:right w:val="single" w:sz="4" w:space="0" w:color="000000"/>
            </w:tcBorders>
          </w:tcPr>
          <w:p>
            <w:pPr>
              <w:pStyle w:val="TableParagraph"/>
              <w:rPr>
                <w:b/>
                <w:sz w:val="12"/>
              </w:rPr>
            </w:pPr>
          </w:p>
          <w:p>
            <w:pPr>
              <w:pStyle w:val="TableParagraph"/>
              <w:spacing w:before="5"/>
              <w:rPr>
                <w:b/>
                <w:sz w:val="16"/>
              </w:rPr>
            </w:pPr>
          </w:p>
          <w:p>
            <w:pPr>
              <w:pStyle w:val="TableParagraph"/>
              <w:ind w:left="754" w:right="746"/>
              <w:jc w:val="center"/>
              <w:rPr>
                <w:sz w:val="13"/>
              </w:rPr>
            </w:pPr>
            <w:r>
              <w:rPr>
                <w:sz w:val="13"/>
              </w:rPr>
              <w:t>No</w:t>
            </w:r>
          </w:p>
        </w:tc>
        <w:tc>
          <w:tcPr>
            <w:tcW w:w="1330" w:type="dxa"/>
            <w:tcBorders>
              <w:left w:val="single" w:sz="4" w:space="0" w:color="000000"/>
              <w:right w:val="single" w:sz="4" w:space="0" w:color="000000"/>
            </w:tcBorders>
          </w:tcPr>
          <w:p>
            <w:pPr>
              <w:pStyle w:val="TableParagraph"/>
              <w:rPr>
                <w:b/>
                <w:sz w:val="12"/>
              </w:rPr>
            </w:pPr>
          </w:p>
          <w:p>
            <w:pPr>
              <w:pStyle w:val="TableParagraph"/>
              <w:spacing w:before="5"/>
              <w:rPr>
                <w:b/>
                <w:sz w:val="16"/>
              </w:rPr>
            </w:pPr>
          </w:p>
          <w:p>
            <w:pPr>
              <w:pStyle w:val="TableParagraph"/>
              <w:ind w:left="559" w:right="553"/>
              <w:jc w:val="center"/>
              <w:rPr>
                <w:sz w:val="13"/>
              </w:rPr>
            </w:pPr>
            <w:r>
              <w:rPr>
                <w:sz w:val="13"/>
              </w:rPr>
              <w:t>No</w:t>
            </w:r>
          </w:p>
        </w:tc>
        <w:tc>
          <w:tcPr>
            <w:tcW w:w="1266" w:type="dxa"/>
            <w:tcBorders>
              <w:left w:val="single" w:sz="4" w:space="0" w:color="000000"/>
              <w:right w:val="single" w:sz="4" w:space="0" w:color="000000"/>
            </w:tcBorders>
          </w:tcPr>
          <w:p>
            <w:pPr>
              <w:pStyle w:val="TableParagraph"/>
              <w:rPr>
                <w:b/>
                <w:sz w:val="12"/>
              </w:rPr>
            </w:pPr>
          </w:p>
          <w:p>
            <w:pPr>
              <w:pStyle w:val="TableParagraph"/>
              <w:spacing w:before="5"/>
              <w:rPr>
                <w:b/>
                <w:sz w:val="16"/>
              </w:rPr>
            </w:pPr>
          </w:p>
          <w:p>
            <w:pPr>
              <w:pStyle w:val="TableParagraph"/>
              <w:ind w:left="525" w:right="520"/>
              <w:jc w:val="center"/>
              <w:rPr>
                <w:sz w:val="13"/>
              </w:rPr>
            </w:pPr>
            <w:r>
              <w:rPr>
                <w:sz w:val="13"/>
              </w:rPr>
              <w:t>Si</w:t>
            </w:r>
          </w:p>
        </w:tc>
      </w:tr>
      <w:tr>
        <w:trPr>
          <w:trHeight w:val="381" w:hRule="exact"/>
        </w:trPr>
        <w:tc>
          <w:tcPr>
            <w:tcW w:w="649"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75"/>
              <w:ind w:right="18"/>
              <w:jc w:val="right"/>
              <w:rPr>
                <w:sz w:val="13"/>
              </w:rPr>
            </w:pPr>
            <w:r>
              <w:rPr>
                <w:w w:val="95"/>
                <w:sz w:val="13"/>
              </w:rPr>
              <w:t>2010</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75"/>
              <w:ind w:left="19"/>
              <w:rPr>
                <w:sz w:val="13"/>
              </w:rPr>
            </w:pPr>
            <w:r>
              <w:rPr>
                <w:sz w:val="13"/>
              </w:rPr>
              <w:t>Ecatepec de Morelos</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75"/>
              <w:ind w:left="17"/>
              <w:rPr>
                <w:sz w:val="13"/>
              </w:rPr>
            </w:pPr>
            <w:r>
              <w:rPr>
                <w:sz w:val="13"/>
              </w:rPr>
              <w:t>COPACI</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75"/>
              <w:ind w:left="613" w:right="606"/>
              <w:jc w:val="center"/>
              <w:rPr>
                <w:sz w:val="13"/>
              </w:rPr>
            </w:pPr>
            <w:r>
              <w:rPr>
                <w:sz w:val="13"/>
              </w:rPr>
              <w:t>No</w:t>
            </w:r>
          </w:p>
        </w:tc>
        <w:tc>
          <w:tcPr>
            <w:tcW w:w="1434" w:type="dxa"/>
            <w:tcBorders>
              <w:left w:val="single" w:sz="4" w:space="0" w:color="000000"/>
              <w:right w:val="single" w:sz="4" w:space="0" w:color="000000"/>
            </w:tcBorders>
            <w:shd w:val="clear" w:color="auto" w:fill="F1DCDB"/>
          </w:tcPr>
          <w:p>
            <w:pPr>
              <w:pStyle w:val="TableParagraph"/>
              <w:spacing w:before="2"/>
              <w:ind w:left="589" w:right="578"/>
              <w:jc w:val="center"/>
              <w:rPr>
                <w:sz w:val="13"/>
              </w:rPr>
            </w:pPr>
            <w:r>
              <w:rPr>
                <w:sz w:val="13"/>
              </w:rPr>
              <w:t>N/E</w:t>
            </w:r>
          </w:p>
        </w:tc>
        <w:tc>
          <w:tcPr>
            <w:tcW w:w="1551"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75"/>
              <w:ind w:left="647" w:right="637"/>
              <w:jc w:val="center"/>
              <w:rPr>
                <w:sz w:val="13"/>
              </w:rPr>
            </w:pPr>
            <w:r>
              <w:rPr>
                <w:sz w:val="13"/>
              </w:rPr>
              <w:t>N/E</w:t>
            </w:r>
          </w:p>
        </w:tc>
        <w:tc>
          <w:tcPr>
            <w:tcW w:w="1716"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75"/>
              <w:ind w:left="754" w:right="746"/>
              <w:jc w:val="center"/>
              <w:rPr>
                <w:sz w:val="13"/>
              </w:rPr>
            </w:pPr>
            <w:r>
              <w:rPr>
                <w:sz w:val="13"/>
              </w:rPr>
              <w:t>Si</w:t>
            </w:r>
          </w:p>
        </w:tc>
        <w:tc>
          <w:tcPr>
            <w:tcW w:w="1330"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75"/>
              <w:ind w:left="559" w:right="553"/>
              <w:jc w:val="center"/>
              <w:rPr>
                <w:sz w:val="13"/>
              </w:rPr>
            </w:pPr>
            <w:r>
              <w:rPr>
                <w:sz w:val="13"/>
              </w:rPr>
              <w:t>No</w:t>
            </w:r>
          </w:p>
        </w:tc>
        <w:tc>
          <w:tcPr>
            <w:tcW w:w="1266"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75"/>
              <w:ind w:left="530" w:right="520"/>
              <w:jc w:val="center"/>
              <w:rPr>
                <w:sz w:val="13"/>
              </w:rPr>
            </w:pPr>
            <w:r>
              <w:rPr>
                <w:sz w:val="13"/>
              </w:rPr>
              <w:t>No</w:t>
            </w:r>
          </w:p>
        </w:tc>
      </w:tr>
      <w:tr>
        <w:trPr>
          <w:trHeight w:val="472" w:hRule="exact"/>
        </w:trPr>
        <w:tc>
          <w:tcPr>
            <w:tcW w:w="649" w:type="dxa"/>
            <w:tcBorders>
              <w:left w:val="single" w:sz="4" w:space="0" w:color="000000"/>
              <w:right w:val="single" w:sz="4" w:space="0" w:color="000000"/>
            </w:tcBorders>
          </w:tcPr>
          <w:p>
            <w:pPr>
              <w:pStyle w:val="TableParagraph"/>
              <w:rPr>
                <w:b/>
                <w:sz w:val="12"/>
              </w:rPr>
            </w:pPr>
          </w:p>
          <w:p>
            <w:pPr>
              <w:pStyle w:val="TableParagraph"/>
              <w:spacing w:before="6"/>
              <w:rPr>
                <w:b/>
                <w:sz w:val="14"/>
              </w:rPr>
            </w:pPr>
          </w:p>
          <w:p>
            <w:pPr>
              <w:pStyle w:val="TableParagraph"/>
              <w:ind w:right="18"/>
              <w:jc w:val="right"/>
              <w:rPr>
                <w:sz w:val="13"/>
              </w:rPr>
            </w:pPr>
            <w:r>
              <w:rPr>
                <w:w w:val="95"/>
                <w:sz w:val="13"/>
              </w:rPr>
              <w:t>2010</w:t>
            </w:r>
          </w:p>
        </w:tc>
        <w:tc>
          <w:tcPr>
            <w:tcW w:w="1435" w:type="dxa"/>
            <w:tcBorders>
              <w:left w:val="single" w:sz="4" w:space="0" w:color="000000"/>
              <w:right w:val="single" w:sz="4" w:space="0" w:color="000000"/>
            </w:tcBorders>
          </w:tcPr>
          <w:p>
            <w:pPr>
              <w:pStyle w:val="TableParagraph"/>
              <w:rPr>
                <w:b/>
                <w:sz w:val="12"/>
              </w:rPr>
            </w:pPr>
          </w:p>
          <w:p>
            <w:pPr>
              <w:pStyle w:val="TableParagraph"/>
              <w:spacing w:before="6"/>
              <w:rPr>
                <w:b/>
                <w:sz w:val="14"/>
              </w:rPr>
            </w:pPr>
          </w:p>
          <w:p>
            <w:pPr>
              <w:pStyle w:val="TableParagraph"/>
              <w:ind w:left="19"/>
              <w:rPr>
                <w:sz w:val="13"/>
              </w:rPr>
            </w:pPr>
            <w:r>
              <w:rPr>
                <w:sz w:val="13"/>
              </w:rPr>
              <w:t>Jiquipilco</w:t>
            </w:r>
          </w:p>
        </w:tc>
        <w:tc>
          <w:tcPr>
            <w:tcW w:w="1435" w:type="dxa"/>
            <w:tcBorders>
              <w:left w:val="single" w:sz="4" w:space="0" w:color="000000"/>
              <w:right w:val="single" w:sz="4" w:space="0" w:color="000000"/>
            </w:tcBorders>
          </w:tcPr>
          <w:p>
            <w:pPr>
              <w:pStyle w:val="TableParagraph"/>
              <w:rPr>
                <w:b/>
                <w:sz w:val="12"/>
              </w:rPr>
            </w:pPr>
          </w:p>
          <w:p>
            <w:pPr>
              <w:pStyle w:val="TableParagraph"/>
              <w:spacing w:before="6"/>
              <w:rPr>
                <w:b/>
                <w:sz w:val="14"/>
              </w:rPr>
            </w:pPr>
          </w:p>
          <w:p>
            <w:pPr>
              <w:pStyle w:val="TableParagraph"/>
              <w:ind w:left="17"/>
              <w:rPr>
                <w:sz w:val="13"/>
              </w:rPr>
            </w:pPr>
            <w:r>
              <w:rPr>
                <w:sz w:val="13"/>
              </w:rPr>
              <w:t>CODEMUN</w:t>
            </w:r>
          </w:p>
        </w:tc>
        <w:tc>
          <w:tcPr>
            <w:tcW w:w="1435" w:type="dxa"/>
            <w:tcBorders>
              <w:left w:val="single" w:sz="4" w:space="0" w:color="000000"/>
              <w:right w:val="single" w:sz="4" w:space="0" w:color="000000"/>
            </w:tcBorders>
          </w:tcPr>
          <w:p>
            <w:pPr>
              <w:pStyle w:val="TableParagraph"/>
              <w:rPr>
                <w:b/>
                <w:sz w:val="12"/>
              </w:rPr>
            </w:pPr>
          </w:p>
          <w:p>
            <w:pPr>
              <w:pStyle w:val="TableParagraph"/>
              <w:spacing w:before="6"/>
              <w:rPr>
                <w:b/>
                <w:sz w:val="14"/>
              </w:rPr>
            </w:pPr>
          </w:p>
          <w:p>
            <w:pPr>
              <w:pStyle w:val="TableParagraph"/>
              <w:ind w:left="613" w:right="606"/>
              <w:jc w:val="center"/>
              <w:rPr>
                <w:sz w:val="13"/>
              </w:rPr>
            </w:pPr>
            <w:r>
              <w:rPr>
                <w:sz w:val="13"/>
              </w:rPr>
              <w:t>No</w:t>
            </w:r>
          </w:p>
        </w:tc>
        <w:tc>
          <w:tcPr>
            <w:tcW w:w="1434" w:type="dxa"/>
            <w:tcBorders>
              <w:left w:val="single" w:sz="4" w:space="0" w:color="000000"/>
              <w:right w:val="single" w:sz="4" w:space="0" w:color="000000"/>
            </w:tcBorders>
          </w:tcPr>
          <w:p>
            <w:pPr>
              <w:pStyle w:val="TableParagraph"/>
              <w:rPr>
                <w:b/>
                <w:sz w:val="12"/>
              </w:rPr>
            </w:pPr>
          </w:p>
          <w:p>
            <w:pPr>
              <w:pStyle w:val="TableParagraph"/>
              <w:spacing w:before="6"/>
              <w:rPr>
                <w:b/>
                <w:sz w:val="14"/>
              </w:rPr>
            </w:pPr>
          </w:p>
          <w:p>
            <w:pPr>
              <w:pStyle w:val="TableParagraph"/>
              <w:ind w:left="589" w:right="578"/>
              <w:jc w:val="center"/>
              <w:rPr>
                <w:sz w:val="13"/>
              </w:rPr>
            </w:pPr>
            <w:r>
              <w:rPr>
                <w:sz w:val="13"/>
              </w:rPr>
              <w:t>N/E</w:t>
            </w:r>
          </w:p>
        </w:tc>
        <w:tc>
          <w:tcPr>
            <w:tcW w:w="1551" w:type="dxa"/>
            <w:tcBorders>
              <w:left w:val="single" w:sz="4" w:space="0" w:color="000000"/>
              <w:right w:val="single" w:sz="4" w:space="0" w:color="000000"/>
            </w:tcBorders>
          </w:tcPr>
          <w:p>
            <w:pPr>
              <w:pStyle w:val="TableParagraph"/>
              <w:rPr>
                <w:b/>
                <w:sz w:val="12"/>
              </w:rPr>
            </w:pPr>
          </w:p>
          <w:p>
            <w:pPr>
              <w:pStyle w:val="TableParagraph"/>
              <w:spacing w:before="6"/>
              <w:rPr>
                <w:b/>
                <w:sz w:val="14"/>
              </w:rPr>
            </w:pPr>
          </w:p>
          <w:p>
            <w:pPr>
              <w:pStyle w:val="TableParagraph"/>
              <w:ind w:left="647" w:right="637"/>
              <w:jc w:val="center"/>
              <w:rPr>
                <w:sz w:val="13"/>
              </w:rPr>
            </w:pPr>
            <w:r>
              <w:rPr>
                <w:sz w:val="13"/>
              </w:rPr>
              <w:t>N/E</w:t>
            </w:r>
          </w:p>
        </w:tc>
        <w:tc>
          <w:tcPr>
            <w:tcW w:w="1716" w:type="dxa"/>
            <w:tcBorders>
              <w:left w:val="single" w:sz="4" w:space="0" w:color="000000"/>
              <w:right w:val="single" w:sz="4" w:space="0" w:color="000000"/>
            </w:tcBorders>
          </w:tcPr>
          <w:p>
            <w:pPr>
              <w:pStyle w:val="TableParagraph"/>
              <w:rPr>
                <w:b/>
                <w:sz w:val="12"/>
              </w:rPr>
            </w:pPr>
          </w:p>
          <w:p>
            <w:pPr>
              <w:pStyle w:val="TableParagraph"/>
              <w:spacing w:before="6"/>
              <w:rPr>
                <w:b/>
                <w:sz w:val="14"/>
              </w:rPr>
            </w:pPr>
          </w:p>
          <w:p>
            <w:pPr>
              <w:pStyle w:val="TableParagraph"/>
              <w:ind w:left="754" w:right="746"/>
              <w:jc w:val="center"/>
              <w:rPr>
                <w:sz w:val="13"/>
              </w:rPr>
            </w:pPr>
            <w:r>
              <w:rPr>
                <w:sz w:val="13"/>
              </w:rPr>
              <w:t>Si</w:t>
            </w:r>
          </w:p>
        </w:tc>
        <w:tc>
          <w:tcPr>
            <w:tcW w:w="1330" w:type="dxa"/>
            <w:tcBorders>
              <w:left w:val="single" w:sz="4" w:space="0" w:color="000000"/>
              <w:right w:val="single" w:sz="4" w:space="0" w:color="000000"/>
            </w:tcBorders>
          </w:tcPr>
          <w:p>
            <w:pPr>
              <w:pStyle w:val="TableParagraph"/>
              <w:rPr>
                <w:b/>
                <w:sz w:val="12"/>
              </w:rPr>
            </w:pPr>
          </w:p>
          <w:p>
            <w:pPr>
              <w:pStyle w:val="TableParagraph"/>
              <w:spacing w:before="6"/>
              <w:rPr>
                <w:b/>
                <w:sz w:val="14"/>
              </w:rPr>
            </w:pPr>
          </w:p>
          <w:p>
            <w:pPr>
              <w:pStyle w:val="TableParagraph"/>
              <w:ind w:left="559" w:right="553"/>
              <w:jc w:val="center"/>
              <w:rPr>
                <w:sz w:val="13"/>
              </w:rPr>
            </w:pPr>
            <w:r>
              <w:rPr>
                <w:sz w:val="13"/>
              </w:rPr>
              <w:t>No</w:t>
            </w:r>
          </w:p>
        </w:tc>
        <w:tc>
          <w:tcPr>
            <w:tcW w:w="1266" w:type="dxa"/>
            <w:tcBorders>
              <w:left w:val="single" w:sz="4" w:space="0" w:color="000000"/>
              <w:right w:val="single" w:sz="4" w:space="0" w:color="000000"/>
            </w:tcBorders>
          </w:tcPr>
          <w:p>
            <w:pPr>
              <w:pStyle w:val="TableParagraph"/>
              <w:rPr>
                <w:b/>
                <w:sz w:val="12"/>
              </w:rPr>
            </w:pPr>
          </w:p>
          <w:p>
            <w:pPr>
              <w:pStyle w:val="TableParagraph"/>
              <w:spacing w:before="6"/>
              <w:rPr>
                <w:b/>
                <w:sz w:val="14"/>
              </w:rPr>
            </w:pPr>
          </w:p>
          <w:p>
            <w:pPr>
              <w:pStyle w:val="TableParagraph"/>
              <w:ind w:left="525" w:right="520"/>
              <w:jc w:val="center"/>
              <w:rPr>
                <w:sz w:val="13"/>
              </w:rPr>
            </w:pPr>
            <w:r>
              <w:rPr>
                <w:sz w:val="13"/>
              </w:rPr>
              <w:t>Si</w:t>
            </w:r>
          </w:p>
        </w:tc>
      </w:tr>
      <w:tr>
        <w:trPr>
          <w:trHeight w:val="596" w:hRule="exact"/>
        </w:trPr>
        <w:tc>
          <w:tcPr>
            <w:tcW w:w="649" w:type="dxa"/>
            <w:tcBorders>
              <w:left w:val="single" w:sz="4" w:space="0" w:color="000000"/>
              <w:right w:val="single" w:sz="4" w:space="0" w:color="000000"/>
            </w:tcBorders>
            <w:shd w:val="clear" w:color="auto" w:fill="F1DCDB"/>
          </w:tcPr>
          <w:p>
            <w:pPr>
              <w:pStyle w:val="TableParagraph"/>
              <w:rPr>
                <w:b/>
                <w:sz w:val="12"/>
              </w:rPr>
            </w:pPr>
          </w:p>
          <w:p>
            <w:pPr>
              <w:pStyle w:val="TableParagraph"/>
              <w:rPr>
                <w:b/>
                <w:sz w:val="12"/>
              </w:rPr>
            </w:pPr>
          </w:p>
          <w:p>
            <w:pPr>
              <w:pStyle w:val="TableParagraph"/>
              <w:spacing w:before="2"/>
              <w:rPr>
                <w:b/>
                <w:sz w:val="13"/>
              </w:rPr>
            </w:pPr>
          </w:p>
          <w:p>
            <w:pPr>
              <w:pStyle w:val="TableParagraph"/>
              <w:spacing w:before="1"/>
              <w:ind w:right="18"/>
              <w:jc w:val="right"/>
              <w:rPr>
                <w:sz w:val="13"/>
              </w:rPr>
            </w:pPr>
            <w:r>
              <w:rPr>
                <w:w w:val="95"/>
                <w:sz w:val="13"/>
              </w:rPr>
              <w:t>2010</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rPr>
                <w:b/>
                <w:sz w:val="12"/>
              </w:rPr>
            </w:pPr>
          </w:p>
          <w:p>
            <w:pPr>
              <w:pStyle w:val="TableParagraph"/>
              <w:spacing w:before="2"/>
              <w:rPr>
                <w:b/>
                <w:sz w:val="13"/>
              </w:rPr>
            </w:pPr>
          </w:p>
          <w:p>
            <w:pPr>
              <w:pStyle w:val="TableParagraph"/>
              <w:spacing w:before="1"/>
              <w:ind w:left="19"/>
              <w:rPr>
                <w:sz w:val="13"/>
              </w:rPr>
            </w:pPr>
            <w:r>
              <w:rPr>
                <w:w w:val="95"/>
                <w:sz w:val="13"/>
              </w:rPr>
              <w:t>Naucalpan de Juárez</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rPr>
                <w:b/>
                <w:sz w:val="12"/>
              </w:rPr>
            </w:pPr>
          </w:p>
          <w:p>
            <w:pPr>
              <w:pStyle w:val="TableParagraph"/>
              <w:spacing w:before="2"/>
              <w:rPr>
                <w:b/>
                <w:sz w:val="13"/>
              </w:rPr>
            </w:pPr>
          </w:p>
          <w:p>
            <w:pPr>
              <w:pStyle w:val="TableParagraph"/>
              <w:spacing w:before="1"/>
              <w:ind w:left="17"/>
              <w:rPr>
                <w:sz w:val="13"/>
              </w:rPr>
            </w:pPr>
            <w:r>
              <w:rPr>
                <w:w w:val="95"/>
                <w:sz w:val="13"/>
              </w:rPr>
              <w:t>Solo comité comunitario</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rPr>
                <w:b/>
                <w:sz w:val="12"/>
              </w:rPr>
            </w:pPr>
          </w:p>
          <w:p>
            <w:pPr>
              <w:pStyle w:val="TableParagraph"/>
              <w:spacing w:before="2"/>
              <w:rPr>
                <w:b/>
                <w:sz w:val="13"/>
              </w:rPr>
            </w:pPr>
          </w:p>
          <w:p>
            <w:pPr>
              <w:pStyle w:val="TableParagraph"/>
              <w:spacing w:before="1"/>
              <w:ind w:left="613" w:right="606"/>
              <w:jc w:val="center"/>
              <w:rPr>
                <w:sz w:val="13"/>
              </w:rPr>
            </w:pPr>
            <w:r>
              <w:rPr>
                <w:sz w:val="13"/>
              </w:rPr>
              <w:t>No</w:t>
            </w:r>
          </w:p>
        </w:tc>
        <w:tc>
          <w:tcPr>
            <w:tcW w:w="1434" w:type="dxa"/>
            <w:tcBorders>
              <w:left w:val="single" w:sz="4" w:space="0" w:color="000000"/>
              <w:right w:val="single" w:sz="4" w:space="0" w:color="000000"/>
            </w:tcBorders>
            <w:shd w:val="clear" w:color="auto" w:fill="F1DCDB"/>
          </w:tcPr>
          <w:p>
            <w:pPr>
              <w:pStyle w:val="TableParagraph"/>
              <w:rPr>
                <w:b/>
                <w:sz w:val="12"/>
              </w:rPr>
            </w:pPr>
          </w:p>
          <w:p>
            <w:pPr>
              <w:pStyle w:val="TableParagraph"/>
              <w:rPr>
                <w:b/>
                <w:sz w:val="12"/>
              </w:rPr>
            </w:pPr>
          </w:p>
          <w:p>
            <w:pPr>
              <w:pStyle w:val="TableParagraph"/>
              <w:spacing w:before="2"/>
              <w:rPr>
                <w:b/>
                <w:sz w:val="13"/>
              </w:rPr>
            </w:pPr>
          </w:p>
          <w:p>
            <w:pPr>
              <w:pStyle w:val="TableParagraph"/>
              <w:spacing w:before="1"/>
              <w:ind w:left="589" w:right="578"/>
              <w:jc w:val="center"/>
              <w:rPr>
                <w:sz w:val="13"/>
              </w:rPr>
            </w:pPr>
            <w:r>
              <w:rPr>
                <w:sz w:val="13"/>
              </w:rPr>
              <w:t>N/E</w:t>
            </w:r>
          </w:p>
        </w:tc>
        <w:tc>
          <w:tcPr>
            <w:tcW w:w="1551" w:type="dxa"/>
            <w:tcBorders>
              <w:left w:val="single" w:sz="4" w:space="0" w:color="000000"/>
              <w:right w:val="single" w:sz="4" w:space="0" w:color="000000"/>
            </w:tcBorders>
            <w:shd w:val="clear" w:color="auto" w:fill="F1DCDB"/>
          </w:tcPr>
          <w:p>
            <w:pPr>
              <w:pStyle w:val="TableParagraph"/>
              <w:rPr>
                <w:b/>
                <w:sz w:val="12"/>
              </w:rPr>
            </w:pPr>
          </w:p>
          <w:p>
            <w:pPr>
              <w:pStyle w:val="TableParagraph"/>
              <w:rPr>
                <w:b/>
                <w:sz w:val="12"/>
              </w:rPr>
            </w:pPr>
          </w:p>
          <w:p>
            <w:pPr>
              <w:pStyle w:val="TableParagraph"/>
              <w:spacing w:before="2"/>
              <w:rPr>
                <w:b/>
                <w:sz w:val="13"/>
              </w:rPr>
            </w:pPr>
          </w:p>
          <w:p>
            <w:pPr>
              <w:pStyle w:val="TableParagraph"/>
              <w:spacing w:before="1"/>
              <w:ind w:left="647" w:right="637"/>
              <w:jc w:val="center"/>
              <w:rPr>
                <w:sz w:val="13"/>
              </w:rPr>
            </w:pPr>
            <w:r>
              <w:rPr>
                <w:sz w:val="13"/>
              </w:rPr>
              <w:t>N/E</w:t>
            </w:r>
          </w:p>
        </w:tc>
        <w:tc>
          <w:tcPr>
            <w:tcW w:w="1716" w:type="dxa"/>
            <w:tcBorders>
              <w:left w:val="single" w:sz="4" w:space="0" w:color="000000"/>
              <w:right w:val="single" w:sz="4" w:space="0" w:color="000000"/>
            </w:tcBorders>
            <w:shd w:val="clear" w:color="auto" w:fill="F1DCDB"/>
          </w:tcPr>
          <w:p>
            <w:pPr>
              <w:pStyle w:val="TableParagraph"/>
              <w:rPr>
                <w:b/>
                <w:sz w:val="12"/>
              </w:rPr>
            </w:pPr>
          </w:p>
          <w:p>
            <w:pPr>
              <w:pStyle w:val="TableParagraph"/>
              <w:rPr>
                <w:b/>
                <w:sz w:val="12"/>
              </w:rPr>
            </w:pPr>
          </w:p>
          <w:p>
            <w:pPr>
              <w:pStyle w:val="TableParagraph"/>
              <w:spacing w:before="2"/>
              <w:rPr>
                <w:b/>
                <w:sz w:val="13"/>
              </w:rPr>
            </w:pPr>
          </w:p>
          <w:p>
            <w:pPr>
              <w:pStyle w:val="TableParagraph"/>
              <w:spacing w:before="1"/>
              <w:ind w:left="754" w:right="746"/>
              <w:jc w:val="center"/>
              <w:rPr>
                <w:sz w:val="13"/>
              </w:rPr>
            </w:pPr>
            <w:r>
              <w:rPr>
                <w:sz w:val="13"/>
              </w:rPr>
              <w:t>Si</w:t>
            </w:r>
          </w:p>
        </w:tc>
        <w:tc>
          <w:tcPr>
            <w:tcW w:w="1330" w:type="dxa"/>
            <w:tcBorders>
              <w:left w:val="single" w:sz="4" w:space="0" w:color="000000"/>
              <w:right w:val="single" w:sz="4" w:space="0" w:color="000000"/>
            </w:tcBorders>
            <w:shd w:val="clear" w:color="auto" w:fill="F1DCDB"/>
          </w:tcPr>
          <w:p>
            <w:pPr>
              <w:pStyle w:val="TableParagraph"/>
              <w:rPr>
                <w:b/>
                <w:sz w:val="12"/>
              </w:rPr>
            </w:pPr>
          </w:p>
          <w:p>
            <w:pPr>
              <w:pStyle w:val="TableParagraph"/>
              <w:rPr>
                <w:b/>
                <w:sz w:val="12"/>
              </w:rPr>
            </w:pPr>
          </w:p>
          <w:p>
            <w:pPr>
              <w:pStyle w:val="TableParagraph"/>
              <w:spacing w:before="2"/>
              <w:rPr>
                <w:b/>
                <w:sz w:val="13"/>
              </w:rPr>
            </w:pPr>
          </w:p>
          <w:p>
            <w:pPr>
              <w:pStyle w:val="TableParagraph"/>
              <w:spacing w:before="1"/>
              <w:ind w:left="559" w:right="553"/>
              <w:jc w:val="center"/>
              <w:rPr>
                <w:sz w:val="13"/>
              </w:rPr>
            </w:pPr>
            <w:r>
              <w:rPr>
                <w:sz w:val="13"/>
              </w:rPr>
              <w:t>No</w:t>
            </w:r>
          </w:p>
        </w:tc>
        <w:tc>
          <w:tcPr>
            <w:tcW w:w="1266" w:type="dxa"/>
            <w:tcBorders>
              <w:left w:val="single" w:sz="4" w:space="0" w:color="000000"/>
              <w:right w:val="single" w:sz="4" w:space="0" w:color="000000"/>
            </w:tcBorders>
            <w:shd w:val="clear" w:color="auto" w:fill="F1DCDB"/>
          </w:tcPr>
          <w:p>
            <w:pPr>
              <w:pStyle w:val="TableParagraph"/>
              <w:rPr>
                <w:b/>
                <w:sz w:val="12"/>
              </w:rPr>
            </w:pPr>
          </w:p>
          <w:p>
            <w:pPr>
              <w:pStyle w:val="TableParagraph"/>
              <w:rPr>
                <w:b/>
                <w:sz w:val="12"/>
              </w:rPr>
            </w:pPr>
          </w:p>
          <w:p>
            <w:pPr>
              <w:pStyle w:val="TableParagraph"/>
              <w:spacing w:before="2"/>
              <w:rPr>
                <w:b/>
                <w:sz w:val="13"/>
              </w:rPr>
            </w:pPr>
          </w:p>
          <w:p>
            <w:pPr>
              <w:pStyle w:val="TableParagraph"/>
              <w:spacing w:before="1"/>
              <w:ind w:left="530" w:right="520"/>
              <w:jc w:val="center"/>
              <w:rPr>
                <w:sz w:val="13"/>
              </w:rPr>
            </w:pPr>
            <w:r>
              <w:rPr>
                <w:sz w:val="13"/>
              </w:rPr>
              <w:t>No</w:t>
            </w:r>
          </w:p>
        </w:tc>
      </w:tr>
      <w:tr>
        <w:trPr>
          <w:trHeight w:val="450" w:hRule="exact"/>
        </w:trPr>
        <w:tc>
          <w:tcPr>
            <w:tcW w:w="649" w:type="dxa"/>
            <w:tcBorders>
              <w:left w:val="single" w:sz="4" w:space="0" w:color="000000"/>
              <w:right w:val="single" w:sz="4" w:space="0" w:color="000000"/>
            </w:tcBorders>
          </w:tcPr>
          <w:p>
            <w:pPr>
              <w:pStyle w:val="TableParagraph"/>
              <w:rPr>
                <w:b/>
                <w:sz w:val="12"/>
              </w:rPr>
            </w:pPr>
          </w:p>
          <w:p>
            <w:pPr>
              <w:pStyle w:val="TableParagraph"/>
              <w:spacing w:before="7"/>
              <w:rPr>
                <w:b/>
                <w:sz w:val="12"/>
              </w:rPr>
            </w:pPr>
          </w:p>
          <w:p>
            <w:pPr>
              <w:pStyle w:val="TableParagraph"/>
              <w:spacing w:before="1"/>
              <w:ind w:right="18"/>
              <w:jc w:val="right"/>
              <w:rPr>
                <w:sz w:val="13"/>
              </w:rPr>
            </w:pPr>
            <w:r>
              <w:rPr>
                <w:w w:val="95"/>
                <w:sz w:val="13"/>
              </w:rPr>
              <w:t>2010</w:t>
            </w:r>
          </w:p>
        </w:tc>
        <w:tc>
          <w:tcPr>
            <w:tcW w:w="1435" w:type="dxa"/>
            <w:tcBorders>
              <w:left w:val="single" w:sz="4" w:space="0" w:color="000000"/>
              <w:right w:val="single" w:sz="4" w:space="0" w:color="000000"/>
            </w:tcBorders>
          </w:tcPr>
          <w:p>
            <w:pPr>
              <w:pStyle w:val="TableParagraph"/>
              <w:rPr>
                <w:b/>
                <w:sz w:val="12"/>
              </w:rPr>
            </w:pPr>
          </w:p>
          <w:p>
            <w:pPr>
              <w:pStyle w:val="TableParagraph"/>
              <w:spacing w:before="7"/>
              <w:rPr>
                <w:b/>
                <w:sz w:val="12"/>
              </w:rPr>
            </w:pPr>
          </w:p>
          <w:p>
            <w:pPr>
              <w:pStyle w:val="TableParagraph"/>
              <w:spacing w:before="1"/>
              <w:ind w:left="19"/>
              <w:rPr>
                <w:sz w:val="13"/>
              </w:rPr>
            </w:pPr>
            <w:r>
              <w:rPr>
                <w:sz w:val="13"/>
              </w:rPr>
              <w:t>Nezahualcóyotl</w:t>
            </w:r>
          </w:p>
        </w:tc>
        <w:tc>
          <w:tcPr>
            <w:tcW w:w="1435" w:type="dxa"/>
            <w:tcBorders>
              <w:left w:val="single" w:sz="4" w:space="0" w:color="000000"/>
              <w:right w:val="single" w:sz="4" w:space="0" w:color="000000"/>
            </w:tcBorders>
          </w:tcPr>
          <w:p>
            <w:pPr>
              <w:pStyle w:val="TableParagraph"/>
              <w:rPr>
                <w:b/>
                <w:sz w:val="12"/>
              </w:rPr>
            </w:pPr>
          </w:p>
          <w:p>
            <w:pPr>
              <w:pStyle w:val="TableParagraph"/>
              <w:spacing w:before="7"/>
              <w:rPr>
                <w:b/>
                <w:sz w:val="12"/>
              </w:rPr>
            </w:pPr>
          </w:p>
          <w:p>
            <w:pPr>
              <w:pStyle w:val="TableParagraph"/>
              <w:spacing w:before="1"/>
              <w:ind w:left="17"/>
              <w:rPr>
                <w:sz w:val="13"/>
              </w:rPr>
            </w:pPr>
            <w:r>
              <w:rPr>
                <w:sz w:val="13"/>
              </w:rPr>
              <w:t>CODEMUN</w:t>
            </w:r>
          </w:p>
        </w:tc>
        <w:tc>
          <w:tcPr>
            <w:tcW w:w="1435" w:type="dxa"/>
            <w:tcBorders>
              <w:left w:val="single" w:sz="4" w:space="0" w:color="000000"/>
              <w:right w:val="single" w:sz="4" w:space="0" w:color="000000"/>
            </w:tcBorders>
          </w:tcPr>
          <w:p>
            <w:pPr>
              <w:pStyle w:val="TableParagraph"/>
              <w:rPr>
                <w:b/>
                <w:sz w:val="12"/>
              </w:rPr>
            </w:pPr>
          </w:p>
          <w:p>
            <w:pPr>
              <w:pStyle w:val="TableParagraph"/>
              <w:spacing w:before="7"/>
              <w:rPr>
                <w:b/>
                <w:sz w:val="12"/>
              </w:rPr>
            </w:pPr>
          </w:p>
          <w:p>
            <w:pPr>
              <w:pStyle w:val="TableParagraph"/>
              <w:spacing w:before="1"/>
              <w:ind w:left="613" w:right="606"/>
              <w:jc w:val="center"/>
              <w:rPr>
                <w:sz w:val="13"/>
              </w:rPr>
            </w:pPr>
            <w:r>
              <w:rPr>
                <w:sz w:val="13"/>
              </w:rPr>
              <w:t>No</w:t>
            </w:r>
          </w:p>
        </w:tc>
        <w:tc>
          <w:tcPr>
            <w:tcW w:w="1434" w:type="dxa"/>
            <w:tcBorders>
              <w:left w:val="single" w:sz="4" w:space="0" w:color="000000"/>
              <w:right w:val="single" w:sz="4" w:space="0" w:color="000000"/>
            </w:tcBorders>
          </w:tcPr>
          <w:p>
            <w:pPr>
              <w:pStyle w:val="TableParagraph"/>
              <w:rPr>
                <w:b/>
                <w:sz w:val="12"/>
              </w:rPr>
            </w:pPr>
          </w:p>
          <w:p>
            <w:pPr>
              <w:pStyle w:val="TableParagraph"/>
              <w:spacing w:before="7"/>
              <w:rPr>
                <w:b/>
                <w:sz w:val="12"/>
              </w:rPr>
            </w:pPr>
          </w:p>
          <w:p>
            <w:pPr>
              <w:pStyle w:val="TableParagraph"/>
              <w:spacing w:before="1"/>
              <w:ind w:left="589" w:right="578"/>
              <w:jc w:val="center"/>
              <w:rPr>
                <w:sz w:val="13"/>
              </w:rPr>
            </w:pPr>
            <w:r>
              <w:rPr>
                <w:sz w:val="13"/>
              </w:rPr>
              <w:t>N/E</w:t>
            </w:r>
          </w:p>
        </w:tc>
        <w:tc>
          <w:tcPr>
            <w:tcW w:w="1551" w:type="dxa"/>
            <w:tcBorders>
              <w:left w:val="single" w:sz="4" w:space="0" w:color="000000"/>
              <w:right w:val="single" w:sz="4" w:space="0" w:color="000000"/>
            </w:tcBorders>
          </w:tcPr>
          <w:p>
            <w:pPr>
              <w:pStyle w:val="TableParagraph"/>
              <w:rPr>
                <w:b/>
                <w:sz w:val="12"/>
              </w:rPr>
            </w:pPr>
          </w:p>
          <w:p>
            <w:pPr>
              <w:pStyle w:val="TableParagraph"/>
              <w:spacing w:before="7"/>
              <w:rPr>
                <w:b/>
                <w:sz w:val="12"/>
              </w:rPr>
            </w:pPr>
          </w:p>
          <w:p>
            <w:pPr>
              <w:pStyle w:val="TableParagraph"/>
              <w:spacing w:before="1"/>
              <w:ind w:left="647" w:right="637"/>
              <w:jc w:val="center"/>
              <w:rPr>
                <w:sz w:val="13"/>
              </w:rPr>
            </w:pPr>
            <w:r>
              <w:rPr>
                <w:sz w:val="13"/>
              </w:rPr>
              <w:t>N/E</w:t>
            </w:r>
          </w:p>
        </w:tc>
        <w:tc>
          <w:tcPr>
            <w:tcW w:w="1716" w:type="dxa"/>
            <w:tcBorders>
              <w:left w:val="single" w:sz="4" w:space="0" w:color="000000"/>
              <w:right w:val="single" w:sz="4" w:space="0" w:color="000000"/>
            </w:tcBorders>
          </w:tcPr>
          <w:p>
            <w:pPr>
              <w:pStyle w:val="TableParagraph"/>
              <w:rPr>
                <w:b/>
                <w:sz w:val="12"/>
              </w:rPr>
            </w:pPr>
          </w:p>
          <w:p>
            <w:pPr>
              <w:pStyle w:val="TableParagraph"/>
              <w:spacing w:before="7"/>
              <w:rPr>
                <w:b/>
                <w:sz w:val="12"/>
              </w:rPr>
            </w:pPr>
          </w:p>
          <w:p>
            <w:pPr>
              <w:pStyle w:val="TableParagraph"/>
              <w:spacing w:before="1"/>
              <w:ind w:left="754" w:right="746"/>
              <w:jc w:val="center"/>
              <w:rPr>
                <w:sz w:val="13"/>
              </w:rPr>
            </w:pPr>
            <w:r>
              <w:rPr>
                <w:sz w:val="13"/>
              </w:rPr>
              <w:t>Si</w:t>
            </w:r>
          </w:p>
        </w:tc>
        <w:tc>
          <w:tcPr>
            <w:tcW w:w="1330" w:type="dxa"/>
            <w:tcBorders>
              <w:left w:val="single" w:sz="4" w:space="0" w:color="000000"/>
              <w:right w:val="single" w:sz="4" w:space="0" w:color="000000"/>
            </w:tcBorders>
          </w:tcPr>
          <w:p>
            <w:pPr>
              <w:pStyle w:val="TableParagraph"/>
              <w:rPr>
                <w:b/>
                <w:sz w:val="12"/>
              </w:rPr>
            </w:pPr>
          </w:p>
          <w:p>
            <w:pPr>
              <w:pStyle w:val="TableParagraph"/>
              <w:spacing w:before="7"/>
              <w:rPr>
                <w:b/>
                <w:sz w:val="12"/>
              </w:rPr>
            </w:pPr>
          </w:p>
          <w:p>
            <w:pPr>
              <w:pStyle w:val="TableParagraph"/>
              <w:spacing w:before="1"/>
              <w:ind w:left="559" w:right="553"/>
              <w:jc w:val="center"/>
              <w:rPr>
                <w:sz w:val="13"/>
              </w:rPr>
            </w:pPr>
            <w:r>
              <w:rPr>
                <w:sz w:val="13"/>
              </w:rPr>
              <w:t>No</w:t>
            </w:r>
          </w:p>
        </w:tc>
        <w:tc>
          <w:tcPr>
            <w:tcW w:w="1266" w:type="dxa"/>
            <w:tcBorders>
              <w:left w:val="single" w:sz="4" w:space="0" w:color="000000"/>
              <w:right w:val="single" w:sz="4" w:space="0" w:color="000000"/>
            </w:tcBorders>
          </w:tcPr>
          <w:p>
            <w:pPr>
              <w:pStyle w:val="TableParagraph"/>
              <w:rPr>
                <w:b/>
                <w:sz w:val="12"/>
              </w:rPr>
            </w:pPr>
          </w:p>
          <w:p>
            <w:pPr>
              <w:pStyle w:val="TableParagraph"/>
              <w:spacing w:before="7"/>
              <w:rPr>
                <w:b/>
                <w:sz w:val="12"/>
              </w:rPr>
            </w:pPr>
          </w:p>
          <w:p>
            <w:pPr>
              <w:pStyle w:val="TableParagraph"/>
              <w:spacing w:before="1"/>
              <w:ind w:left="530" w:right="520"/>
              <w:jc w:val="center"/>
              <w:rPr>
                <w:sz w:val="13"/>
              </w:rPr>
            </w:pPr>
            <w:r>
              <w:rPr>
                <w:sz w:val="13"/>
              </w:rPr>
              <w:t>No</w:t>
            </w:r>
          </w:p>
        </w:tc>
      </w:tr>
      <w:tr>
        <w:trPr>
          <w:trHeight w:val="483" w:hRule="exact"/>
        </w:trPr>
        <w:tc>
          <w:tcPr>
            <w:tcW w:w="649"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5"/>
              </w:rPr>
            </w:pPr>
          </w:p>
          <w:p>
            <w:pPr>
              <w:pStyle w:val="TableParagraph"/>
              <w:ind w:right="18"/>
              <w:jc w:val="right"/>
              <w:rPr>
                <w:sz w:val="13"/>
              </w:rPr>
            </w:pPr>
            <w:r>
              <w:rPr>
                <w:w w:val="95"/>
                <w:sz w:val="13"/>
              </w:rPr>
              <w:t>2010</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5"/>
              </w:rPr>
            </w:pPr>
          </w:p>
          <w:p>
            <w:pPr>
              <w:pStyle w:val="TableParagraph"/>
              <w:ind w:left="19"/>
              <w:rPr>
                <w:sz w:val="13"/>
              </w:rPr>
            </w:pPr>
            <w:r>
              <w:rPr>
                <w:sz w:val="13"/>
              </w:rPr>
              <w:t>toluca</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5"/>
              </w:rPr>
            </w:pPr>
          </w:p>
          <w:p>
            <w:pPr>
              <w:pStyle w:val="TableParagraph"/>
              <w:ind w:left="17"/>
              <w:rPr>
                <w:sz w:val="13"/>
              </w:rPr>
            </w:pPr>
            <w:r>
              <w:rPr>
                <w:sz w:val="13"/>
              </w:rPr>
              <w:t>COPACI</w:t>
            </w:r>
          </w:p>
        </w:tc>
        <w:tc>
          <w:tcPr>
            <w:tcW w:w="1435"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5"/>
              </w:rPr>
            </w:pPr>
          </w:p>
          <w:p>
            <w:pPr>
              <w:pStyle w:val="TableParagraph"/>
              <w:ind w:left="613" w:right="606"/>
              <w:jc w:val="center"/>
              <w:rPr>
                <w:sz w:val="13"/>
              </w:rPr>
            </w:pPr>
            <w:r>
              <w:rPr>
                <w:sz w:val="13"/>
              </w:rPr>
              <w:t>No</w:t>
            </w:r>
          </w:p>
        </w:tc>
        <w:tc>
          <w:tcPr>
            <w:tcW w:w="1434"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5"/>
              </w:rPr>
            </w:pPr>
          </w:p>
          <w:p>
            <w:pPr>
              <w:pStyle w:val="TableParagraph"/>
              <w:ind w:left="589" w:right="578"/>
              <w:jc w:val="center"/>
              <w:rPr>
                <w:sz w:val="13"/>
              </w:rPr>
            </w:pPr>
            <w:r>
              <w:rPr>
                <w:sz w:val="13"/>
              </w:rPr>
              <w:t>N/E</w:t>
            </w:r>
          </w:p>
        </w:tc>
        <w:tc>
          <w:tcPr>
            <w:tcW w:w="1551"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5"/>
              </w:rPr>
            </w:pPr>
          </w:p>
          <w:p>
            <w:pPr>
              <w:pStyle w:val="TableParagraph"/>
              <w:ind w:left="647" w:right="637"/>
              <w:jc w:val="center"/>
              <w:rPr>
                <w:sz w:val="13"/>
              </w:rPr>
            </w:pPr>
            <w:r>
              <w:rPr>
                <w:sz w:val="13"/>
              </w:rPr>
              <w:t>N/E</w:t>
            </w:r>
          </w:p>
        </w:tc>
        <w:tc>
          <w:tcPr>
            <w:tcW w:w="1716"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5"/>
              </w:rPr>
            </w:pPr>
          </w:p>
          <w:p>
            <w:pPr>
              <w:pStyle w:val="TableParagraph"/>
              <w:ind w:left="754" w:right="746"/>
              <w:jc w:val="center"/>
              <w:rPr>
                <w:sz w:val="13"/>
              </w:rPr>
            </w:pPr>
            <w:r>
              <w:rPr>
                <w:sz w:val="13"/>
              </w:rPr>
              <w:t>Si</w:t>
            </w:r>
          </w:p>
        </w:tc>
        <w:tc>
          <w:tcPr>
            <w:tcW w:w="1330"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5"/>
              </w:rPr>
            </w:pPr>
          </w:p>
          <w:p>
            <w:pPr>
              <w:pStyle w:val="TableParagraph"/>
              <w:ind w:left="559" w:right="553"/>
              <w:jc w:val="center"/>
              <w:rPr>
                <w:sz w:val="13"/>
              </w:rPr>
            </w:pPr>
            <w:r>
              <w:rPr>
                <w:sz w:val="13"/>
              </w:rPr>
              <w:t>No</w:t>
            </w:r>
          </w:p>
        </w:tc>
        <w:tc>
          <w:tcPr>
            <w:tcW w:w="1266" w:type="dxa"/>
            <w:tcBorders>
              <w:left w:val="single" w:sz="4" w:space="0" w:color="000000"/>
              <w:right w:val="single" w:sz="4" w:space="0" w:color="000000"/>
            </w:tcBorders>
            <w:shd w:val="clear" w:color="auto" w:fill="F1DCDB"/>
          </w:tcPr>
          <w:p>
            <w:pPr>
              <w:pStyle w:val="TableParagraph"/>
              <w:rPr>
                <w:b/>
                <w:sz w:val="12"/>
              </w:rPr>
            </w:pPr>
          </w:p>
          <w:p>
            <w:pPr>
              <w:pStyle w:val="TableParagraph"/>
              <w:spacing w:before="5"/>
              <w:rPr>
                <w:b/>
                <w:sz w:val="15"/>
              </w:rPr>
            </w:pPr>
          </w:p>
          <w:p>
            <w:pPr>
              <w:pStyle w:val="TableParagraph"/>
              <w:ind w:left="525" w:right="520"/>
              <w:jc w:val="center"/>
              <w:rPr>
                <w:sz w:val="13"/>
              </w:rPr>
            </w:pPr>
            <w:r>
              <w:rPr>
                <w:sz w:val="13"/>
              </w:rPr>
              <w:t>Si</w:t>
            </w:r>
          </w:p>
        </w:tc>
      </w:tr>
    </w:tbl>
    <w:p>
      <w:pPr>
        <w:spacing w:before="26"/>
        <w:ind w:left="202" w:right="0" w:firstLine="0"/>
        <w:jc w:val="left"/>
        <w:rPr>
          <w:sz w:val="20"/>
        </w:rPr>
      </w:pPr>
      <w:r>
        <w:rPr>
          <w:b/>
          <w:sz w:val="20"/>
        </w:rPr>
        <w:t>Fuente</w:t>
      </w:r>
      <w:r>
        <w:rPr>
          <w:sz w:val="20"/>
        </w:rPr>
        <w:t>: Elaboración propia con base en el Informe de Resultados de la Fiscalización Superior de las cuentas públicas 2008-2014.</w:t>
      </w:r>
    </w:p>
    <w:p>
      <w:pPr>
        <w:spacing w:after="0"/>
        <w:jc w:val="left"/>
        <w:rPr>
          <w:sz w:val="20"/>
        </w:rPr>
        <w:sectPr>
          <w:pgSz w:w="15840" w:h="12240" w:orient="landscape"/>
          <w:pgMar w:header="0" w:footer="992" w:top="1140" w:bottom="1180" w:left="1720" w:right="1640"/>
        </w:sectPr>
      </w:pPr>
    </w:p>
    <w:p>
      <w:pPr>
        <w:pStyle w:val="BodyText"/>
        <w:rPr>
          <w:sz w:val="20"/>
        </w:rPr>
      </w:pPr>
      <w:r>
        <w:rPr/>
        <w:pict>
          <v:shape style="position:absolute;margin-left:143.756638pt;margin-top:300.683258pt;width:498.55pt;height:14.05pt;mso-position-horizontal-relative:page;mso-position-vertical-relative:page;z-index:-679216" type="#_x0000_t202" filled="false" stroked="false">
            <v:textbox inset="0,0,0,0">
              <w:txbxContent>
                <w:p>
                  <w:pPr>
                    <w:tabs>
                      <w:tab w:pos="1068" w:val="left" w:leader="none"/>
                      <w:tab w:pos="3102" w:val="left" w:leader="none"/>
                      <w:tab w:pos="4498" w:val="left" w:leader="none"/>
                      <w:tab w:pos="5978" w:val="left" w:leader="none"/>
                      <w:tab w:pos="7644" w:val="left" w:leader="none"/>
                      <w:tab w:pos="9104" w:val="left" w:leader="none"/>
                    </w:tabs>
                    <w:spacing w:line="126" w:lineRule="exact" w:before="0"/>
                    <w:ind w:left="7" w:right="0" w:firstLine="0"/>
                    <w:jc w:val="left"/>
                    <w:rPr>
                      <w:sz w:val="12"/>
                    </w:rPr>
                  </w:pPr>
                  <w:r>
                    <w:rPr>
                      <w:w w:val="105"/>
                      <w:sz w:val="12"/>
                    </w:rPr>
                    <w:t>lhuacán</w:t>
                    <w:tab/>
                    <w:t>COCICOVI</w:t>
                    <w:tab/>
                    <w:t>No</w:t>
                    <w:tab/>
                    <w:t>100</w:t>
                    <w:tab/>
                    <w:t>N/E</w:t>
                    <w:tab/>
                    <w:t>Si</w:t>
                    <w:tab/>
                    <w:t>N/E</w:t>
                  </w:r>
                </w:p>
              </w:txbxContent>
            </v:textbox>
            <w10:wrap type="none"/>
          </v:shape>
        </w:pict>
      </w:r>
    </w:p>
    <w:p>
      <w:pPr>
        <w:pStyle w:val="BodyText"/>
        <w:rPr>
          <w:sz w:val="20"/>
        </w:rPr>
      </w:pPr>
    </w:p>
    <w:p>
      <w:pPr>
        <w:pStyle w:val="BodyText"/>
        <w:rPr>
          <w:sz w:val="20"/>
        </w:rPr>
      </w:pPr>
    </w:p>
    <w:p>
      <w:pPr>
        <w:pStyle w:val="BodyText"/>
        <w:spacing w:before="5"/>
        <w:rPr>
          <w:sz w:val="25"/>
        </w:rPr>
      </w:pPr>
    </w:p>
    <w:p>
      <w:pPr>
        <w:pStyle w:val="BodyText"/>
        <w:spacing w:before="69"/>
        <w:ind w:left="3322"/>
      </w:pPr>
      <w:r>
        <w:rPr/>
        <w:t>Anexo 16.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spacing w:before="88" w:after="6"/>
        <w:ind w:left="3162" w:right="0" w:firstLine="0"/>
        <w:jc w:val="left"/>
        <w:rPr>
          <w:b/>
          <w:sz w:val="12"/>
        </w:rPr>
      </w:pPr>
      <w:r>
        <w:rPr>
          <w:b/>
          <w:w w:val="105"/>
          <w:sz w:val="12"/>
        </w:rPr>
        <w:t>Participación Social en el Fondo para la Infraestructura Social Municipal (FISM) 2011 Estado de México</w:t>
      </w:r>
    </w:p>
    <w:p>
      <w:pPr>
        <w:pStyle w:val="BodyText"/>
        <w:spacing w:line="20" w:lineRule="exact"/>
        <w:ind w:left="119"/>
        <w:rPr>
          <w:sz w:val="2"/>
        </w:rPr>
      </w:pPr>
      <w:r>
        <w:rPr>
          <w:sz w:val="2"/>
        </w:rPr>
        <w:pict>
          <v:group style="width:607.950pt;height:.5pt;mso-position-horizontal-relative:char;mso-position-vertical-relative:line" coordorigin="0,0" coordsize="12159,10">
            <v:shape style="position:absolute;left:5;top:5;width:12149;height:2" coordorigin="5,5" coordsize="12149,0" path="m5,5l5,5,12153,5e" filled="false" stroked="true" strokeweight=".477882pt" strokecolor="#000000">
              <v:path arrowok="t"/>
            </v:shape>
          </v:group>
        </w:pict>
      </w:r>
      <w:r>
        <w:rPr>
          <w:sz w:val="2"/>
        </w:rPr>
      </w:r>
    </w:p>
    <w:p>
      <w:pPr>
        <w:pStyle w:val="BodyText"/>
        <w:spacing w:before="9"/>
        <w:rPr>
          <w:b/>
          <w:sz w:val="21"/>
        </w:rPr>
      </w:pPr>
      <w:r>
        <w:rPr/>
        <w:pict>
          <v:group style="position:absolute;margin-left:91.978012pt;margin-top:14.521569pt;width:608.1pt;height:219.3pt;mso-position-horizontal-relative:page;mso-position-vertical-relative:paragraph;z-index:4000;mso-wrap-distance-left:0;mso-wrap-distance-right:0" coordorigin="1840,290" coordsize="12162,4386">
            <v:rect style="position:absolute;left:1845;top:1247;width:12148;height:495" filled="true" fillcolor="#f1dcdb" stroked="false">
              <v:fill type="solid"/>
            </v:rect>
            <v:rect style="position:absolute;left:1845;top:2179;width:12148;height:653" filled="true" fillcolor="#f1dcdb" stroked="false">
              <v:fill type="solid"/>
            </v:rect>
            <v:rect style="position:absolute;left:1845;top:3480;width:12148;height:633" filled="true" fillcolor="#f1dcdb" stroked="false">
              <v:fill type="solid"/>
            </v:rect>
            <v:shape style="position:absolute;left:1845;top:295;width:2;height:4376" coordorigin="1845,295" coordsize="0,4376" path="m1845,295l1845,295,1845,4671e" filled="false" stroked="true" strokeweight=".475734pt" strokecolor="#000000">
              <v:path arrowok="t"/>
            </v:shape>
            <v:shape style="position:absolute;left:2500;top:305;width:2;height:4367" coordorigin="2500,305" coordsize="0,4367" path="m2500,305l2500,305,2500,4671e" filled="false" stroked="true" strokeweight=".475734pt" strokecolor="#000000">
              <v:path arrowok="t"/>
            </v:shape>
            <v:line style="position:absolute" from="3921,305" to="3921,2062" stroked="true" strokeweight=".475734pt" strokecolor="#000000"/>
            <v:line style="position:absolute" from="3921,2322" to="3921,2830" stroked="true" strokeweight=".475734pt" strokecolor="#000000"/>
            <v:line style="position:absolute" from="3921,3089" to="3921,4671" stroked="true" strokeweight=".475734pt" strokecolor="#000000"/>
            <v:line style="position:absolute" from="5341,305" to="5341,2062" stroked="true" strokeweight=".475734pt" strokecolor="#000000"/>
            <v:line style="position:absolute" from="5341,2322" to="5341,2830" stroked="true" strokeweight=".475734pt" strokecolor="#000000"/>
            <v:line style="position:absolute" from="5341,3089" to="5341,4671" stroked="true" strokeweight=".475734pt" strokecolor="#000000"/>
            <v:line style="position:absolute" from="6763,305" to="6763,2062" stroked="true" strokeweight=".475734pt" strokecolor="#000000"/>
            <v:line style="position:absolute" from="6763,2322" to="6763,2830" stroked="true" strokeweight=".475734pt" strokecolor="#000000"/>
            <v:line style="position:absolute" from="6763,3089" to="6763,4671" stroked="true" strokeweight=".475734pt" strokecolor="#000000"/>
            <v:line style="position:absolute" from="8184,305" to="8184,2062" stroked="true" strokeweight=".475734pt" strokecolor="#000000"/>
            <v:line style="position:absolute" from="8184,2322" to="8184,2830" stroked="true" strokeweight=".475734pt" strokecolor="#000000"/>
            <v:line style="position:absolute" from="8184,3089" to="8184,4671" stroked="true" strokeweight=".475734pt" strokecolor="#000000"/>
            <v:line style="position:absolute" from="9719,305" to="9719,2062" stroked="true" strokeweight=".475734pt" strokecolor="#000000"/>
            <v:line style="position:absolute" from="9719,2322" to="9719,2830" stroked="true" strokeweight=".475734pt" strokecolor="#000000"/>
            <v:line style="position:absolute" from="9719,3089" to="9719,4671" stroked="true" strokeweight=".475734pt" strokecolor="#000000"/>
            <v:line style="position:absolute" from="11420,305" to="11420,2062" stroked="true" strokeweight=".475734pt" strokecolor="#000000"/>
            <v:line style="position:absolute" from="11420,2322" to="11420,2830" stroked="true" strokeweight=".475734pt" strokecolor="#000000"/>
            <v:line style="position:absolute" from="11420,3089" to="11420,4671" stroked="true" strokeweight=".475734pt" strokecolor="#000000"/>
            <v:line style="position:absolute" from="12737,305" to="12737,2062" stroked="true" strokeweight=".475734pt" strokecolor="#000000"/>
            <v:line style="position:absolute" from="12737,2322" to="12737,2830" stroked="true" strokeweight=".475734pt" strokecolor="#000000"/>
            <v:line style="position:absolute" from="12737,3089" to="12737,4671" stroked="true" strokeweight=".475734pt" strokecolor="#000000"/>
            <v:shape style="position:absolute;left:13991;top:305;width:2;height:4367" coordorigin="13991,305" coordsize="0,4367" path="m13991,305l13991,305,13991,4671e" filled="false" stroked="true" strokeweight=".475734pt" strokecolor="#000000">
              <v:path arrowok="t"/>
            </v:shape>
            <v:shape style="position:absolute;left:1850;top:301;width:12147;height:2" coordorigin="1850,301" coordsize="12147,0" path="m1850,301l1850,301,13996,301e" filled="false" stroked="true" strokeweight=".477882pt" strokecolor="#000000">
              <v:path arrowok="t"/>
            </v:shape>
            <v:shape style="position:absolute;left:1850;top:1247;width:12147;height:2" coordorigin="1850,1247" coordsize="12147,0" path="m1850,1247l1850,1247,13996,1247e" filled="false" stroked="true" strokeweight=".477882pt" strokecolor="#000000">
              <v:path arrowok="t"/>
            </v:shape>
            <v:shape style="position:absolute;left:1850;top:1739;width:12147;height:2" coordorigin="1850,1739" coordsize="12147,0" path="m1850,1739l1850,1739,13996,1739e" filled="false" stroked="true" strokeweight=".477882pt" strokecolor="#000000">
              <v:path arrowok="t"/>
            </v:shape>
            <v:line style="position:absolute" from="12846,2179" to="13996,2179" stroked="true" strokeweight=".477882pt" strokecolor="#000000"/>
            <v:line style="position:absolute" from="1850,2179" to="2875,2179" stroked="true" strokeweight=".477882pt" strokecolor="#000000"/>
            <v:shape style="position:absolute;left:1850;top:2829;width:12147;height:2" coordorigin="1850,2829" coordsize="12147,0" path="m1850,2829l1850,2829,13996,2829e" filled="false" stroked="true" strokeweight=".477882pt" strokecolor="#000000">
              <v:path arrowok="t"/>
            </v:shape>
            <v:shape style="position:absolute;left:1850;top:3480;width:12147;height:2" coordorigin="1850,3480" coordsize="12147,0" path="m1850,3480l1850,3480,13996,3480e" filled="false" stroked="true" strokeweight=".477882pt" strokecolor="#000000">
              <v:path arrowok="t"/>
            </v:shape>
            <v:shape style="position:absolute;left:1850;top:4110;width:12147;height:2" coordorigin="1850,4110" coordsize="12147,0" path="m1850,4110l1850,4110,13996,4110e" filled="false" stroked="true" strokeweight=".477882pt" strokecolor="#000000">
              <v:path arrowok="t"/>
            </v:shape>
            <v:shape style="position:absolute;left:1850;top:4666;width:12147;height:2" coordorigin="1850,4666" coordsize="12147,0" path="m1850,4666l1850,4666,13996,4666e" filled="false" stroked="true" strokeweight=".477882pt" strokecolor="#000000">
              <v:path arrowok="t"/>
            </v:shape>
            <v:rect style="position:absolute;left:2875;top:2062;width:9971;height:260" filled="true" fillcolor="#e6b8b7" stroked="false">
              <v:fill type="solid"/>
            </v:rect>
            <v:rect style="position:absolute;left:2875;top:2830;width:9971;height:260" filled="true" fillcolor="#e6b8b7" stroked="false">
              <v:fill type="solid"/>
            </v:rect>
            <v:shape style="position:absolute;left:2875;top:1797;width:2;height:1809" coordorigin="2875,1797" coordsize="0,1809" path="m2875,1797l2875,1797,2875,3606e" filled="false" stroked="true" strokeweight=".768731pt" strokecolor="#000000">
              <v:path arrowok="t"/>
            </v:shape>
            <v:shape style="position:absolute;left:6598;top:1814;width:2;height:1792" coordorigin="6598,1814" coordsize="0,1792" path="m6598,1814l6598,1814,6598,3606e" filled="false" stroked="true" strokeweight=".768731pt" strokecolor="#000000">
              <v:path arrowok="t"/>
            </v:shape>
            <v:shape style="position:absolute;left:9524;top:1814;width:2;height:1792" coordorigin="9524,1814" coordsize="0,1792" path="m9524,1814l9524,1814,9524,3606e" filled="false" stroked="true" strokeweight=".768731pt" strokecolor="#000000">
              <v:path arrowok="t"/>
            </v:shape>
            <v:shape style="position:absolute;left:12841;top:1814;width:2;height:1792" coordorigin="12841,1814" coordsize="0,1792" path="m12841,1814l12841,1814,12841,3606e" filled="false" stroked="true" strokeweight=".768731pt" strokecolor="#000000">
              <v:path arrowok="t"/>
            </v:shape>
            <v:shape style="position:absolute;left:2875;top:1229;width:9971;height:2" coordorigin="2875,1229" coordsize="9971,0" path="m2875,1229l2875,1229,12846,1229e" filled="false" stroked="true" strokeweight=".768728pt" strokecolor="#000000">
              <v:path arrowok="t"/>
            </v:shape>
            <v:shape style="position:absolute;left:2883;top:1807;width:9968;height:2" coordorigin="2883,1807" coordsize="9968,0" path="m2883,1807l2883,1807,12850,1807e" filled="false" stroked="true" strokeweight=".768728pt" strokecolor="#000000">
              <v:path arrowok="t"/>
            </v:shape>
            <v:shape style="position:absolute;left:2883;top:2062;width:9968;height:2" coordorigin="2883,2062" coordsize="9968,0" path="m2883,2062l2883,2062,12850,2062e" filled="false" stroked="true" strokeweight=".768728pt" strokecolor="#000000">
              <v:path arrowok="t"/>
            </v:shape>
            <v:shape style="position:absolute;left:2883;top:2318;width:9968;height:2" coordorigin="2883,2318" coordsize="9968,0" path="m2883,2318l2883,2318,12850,2318e" filled="false" stroked="true" strokeweight=".768728pt" strokecolor="#000000">
              <v:path arrowok="t"/>
            </v:shape>
            <v:shape style="position:absolute;left:2883;top:2830;width:9968;height:2" coordorigin="2883,2830" coordsize="9968,0" path="m2883,2830l2883,2830,12850,2830e" filled="false" stroked="true" strokeweight=".768728pt" strokecolor="#000000">
              <v:path arrowok="t"/>
            </v:shape>
            <v:shape style="position:absolute;left:2883;top:3085;width:9968;height:2" coordorigin="2883,3085" coordsize="9968,0" path="m2883,3085l2883,3085,12850,3085e" filled="false" stroked="true" strokeweight=".768728pt" strokecolor="#000000">
              <v:path arrowok="t"/>
            </v:shape>
            <v:shape style="position:absolute;left:2883;top:3341;width:9968;height:2" coordorigin="2883,3341" coordsize="9968,0" path="m2883,3341l2883,3341,12850,3341e" filled="false" stroked="true" strokeweight=".768728pt" strokecolor="#000000">
              <v:path arrowok="t"/>
            </v:shape>
            <v:shape style="position:absolute;left:2883;top:3597;width:9968;height:2" coordorigin="2883,3597" coordsize="9968,0" path="m2883,3597l2883,3597,12850,3597e" filled="false" stroked="true" strokeweight=".768728pt" strokecolor="#000000">
              <v:path arrowok="t"/>
            </v:shape>
            <v:shape style="position:absolute;left:3943;top:320;width:2713;height:282" type="#_x0000_t202" filled="false" stroked="false">
              <v:textbox inset="0,0,0,0">
                <w:txbxContent>
                  <w:p>
                    <w:pPr>
                      <w:spacing w:line="126" w:lineRule="exact" w:before="0"/>
                      <w:ind w:left="1" w:right="-9" w:hanging="2"/>
                      <w:jc w:val="left"/>
                      <w:rPr>
                        <w:b/>
                        <w:sz w:val="12"/>
                      </w:rPr>
                    </w:pPr>
                    <w:r>
                      <w:rPr>
                        <w:b/>
                        <w:w w:val="105"/>
                        <w:sz w:val="12"/>
                      </w:rPr>
                      <w:t>¿Existe y opera en el    El municipio presenta</w:t>
                    </w:r>
                  </w:p>
                  <w:p>
                    <w:pPr>
                      <w:tabs>
                        <w:tab w:pos="1422" w:val="left" w:leader="none"/>
                      </w:tabs>
                      <w:spacing w:line="136" w:lineRule="exact" w:before="19"/>
                      <w:ind w:left="1" w:right="0" w:firstLine="0"/>
                      <w:jc w:val="left"/>
                      <w:rPr>
                        <w:b/>
                        <w:sz w:val="12"/>
                      </w:rPr>
                    </w:pPr>
                    <w:r>
                      <w:rPr>
                        <w:b/>
                        <w:w w:val="105"/>
                        <w:sz w:val="12"/>
                      </w:rPr>
                      <w:t>Municipio</w:t>
                    </w:r>
                    <w:r>
                      <w:rPr>
                        <w:b/>
                        <w:spacing w:val="-5"/>
                        <w:w w:val="105"/>
                        <w:sz w:val="12"/>
                      </w:rPr>
                      <w:t> </w:t>
                    </w:r>
                    <w:r>
                      <w:rPr>
                        <w:b/>
                        <w:w w:val="105"/>
                        <w:sz w:val="12"/>
                      </w:rPr>
                      <w:t>el</w:t>
                      <w:tab/>
                      <w:t>algun reglamento</w:t>
                    </w:r>
                    <w:r>
                      <w:rPr>
                        <w:b/>
                        <w:spacing w:val="-24"/>
                        <w:w w:val="105"/>
                        <w:sz w:val="12"/>
                      </w:rPr>
                      <w:t> </w:t>
                    </w:r>
                    <w:r>
                      <w:rPr>
                        <w:b/>
                        <w:w w:val="105"/>
                        <w:sz w:val="12"/>
                      </w:rPr>
                      <w:t>del</w:t>
                    </w:r>
                  </w:p>
                </w:txbxContent>
              </v:textbox>
              <w10:wrap type="none"/>
            </v:shape>
            <v:shape style="position:absolute;left:6786;top:320;width:1273;height:282" type="#_x0000_t202" filled="false" stroked="false">
              <v:textbox inset="0,0,0,0">
                <w:txbxContent>
                  <w:p>
                    <w:pPr>
                      <w:spacing w:line="126" w:lineRule="exact" w:before="0"/>
                      <w:ind w:left="0" w:right="-12" w:firstLine="0"/>
                      <w:jc w:val="left"/>
                      <w:rPr>
                        <w:b/>
                        <w:sz w:val="12"/>
                      </w:rPr>
                    </w:pPr>
                    <w:r>
                      <w:rPr>
                        <w:b/>
                        <w:w w:val="105"/>
                        <w:sz w:val="12"/>
                      </w:rPr>
                      <w:t>Inversión en obras y</w:t>
                    </w:r>
                  </w:p>
                  <w:p>
                    <w:pPr>
                      <w:spacing w:line="136" w:lineRule="exact" w:before="19"/>
                      <w:ind w:left="0" w:right="-12" w:firstLine="0"/>
                      <w:jc w:val="left"/>
                      <w:rPr>
                        <w:b/>
                        <w:sz w:val="12"/>
                      </w:rPr>
                    </w:pPr>
                    <w:r>
                      <w:rPr>
                        <w:b/>
                        <w:w w:val="105"/>
                        <w:sz w:val="12"/>
                      </w:rPr>
                      <w:t>acciones realizadas</w:t>
                    </w:r>
                    <w:r>
                      <w:rPr>
                        <w:b/>
                        <w:spacing w:val="-24"/>
                        <w:w w:val="105"/>
                        <w:sz w:val="12"/>
                      </w:rPr>
                      <w:t> </w:t>
                    </w:r>
                    <w:r>
                      <w:rPr>
                        <w:b/>
                        <w:w w:val="105"/>
                        <w:sz w:val="12"/>
                      </w:rPr>
                      <w:t>a</w:t>
                    </w:r>
                  </w:p>
                </w:txbxContent>
              </v:textbox>
              <w10:wrap type="none"/>
            </v:shape>
            <v:shape style="position:absolute;left:8207;top:320;width:1014;height:125" type="#_x0000_t202" filled="false" stroked="false">
              <v:textbox inset="0,0,0,0">
                <w:txbxContent>
                  <w:p>
                    <w:pPr>
                      <w:spacing w:line="124" w:lineRule="exact" w:before="0"/>
                      <w:ind w:left="0" w:right="-15" w:firstLine="0"/>
                      <w:jc w:val="left"/>
                      <w:rPr>
                        <w:b/>
                        <w:sz w:val="12"/>
                      </w:rPr>
                    </w:pPr>
                    <w:r>
                      <w:rPr>
                        <w:b/>
                        <w:w w:val="105"/>
                        <w:sz w:val="12"/>
                      </w:rPr>
                      <w:t>EL COPLADEM</w:t>
                    </w:r>
                    <w:r>
                      <w:rPr>
                        <w:b/>
                        <w:spacing w:val="-20"/>
                        <w:w w:val="105"/>
                        <w:sz w:val="12"/>
                      </w:rPr>
                      <w:t> </w:t>
                    </w:r>
                    <w:r>
                      <w:rPr>
                        <w:b/>
                        <w:w w:val="105"/>
                        <w:sz w:val="12"/>
                      </w:rPr>
                      <w:t>ó</w:t>
                    </w:r>
                  </w:p>
                </w:txbxContent>
              </v:textbox>
              <w10:wrap type="none"/>
            </v:shape>
            <v:shape style="position:absolute;left:9743;top:320;width:1248;height:125" type="#_x0000_t202" filled="false" stroked="false">
              <v:textbox inset="0,0,0,0">
                <w:txbxContent>
                  <w:p>
                    <w:pPr>
                      <w:spacing w:line="124" w:lineRule="exact" w:before="0"/>
                      <w:ind w:left="0" w:right="-14" w:firstLine="0"/>
                      <w:jc w:val="left"/>
                      <w:rPr>
                        <w:b/>
                        <w:sz w:val="12"/>
                      </w:rPr>
                    </w:pPr>
                    <w:r>
                      <w:rPr>
                        <w:b/>
                        <w:w w:val="105"/>
                        <w:sz w:val="12"/>
                      </w:rPr>
                      <w:t>Las</w:t>
                    </w:r>
                    <w:r>
                      <w:rPr>
                        <w:b/>
                        <w:spacing w:val="-11"/>
                        <w:w w:val="105"/>
                        <w:sz w:val="12"/>
                      </w:rPr>
                      <w:t> </w:t>
                    </w:r>
                    <w:r>
                      <w:rPr>
                        <w:b/>
                        <w:w w:val="105"/>
                        <w:sz w:val="12"/>
                      </w:rPr>
                      <w:t>obras</w:t>
                    </w:r>
                    <w:r>
                      <w:rPr>
                        <w:b/>
                        <w:spacing w:val="-11"/>
                        <w:w w:val="105"/>
                        <w:sz w:val="12"/>
                      </w:rPr>
                      <w:t> </w:t>
                    </w:r>
                    <w:r>
                      <w:rPr>
                        <w:b/>
                        <w:w w:val="105"/>
                        <w:sz w:val="12"/>
                      </w:rPr>
                      <w:t>y</w:t>
                    </w:r>
                    <w:r>
                      <w:rPr>
                        <w:b/>
                        <w:spacing w:val="-11"/>
                        <w:w w:val="105"/>
                        <w:sz w:val="12"/>
                      </w:rPr>
                      <w:t> </w:t>
                    </w:r>
                    <w:r>
                      <w:rPr>
                        <w:b/>
                        <w:w w:val="105"/>
                        <w:sz w:val="12"/>
                      </w:rPr>
                      <w:t>acciones</w:t>
                    </w:r>
                  </w:p>
                </w:txbxContent>
              </v:textbox>
              <w10:wrap type="none"/>
            </v:shape>
            <v:shape style="position:absolute;left:8207;top:478;width:3133;height:125" type="#_x0000_t202" filled="false" stroked="false">
              <v:textbox inset="0,0,0,0">
                <w:txbxContent>
                  <w:p>
                    <w:pPr>
                      <w:spacing w:line="124" w:lineRule="exact" w:before="0"/>
                      <w:ind w:left="0" w:right="-3" w:firstLine="0"/>
                      <w:jc w:val="left"/>
                      <w:rPr>
                        <w:b/>
                        <w:sz w:val="12"/>
                      </w:rPr>
                    </w:pPr>
                    <w:r>
                      <w:rPr>
                        <w:b/>
                        <w:w w:val="105"/>
                        <w:sz w:val="12"/>
                      </w:rPr>
                      <w:t>CODEMUN sesionó para cuentan con la solicitud de</w:t>
                    </w:r>
                  </w:p>
                </w:txbxContent>
              </v:textbox>
              <w10:wrap type="none"/>
            </v:shape>
            <v:shape style="position:absolute;left:11441;top:320;width:2274;height:282" type="#_x0000_t202" filled="false" stroked="false">
              <v:textbox inset="0,0,0,0">
                <w:txbxContent>
                  <w:p>
                    <w:pPr>
                      <w:tabs>
                        <w:tab w:pos="1317" w:val="left" w:leader="none"/>
                      </w:tabs>
                      <w:spacing w:line="126" w:lineRule="exact" w:before="0"/>
                      <w:ind w:left="0" w:right="0" w:firstLine="2"/>
                      <w:jc w:val="left"/>
                      <w:rPr>
                        <w:b/>
                        <w:sz w:val="12"/>
                      </w:rPr>
                    </w:pPr>
                    <w:r>
                      <w:rPr>
                        <w:b/>
                        <w:w w:val="105"/>
                        <w:sz w:val="12"/>
                      </w:rPr>
                      <w:t>El</w:t>
                    </w:r>
                    <w:r>
                      <w:rPr>
                        <w:b/>
                        <w:spacing w:val="-6"/>
                        <w:w w:val="105"/>
                        <w:sz w:val="12"/>
                      </w:rPr>
                      <w:t> </w:t>
                    </w:r>
                    <w:r>
                      <w:rPr>
                        <w:b/>
                        <w:w w:val="105"/>
                        <w:sz w:val="12"/>
                      </w:rPr>
                      <w:t>COPLADEM</w:t>
                    </w:r>
                    <w:r>
                      <w:rPr>
                        <w:b/>
                        <w:spacing w:val="-4"/>
                        <w:w w:val="105"/>
                        <w:sz w:val="12"/>
                      </w:rPr>
                      <w:t> </w:t>
                    </w:r>
                    <w:r>
                      <w:rPr>
                        <w:b/>
                        <w:w w:val="105"/>
                        <w:sz w:val="12"/>
                      </w:rPr>
                      <w:t>ó</w:t>
                      <w:tab/>
                      <w:t>Se promovió</w:t>
                    </w:r>
                    <w:r>
                      <w:rPr>
                        <w:b/>
                        <w:spacing w:val="-16"/>
                        <w:w w:val="105"/>
                        <w:sz w:val="12"/>
                      </w:rPr>
                      <w:t> </w:t>
                    </w:r>
                    <w:r>
                      <w:rPr>
                        <w:b/>
                        <w:w w:val="105"/>
                        <w:sz w:val="12"/>
                      </w:rPr>
                      <w:t>la</w:t>
                    </w:r>
                  </w:p>
                  <w:p>
                    <w:pPr>
                      <w:spacing w:line="136" w:lineRule="exact" w:before="19"/>
                      <w:ind w:left="0" w:right="-15" w:firstLine="0"/>
                      <w:jc w:val="left"/>
                      <w:rPr>
                        <w:b/>
                        <w:sz w:val="12"/>
                      </w:rPr>
                    </w:pPr>
                    <w:r>
                      <w:rPr>
                        <w:b/>
                        <w:w w:val="105"/>
                        <w:sz w:val="12"/>
                      </w:rPr>
                      <w:t>CODEMUN sesionó    constitución del</w:t>
                    </w:r>
                  </w:p>
                </w:txbxContent>
              </v:textbox>
              <w10:wrap type="none"/>
            </v:shape>
            <v:shape style="position:absolute;left:1918;top:636;width:518;height:125" type="#_x0000_t202" filled="false" stroked="false">
              <v:textbox inset="0,0,0,0">
                <w:txbxContent>
                  <w:p>
                    <w:pPr>
                      <w:spacing w:line="124" w:lineRule="exact" w:before="0"/>
                      <w:ind w:left="0" w:right="-3" w:firstLine="0"/>
                      <w:jc w:val="left"/>
                      <w:rPr>
                        <w:b/>
                        <w:sz w:val="12"/>
                      </w:rPr>
                    </w:pPr>
                    <w:r>
                      <w:rPr>
                        <w:b/>
                        <w:sz w:val="12"/>
                      </w:rPr>
                      <w:t>Ejercicio</w:t>
                    </w:r>
                  </w:p>
                </w:txbxContent>
              </v:textbox>
              <w10:wrap type="none"/>
            </v:shape>
            <v:shape style="position:absolute;left:2001;top:713;width:11485;height:206" type="#_x0000_t202" filled="false" stroked="false">
              <v:textbox inset="0,0,0,0">
                <w:txbxContent>
                  <w:p>
                    <w:pPr>
                      <w:spacing w:line="205" w:lineRule="exact" w:before="0"/>
                      <w:ind w:left="0" w:right="0" w:firstLine="0"/>
                      <w:jc w:val="left"/>
                      <w:rPr>
                        <w:b/>
                        <w:sz w:val="12"/>
                      </w:rPr>
                    </w:pPr>
                    <w:r>
                      <w:rPr>
                        <w:b/>
                        <w:w w:val="103"/>
                        <w:sz w:val="12"/>
                      </w:rPr>
                      <w:t>Fi</w:t>
                    </w:r>
                    <w:r>
                      <w:rPr>
                        <w:b/>
                        <w:spacing w:val="-1"/>
                        <w:w w:val="103"/>
                        <w:sz w:val="12"/>
                      </w:rPr>
                      <w:t>s</w:t>
                    </w:r>
                    <w:r>
                      <w:rPr>
                        <w:b/>
                        <w:spacing w:val="-1"/>
                        <w:w w:val="103"/>
                        <w:sz w:val="12"/>
                      </w:rPr>
                      <w:t>ca</w:t>
                    </w:r>
                    <w:r>
                      <w:rPr>
                        <w:b/>
                        <w:w w:val="103"/>
                        <w:sz w:val="12"/>
                      </w:rPr>
                      <w:t>l</w:t>
                    </w:r>
                    <w:r>
                      <w:rPr>
                        <w:b/>
                        <w:sz w:val="12"/>
                      </w:rPr>
                      <w:t>    </w:t>
                    </w:r>
                    <w:r>
                      <w:rPr>
                        <w:b/>
                        <w:spacing w:val="4"/>
                        <w:sz w:val="12"/>
                      </w:rPr>
                      <w:t> </w:t>
                    </w:r>
                    <w:r>
                      <w:rPr>
                        <w:b/>
                        <w:spacing w:val="-1"/>
                        <w:w w:val="103"/>
                        <w:position w:val="8"/>
                        <w:sz w:val="12"/>
                      </w:rPr>
                      <w:t>E</w:t>
                    </w:r>
                    <w:r>
                      <w:rPr>
                        <w:b/>
                        <w:spacing w:val="1"/>
                        <w:w w:val="103"/>
                        <w:position w:val="8"/>
                        <w:sz w:val="12"/>
                      </w:rPr>
                      <w:t>n</w:t>
                    </w:r>
                    <w:r>
                      <w:rPr>
                        <w:b/>
                        <w:spacing w:val="-1"/>
                        <w:w w:val="103"/>
                        <w:position w:val="8"/>
                        <w:sz w:val="12"/>
                      </w:rPr>
                      <w:t>t</w:t>
                    </w:r>
                    <w:r>
                      <w:rPr>
                        <w:b/>
                        <w:w w:val="103"/>
                        <w:position w:val="8"/>
                        <w:sz w:val="12"/>
                      </w:rPr>
                      <w:t>id</w:t>
                    </w:r>
                    <w:r>
                      <w:rPr>
                        <w:b/>
                        <w:w w:val="103"/>
                        <w:position w:val="8"/>
                        <w:sz w:val="12"/>
                      </w:rPr>
                      <w:t>a</w:t>
                    </w:r>
                    <w:r>
                      <w:rPr>
                        <w:b/>
                        <w:spacing w:val="-18"/>
                        <w:w w:val="103"/>
                        <w:position w:val="8"/>
                        <w:sz w:val="12"/>
                      </w:rPr>
                      <w:t>d</w:t>
                    </w:r>
                    <w:r>
                      <w:rPr>
                        <w:b/>
                        <w:spacing w:val="-94"/>
                        <w:w w:val="101"/>
                        <w:position w:val="1"/>
                        <w:sz w:val="20"/>
                      </w:rPr>
                      <w:t>D</w:t>
                    </w:r>
                    <w:r>
                      <w:rPr>
                        <w:b/>
                        <w:spacing w:val="-9"/>
                        <w:w w:val="103"/>
                        <w:position w:val="8"/>
                        <w:sz w:val="12"/>
                      </w:rPr>
                      <w:t>M</w:t>
                    </w:r>
                    <w:r>
                      <w:rPr>
                        <w:b/>
                        <w:spacing w:val="-104"/>
                        <w:w w:val="101"/>
                        <w:position w:val="1"/>
                        <w:sz w:val="20"/>
                      </w:rPr>
                      <w:t>e</w:t>
                    </w:r>
                    <w:r>
                      <w:rPr>
                        <w:b/>
                        <w:spacing w:val="1"/>
                        <w:w w:val="103"/>
                        <w:position w:val="8"/>
                        <w:sz w:val="12"/>
                      </w:rPr>
                      <w:t>u</w:t>
                    </w:r>
                    <w:r>
                      <w:rPr>
                        <w:b/>
                        <w:spacing w:val="-50"/>
                        <w:w w:val="103"/>
                        <w:position w:val="8"/>
                        <w:sz w:val="12"/>
                      </w:rPr>
                      <w:t>n</w:t>
                    </w:r>
                    <w:r>
                      <w:rPr>
                        <w:b/>
                        <w:spacing w:val="-64"/>
                        <w:w w:val="101"/>
                        <w:position w:val="1"/>
                        <w:sz w:val="20"/>
                      </w:rPr>
                      <w:t>s</w:t>
                    </w:r>
                    <w:r>
                      <w:rPr>
                        <w:b/>
                        <w:spacing w:val="-1"/>
                        <w:w w:val="103"/>
                        <w:position w:val="8"/>
                        <w:sz w:val="12"/>
                      </w:rPr>
                      <w:t>i</w:t>
                    </w:r>
                    <w:r>
                      <w:rPr>
                        <w:b/>
                        <w:spacing w:val="-39"/>
                        <w:w w:val="103"/>
                        <w:position w:val="8"/>
                        <w:sz w:val="12"/>
                      </w:rPr>
                      <w:t>c</w:t>
                    </w:r>
                    <w:r>
                      <w:rPr>
                        <w:b/>
                        <w:spacing w:val="-28"/>
                        <w:w w:val="101"/>
                        <w:position w:val="1"/>
                        <w:sz w:val="20"/>
                      </w:rPr>
                      <w:t>t</w:t>
                    </w:r>
                    <w:r>
                      <w:rPr>
                        <w:b/>
                        <w:spacing w:val="-7"/>
                        <w:w w:val="103"/>
                        <w:position w:val="8"/>
                        <w:sz w:val="12"/>
                      </w:rPr>
                      <w:t>i</w:t>
                    </w:r>
                    <w:r>
                      <w:rPr>
                        <w:b/>
                        <w:spacing w:val="-49"/>
                        <w:w w:val="101"/>
                        <w:position w:val="1"/>
                        <w:sz w:val="20"/>
                      </w:rPr>
                      <w:t>i</w:t>
                    </w:r>
                    <w:r>
                      <w:rPr>
                        <w:b/>
                        <w:spacing w:val="-26"/>
                        <w:w w:val="103"/>
                        <w:position w:val="8"/>
                        <w:sz w:val="12"/>
                      </w:rPr>
                      <w:t>p</w:t>
                    </w:r>
                    <w:r>
                      <w:rPr>
                        <w:b/>
                        <w:spacing w:val="-98"/>
                        <w:w w:val="101"/>
                        <w:position w:val="1"/>
                        <w:sz w:val="20"/>
                      </w:rPr>
                      <w:t>n</w:t>
                    </w:r>
                    <w:r>
                      <w:rPr>
                        <w:b/>
                        <w:w w:val="103"/>
                        <w:position w:val="8"/>
                        <w:sz w:val="12"/>
                      </w:rPr>
                      <w:t>a</w:t>
                    </w:r>
                    <w:r>
                      <w:rPr>
                        <w:b/>
                        <w:spacing w:val="-6"/>
                        <w:w w:val="103"/>
                        <w:position w:val="8"/>
                        <w:sz w:val="12"/>
                      </w:rPr>
                      <w:t>l</w:t>
                    </w:r>
                    <w:r>
                      <w:rPr>
                        <w:b/>
                        <w:w w:val="101"/>
                        <w:position w:val="1"/>
                        <w:sz w:val="20"/>
                      </w:rPr>
                      <w:t>o</w:t>
                    </w:r>
                    <w:r>
                      <w:rPr>
                        <w:b/>
                        <w:spacing w:val="1"/>
                        <w:position w:val="1"/>
                        <w:sz w:val="20"/>
                      </w:rPr>
                      <w:t> </w:t>
                    </w:r>
                    <w:r>
                      <w:rPr>
                        <w:b/>
                        <w:w w:val="101"/>
                        <w:position w:val="1"/>
                        <w:sz w:val="20"/>
                      </w:rPr>
                      <w:t>d</w:t>
                    </w:r>
                    <w:r>
                      <w:rPr>
                        <w:b/>
                        <w:spacing w:val="-56"/>
                        <w:w w:val="101"/>
                        <w:position w:val="1"/>
                        <w:sz w:val="20"/>
                      </w:rPr>
                      <w:t>e</w:t>
                    </w:r>
                    <w:r>
                      <w:rPr>
                        <w:b/>
                        <w:spacing w:val="-34"/>
                        <w:w w:val="103"/>
                        <w:sz w:val="12"/>
                      </w:rPr>
                      <w:t>C</w:t>
                    </w:r>
                    <w:r>
                      <w:rPr>
                        <w:b/>
                        <w:spacing w:val="-23"/>
                        <w:w w:val="101"/>
                        <w:position w:val="1"/>
                        <w:sz w:val="20"/>
                      </w:rPr>
                      <w:t>l</w:t>
                    </w:r>
                    <w:r>
                      <w:rPr>
                        <w:b/>
                        <w:spacing w:val="-18"/>
                        <w:w w:val="103"/>
                        <w:sz w:val="12"/>
                      </w:rPr>
                      <w:t>O</w:t>
                    </w:r>
                    <w:r>
                      <w:rPr>
                        <w:b/>
                        <w:spacing w:val="-106"/>
                        <w:w w:val="101"/>
                        <w:position w:val="1"/>
                        <w:sz w:val="20"/>
                      </w:rPr>
                      <w:t>F</w:t>
                    </w:r>
                    <w:r>
                      <w:rPr>
                        <w:b/>
                        <w:spacing w:val="1"/>
                        <w:w w:val="103"/>
                        <w:sz w:val="12"/>
                      </w:rPr>
                      <w:t>D</w:t>
                    </w:r>
                    <w:r>
                      <w:rPr>
                        <w:b/>
                        <w:spacing w:val="-68"/>
                        <w:w w:val="103"/>
                        <w:sz w:val="12"/>
                      </w:rPr>
                      <w:t>E</w:t>
                    </w:r>
                    <w:r>
                      <w:rPr>
                        <w:b/>
                        <w:spacing w:val="-57"/>
                        <w:w w:val="101"/>
                        <w:position w:val="1"/>
                        <w:sz w:val="20"/>
                      </w:rPr>
                      <w:t>o</w:t>
                    </w:r>
                    <w:r>
                      <w:rPr>
                        <w:b/>
                        <w:spacing w:val="-46"/>
                        <w:w w:val="103"/>
                        <w:sz w:val="12"/>
                      </w:rPr>
                      <w:t>M</w:t>
                    </w:r>
                    <w:r>
                      <w:rPr>
                        <w:b/>
                        <w:spacing w:val="-78"/>
                        <w:w w:val="101"/>
                        <w:position w:val="1"/>
                        <w:sz w:val="20"/>
                      </w:rPr>
                      <w:t>n</w:t>
                    </w:r>
                    <w:r>
                      <w:rPr>
                        <w:b/>
                        <w:spacing w:val="-12"/>
                        <w:w w:val="103"/>
                        <w:sz w:val="12"/>
                      </w:rPr>
                      <w:t>U</w:t>
                    </w:r>
                    <w:r>
                      <w:rPr>
                        <w:b/>
                        <w:spacing w:val="-112"/>
                        <w:w w:val="101"/>
                        <w:position w:val="1"/>
                        <w:sz w:val="20"/>
                      </w:rPr>
                      <w:t>d</w:t>
                    </w:r>
                    <w:r>
                      <w:rPr>
                        <w:b/>
                        <w:w w:val="103"/>
                        <w:sz w:val="12"/>
                      </w:rPr>
                      <w:t>N</w:t>
                    </w:r>
                    <w:r>
                      <w:rPr>
                        <w:b/>
                        <w:spacing w:val="-12"/>
                        <w:sz w:val="12"/>
                      </w:rPr>
                      <w:t> </w:t>
                    </w:r>
                    <w:r>
                      <w:rPr>
                        <w:b/>
                        <w:spacing w:val="-111"/>
                        <w:w w:val="101"/>
                        <w:position w:val="1"/>
                        <w:sz w:val="20"/>
                      </w:rPr>
                      <w:t>o</w:t>
                    </w:r>
                    <w:r>
                      <w:rPr>
                        <w:b/>
                        <w:w w:val="103"/>
                        <w:sz w:val="12"/>
                      </w:rPr>
                      <w:t>u</w:t>
                    </w:r>
                    <w:r>
                      <w:rPr>
                        <w:b/>
                        <w:spacing w:val="2"/>
                        <w:sz w:val="12"/>
                      </w:rPr>
                      <w:t> </w:t>
                    </w:r>
                    <w:r>
                      <w:rPr>
                        <w:b/>
                        <w:spacing w:val="-20"/>
                        <w:w w:val="103"/>
                        <w:sz w:val="12"/>
                      </w:rPr>
                      <w:t>o</w:t>
                    </w:r>
                    <w:r>
                      <w:rPr>
                        <w:b/>
                        <w:spacing w:val="-105"/>
                        <w:w w:val="101"/>
                        <w:position w:val="1"/>
                        <w:sz w:val="20"/>
                      </w:rPr>
                      <w:t>d</w:t>
                    </w:r>
                    <w:r>
                      <w:rPr>
                        <w:b/>
                        <w:spacing w:val="-1"/>
                        <w:w w:val="103"/>
                        <w:sz w:val="12"/>
                      </w:rPr>
                      <w:t>t</w:t>
                    </w:r>
                    <w:r>
                      <w:rPr>
                        <w:b/>
                        <w:w w:val="103"/>
                        <w:sz w:val="12"/>
                      </w:rPr>
                      <w:t>r</w:t>
                    </w:r>
                    <w:r>
                      <w:rPr>
                        <w:b/>
                        <w:spacing w:val="-60"/>
                        <w:w w:val="103"/>
                        <w:sz w:val="12"/>
                      </w:rPr>
                      <w:t>o</w:t>
                    </w:r>
                    <w:r>
                      <w:rPr>
                        <w:b/>
                        <w:spacing w:val="-52"/>
                        <w:w w:val="101"/>
                        <w:position w:val="1"/>
                        <w:sz w:val="20"/>
                      </w:rPr>
                      <w:t>e</w:t>
                    </w:r>
                    <w:r>
                      <w:rPr>
                        <w:b/>
                        <w:w w:val="103"/>
                        <w:sz w:val="12"/>
                      </w:rPr>
                      <w:t>s</w:t>
                    </w:r>
                    <w:r>
                      <w:rPr>
                        <w:b/>
                        <w:spacing w:val="-45"/>
                        <w:w w:val="103"/>
                        <w:sz w:val="12"/>
                      </w:rPr>
                      <w:t>?</w:t>
                    </w:r>
                    <w:r>
                      <w:rPr>
                        <w:b/>
                        <w:w w:val="101"/>
                        <w:position w:val="1"/>
                        <w:sz w:val="20"/>
                      </w:rPr>
                      <w:t>A</w:t>
                    </w:r>
                    <w:r>
                      <w:rPr>
                        <w:b/>
                        <w:w w:val="101"/>
                        <w:position w:val="1"/>
                        <w:sz w:val="20"/>
                      </w:rPr>
                      <w:t>p</w:t>
                    </w:r>
                    <w:r>
                      <w:rPr>
                        <w:b/>
                        <w:spacing w:val="-102"/>
                        <w:w w:val="101"/>
                        <w:position w:val="1"/>
                        <w:sz w:val="20"/>
                      </w:rPr>
                      <w:t>o</w:t>
                    </w:r>
                    <w:r>
                      <w:rPr>
                        <w:b/>
                        <w:spacing w:val="-1"/>
                        <w:w w:val="103"/>
                        <w:sz w:val="12"/>
                      </w:rPr>
                      <w:t>C</w:t>
                    </w:r>
                    <w:r>
                      <w:rPr>
                        <w:b/>
                        <w:spacing w:val="-84"/>
                        <w:w w:val="103"/>
                        <w:sz w:val="12"/>
                      </w:rPr>
                      <w:t>O</w:t>
                    </w:r>
                    <w:r>
                      <w:rPr>
                        <w:b/>
                        <w:w w:val="101"/>
                        <w:position w:val="1"/>
                        <w:sz w:val="20"/>
                      </w:rPr>
                      <w:t>r</w:t>
                    </w:r>
                    <w:r>
                      <w:rPr>
                        <w:b/>
                        <w:spacing w:val="-62"/>
                        <w:w w:val="101"/>
                        <w:position w:val="1"/>
                        <w:sz w:val="20"/>
                      </w:rPr>
                      <w:t>t</w:t>
                    </w:r>
                    <w:r>
                      <w:rPr>
                        <w:b/>
                        <w:spacing w:val="-21"/>
                        <w:w w:val="103"/>
                        <w:sz w:val="12"/>
                      </w:rPr>
                      <w:t>P</w:t>
                    </w:r>
                    <w:r>
                      <w:rPr>
                        <w:b/>
                        <w:spacing w:val="-92"/>
                        <w:w w:val="101"/>
                        <w:position w:val="1"/>
                        <w:sz w:val="20"/>
                      </w:rPr>
                      <w:t>a</w:t>
                    </w:r>
                    <w:r>
                      <w:rPr>
                        <w:b/>
                        <w:w w:val="103"/>
                        <w:sz w:val="12"/>
                      </w:rPr>
                      <w:t>L</w:t>
                    </w:r>
                    <w:r>
                      <w:rPr>
                        <w:b/>
                        <w:spacing w:val="-74"/>
                        <w:w w:val="103"/>
                        <w:sz w:val="12"/>
                      </w:rPr>
                      <w:t>A</w:t>
                    </w:r>
                    <w:r>
                      <w:rPr>
                        <w:b/>
                        <w:spacing w:val="-38"/>
                        <w:w w:val="101"/>
                        <w:position w:val="1"/>
                        <w:sz w:val="20"/>
                      </w:rPr>
                      <w:t>c</w:t>
                    </w:r>
                    <w:r>
                      <w:rPr>
                        <w:b/>
                        <w:spacing w:val="-51"/>
                        <w:w w:val="103"/>
                        <w:sz w:val="12"/>
                      </w:rPr>
                      <w:t>D</w:t>
                    </w:r>
                    <w:r>
                      <w:rPr>
                        <w:b/>
                        <w:spacing w:val="-6"/>
                        <w:w w:val="101"/>
                        <w:position w:val="1"/>
                        <w:sz w:val="20"/>
                      </w:rPr>
                      <w:t>i</w:t>
                    </w:r>
                    <w:r>
                      <w:rPr>
                        <w:b/>
                        <w:spacing w:val="-78"/>
                        <w:w w:val="103"/>
                        <w:sz w:val="12"/>
                      </w:rPr>
                      <w:t>E</w:t>
                    </w:r>
                    <w:r>
                      <w:rPr>
                        <w:b/>
                        <w:spacing w:val="-47"/>
                        <w:w w:val="101"/>
                        <w:position w:val="1"/>
                        <w:sz w:val="20"/>
                      </w:rPr>
                      <w:t>o</w:t>
                    </w:r>
                    <w:r>
                      <w:rPr>
                        <w:b/>
                        <w:spacing w:val="-56"/>
                        <w:w w:val="103"/>
                        <w:sz w:val="12"/>
                      </w:rPr>
                      <w:t>M</w:t>
                    </w:r>
                    <w:r>
                      <w:rPr>
                        <w:b/>
                        <w:spacing w:val="-32"/>
                        <w:w w:val="101"/>
                        <w:position w:val="1"/>
                        <w:sz w:val="20"/>
                      </w:rPr>
                      <w:t>n</w:t>
                    </w:r>
                    <w:r>
                      <w:rPr>
                        <w:b/>
                        <w:spacing w:val="-44"/>
                        <w:w w:val="103"/>
                        <w:sz w:val="12"/>
                      </w:rPr>
                      <w:t>o</w:t>
                    </w:r>
                    <w:r>
                      <w:rPr>
                        <w:b/>
                        <w:spacing w:val="-69"/>
                        <w:w w:val="101"/>
                        <w:position w:val="1"/>
                        <w:sz w:val="20"/>
                      </w:rPr>
                      <w:t>e</w:t>
                    </w:r>
                    <w:r>
                      <w:rPr>
                        <w:b/>
                        <w:w w:val="103"/>
                        <w:sz w:val="12"/>
                      </w:rPr>
                      <w:t>´</w:t>
                    </w:r>
                    <w:r>
                      <w:rPr>
                        <w:b/>
                        <w:spacing w:val="-6"/>
                        <w:sz w:val="12"/>
                      </w:rPr>
                      <w:t> </w:t>
                    </w:r>
                    <w:r>
                      <w:rPr>
                        <w:b/>
                        <w:w w:val="101"/>
                        <w:position w:val="1"/>
                        <w:sz w:val="20"/>
                      </w:rPr>
                      <w:t>s</w:t>
                    </w:r>
                    <w:r>
                      <w:rPr>
                        <w:b/>
                        <w:position w:val="1"/>
                        <w:sz w:val="20"/>
                      </w:rPr>
                      <w:t> </w:t>
                    </w:r>
                    <w:r>
                      <w:rPr>
                        <w:b/>
                        <w:w w:val="101"/>
                        <w:position w:val="1"/>
                        <w:sz w:val="20"/>
                      </w:rPr>
                      <w:t>p</w:t>
                    </w:r>
                    <w:r>
                      <w:rPr>
                        <w:b/>
                        <w:w w:val="101"/>
                        <w:position w:val="1"/>
                        <w:sz w:val="20"/>
                      </w:rPr>
                      <w:t>a</w:t>
                    </w:r>
                    <w:r>
                      <w:rPr>
                        <w:b/>
                        <w:w w:val="101"/>
                        <w:position w:val="1"/>
                        <w:sz w:val="20"/>
                      </w:rPr>
                      <w:t>r</w:t>
                    </w:r>
                    <w:r>
                      <w:rPr>
                        <w:b/>
                        <w:spacing w:val="-70"/>
                        <w:w w:val="101"/>
                        <w:position w:val="1"/>
                        <w:sz w:val="20"/>
                      </w:rPr>
                      <w:t>a</w:t>
                    </w:r>
                    <w:r>
                      <w:rPr>
                        <w:b/>
                        <w:spacing w:val="1"/>
                        <w:w w:val="103"/>
                        <w:sz w:val="12"/>
                      </w:rPr>
                      <w:t>C</w:t>
                    </w:r>
                    <w:r>
                      <w:rPr>
                        <w:b/>
                        <w:spacing w:val="-62"/>
                        <w:w w:val="103"/>
                        <w:sz w:val="12"/>
                      </w:rPr>
                      <w:t>O</w:t>
                    </w:r>
                    <w:r>
                      <w:rPr>
                        <w:b/>
                        <w:spacing w:val="-51"/>
                        <w:w w:val="101"/>
                        <w:position w:val="1"/>
                        <w:sz w:val="20"/>
                      </w:rPr>
                      <w:t>e</w:t>
                    </w:r>
                    <w:r>
                      <w:rPr>
                        <w:b/>
                        <w:spacing w:val="-32"/>
                        <w:w w:val="103"/>
                        <w:sz w:val="12"/>
                      </w:rPr>
                      <w:t>P</w:t>
                    </w:r>
                    <w:r>
                      <w:rPr>
                        <w:b/>
                        <w:spacing w:val="-26"/>
                        <w:w w:val="101"/>
                        <w:position w:val="1"/>
                        <w:sz w:val="20"/>
                      </w:rPr>
                      <w:t>l</w:t>
                    </w:r>
                    <w:r>
                      <w:rPr>
                        <w:b/>
                        <w:w w:val="103"/>
                        <w:sz w:val="12"/>
                      </w:rPr>
                      <w:t>L</w:t>
                    </w:r>
                    <w:r>
                      <w:rPr>
                        <w:b/>
                        <w:spacing w:val="-85"/>
                        <w:w w:val="103"/>
                        <w:sz w:val="12"/>
                      </w:rPr>
                      <w:t>A</w:t>
                    </w:r>
                    <w:r>
                      <w:rPr>
                        <w:b/>
                        <w:spacing w:val="-39"/>
                        <w:w w:val="101"/>
                        <w:position w:val="1"/>
                        <w:sz w:val="20"/>
                      </w:rPr>
                      <w:t>F</w:t>
                    </w:r>
                    <w:r>
                      <w:rPr>
                        <w:b/>
                        <w:spacing w:val="-50"/>
                        <w:w w:val="103"/>
                        <w:sz w:val="12"/>
                      </w:rPr>
                      <w:t>D</w:t>
                    </w:r>
                    <w:r>
                      <w:rPr>
                        <w:b/>
                        <w:spacing w:val="-74"/>
                        <w:w w:val="101"/>
                        <w:position w:val="1"/>
                        <w:sz w:val="20"/>
                      </w:rPr>
                      <w:t>o</w:t>
                    </w:r>
                    <w:r>
                      <w:rPr>
                        <w:b/>
                        <w:spacing w:val="-9"/>
                        <w:w w:val="103"/>
                        <w:sz w:val="12"/>
                      </w:rPr>
                      <w:t>E</w:t>
                    </w:r>
                    <w:r>
                      <w:rPr>
                        <w:b/>
                        <w:spacing w:val="-71"/>
                        <w:w w:val="101"/>
                        <w:position w:val="1"/>
                        <w:sz w:val="20"/>
                      </w:rPr>
                      <w:t>r</w:t>
                    </w:r>
                    <w:r>
                      <w:rPr>
                        <w:b/>
                        <w:spacing w:val="-33"/>
                        <w:w w:val="103"/>
                        <w:sz w:val="12"/>
                      </w:rPr>
                      <w:t>M</w:t>
                    </w:r>
                    <w:r>
                      <w:rPr>
                        <w:b/>
                        <w:spacing w:val="-1"/>
                        <w:w w:val="101"/>
                        <w:position w:val="1"/>
                        <w:sz w:val="20"/>
                      </w:rPr>
                      <w:t>t</w:t>
                    </w:r>
                    <w:r>
                      <w:rPr>
                        <w:b/>
                        <w:spacing w:val="-76"/>
                        <w:w w:val="101"/>
                        <w:position w:val="1"/>
                        <w:sz w:val="20"/>
                      </w:rPr>
                      <w:t>a</w:t>
                    </w:r>
                    <w:r>
                      <w:rPr>
                        <w:b/>
                        <w:w w:val="103"/>
                        <w:sz w:val="12"/>
                      </w:rPr>
                      <w:t>ó</w:t>
                    </w:r>
                    <w:r>
                      <w:rPr>
                        <w:b/>
                        <w:w w:val="101"/>
                        <w:position w:val="1"/>
                        <w:sz w:val="20"/>
                      </w:rPr>
                      <w:t>l</w:t>
                    </w:r>
                    <w:r>
                      <w:rPr>
                        <w:b/>
                        <w:spacing w:val="-1"/>
                        <w:w w:val="101"/>
                        <w:position w:val="1"/>
                        <w:sz w:val="20"/>
                      </w:rPr>
                      <w:t>e</w:t>
                    </w:r>
                    <w:r>
                      <w:rPr>
                        <w:b/>
                        <w:w w:val="101"/>
                        <w:position w:val="1"/>
                        <w:sz w:val="20"/>
                      </w:rPr>
                      <w:t>c</w:t>
                    </w:r>
                    <w:r>
                      <w:rPr>
                        <w:b/>
                        <w:w w:val="101"/>
                        <w:position w:val="1"/>
                        <w:sz w:val="20"/>
                      </w:rPr>
                      <w:t>i</w:t>
                    </w:r>
                    <w:r>
                      <w:rPr>
                        <w:b/>
                        <w:w w:val="101"/>
                        <w:position w:val="1"/>
                        <w:sz w:val="20"/>
                      </w:rPr>
                      <w:t>m</w:t>
                    </w:r>
                    <w:r>
                      <w:rPr>
                        <w:b/>
                        <w:spacing w:val="-13"/>
                        <w:w w:val="101"/>
                        <w:position w:val="1"/>
                        <w:sz w:val="20"/>
                      </w:rPr>
                      <w:t>i</w:t>
                    </w:r>
                    <w:r>
                      <w:rPr>
                        <w:b/>
                        <w:spacing w:val="-63"/>
                        <w:w w:val="103"/>
                        <w:sz w:val="12"/>
                      </w:rPr>
                      <w:t>p</w:t>
                    </w:r>
                    <w:r>
                      <w:rPr>
                        <w:b/>
                        <w:spacing w:val="-51"/>
                        <w:w w:val="101"/>
                        <w:position w:val="1"/>
                        <w:sz w:val="20"/>
                      </w:rPr>
                      <w:t>e</w:t>
                    </w:r>
                    <w:r>
                      <w:rPr>
                        <w:b/>
                        <w:w w:val="103"/>
                        <w:sz w:val="12"/>
                      </w:rPr>
                      <w:t>r</w:t>
                    </w:r>
                    <w:r>
                      <w:rPr>
                        <w:b/>
                        <w:spacing w:val="-74"/>
                        <w:w w:val="103"/>
                        <w:sz w:val="12"/>
                      </w:rPr>
                      <w:t>o</w:t>
                    </w:r>
                    <w:r>
                      <w:rPr>
                        <w:b/>
                        <w:spacing w:val="-50"/>
                        <w:w w:val="101"/>
                        <w:position w:val="1"/>
                        <w:sz w:val="20"/>
                      </w:rPr>
                      <w:t>n</w:t>
                    </w:r>
                    <w:r>
                      <w:rPr>
                        <w:b/>
                        <w:spacing w:val="-26"/>
                        <w:w w:val="103"/>
                        <w:sz w:val="12"/>
                      </w:rPr>
                      <w:t>g</w:t>
                    </w:r>
                    <w:r>
                      <w:rPr>
                        <w:b/>
                        <w:spacing w:val="-42"/>
                        <w:w w:val="101"/>
                        <w:position w:val="1"/>
                        <w:sz w:val="20"/>
                      </w:rPr>
                      <w:t>t</w:t>
                    </w:r>
                    <w:r>
                      <w:rPr>
                        <w:b/>
                        <w:spacing w:val="-7"/>
                        <w:w w:val="103"/>
                        <w:sz w:val="12"/>
                      </w:rPr>
                      <w:t>r</w:t>
                    </w:r>
                    <w:r>
                      <w:rPr>
                        <w:b/>
                        <w:spacing w:val="-117"/>
                        <w:w w:val="101"/>
                        <w:position w:val="1"/>
                        <w:sz w:val="20"/>
                      </w:rPr>
                      <w:t>o</w:t>
                    </w:r>
                    <w:r>
                      <w:rPr>
                        <w:b/>
                        <w:spacing w:val="-1"/>
                        <w:w w:val="103"/>
                        <w:sz w:val="12"/>
                      </w:rPr>
                      <w:t>a</w:t>
                    </w:r>
                    <w:r>
                      <w:rPr>
                        <w:b/>
                        <w:spacing w:val="-4"/>
                        <w:w w:val="103"/>
                        <w:sz w:val="12"/>
                      </w:rPr>
                      <w:t>m</w:t>
                    </w:r>
                    <w:r>
                      <w:rPr>
                        <w:b/>
                        <w:spacing w:val="-120"/>
                        <w:w w:val="101"/>
                        <w:position w:val="1"/>
                        <w:sz w:val="20"/>
                      </w:rPr>
                      <w:t>d</w:t>
                    </w:r>
                    <w:r>
                      <w:rPr>
                        <w:b/>
                        <w:w w:val="103"/>
                        <w:sz w:val="12"/>
                      </w:rPr>
                      <w:t>a</w:t>
                    </w:r>
                    <w:r>
                      <w:rPr>
                        <w:b/>
                        <w:sz w:val="12"/>
                      </w:rPr>
                      <w:t> </w:t>
                    </w:r>
                    <w:r>
                      <w:rPr>
                        <w:b/>
                        <w:spacing w:val="-58"/>
                        <w:w w:val="103"/>
                        <w:sz w:val="12"/>
                      </w:rPr>
                      <w:t>d</w:t>
                    </w:r>
                    <w:r>
                      <w:rPr>
                        <w:b/>
                        <w:spacing w:val="-55"/>
                        <w:w w:val="101"/>
                        <w:position w:val="1"/>
                        <w:sz w:val="20"/>
                      </w:rPr>
                      <w:t>e</w:t>
                    </w:r>
                    <w:r>
                      <w:rPr>
                        <w:b/>
                        <w:w w:val="103"/>
                        <w:sz w:val="12"/>
                      </w:rPr>
                      <w:t>e</w:t>
                    </w:r>
                    <w:r>
                      <w:rPr>
                        <w:b/>
                        <w:sz w:val="12"/>
                      </w:rPr>
                      <w:t> </w:t>
                    </w:r>
                    <w:r>
                      <w:rPr>
                        <w:b/>
                        <w:spacing w:val="-26"/>
                        <w:w w:val="103"/>
                        <w:sz w:val="12"/>
                      </w:rPr>
                      <w:t>i</w:t>
                    </w:r>
                    <w:r>
                      <w:rPr>
                        <w:b/>
                        <w:spacing w:val="-31"/>
                        <w:w w:val="101"/>
                        <w:position w:val="1"/>
                        <w:sz w:val="20"/>
                      </w:rPr>
                      <w:t>l</w:t>
                    </w:r>
                    <w:r>
                      <w:rPr>
                        <w:b/>
                        <w:spacing w:val="-45"/>
                        <w:w w:val="103"/>
                        <w:sz w:val="12"/>
                      </w:rPr>
                      <w:t>n</w:t>
                    </w:r>
                    <w:r>
                      <w:rPr>
                        <w:b/>
                        <w:spacing w:val="-80"/>
                        <w:w w:val="101"/>
                        <w:position w:val="1"/>
                        <w:sz w:val="20"/>
                      </w:rPr>
                      <w:t>o</w:t>
                    </w:r>
                    <w:r>
                      <w:rPr>
                        <w:b/>
                        <w:w w:val="103"/>
                        <w:sz w:val="12"/>
                      </w:rPr>
                      <w:t>v</w:t>
                    </w:r>
                    <w:r>
                      <w:rPr>
                        <w:b/>
                        <w:spacing w:val="-59"/>
                        <w:w w:val="103"/>
                        <w:sz w:val="12"/>
                      </w:rPr>
                      <w:t>e</w:t>
                    </w:r>
                    <w:r>
                      <w:rPr>
                        <w:b/>
                        <w:spacing w:val="-56"/>
                        <w:w w:val="101"/>
                        <w:position w:val="1"/>
                        <w:sz w:val="20"/>
                      </w:rPr>
                      <w:t>s</w:t>
                    </w:r>
                    <w:r>
                      <w:rPr>
                        <w:b/>
                        <w:w w:val="103"/>
                        <w:sz w:val="12"/>
                      </w:rPr>
                      <w:t>r</w:t>
                    </w:r>
                    <w:r>
                      <w:rPr>
                        <w:b/>
                        <w:spacing w:val="-5"/>
                        <w:w w:val="103"/>
                        <w:sz w:val="12"/>
                      </w:rPr>
                      <w:t>s</w:t>
                    </w:r>
                    <w:r>
                      <w:rPr>
                        <w:b/>
                        <w:spacing w:val="-165"/>
                        <w:w w:val="101"/>
                        <w:position w:val="1"/>
                        <w:sz w:val="20"/>
                      </w:rPr>
                      <w:t>M</w:t>
                    </w:r>
                    <w:r>
                      <w:rPr>
                        <w:b/>
                        <w:w w:val="103"/>
                        <w:sz w:val="12"/>
                      </w:rPr>
                      <w:t>ió</w:t>
                    </w:r>
                    <w:r>
                      <w:rPr>
                        <w:b/>
                        <w:spacing w:val="-22"/>
                        <w:w w:val="103"/>
                        <w:sz w:val="12"/>
                      </w:rPr>
                      <w:t>n</w:t>
                    </w:r>
                    <w:r>
                      <w:rPr>
                        <w:b/>
                        <w:spacing w:val="1"/>
                        <w:w w:val="101"/>
                        <w:position w:val="1"/>
                        <w:sz w:val="20"/>
                      </w:rPr>
                      <w:t>u</w:t>
                    </w:r>
                    <w:r>
                      <w:rPr>
                        <w:b/>
                        <w:w w:val="101"/>
                        <w:position w:val="1"/>
                        <w:sz w:val="20"/>
                      </w:rPr>
                      <w:t>n</w:t>
                    </w:r>
                    <w:r>
                      <w:rPr>
                        <w:b/>
                        <w:spacing w:val="-1"/>
                        <w:w w:val="101"/>
                        <w:position w:val="1"/>
                        <w:sz w:val="20"/>
                      </w:rPr>
                      <w:t>i</w:t>
                    </w:r>
                    <w:r>
                      <w:rPr>
                        <w:b/>
                        <w:w w:val="101"/>
                        <w:position w:val="1"/>
                        <w:sz w:val="20"/>
                      </w:rPr>
                      <w:t>c</w:t>
                    </w:r>
                    <w:r>
                      <w:rPr>
                        <w:b/>
                        <w:spacing w:val="-1"/>
                        <w:w w:val="101"/>
                        <w:position w:val="1"/>
                        <w:sz w:val="20"/>
                      </w:rPr>
                      <w:t>i</w:t>
                    </w:r>
                    <w:r>
                      <w:rPr>
                        <w:b/>
                        <w:w w:val="101"/>
                        <w:position w:val="1"/>
                        <w:sz w:val="20"/>
                      </w:rPr>
                      <w:t>pio</w:t>
                    </w:r>
                    <w:r>
                      <w:rPr>
                        <w:b/>
                        <w:w w:val="101"/>
                        <w:position w:val="1"/>
                        <w:sz w:val="20"/>
                      </w:rPr>
                      <w:t>s</w:t>
                    </w:r>
                    <w:r>
                      <w:rPr>
                        <w:b/>
                        <w:spacing w:val="1"/>
                        <w:position w:val="1"/>
                        <w:sz w:val="20"/>
                      </w:rPr>
                      <w:t> </w:t>
                    </w:r>
                    <w:r>
                      <w:rPr>
                        <w:b/>
                        <w:w w:val="101"/>
                        <w:position w:val="1"/>
                        <w:sz w:val="20"/>
                      </w:rPr>
                      <w:t>y</w:t>
                    </w:r>
                    <w:r>
                      <w:rPr>
                        <w:b/>
                        <w:spacing w:val="1"/>
                        <w:position w:val="1"/>
                        <w:sz w:val="20"/>
                      </w:rPr>
                      <w:t> </w:t>
                    </w:r>
                    <w:r>
                      <w:rPr>
                        <w:b/>
                        <w:w w:val="101"/>
                        <w:position w:val="1"/>
                        <w:sz w:val="20"/>
                      </w:rPr>
                      <w:t>d</w:t>
                    </w:r>
                    <w:r>
                      <w:rPr>
                        <w:b/>
                        <w:w w:val="101"/>
                        <w:position w:val="1"/>
                        <w:sz w:val="20"/>
                      </w:rPr>
                      <w:t>e</w:t>
                    </w:r>
                    <w:r>
                      <w:rPr>
                        <w:b/>
                        <w:spacing w:val="1"/>
                        <w:position w:val="1"/>
                        <w:sz w:val="20"/>
                      </w:rPr>
                      <w:t> </w:t>
                    </w:r>
                    <w:r>
                      <w:rPr>
                        <w:b/>
                        <w:w w:val="101"/>
                        <w:position w:val="1"/>
                        <w:sz w:val="20"/>
                      </w:rPr>
                      <w:t>l</w:t>
                    </w:r>
                    <w:r>
                      <w:rPr>
                        <w:b/>
                        <w:spacing w:val="-1"/>
                        <w:w w:val="101"/>
                        <w:position w:val="1"/>
                        <w:sz w:val="20"/>
                      </w:rPr>
                      <w:t>a</w:t>
                    </w:r>
                    <w:r>
                      <w:rPr>
                        <w:b/>
                        <w:w w:val="101"/>
                        <w:position w:val="1"/>
                        <w:sz w:val="20"/>
                      </w:rPr>
                      <w:t>s</w:t>
                    </w:r>
                    <w:r>
                      <w:rPr>
                        <w:b/>
                        <w:spacing w:val="1"/>
                        <w:position w:val="1"/>
                        <w:sz w:val="20"/>
                      </w:rPr>
                      <w:t> </w:t>
                    </w:r>
                    <w:r>
                      <w:rPr>
                        <w:b/>
                        <w:spacing w:val="1"/>
                        <w:w w:val="101"/>
                        <w:position w:val="1"/>
                        <w:sz w:val="20"/>
                      </w:rPr>
                      <w:t>D</w:t>
                    </w:r>
                    <w:r>
                      <w:rPr>
                        <w:b/>
                        <w:spacing w:val="-83"/>
                        <w:w w:val="101"/>
                        <w:position w:val="1"/>
                        <w:sz w:val="20"/>
                      </w:rPr>
                      <w:t>e</w:t>
                    </w:r>
                    <w:r>
                      <w:rPr>
                        <w:b/>
                        <w:w w:val="103"/>
                        <w:sz w:val="12"/>
                      </w:rPr>
                      <w:t>r</w:t>
                    </w:r>
                    <w:r>
                      <w:rPr>
                        <w:b/>
                        <w:spacing w:val="-36"/>
                        <w:w w:val="103"/>
                        <w:sz w:val="12"/>
                      </w:rPr>
                      <w:t>e</w:t>
                    </w:r>
                    <w:r>
                      <w:rPr>
                        <w:b/>
                        <w:spacing w:val="-144"/>
                        <w:w w:val="101"/>
                        <w:position w:val="1"/>
                        <w:sz w:val="20"/>
                      </w:rPr>
                      <w:t>m</w:t>
                    </w:r>
                    <w:r>
                      <w:rPr>
                        <w:b/>
                        <w:w w:val="103"/>
                        <w:sz w:val="12"/>
                      </w:rPr>
                      <w:t>s</w:t>
                    </w:r>
                    <w:r>
                      <w:rPr>
                        <w:b/>
                        <w:spacing w:val="-1"/>
                        <w:w w:val="103"/>
                        <w:sz w:val="12"/>
                      </w:rPr>
                      <w:t>u</w:t>
                    </w:r>
                    <w:r>
                      <w:rPr>
                        <w:b/>
                        <w:spacing w:val="-113"/>
                        <w:w w:val="101"/>
                        <w:position w:val="1"/>
                        <w:sz w:val="20"/>
                      </w:rPr>
                      <w:t>a</w:t>
                    </w:r>
                    <w:r>
                      <w:rPr>
                        <w:b/>
                        <w:spacing w:val="-1"/>
                        <w:w w:val="103"/>
                        <w:sz w:val="12"/>
                      </w:rPr>
                      <w:t>lt</w:t>
                    </w:r>
                    <w:r>
                      <w:rPr>
                        <w:b/>
                        <w:spacing w:val="-32"/>
                        <w:w w:val="103"/>
                        <w:sz w:val="12"/>
                      </w:rPr>
                      <w:t>a</w:t>
                    </w:r>
                    <w:r>
                      <w:rPr>
                        <w:b/>
                        <w:spacing w:val="-47"/>
                        <w:w w:val="101"/>
                        <w:position w:val="1"/>
                        <w:sz w:val="20"/>
                      </w:rPr>
                      <w:t>r</w:t>
                    </w:r>
                    <w:r>
                      <w:rPr>
                        <w:b/>
                        <w:spacing w:val="-29"/>
                        <w:w w:val="103"/>
                        <w:sz w:val="12"/>
                      </w:rPr>
                      <w:t>d</w:t>
                    </w:r>
                    <w:r>
                      <w:rPr>
                        <w:b/>
                        <w:spacing w:val="-83"/>
                        <w:w w:val="101"/>
                        <w:position w:val="1"/>
                        <w:sz w:val="20"/>
                      </w:rPr>
                      <w:t>c</w:t>
                    </w:r>
                    <w:r>
                      <w:rPr>
                        <w:b/>
                        <w:spacing w:val="6"/>
                        <w:w w:val="103"/>
                        <w:sz w:val="12"/>
                      </w:rPr>
                      <w:t>o</w:t>
                    </w:r>
                    <w:r>
                      <w:rPr>
                        <w:b/>
                        <w:spacing w:val="-85"/>
                        <w:w w:val="101"/>
                        <w:position w:val="1"/>
                        <w:sz w:val="20"/>
                      </w:rPr>
                      <w:t>a</w:t>
                    </w:r>
                    <w:r>
                      <w:rPr>
                        <w:b/>
                        <w:spacing w:val="1"/>
                        <w:w w:val="103"/>
                        <w:sz w:val="12"/>
                      </w:rPr>
                      <w:t>d</w:t>
                    </w:r>
                    <w:r>
                      <w:rPr>
                        <w:b/>
                        <w:spacing w:val="-60"/>
                        <w:w w:val="103"/>
                        <w:sz w:val="12"/>
                      </w:rPr>
                      <w:t>e</w:t>
                    </w:r>
                    <w:r>
                      <w:rPr>
                        <w:b/>
                        <w:spacing w:val="-53"/>
                        <w:w w:val="101"/>
                        <w:position w:val="1"/>
                        <w:sz w:val="20"/>
                      </w:rPr>
                      <w:t>c</w:t>
                    </w:r>
                    <w:r>
                      <w:rPr>
                        <w:b/>
                        <w:w w:val="103"/>
                        <w:sz w:val="12"/>
                      </w:rPr>
                      <w:t>l</w:t>
                    </w:r>
                    <w:r>
                      <w:rPr>
                        <w:b/>
                        <w:spacing w:val="-16"/>
                        <w:sz w:val="12"/>
                      </w:rPr>
                      <w:t> </w:t>
                    </w:r>
                    <w:r>
                      <w:rPr>
                        <w:b/>
                        <w:spacing w:val="-41"/>
                        <w:w w:val="101"/>
                        <w:position w:val="1"/>
                        <w:sz w:val="20"/>
                      </w:rPr>
                      <w:t>i</w:t>
                    </w:r>
                    <w:r>
                      <w:rPr>
                        <w:b/>
                        <w:spacing w:val="-1"/>
                        <w:w w:val="103"/>
                        <w:sz w:val="12"/>
                      </w:rPr>
                      <w:t>f</w:t>
                    </w:r>
                    <w:r>
                      <w:rPr>
                        <w:b/>
                        <w:spacing w:val="-76"/>
                        <w:w w:val="103"/>
                        <w:sz w:val="12"/>
                      </w:rPr>
                      <w:t>o</w:t>
                    </w:r>
                    <w:r>
                      <w:rPr>
                        <w:b/>
                        <w:spacing w:val="-47"/>
                        <w:w w:val="101"/>
                        <w:position w:val="1"/>
                        <w:sz w:val="20"/>
                      </w:rPr>
                      <w:t>o</w:t>
                    </w:r>
                    <w:r>
                      <w:rPr>
                        <w:b/>
                        <w:spacing w:val="-29"/>
                        <w:w w:val="103"/>
                        <w:sz w:val="12"/>
                      </w:rPr>
                      <w:t>n</w:t>
                    </w:r>
                    <w:r>
                      <w:rPr>
                        <w:b/>
                        <w:spacing w:val="-95"/>
                        <w:w w:val="101"/>
                        <w:position w:val="1"/>
                        <w:sz w:val="20"/>
                      </w:rPr>
                      <w:t>n</w:t>
                    </w:r>
                    <w:r>
                      <w:rPr>
                        <w:b/>
                        <w:w w:val="103"/>
                        <w:sz w:val="12"/>
                      </w:rPr>
                      <w:t>d</w:t>
                    </w:r>
                    <w:r>
                      <w:rPr>
                        <w:b/>
                        <w:spacing w:val="-57"/>
                        <w:w w:val="103"/>
                        <w:sz w:val="12"/>
                      </w:rPr>
                      <w:t>o</w:t>
                    </w:r>
                    <w:r>
                      <w:rPr>
                        <w:b/>
                        <w:spacing w:val="-1"/>
                        <w:w w:val="101"/>
                        <w:position w:val="1"/>
                        <w:sz w:val="20"/>
                      </w:rPr>
                      <w:t>e</w:t>
                    </w:r>
                    <w:r>
                      <w:rPr>
                        <w:b/>
                        <w:spacing w:val="-6"/>
                        <w:w w:val="101"/>
                        <w:position w:val="1"/>
                        <w:sz w:val="20"/>
                      </w:rPr>
                      <w:t>s</w:t>
                    </w:r>
                    <w:r>
                      <w:rPr>
                        <w:b/>
                        <w:w w:val="103"/>
                        <w:sz w:val="12"/>
                      </w:rPr>
                      <w:t>d</w:t>
                    </w:r>
                    <w:r>
                      <w:rPr>
                        <w:b/>
                        <w:w w:val="103"/>
                        <w:sz w:val="12"/>
                      </w:rPr>
                      <w:t>e</w:t>
                    </w:r>
                    <w:r>
                      <w:rPr>
                        <w:b/>
                        <w:spacing w:val="2"/>
                        <w:sz w:val="12"/>
                      </w:rPr>
                      <w:t> </w:t>
                    </w:r>
                    <w:r>
                      <w:rPr>
                        <w:b/>
                        <w:w w:val="103"/>
                        <w:sz w:val="12"/>
                      </w:rPr>
                      <w:t>C</w:t>
                    </w:r>
                    <w:r>
                      <w:rPr>
                        <w:b/>
                        <w:w w:val="103"/>
                        <w:sz w:val="12"/>
                      </w:rPr>
                      <w:t>o</w:t>
                    </w:r>
                    <w:r>
                      <w:rPr>
                        <w:b/>
                        <w:spacing w:val="1"/>
                        <w:w w:val="103"/>
                        <w:sz w:val="12"/>
                      </w:rPr>
                      <w:t>n</w:t>
                    </w:r>
                    <w:r>
                      <w:rPr>
                        <w:b/>
                        <w:spacing w:val="-1"/>
                        <w:w w:val="103"/>
                        <w:sz w:val="12"/>
                      </w:rPr>
                      <w:t>t</w:t>
                    </w:r>
                    <w:r>
                      <w:rPr>
                        <w:b/>
                        <w:w w:val="103"/>
                        <w:sz w:val="12"/>
                      </w:rPr>
                      <w:t>r</w:t>
                    </w:r>
                    <w:r>
                      <w:rPr>
                        <w:b/>
                        <w:spacing w:val="-1"/>
                        <w:w w:val="103"/>
                        <w:sz w:val="12"/>
                      </w:rPr>
                      <w:t>o</w:t>
                    </w:r>
                    <w:r>
                      <w:rPr>
                        <w:b/>
                        <w:w w:val="103"/>
                        <w:sz w:val="12"/>
                      </w:rPr>
                      <w:t>l</w:t>
                    </w:r>
                    <w:r>
                      <w:rPr>
                        <w:b/>
                        <w:spacing w:val="1"/>
                        <w:sz w:val="12"/>
                      </w:rPr>
                      <w:t> </w:t>
                    </w:r>
                    <w:r>
                      <w:rPr>
                        <w:b/>
                        <w:w w:val="103"/>
                        <w:sz w:val="12"/>
                      </w:rPr>
                      <w:t>y</w:t>
                    </w:r>
                  </w:p>
                </w:txbxContent>
              </v:textbox>
              <w10:wrap type="none"/>
            </v:shape>
            <v:shape style="position:absolute;left:3943;top:636;width:823;height:125" type="#_x0000_t202" filled="false" stroked="false">
              <v:textbox inset="0,0,0,0">
                <w:txbxContent>
                  <w:p>
                    <w:pPr>
                      <w:spacing w:line="124" w:lineRule="exact" w:before="0"/>
                      <w:ind w:left="0" w:right="-16" w:firstLine="0"/>
                      <w:jc w:val="left"/>
                      <w:rPr>
                        <w:b/>
                        <w:sz w:val="12"/>
                      </w:rPr>
                    </w:pPr>
                    <w:r>
                      <w:rPr>
                        <w:b/>
                        <w:w w:val="105"/>
                        <w:sz w:val="12"/>
                      </w:rPr>
                      <w:t>COPLADEM</w:t>
                    </w:r>
                    <w:r>
                      <w:rPr>
                        <w:b/>
                        <w:spacing w:val="-14"/>
                        <w:w w:val="105"/>
                        <w:sz w:val="12"/>
                      </w:rPr>
                      <w:t> </w:t>
                    </w:r>
                    <w:r>
                      <w:rPr>
                        <w:b/>
                        <w:w w:val="105"/>
                        <w:sz w:val="12"/>
                      </w:rPr>
                      <w:t>o</w:t>
                    </w:r>
                  </w:p>
                </w:txbxContent>
              </v:textbox>
              <w10:wrap type="none"/>
            </v:shape>
            <v:shape style="position:absolute;left:5365;top:636;width:2238;height:125" type="#_x0000_t202" filled="false" stroked="false">
              <v:textbox inset="0,0,0,0">
                <w:txbxContent>
                  <w:p>
                    <w:pPr>
                      <w:tabs>
                        <w:tab w:pos="1422" w:val="left" w:leader="none"/>
                      </w:tabs>
                      <w:spacing w:line="124" w:lineRule="exact" w:before="0"/>
                      <w:ind w:left="0" w:right="0" w:firstLine="0"/>
                      <w:jc w:val="left"/>
                      <w:rPr>
                        <w:b/>
                        <w:sz w:val="12"/>
                      </w:rPr>
                    </w:pPr>
                    <w:r>
                      <w:rPr>
                        <w:b/>
                        <w:w w:val="105"/>
                        <w:sz w:val="12"/>
                      </w:rPr>
                      <w:t>funcionamiento</w:t>
                    </w:r>
                    <w:r>
                      <w:rPr>
                        <w:b/>
                        <w:spacing w:val="-8"/>
                        <w:w w:val="105"/>
                        <w:sz w:val="12"/>
                      </w:rPr>
                      <w:t> </w:t>
                    </w:r>
                    <w:r>
                      <w:rPr>
                        <w:b/>
                        <w:w w:val="105"/>
                        <w:sz w:val="12"/>
                      </w:rPr>
                      <w:t>del</w:t>
                      <w:tab/>
                      <w:t>propuesta</w:t>
                    </w:r>
                    <w:r>
                      <w:rPr>
                        <w:b/>
                        <w:spacing w:val="-17"/>
                        <w:w w:val="105"/>
                        <w:sz w:val="12"/>
                      </w:rPr>
                      <w:t> </w:t>
                    </w:r>
                    <w:r>
                      <w:rPr>
                        <w:b/>
                        <w:w w:val="105"/>
                        <w:sz w:val="12"/>
                      </w:rPr>
                      <w:t>del</w:t>
                    </w:r>
                  </w:p>
                </w:txbxContent>
              </v:textbox>
              <w10:wrap type="none"/>
            </v:shape>
            <v:shape style="position:absolute;left:8206;top:636;width:2334;height:125" type="#_x0000_t202" filled="false" stroked="false">
              <v:textbox inset="0,0,0,0">
                <w:txbxContent>
                  <w:p>
                    <w:pPr>
                      <w:spacing w:line="124" w:lineRule="exact" w:before="0"/>
                      <w:ind w:left="0" w:right="-4" w:firstLine="0"/>
                      <w:jc w:val="left"/>
                      <w:rPr>
                        <w:b/>
                        <w:sz w:val="12"/>
                      </w:rPr>
                    </w:pPr>
                    <w:r>
                      <w:rPr>
                        <w:b/>
                        <w:w w:val="105"/>
                        <w:sz w:val="12"/>
                      </w:rPr>
                      <w:t>integrar la propuesta del la comunidad</w:t>
                    </w:r>
                  </w:p>
                </w:txbxContent>
              </v:textbox>
              <w10:wrap type="none"/>
            </v:shape>
            <v:shape style="position:absolute;left:11442;top:636;width:2505;height:125" type="#_x0000_t202" filled="false" stroked="false">
              <v:textbox inset="0,0,0,0">
                <w:txbxContent>
                  <w:p>
                    <w:pPr>
                      <w:tabs>
                        <w:tab w:pos="1315" w:val="left" w:leader="none"/>
                      </w:tabs>
                      <w:spacing w:line="124" w:lineRule="exact" w:before="0"/>
                      <w:ind w:left="0" w:right="0" w:firstLine="0"/>
                      <w:jc w:val="left"/>
                      <w:rPr>
                        <w:b/>
                        <w:sz w:val="12"/>
                      </w:rPr>
                    </w:pPr>
                    <w:r>
                      <w:rPr>
                        <w:b/>
                        <w:w w:val="105"/>
                        <w:sz w:val="12"/>
                      </w:rPr>
                      <w:t>para</w:t>
                    </w:r>
                    <w:r>
                      <w:rPr>
                        <w:b/>
                        <w:spacing w:val="-7"/>
                        <w:w w:val="105"/>
                        <w:sz w:val="12"/>
                      </w:rPr>
                      <w:t> </w:t>
                    </w:r>
                    <w:r>
                      <w:rPr>
                        <w:b/>
                        <w:w w:val="105"/>
                        <w:sz w:val="12"/>
                      </w:rPr>
                      <w:t>evaluar</w:t>
                    </w:r>
                    <w:r>
                      <w:rPr>
                        <w:b/>
                        <w:spacing w:val="-7"/>
                        <w:w w:val="105"/>
                        <w:sz w:val="12"/>
                      </w:rPr>
                      <w:t> </w:t>
                    </w:r>
                    <w:r>
                      <w:rPr>
                        <w:b/>
                        <w:w w:val="105"/>
                        <w:sz w:val="12"/>
                      </w:rPr>
                      <w:t>los</w:t>
                      <w:tab/>
                      <w:t>Comité</w:t>
                    </w:r>
                    <w:r>
                      <w:rPr>
                        <w:b/>
                        <w:spacing w:val="-22"/>
                        <w:w w:val="105"/>
                        <w:sz w:val="12"/>
                      </w:rPr>
                      <w:t> </w:t>
                    </w:r>
                    <w:r>
                      <w:rPr>
                        <w:b/>
                        <w:w w:val="105"/>
                        <w:sz w:val="12"/>
                      </w:rPr>
                      <w:t>Comunitario</w:t>
                    </w:r>
                  </w:p>
                </w:txbxContent>
              </v:textbox>
              <w10:wrap type="none"/>
            </v:shape>
            <v:shape style="position:absolute;left:5167;top:951;width:5406;height:225" type="#_x0000_t202" filled="false" stroked="false">
              <v:textbox inset="0,0,0,0">
                <w:txbxContent>
                  <w:p>
                    <w:pPr>
                      <w:spacing w:line="224" w:lineRule="exact" w:before="0"/>
                      <w:ind w:left="0" w:right="0" w:firstLine="0"/>
                      <w:jc w:val="left"/>
                      <w:rPr>
                        <w:b/>
                        <w:sz w:val="20"/>
                      </w:rPr>
                    </w:pPr>
                    <w:r>
                      <w:rPr>
                        <w:b/>
                        <w:spacing w:val="-16"/>
                        <w:w w:val="101"/>
                        <w:sz w:val="20"/>
                      </w:rPr>
                      <w:t>T</w:t>
                    </w:r>
                    <w:r>
                      <w:rPr>
                        <w:b/>
                        <w:spacing w:val="-24"/>
                        <w:w w:val="101"/>
                        <w:sz w:val="20"/>
                      </w:rPr>
                      <w:t>e</w:t>
                    </w:r>
                    <w:r>
                      <w:rPr>
                        <w:b/>
                        <w:spacing w:val="-65"/>
                        <w:w w:val="103"/>
                        <w:position w:val="9"/>
                        <w:sz w:val="12"/>
                      </w:rPr>
                      <w:t>C</w:t>
                    </w:r>
                    <w:r>
                      <w:rPr>
                        <w:b/>
                        <w:spacing w:val="-14"/>
                        <w:w w:val="101"/>
                        <w:sz w:val="20"/>
                      </w:rPr>
                      <w:t>r</w:t>
                    </w:r>
                    <w:r>
                      <w:rPr>
                        <w:b/>
                        <w:spacing w:val="-82"/>
                        <w:w w:val="103"/>
                        <w:position w:val="9"/>
                        <w:sz w:val="12"/>
                      </w:rPr>
                      <w:t>O</w:t>
                    </w:r>
                    <w:r>
                      <w:rPr>
                        <w:b/>
                        <w:spacing w:val="-1"/>
                        <w:w w:val="101"/>
                        <w:sz w:val="20"/>
                      </w:rPr>
                      <w:t>r</w:t>
                    </w:r>
                    <w:r>
                      <w:rPr>
                        <w:b/>
                        <w:spacing w:val="-53"/>
                        <w:w w:val="101"/>
                        <w:sz w:val="20"/>
                      </w:rPr>
                      <w:t>i</w:t>
                    </w:r>
                    <w:r>
                      <w:rPr>
                        <w:b/>
                        <w:spacing w:val="-38"/>
                        <w:w w:val="103"/>
                        <w:position w:val="9"/>
                        <w:sz w:val="12"/>
                      </w:rPr>
                      <w:t>D</w:t>
                    </w:r>
                    <w:r>
                      <w:rPr>
                        <w:b/>
                        <w:spacing w:val="-30"/>
                        <w:w w:val="101"/>
                        <w:sz w:val="20"/>
                      </w:rPr>
                      <w:t>t</w:t>
                    </w:r>
                    <w:r>
                      <w:rPr>
                        <w:b/>
                        <w:spacing w:val="-54"/>
                        <w:w w:val="103"/>
                        <w:position w:val="9"/>
                        <w:sz w:val="12"/>
                      </w:rPr>
                      <w:t>E</w:t>
                    </w:r>
                    <w:r>
                      <w:rPr>
                        <w:b/>
                        <w:spacing w:val="-71"/>
                        <w:w w:val="101"/>
                        <w:sz w:val="20"/>
                      </w:rPr>
                      <w:t>o</w:t>
                    </w:r>
                    <w:r>
                      <w:rPr>
                        <w:b/>
                        <w:spacing w:val="-32"/>
                        <w:w w:val="103"/>
                        <w:position w:val="9"/>
                        <w:sz w:val="12"/>
                      </w:rPr>
                      <w:t>M</w:t>
                    </w:r>
                    <w:r>
                      <w:rPr>
                        <w:b/>
                        <w:spacing w:val="-48"/>
                        <w:w w:val="101"/>
                        <w:sz w:val="20"/>
                      </w:rPr>
                      <w:t>r</w:t>
                    </w:r>
                    <w:r>
                      <w:rPr>
                        <w:b/>
                        <w:spacing w:val="-41"/>
                        <w:w w:val="103"/>
                        <w:position w:val="9"/>
                        <w:sz w:val="12"/>
                      </w:rPr>
                      <w:t>U</w:t>
                    </w:r>
                    <w:r>
                      <w:rPr>
                        <w:b/>
                        <w:spacing w:val="-13"/>
                        <w:w w:val="101"/>
                        <w:sz w:val="20"/>
                      </w:rPr>
                      <w:t>i</w:t>
                    </w:r>
                    <w:r>
                      <w:rPr>
                        <w:b/>
                        <w:spacing w:val="-77"/>
                        <w:w w:val="103"/>
                        <w:position w:val="9"/>
                        <w:sz w:val="12"/>
                      </w:rPr>
                      <w:t>N</w:t>
                    </w:r>
                    <w:r>
                      <w:rPr>
                        <w:b/>
                        <w:w w:val="101"/>
                        <w:sz w:val="20"/>
                      </w:rPr>
                      <w:t>a</w:t>
                    </w:r>
                    <w:r>
                      <w:rPr>
                        <w:b/>
                        <w:spacing w:val="-1"/>
                        <w:w w:val="101"/>
                        <w:sz w:val="20"/>
                      </w:rPr>
                      <w:t>l</w:t>
                    </w:r>
                    <w:r>
                      <w:rPr>
                        <w:b/>
                        <w:spacing w:val="-1"/>
                        <w:w w:val="101"/>
                        <w:sz w:val="20"/>
                      </w:rPr>
                      <w:t>e</w:t>
                    </w:r>
                    <w:r>
                      <w:rPr>
                        <w:b/>
                        <w:w w:val="101"/>
                        <w:sz w:val="20"/>
                      </w:rPr>
                      <w:t>s</w:t>
                    </w:r>
                    <w:r>
                      <w:rPr>
                        <w:b/>
                        <w:spacing w:val="1"/>
                        <w:sz w:val="20"/>
                      </w:rPr>
                      <w:t> </w:t>
                    </w:r>
                    <w:r>
                      <w:rPr>
                        <w:b/>
                        <w:w w:val="101"/>
                        <w:sz w:val="20"/>
                      </w:rPr>
                      <w:t>d</w:t>
                    </w:r>
                    <w:r>
                      <w:rPr>
                        <w:b/>
                        <w:w w:val="101"/>
                        <w:sz w:val="20"/>
                      </w:rPr>
                      <w:t>e</w:t>
                    </w:r>
                    <w:r>
                      <w:rPr>
                        <w:b/>
                        <w:w w:val="101"/>
                        <w:sz w:val="20"/>
                      </w:rPr>
                      <w:t>l</w:t>
                    </w:r>
                    <w:r>
                      <w:rPr>
                        <w:b/>
                        <w:sz w:val="20"/>
                      </w:rPr>
                      <w:t> </w:t>
                    </w:r>
                    <w:r>
                      <w:rPr>
                        <w:b/>
                        <w:spacing w:val="-92"/>
                        <w:w w:val="101"/>
                        <w:sz w:val="20"/>
                      </w:rPr>
                      <w:t>D</w:t>
                    </w:r>
                    <w:r>
                      <w:rPr>
                        <w:b/>
                        <w:w w:val="103"/>
                        <w:position w:val="9"/>
                        <w:sz w:val="12"/>
                      </w:rPr>
                      <w:t>C</w:t>
                    </w:r>
                    <w:r>
                      <w:rPr>
                        <w:b/>
                        <w:spacing w:val="-94"/>
                        <w:w w:val="103"/>
                        <w:position w:val="9"/>
                        <w:sz w:val="12"/>
                      </w:rPr>
                      <w:t>O</w:t>
                    </w:r>
                    <w:r>
                      <w:rPr>
                        <w:b/>
                        <w:spacing w:val="-1"/>
                        <w:w w:val="101"/>
                        <w:sz w:val="20"/>
                      </w:rPr>
                      <w:t>i</w:t>
                    </w:r>
                    <w:r>
                      <w:rPr>
                        <w:b/>
                        <w:spacing w:val="-75"/>
                        <w:w w:val="101"/>
                        <w:sz w:val="20"/>
                      </w:rPr>
                      <w:t>s</w:t>
                    </w:r>
                    <w:r>
                      <w:rPr>
                        <w:b/>
                        <w:spacing w:val="-15"/>
                        <w:w w:val="103"/>
                        <w:position w:val="9"/>
                        <w:sz w:val="12"/>
                      </w:rPr>
                      <w:t>D</w:t>
                    </w:r>
                    <w:r>
                      <w:rPr>
                        <w:b/>
                        <w:spacing w:val="-53"/>
                        <w:w w:val="101"/>
                        <w:sz w:val="20"/>
                      </w:rPr>
                      <w:t>t</w:t>
                    </w:r>
                    <w:r>
                      <w:rPr>
                        <w:b/>
                        <w:spacing w:val="-31"/>
                        <w:w w:val="103"/>
                        <w:position w:val="9"/>
                        <w:sz w:val="12"/>
                      </w:rPr>
                      <w:t>E</w:t>
                    </w:r>
                    <w:r>
                      <w:rPr>
                        <w:b/>
                        <w:spacing w:val="-49"/>
                        <w:w w:val="101"/>
                        <w:sz w:val="20"/>
                      </w:rPr>
                      <w:t>r</w:t>
                    </w:r>
                    <w:r>
                      <w:rPr>
                        <w:b/>
                        <w:spacing w:val="-53"/>
                        <w:w w:val="103"/>
                        <w:position w:val="9"/>
                        <w:sz w:val="12"/>
                      </w:rPr>
                      <w:t>M</w:t>
                    </w:r>
                    <w:r>
                      <w:rPr>
                        <w:b/>
                        <w:spacing w:val="-4"/>
                        <w:w w:val="101"/>
                        <w:sz w:val="20"/>
                      </w:rPr>
                      <w:t>i</w:t>
                    </w:r>
                    <w:r>
                      <w:rPr>
                        <w:b/>
                        <w:spacing w:val="-87"/>
                        <w:w w:val="103"/>
                        <w:position w:val="9"/>
                        <w:sz w:val="12"/>
                      </w:rPr>
                      <w:t>U</w:t>
                    </w:r>
                    <w:r>
                      <w:rPr>
                        <w:b/>
                        <w:spacing w:val="-1"/>
                        <w:w w:val="101"/>
                        <w:sz w:val="20"/>
                      </w:rPr>
                      <w:t>t</w:t>
                    </w:r>
                    <w:r>
                      <w:rPr>
                        <w:b/>
                        <w:spacing w:val="-102"/>
                        <w:w w:val="101"/>
                        <w:sz w:val="20"/>
                      </w:rPr>
                      <w:t>o</w:t>
                    </w:r>
                    <w:r>
                      <w:rPr>
                        <w:b/>
                        <w:w w:val="103"/>
                        <w:position w:val="9"/>
                        <w:sz w:val="12"/>
                      </w:rPr>
                      <w:t>N</w:t>
                    </w:r>
                    <w:r>
                      <w:rPr>
                        <w:b/>
                        <w:spacing w:val="2"/>
                        <w:position w:val="9"/>
                        <w:sz w:val="12"/>
                      </w:rPr>
                      <w:t> </w:t>
                    </w:r>
                    <w:r>
                      <w:rPr>
                        <w:b/>
                        <w:spacing w:val="-41"/>
                        <w:w w:val="103"/>
                        <w:position w:val="9"/>
                        <w:sz w:val="12"/>
                      </w:rPr>
                      <w:t>o</w:t>
                    </w:r>
                    <w:r>
                      <w:rPr>
                        <w:b/>
                        <w:spacing w:val="-49"/>
                        <w:w w:val="101"/>
                        <w:sz w:val="20"/>
                      </w:rPr>
                      <w:t>F</w:t>
                    </w:r>
                    <w:r>
                      <w:rPr>
                        <w:b/>
                        <w:spacing w:val="-20"/>
                        <w:w w:val="103"/>
                        <w:position w:val="9"/>
                        <w:sz w:val="12"/>
                      </w:rPr>
                      <w:t>s</w:t>
                    </w:r>
                    <w:r>
                      <w:rPr>
                        <w:b/>
                        <w:spacing w:val="-92"/>
                        <w:w w:val="101"/>
                        <w:sz w:val="20"/>
                      </w:rPr>
                      <w:t>e</w:t>
                    </w:r>
                    <w:r>
                      <w:rPr>
                        <w:b/>
                        <w:w w:val="103"/>
                        <w:position w:val="9"/>
                        <w:sz w:val="12"/>
                      </w:rPr>
                      <w:t>i</w:t>
                    </w:r>
                    <w:r>
                      <w:rPr>
                        <w:b/>
                        <w:spacing w:val="-52"/>
                        <w:w w:val="103"/>
                        <w:position w:val="9"/>
                        <w:sz w:val="12"/>
                      </w:rPr>
                      <w:t>m</w:t>
                    </w:r>
                    <w:r>
                      <w:rPr>
                        <w:b/>
                        <w:spacing w:val="-71"/>
                        <w:w w:val="101"/>
                        <w:sz w:val="20"/>
                      </w:rPr>
                      <w:t>d</w:t>
                    </w:r>
                    <w:r>
                      <w:rPr>
                        <w:b/>
                        <w:spacing w:val="-1"/>
                        <w:w w:val="103"/>
                        <w:position w:val="9"/>
                        <w:sz w:val="12"/>
                      </w:rPr>
                      <w:t>i</w:t>
                    </w:r>
                    <w:r>
                      <w:rPr>
                        <w:b/>
                        <w:w w:val="103"/>
                        <w:position w:val="9"/>
                        <w:sz w:val="12"/>
                      </w:rPr>
                      <w:t>l</w:t>
                    </w:r>
                    <w:r>
                      <w:rPr>
                        <w:b/>
                        <w:spacing w:val="-67"/>
                        <w:w w:val="103"/>
                        <w:position w:val="9"/>
                        <w:sz w:val="12"/>
                      </w:rPr>
                      <w:t>a</w:t>
                    </w:r>
                    <w:r>
                      <w:rPr>
                        <w:b/>
                        <w:spacing w:val="-45"/>
                        <w:w w:val="101"/>
                        <w:sz w:val="20"/>
                      </w:rPr>
                      <w:t>e</w:t>
                    </w:r>
                    <w:r>
                      <w:rPr>
                        <w:b/>
                        <w:spacing w:val="-4"/>
                        <w:w w:val="103"/>
                        <w:position w:val="9"/>
                        <w:sz w:val="12"/>
                      </w:rPr>
                      <w:t>r</w:t>
                    </w:r>
                    <w:r>
                      <w:rPr>
                        <w:b/>
                        <w:w w:val="101"/>
                        <w:sz w:val="20"/>
                      </w:rPr>
                      <w:t>r</w:t>
                    </w:r>
                    <w:r>
                      <w:rPr>
                        <w:b/>
                        <w:spacing w:val="-1"/>
                        <w:w w:val="101"/>
                        <w:sz w:val="20"/>
                      </w:rPr>
                      <w:t>a</w:t>
                    </w:r>
                    <w:r>
                      <w:rPr>
                        <w:b/>
                        <w:w w:val="101"/>
                        <w:sz w:val="20"/>
                      </w:rPr>
                      <w:t>l</w:t>
                    </w:r>
                    <w:r>
                      <w:rPr>
                        <w:b/>
                        <w:spacing w:val="1"/>
                        <w:sz w:val="20"/>
                      </w:rPr>
                      <w:t> </w:t>
                    </w:r>
                    <w:r>
                      <w:rPr>
                        <w:b/>
                        <w:spacing w:val="-1"/>
                        <w:w w:val="101"/>
                        <w:sz w:val="20"/>
                      </w:rPr>
                      <w:t>(</w:t>
                    </w:r>
                    <w:r>
                      <w:rPr>
                        <w:b/>
                        <w:spacing w:val="1"/>
                        <w:w w:val="101"/>
                        <w:sz w:val="20"/>
                      </w:rPr>
                      <w:t>F</w:t>
                    </w:r>
                    <w:r>
                      <w:rPr>
                        <w:b/>
                        <w:w w:val="101"/>
                        <w:sz w:val="20"/>
                      </w:rPr>
                      <w:t>O</w:t>
                    </w:r>
                    <w:r>
                      <w:rPr>
                        <w:b/>
                        <w:w w:val="101"/>
                        <w:sz w:val="20"/>
                      </w:rPr>
                      <w:t>R</w:t>
                    </w:r>
                    <w:r>
                      <w:rPr>
                        <w:b/>
                        <w:spacing w:val="-15"/>
                        <w:w w:val="101"/>
                        <w:sz w:val="20"/>
                      </w:rPr>
                      <w:t>T</w:t>
                    </w:r>
                    <w:r>
                      <w:rPr>
                        <w:b/>
                        <w:spacing w:val="-1"/>
                        <w:w w:val="101"/>
                        <w:sz w:val="20"/>
                      </w:rPr>
                      <w:t>A</w:t>
                    </w:r>
                    <w:r>
                      <w:rPr>
                        <w:b/>
                        <w:spacing w:val="-1"/>
                        <w:w w:val="101"/>
                        <w:sz w:val="20"/>
                      </w:rPr>
                      <w:t>M</w:t>
                    </w:r>
                    <w:r>
                      <w:rPr>
                        <w:b/>
                        <w:spacing w:val="1"/>
                        <w:w w:val="101"/>
                        <w:sz w:val="20"/>
                      </w:rPr>
                      <w:t>U</w:t>
                    </w:r>
                    <w:r>
                      <w:rPr>
                        <w:b/>
                        <w:spacing w:val="-1"/>
                        <w:w w:val="101"/>
                        <w:sz w:val="20"/>
                      </w:rPr>
                      <w:t>N</w:t>
                    </w:r>
                    <w:r>
                      <w:rPr>
                        <w:b/>
                        <w:spacing w:val="1"/>
                        <w:w w:val="101"/>
                        <w:sz w:val="20"/>
                      </w:rPr>
                      <w:t>D</w:t>
                    </w:r>
                    <w:r>
                      <w:rPr>
                        <w:b/>
                        <w:w w:val="101"/>
                        <w:sz w:val="20"/>
                      </w:rPr>
                      <w:t>F)</w:t>
                    </w:r>
                    <w:r>
                      <w:rPr>
                        <w:b/>
                        <w:sz w:val="20"/>
                      </w:rPr>
                      <w:t> </w:t>
                    </w:r>
                    <w:r>
                      <w:rPr>
                        <w:b/>
                        <w:spacing w:val="-1"/>
                        <w:w w:val="101"/>
                        <w:sz w:val="20"/>
                      </w:rPr>
                      <w:t>2</w:t>
                    </w:r>
                    <w:r>
                      <w:rPr>
                        <w:b/>
                        <w:w w:val="101"/>
                        <w:sz w:val="20"/>
                      </w:rPr>
                      <w:t>008</w:t>
                    </w:r>
                    <w:r>
                      <w:rPr>
                        <w:b/>
                        <w:sz w:val="20"/>
                      </w:rPr>
                      <w:t> </w:t>
                    </w:r>
                    <w:r>
                      <w:rPr>
                        <w:b/>
                        <w:w w:val="101"/>
                        <w:sz w:val="20"/>
                      </w:rPr>
                      <w:t>%</w:t>
                    </w:r>
                  </w:p>
                </w:txbxContent>
              </v:textbox>
              <w10:wrap type="none"/>
            </v:shape>
            <v:shape style="position:absolute;left:6787;top:1108;width:193;height:125" type="#_x0000_t202" filled="false" stroked="false">
              <v:textbox inset="0,0,0,0">
                <w:txbxContent>
                  <w:p>
                    <w:pPr>
                      <w:spacing w:line="124" w:lineRule="exact" w:before="0"/>
                      <w:ind w:left="0" w:right="-14" w:firstLine="0"/>
                      <w:jc w:val="left"/>
                      <w:rPr>
                        <w:b/>
                        <w:sz w:val="12"/>
                      </w:rPr>
                    </w:pPr>
                    <w:r>
                      <w:rPr>
                        <w:b/>
                        <w:sz w:val="12"/>
                      </w:rPr>
                      <w:t>(%)</w:t>
                    </w:r>
                  </w:p>
                </w:txbxContent>
              </v:textbox>
              <w10:wrap type="none"/>
            </v:shape>
            <v:shape style="position:absolute;left:2209;top:951;width:11249;height:775" type="#_x0000_t202" filled="false" stroked="false">
              <v:textbox inset="0,0,0,0">
                <w:txbxContent>
                  <w:p>
                    <w:pPr>
                      <w:spacing w:line="126" w:lineRule="exact" w:before="0"/>
                      <w:ind w:left="10550" w:right="0" w:firstLine="0"/>
                      <w:jc w:val="left"/>
                      <w:rPr>
                        <w:b/>
                        <w:sz w:val="12"/>
                      </w:rPr>
                    </w:pPr>
                    <w:r>
                      <w:rPr>
                        <w:b/>
                        <w:w w:val="105"/>
                        <w:sz w:val="12"/>
                      </w:rPr>
                      <w:t>Vigilancia</w:t>
                    </w:r>
                  </w:p>
                  <w:p>
                    <w:pPr>
                      <w:spacing w:before="19"/>
                      <w:ind w:left="0" w:right="0" w:firstLine="0"/>
                      <w:jc w:val="right"/>
                      <w:rPr>
                        <w:b/>
                        <w:sz w:val="12"/>
                      </w:rPr>
                    </w:pPr>
                    <w:r>
                      <w:rPr>
                        <w:b/>
                        <w:sz w:val="12"/>
                      </w:rPr>
                      <w:t>(COCICOVI)</w:t>
                    </w:r>
                  </w:p>
                  <w:p>
                    <w:pPr>
                      <w:spacing w:line="240" w:lineRule="auto" w:before="0"/>
                      <w:rPr>
                        <w:b/>
                        <w:sz w:val="12"/>
                      </w:rPr>
                    </w:pPr>
                  </w:p>
                  <w:p>
                    <w:pPr>
                      <w:spacing w:line="240" w:lineRule="auto" w:before="0"/>
                      <w:rPr>
                        <w:b/>
                        <w:sz w:val="12"/>
                      </w:rPr>
                    </w:pPr>
                  </w:p>
                  <w:p>
                    <w:pPr>
                      <w:spacing w:line="136" w:lineRule="exact" w:before="78"/>
                      <w:ind w:left="0" w:right="0" w:firstLine="0"/>
                      <w:jc w:val="left"/>
                      <w:rPr>
                        <w:sz w:val="12"/>
                      </w:rPr>
                    </w:pPr>
                    <w:r>
                      <w:rPr>
                        <w:w w:val="105"/>
                        <w:sz w:val="12"/>
                      </w:rPr>
                      <w:t>2011 Almoloya de Alquisiras    Solo comité comunitario</w:t>
                    </w:r>
                  </w:p>
                </w:txbxContent>
              </v:textbox>
              <w10:wrap type="none"/>
            </v:shape>
            <v:shape style="position:absolute;left:5977;top:1601;width:159;height:125" type="#_x0000_t202" filled="false" stroked="false">
              <v:textbox inset="0,0,0,0">
                <w:txbxContent>
                  <w:p>
                    <w:pPr>
                      <w:spacing w:line="124" w:lineRule="exact" w:before="0"/>
                      <w:ind w:left="0" w:right="-15" w:firstLine="0"/>
                      <w:jc w:val="left"/>
                      <w:rPr>
                        <w:sz w:val="12"/>
                      </w:rPr>
                    </w:pPr>
                    <w:r>
                      <w:rPr>
                        <w:sz w:val="12"/>
                      </w:rPr>
                      <w:t>No</w:t>
                    </w:r>
                  </w:p>
                </w:txbxContent>
              </v:textbox>
              <w10:wrap type="none"/>
            </v:shape>
            <v:shape style="position:absolute;left:7373;top:1601;width:1314;height:439" type="#_x0000_t202" filled="false" stroked="false">
              <v:textbox inset="0,0,0,0">
                <w:txbxContent>
                  <w:p>
                    <w:pPr>
                      <w:spacing w:line="126" w:lineRule="exact" w:before="0"/>
                      <w:ind w:left="0" w:right="-1" w:firstLine="0"/>
                      <w:jc w:val="left"/>
                      <w:rPr>
                        <w:sz w:val="12"/>
                      </w:rPr>
                    </w:pPr>
                    <w:r>
                      <w:rPr>
                        <w:w w:val="105"/>
                        <w:sz w:val="12"/>
                      </w:rPr>
                      <w:t>100</w:t>
                    </w:r>
                  </w:p>
                  <w:p>
                    <w:pPr>
                      <w:spacing w:line="226" w:lineRule="exact" w:before="86"/>
                      <w:ind w:left="16" w:right="-1" w:firstLine="0"/>
                      <w:jc w:val="left"/>
                      <w:rPr>
                        <w:sz w:val="20"/>
                      </w:rPr>
                    </w:pPr>
                    <w:r>
                      <w:rPr>
                        <w:sz w:val="20"/>
                      </w:rPr>
                      <w:t>Chimalhuacán</w:t>
                    </w:r>
                  </w:p>
                </w:txbxContent>
              </v:textbox>
              <w10:wrap type="none"/>
            </v:shape>
            <v:shape style="position:absolute;left:8854;top:1601;width:207;height:125" type="#_x0000_t202" filled="false" stroked="false">
              <v:textbox inset="0,0,0,0">
                <w:txbxContent>
                  <w:p>
                    <w:pPr>
                      <w:spacing w:line="124" w:lineRule="exact" w:before="0"/>
                      <w:ind w:left="0" w:right="-14" w:firstLine="0"/>
                      <w:jc w:val="left"/>
                      <w:rPr>
                        <w:sz w:val="12"/>
                      </w:rPr>
                    </w:pPr>
                    <w:r>
                      <w:rPr>
                        <w:sz w:val="12"/>
                      </w:rPr>
                      <w:t>N/E</w:t>
                    </w:r>
                  </w:p>
                </w:txbxContent>
              </v:textbox>
              <w10:wrap type="none"/>
            </v:shape>
            <v:shape style="position:absolute;left:10496;top:1601;width:1387;height:439" type="#_x0000_t202" filled="false" stroked="false">
              <v:textbox inset="0,0,0,0">
                <w:txbxContent>
                  <w:p>
                    <w:pPr>
                      <w:spacing w:line="126" w:lineRule="exact" w:before="0"/>
                      <w:ind w:left="23" w:right="-1" w:firstLine="0"/>
                      <w:jc w:val="left"/>
                      <w:rPr>
                        <w:sz w:val="12"/>
                      </w:rPr>
                    </w:pPr>
                    <w:r>
                      <w:rPr>
                        <w:w w:val="105"/>
                        <w:sz w:val="12"/>
                      </w:rPr>
                      <w:t>Si</w:t>
                    </w:r>
                  </w:p>
                  <w:p>
                    <w:pPr>
                      <w:spacing w:line="226" w:lineRule="exact" w:before="86"/>
                      <w:ind w:left="0" w:right="-1" w:firstLine="0"/>
                      <w:jc w:val="left"/>
                      <w:rPr>
                        <w:sz w:val="20"/>
                      </w:rPr>
                    </w:pPr>
                    <w:r>
                      <w:rPr>
                        <w:sz w:val="20"/>
                      </w:rPr>
                      <w:t>Nezahualcóyotl</w:t>
                    </w:r>
                  </w:p>
                </w:txbxContent>
              </v:textbox>
              <w10:wrap type="none"/>
            </v:shape>
            <v:shape style="position:absolute;left:11980;top:1601;width:207;height:125" type="#_x0000_t202" filled="false" stroked="false">
              <v:textbox inset="0,0,0,0">
                <w:txbxContent>
                  <w:p>
                    <w:pPr>
                      <w:spacing w:line="124" w:lineRule="exact" w:before="0"/>
                      <w:ind w:left="0" w:right="-14" w:firstLine="0"/>
                      <w:jc w:val="left"/>
                      <w:rPr>
                        <w:sz w:val="12"/>
                      </w:rPr>
                    </w:pPr>
                    <w:r>
                      <w:rPr>
                        <w:sz w:val="12"/>
                      </w:rPr>
                      <w:t>N/E</w:t>
                    </w:r>
                  </w:p>
                </w:txbxContent>
              </v:textbox>
              <w10:wrap type="none"/>
            </v:shape>
            <v:shape style="position:absolute;left:13290;top:1601;width:159;height:125" type="#_x0000_t202" filled="false" stroked="false">
              <v:textbox inset="0,0,0,0">
                <w:txbxContent>
                  <w:p>
                    <w:pPr>
                      <w:spacing w:line="124" w:lineRule="exact" w:before="0"/>
                      <w:ind w:left="0" w:right="-15" w:firstLine="0"/>
                      <w:jc w:val="left"/>
                      <w:rPr>
                        <w:sz w:val="12"/>
                      </w:rPr>
                    </w:pPr>
                    <w:r>
                      <w:rPr>
                        <w:sz w:val="12"/>
                      </w:rPr>
                      <w:t>No</w:t>
                    </w:r>
                  </w:p>
                </w:txbxContent>
              </v:textbox>
              <w10:wrap type="none"/>
            </v:shape>
            <v:shape style="position:absolute;left:2209;top:2041;width:3705;height:511" type="#_x0000_t202" filled="false" stroked="false">
              <v:textbox inset="0,0,0,0">
                <w:txbxContent>
                  <w:p>
                    <w:pPr>
                      <w:spacing w:line="256" w:lineRule="exact" w:before="12"/>
                      <w:ind w:left="703" w:right="0" w:hanging="704"/>
                      <w:jc w:val="left"/>
                      <w:rPr>
                        <w:sz w:val="20"/>
                      </w:rPr>
                    </w:pPr>
                    <w:r>
                      <w:rPr>
                        <w:position w:val="12"/>
                        <w:sz w:val="12"/>
                      </w:rPr>
                      <w:t>2011 Chima </w:t>
                    </w:r>
                    <w:r>
                      <w:rPr>
                        <w:sz w:val="20"/>
                      </w:rPr>
                      <w:t>Pago de obligaciones financieras Recursos aplicados en seguridad</w:t>
                    </w:r>
                  </w:p>
                </w:txbxContent>
              </v:textbox>
              <w10:wrap type="none"/>
            </v:shape>
            <v:shape style="position:absolute;left:9090;top:2094;width:394;height:203" type="#_x0000_t202" filled="false" stroked="false">
              <v:textbox inset="0,0,0,0">
                <w:txbxContent>
                  <w:p>
                    <w:pPr>
                      <w:spacing w:line="202" w:lineRule="exact" w:before="0"/>
                      <w:ind w:left="0" w:right="-16" w:firstLine="0"/>
                      <w:jc w:val="left"/>
                      <w:rPr>
                        <w:sz w:val="20"/>
                      </w:rPr>
                    </w:pPr>
                    <w:r>
                      <w:rPr>
                        <w:sz w:val="20"/>
                      </w:rPr>
                      <w:t>30.9</w:t>
                    </w:r>
                  </w:p>
                </w:txbxContent>
              </v:textbox>
              <w10:wrap type="none"/>
            </v:shape>
            <v:shape style="position:absolute;left:12407;top:2094;width:394;height:203" type="#_x0000_t202" filled="false" stroked="false">
              <v:textbox inset="0,0,0,0">
                <w:txbxContent>
                  <w:p>
                    <w:pPr>
                      <w:spacing w:line="202" w:lineRule="exact" w:before="0"/>
                      <w:ind w:left="0" w:right="-16" w:firstLine="0"/>
                      <w:jc w:val="left"/>
                      <w:rPr>
                        <w:sz w:val="20"/>
                      </w:rPr>
                    </w:pPr>
                    <w:r>
                      <w:rPr>
                        <w:sz w:val="20"/>
                      </w:rPr>
                      <w:t>13.1</w:t>
                    </w:r>
                  </w:p>
                </w:txbxContent>
              </v:textbox>
              <w10:wrap type="none"/>
            </v:shape>
            <v:shape style="position:absolute;left:13312;top:2041;width:110;height:125" type="#_x0000_t202" filled="false" stroked="false">
              <v:textbox inset="0,0,0,0">
                <w:txbxContent>
                  <w:p>
                    <w:pPr>
                      <w:spacing w:line="124" w:lineRule="exact" w:before="0"/>
                      <w:ind w:left="0" w:right="-17" w:firstLine="0"/>
                      <w:jc w:val="left"/>
                      <w:rPr>
                        <w:sz w:val="12"/>
                      </w:rPr>
                    </w:pPr>
                    <w:r>
                      <w:rPr>
                        <w:sz w:val="12"/>
                      </w:rPr>
                      <w:t>Si</w:t>
                    </w:r>
                  </w:p>
                </w:txbxContent>
              </v:textbox>
              <w10:wrap type="none"/>
            </v:shape>
            <v:shape style="position:absolute;left:2209;top:2606;width:5370;height:211" type="#_x0000_t202" filled="false" stroked="false">
              <v:textbox inset="0,0,0,0">
                <w:txbxContent>
                  <w:p>
                    <w:pPr>
                      <w:tabs>
                        <w:tab w:pos="1734" w:val="left" w:leader="none"/>
                        <w:tab w:pos="3768" w:val="left" w:leader="none"/>
                        <w:tab w:pos="5369" w:val="right" w:leader="none"/>
                      </w:tabs>
                      <w:spacing w:line="211" w:lineRule="exact" w:before="0"/>
                      <w:ind w:left="0" w:right="0" w:firstLine="0"/>
                      <w:jc w:val="left"/>
                      <w:rPr>
                        <w:sz w:val="12"/>
                      </w:rPr>
                    </w:pPr>
                    <w:r>
                      <w:rPr>
                        <w:spacing w:val="-1"/>
                        <w:w w:val="103"/>
                        <w:sz w:val="12"/>
                      </w:rPr>
                      <w:t>20</w:t>
                    </w:r>
                    <w:r>
                      <w:rPr>
                        <w:spacing w:val="-8"/>
                        <w:w w:val="103"/>
                        <w:sz w:val="12"/>
                      </w:rPr>
                      <w:t>1</w:t>
                    </w:r>
                    <w:r>
                      <w:rPr>
                        <w:w w:val="103"/>
                        <w:sz w:val="12"/>
                      </w:rPr>
                      <w:t>1</w:t>
                    </w:r>
                    <w:r>
                      <w:rPr>
                        <w:spacing w:val="13"/>
                        <w:sz w:val="12"/>
                      </w:rPr>
                      <w:t> </w:t>
                    </w:r>
                    <w:r>
                      <w:rPr>
                        <w:w w:val="103"/>
                        <w:sz w:val="12"/>
                      </w:rPr>
                      <w:t>I</w:t>
                    </w:r>
                    <w:r>
                      <w:rPr>
                        <w:spacing w:val="-1"/>
                        <w:w w:val="103"/>
                        <w:sz w:val="12"/>
                      </w:rPr>
                      <w:t>x</w:t>
                    </w:r>
                    <w:r>
                      <w:rPr>
                        <w:w w:val="103"/>
                        <w:sz w:val="12"/>
                      </w:rPr>
                      <w:t>t</w:t>
                    </w:r>
                    <w:r>
                      <w:rPr>
                        <w:w w:val="102"/>
                        <w:sz w:val="12"/>
                      </w:rPr>
                      <w:t>l</w:t>
                    </w:r>
                    <w:r>
                      <w:rPr>
                        <w:spacing w:val="-1"/>
                        <w:w w:val="103"/>
                        <w:sz w:val="12"/>
                      </w:rPr>
                      <w:t>a</w:t>
                    </w:r>
                    <w:r>
                      <w:rPr>
                        <w:w w:val="103"/>
                        <w:sz w:val="12"/>
                      </w:rPr>
                      <w:t>hu</w:t>
                    </w:r>
                    <w:r>
                      <w:rPr>
                        <w:spacing w:val="-45"/>
                        <w:w w:val="103"/>
                        <w:sz w:val="12"/>
                      </w:rPr>
                      <w:t>a</w:t>
                    </w:r>
                    <w:r>
                      <w:rPr>
                        <w:spacing w:val="-68"/>
                        <w:w w:val="101"/>
                        <w:position w:val="2"/>
                        <w:sz w:val="20"/>
                      </w:rPr>
                      <w:t>p</w:t>
                    </w:r>
                    <w:r>
                      <w:rPr>
                        <w:spacing w:val="-1"/>
                        <w:w w:val="103"/>
                        <w:sz w:val="12"/>
                      </w:rPr>
                      <w:t>c</w:t>
                    </w:r>
                    <w:r>
                      <w:rPr>
                        <w:spacing w:val="-63"/>
                        <w:w w:val="103"/>
                        <w:sz w:val="12"/>
                      </w:rPr>
                      <w:t>a</w:t>
                    </w:r>
                    <w:r>
                      <w:rPr>
                        <w:spacing w:val="-1"/>
                        <w:w w:val="101"/>
                        <w:position w:val="2"/>
                        <w:sz w:val="20"/>
                      </w:rPr>
                      <w:t>ú</w:t>
                    </w:r>
                    <w:r>
                      <w:rPr>
                        <w:w w:val="101"/>
                        <w:position w:val="2"/>
                        <w:sz w:val="20"/>
                      </w:rPr>
                      <w:t>b</w:t>
                    </w:r>
                    <w:r>
                      <w:rPr>
                        <w:spacing w:val="-1"/>
                        <w:w w:val="101"/>
                        <w:position w:val="2"/>
                        <w:sz w:val="20"/>
                      </w:rPr>
                      <w:t>l</w:t>
                    </w:r>
                    <w:r>
                      <w:rPr>
                        <w:w w:val="101"/>
                        <w:position w:val="2"/>
                        <w:sz w:val="20"/>
                      </w:rPr>
                      <w:t>i</w:t>
                    </w:r>
                    <w:r>
                      <w:rPr>
                        <w:spacing w:val="-1"/>
                        <w:w w:val="101"/>
                        <w:position w:val="2"/>
                        <w:sz w:val="20"/>
                      </w:rPr>
                      <w:t>c</w:t>
                    </w:r>
                    <w:r>
                      <w:rPr>
                        <w:w w:val="101"/>
                        <w:position w:val="2"/>
                        <w:sz w:val="20"/>
                      </w:rPr>
                      <w:t>a</w:t>
                    </w:r>
                    <w:r>
                      <w:rPr>
                        <w:position w:val="2"/>
                        <w:sz w:val="20"/>
                      </w:rPr>
                      <w:tab/>
                    </w:r>
                    <w:r>
                      <w:rPr>
                        <w:w w:val="103"/>
                        <w:sz w:val="12"/>
                      </w:rPr>
                      <w:t>C</w:t>
                    </w:r>
                    <w:r>
                      <w:rPr>
                        <w:w w:val="103"/>
                        <w:sz w:val="12"/>
                      </w:rPr>
                      <w:t>O</w:t>
                    </w:r>
                    <w:r>
                      <w:rPr>
                        <w:spacing w:val="1"/>
                        <w:w w:val="103"/>
                        <w:sz w:val="12"/>
                      </w:rPr>
                      <w:t>D</w:t>
                    </w:r>
                    <w:r>
                      <w:rPr>
                        <w:spacing w:val="-1"/>
                        <w:w w:val="103"/>
                        <w:sz w:val="12"/>
                      </w:rPr>
                      <w:t>E</w:t>
                    </w:r>
                    <w:r>
                      <w:rPr>
                        <w:w w:val="103"/>
                        <w:sz w:val="12"/>
                      </w:rPr>
                      <w:t>M</w:t>
                    </w:r>
                    <w:r>
                      <w:rPr>
                        <w:spacing w:val="1"/>
                        <w:w w:val="103"/>
                        <w:sz w:val="12"/>
                      </w:rPr>
                      <w:t>U</w:t>
                    </w:r>
                    <w:r>
                      <w:rPr>
                        <w:w w:val="103"/>
                        <w:sz w:val="12"/>
                      </w:rPr>
                      <w:t>N</w:t>
                    </w:r>
                    <w:r>
                      <w:rPr>
                        <w:sz w:val="12"/>
                      </w:rPr>
                      <w:tab/>
                    </w:r>
                    <w:r>
                      <w:rPr>
                        <w:w w:val="103"/>
                        <w:sz w:val="12"/>
                      </w:rPr>
                      <w:t>No</w:t>
                    </w:r>
                    <w:r>
                      <w:rPr>
                        <w:w w:val="103"/>
                        <w:sz w:val="12"/>
                      </w:rPr>
                      <w:t> </w:t>
                    </w:r>
                    <w:r>
                      <w:rPr>
                        <w:sz w:val="12"/>
                      </w:rPr>
                      <w:tab/>
                    </w:r>
                    <w:r>
                      <w:rPr>
                        <w:spacing w:val="-1"/>
                        <w:w w:val="103"/>
                        <w:sz w:val="12"/>
                      </w:rPr>
                      <w:t>100</w:t>
                    </w:r>
                  </w:p>
                </w:txbxContent>
              </v:textbox>
              <w10:wrap type="none"/>
            </v:shape>
            <v:shape style="position:absolute;left:8854;top:2606;width:633;height:970" type="#_x0000_t202" filled="false" stroked="false">
              <v:textbox inset="0,0,0,0">
                <w:txbxContent>
                  <w:p>
                    <w:pPr>
                      <w:spacing w:line="209" w:lineRule="exact" w:before="0"/>
                      <w:ind w:left="0" w:right="-10" w:firstLine="0"/>
                      <w:jc w:val="left"/>
                      <w:rPr>
                        <w:sz w:val="20"/>
                      </w:rPr>
                    </w:pPr>
                    <w:r>
                      <w:rPr>
                        <w:position w:val="-1"/>
                        <w:sz w:val="12"/>
                      </w:rPr>
                      <w:t>N/E </w:t>
                    </w:r>
                    <w:r>
                      <w:rPr>
                        <w:sz w:val="20"/>
                      </w:rPr>
                      <w:t>32.1</w:t>
                    </w:r>
                  </w:p>
                  <w:p>
                    <w:pPr>
                      <w:spacing w:before="22"/>
                      <w:ind w:left="236" w:right="-13" w:firstLine="0"/>
                      <w:jc w:val="left"/>
                      <w:rPr>
                        <w:sz w:val="20"/>
                      </w:rPr>
                    </w:pPr>
                    <w:r>
                      <w:rPr>
                        <w:sz w:val="20"/>
                      </w:rPr>
                      <w:t>21.3</w:t>
                    </w:r>
                  </w:p>
                  <w:p>
                    <w:pPr>
                      <w:spacing w:before="26"/>
                      <w:ind w:left="236" w:right="-13" w:firstLine="0"/>
                      <w:jc w:val="left"/>
                      <w:rPr>
                        <w:sz w:val="20"/>
                      </w:rPr>
                    </w:pPr>
                    <w:r>
                      <w:rPr>
                        <w:sz w:val="20"/>
                      </w:rPr>
                      <w:t>15.7</w:t>
                    </w:r>
                  </w:p>
                  <w:p>
                    <w:pPr>
                      <w:spacing w:line="241" w:lineRule="exact" w:before="11"/>
                      <w:ind w:left="0" w:right="-15" w:firstLine="0"/>
                      <w:jc w:val="left"/>
                      <w:rPr>
                        <w:b/>
                        <w:sz w:val="20"/>
                      </w:rPr>
                    </w:pPr>
                    <w:r>
                      <w:rPr>
                        <w:w w:val="103"/>
                        <w:position w:val="9"/>
                        <w:sz w:val="12"/>
                      </w:rPr>
                      <w:t>N/</w:t>
                    </w:r>
                    <w:r>
                      <w:rPr>
                        <w:spacing w:val="-80"/>
                        <w:w w:val="103"/>
                        <w:position w:val="9"/>
                        <w:sz w:val="12"/>
                      </w:rPr>
                      <w:t>E</w:t>
                    </w:r>
                    <w:r>
                      <w:rPr>
                        <w:b/>
                        <w:spacing w:val="-1"/>
                        <w:w w:val="101"/>
                        <w:sz w:val="20"/>
                      </w:rPr>
                      <w:t>100.0</w:t>
                    </w:r>
                  </w:p>
                </w:txbxContent>
              </v:textbox>
              <w10:wrap type="none"/>
            </v:shape>
            <v:shape style="position:absolute;left:10519;top:2692;width:110;height:125" type="#_x0000_t202" filled="false" stroked="false">
              <v:textbox inset="0,0,0,0">
                <w:txbxContent>
                  <w:p>
                    <w:pPr>
                      <w:spacing w:line="124" w:lineRule="exact" w:before="0"/>
                      <w:ind w:left="0" w:right="-17" w:firstLine="0"/>
                      <w:jc w:val="left"/>
                      <w:rPr>
                        <w:sz w:val="12"/>
                      </w:rPr>
                    </w:pPr>
                    <w:r>
                      <w:rPr>
                        <w:sz w:val="12"/>
                      </w:rPr>
                      <w:t>Si</w:t>
                    </w:r>
                  </w:p>
                </w:txbxContent>
              </v:textbox>
              <w10:wrap type="none"/>
            </v:shape>
            <v:shape style="position:absolute;left:11980;top:2692;width:207;height:125" type="#_x0000_t202" filled="false" stroked="false">
              <v:textbox inset="0,0,0,0">
                <w:txbxContent>
                  <w:p>
                    <w:pPr>
                      <w:spacing w:line="124" w:lineRule="exact" w:before="0"/>
                      <w:ind w:left="0" w:right="-14" w:firstLine="0"/>
                      <w:jc w:val="left"/>
                      <w:rPr>
                        <w:sz w:val="12"/>
                      </w:rPr>
                    </w:pPr>
                    <w:r>
                      <w:rPr>
                        <w:sz w:val="12"/>
                      </w:rPr>
                      <w:t>N/E</w:t>
                    </w:r>
                  </w:p>
                </w:txbxContent>
              </v:textbox>
              <w10:wrap type="none"/>
            </v:shape>
            <v:shape style="position:absolute;left:12298;top:2606;width:506;height:970" type="#_x0000_t202" filled="false" stroked="false">
              <v:textbox inset="0,0,0,0">
                <w:txbxContent>
                  <w:p>
                    <w:pPr>
                      <w:spacing w:line="206" w:lineRule="exact" w:before="0"/>
                      <w:ind w:left="106" w:right="0" w:firstLine="0"/>
                      <w:jc w:val="center"/>
                      <w:rPr>
                        <w:sz w:val="20"/>
                      </w:rPr>
                    </w:pPr>
                    <w:r>
                      <w:rPr>
                        <w:sz w:val="20"/>
                      </w:rPr>
                      <w:t>37.6</w:t>
                    </w:r>
                  </w:p>
                  <w:p>
                    <w:pPr>
                      <w:spacing w:before="25"/>
                      <w:ind w:left="222" w:right="0" w:firstLine="0"/>
                      <w:jc w:val="center"/>
                      <w:rPr>
                        <w:sz w:val="20"/>
                      </w:rPr>
                    </w:pPr>
                    <w:r>
                      <w:rPr>
                        <w:sz w:val="20"/>
                      </w:rPr>
                      <w:t>4.9</w:t>
                    </w:r>
                  </w:p>
                  <w:p>
                    <w:pPr>
                      <w:spacing w:before="26"/>
                      <w:ind w:left="106" w:right="0" w:firstLine="0"/>
                      <w:jc w:val="center"/>
                      <w:rPr>
                        <w:sz w:val="20"/>
                      </w:rPr>
                    </w:pPr>
                    <w:r>
                      <w:rPr>
                        <w:sz w:val="20"/>
                      </w:rPr>
                      <w:t>44.4</w:t>
                    </w:r>
                  </w:p>
                  <w:p>
                    <w:pPr>
                      <w:spacing w:line="226" w:lineRule="exact" w:before="26"/>
                      <w:ind w:left="-1" w:right="0" w:firstLine="0"/>
                      <w:jc w:val="center"/>
                      <w:rPr>
                        <w:b/>
                        <w:sz w:val="20"/>
                      </w:rPr>
                    </w:pPr>
                    <w:r>
                      <w:rPr>
                        <w:b/>
                        <w:spacing w:val="-1"/>
                        <w:sz w:val="20"/>
                      </w:rPr>
                      <w:t>100.0</w:t>
                    </w:r>
                  </w:p>
                </w:txbxContent>
              </v:textbox>
              <w10:wrap type="none"/>
            </v:shape>
            <v:shape style="position:absolute;left:13290;top:2692;width:159;height:125" type="#_x0000_t202" filled="false" stroked="false">
              <v:textbox inset="0,0,0,0">
                <w:txbxContent>
                  <w:p>
                    <w:pPr>
                      <w:spacing w:line="124" w:lineRule="exact" w:before="0"/>
                      <w:ind w:left="0" w:right="-15" w:firstLine="0"/>
                      <w:jc w:val="left"/>
                      <w:rPr>
                        <w:sz w:val="12"/>
                      </w:rPr>
                    </w:pPr>
                    <w:r>
                      <w:rPr>
                        <w:sz w:val="12"/>
                      </w:rPr>
                      <w:t>No</w:t>
                    </w:r>
                  </w:p>
                </w:txbxContent>
              </v:textbox>
              <w10:wrap type="none"/>
            </v:shape>
            <v:shape style="position:absolute;left:2912;top:2861;width:3215;height:459" type="#_x0000_t202" filled="false" stroked="false">
              <v:textbox inset="0,0,0,0">
                <w:txbxContent>
                  <w:p>
                    <w:pPr>
                      <w:spacing w:line="206" w:lineRule="exact" w:before="0"/>
                      <w:ind w:left="0" w:right="0" w:firstLine="0"/>
                      <w:jc w:val="left"/>
                      <w:rPr>
                        <w:sz w:val="20"/>
                      </w:rPr>
                    </w:pPr>
                    <w:r>
                      <w:rPr>
                        <w:sz w:val="20"/>
                      </w:rPr>
                      <w:t>Recursos aplicados en obra pública</w:t>
                    </w:r>
                  </w:p>
                  <w:p>
                    <w:pPr>
                      <w:spacing w:line="226" w:lineRule="exact" w:before="26"/>
                      <w:ind w:left="0" w:right="0" w:firstLine="0"/>
                      <w:jc w:val="left"/>
                      <w:rPr>
                        <w:sz w:val="20"/>
                      </w:rPr>
                    </w:pPr>
                    <w:r>
                      <w:rPr>
                        <w:sz w:val="20"/>
                      </w:rPr>
                      <w:t>Otros rubros de gasto.</w:t>
                    </w:r>
                  </w:p>
                </w:txbxContent>
              </v:textbox>
              <w10:wrap type="none"/>
            </v:shape>
            <v:shape style="position:absolute;left:2209;top:3342;width:1490;height:125" type="#_x0000_t202" filled="false" stroked="false">
              <v:textbox inset="0,0,0,0">
                <w:txbxContent>
                  <w:p>
                    <w:pPr>
                      <w:spacing w:line="124" w:lineRule="exact" w:before="0"/>
                      <w:ind w:left="0" w:right="-11" w:firstLine="0"/>
                      <w:jc w:val="left"/>
                      <w:rPr>
                        <w:sz w:val="12"/>
                      </w:rPr>
                    </w:pPr>
                    <w:r>
                      <w:rPr>
                        <w:spacing w:val="-3"/>
                        <w:w w:val="105"/>
                        <w:sz w:val="12"/>
                      </w:rPr>
                      <w:t>2011 </w:t>
                    </w:r>
                    <w:r>
                      <w:rPr>
                        <w:w w:val="105"/>
                        <w:sz w:val="12"/>
                      </w:rPr>
                      <w:t>Naucalpan de</w:t>
                    </w:r>
                    <w:r>
                      <w:rPr>
                        <w:spacing w:val="-11"/>
                        <w:w w:val="105"/>
                        <w:sz w:val="12"/>
                      </w:rPr>
                      <w:t> </w:t>
                    </w:r>
                    <w:r>
                      <w:rPr>
                        <w:w w:val="105"/>
                        <w:sz w:val="12"/>
                      </w:rPr>
                      <w:t>Juárez</w:t>
                    </w:r>
                  </w:p>
                </w:txbxContent>
              </v:textbox>
              <w10:wrap type="none"/>
            </v:shape>
            <v:shape style="position:absolute;left:3943;top:3342;width:614;height:125" type="#_x0000_t202" filled="false" stroked="false">
              <v:textbox inset="0,0,0,0">
                <w:txbxContent>
                  <w:p>
                    <w:pPr>
                      <w:spacing w:line="124" w:lineRule="exact" w:before="0"/>
                      <w:ind w:left="0" w:right="0" w:firstLine="0"/>
                      <w:jc w:val="left"/>
                      <w:rPr>
                        <w:sz w:val="12"/>
                      </w:rPr>
                    </w:pPr>
                    <w:r>
                      <w:rPr>
                        <w:sz w:val="12"/>
                      </w:rPr>
                      <w:t>COCICOVI</w:t>
                    </w:r>
                  </w:p>
                </w:txbxContent>
              </v:textbox>
              <w10:wrap type="none"/>
            </v:shape>
            <v:shape style="position:absolute;left:5040;top:3342;width:1523;height:234" type="#_x0000_t202" filled="false" stroked="false">
              <v:textbox inset="0,0,0,0">
                <w:txbxContent>
                  <w:p>
                    <w:pPr>
                      <w:spacing w:line="233" w:lineRule="exact" w:before="0"/>
                      <w:ind w:left="0" w:right="-12" w:firstLine="0"/>
                      <w:jc w:val="left"/>
                      <w:rPr>
                        <w:b/>
                        <w:sz w:val="20"/>
                      </w:rPr>
                    </w:pPr>
                    <w:r>
                      <w:rPr>
                        <w:b/>
                        <w:spacing w:val="-1"/>
                        <w:w w:val="101"/>
                        <w:sz w:val="20"/>
                      </w:rPr>
                      <w:t>P</w:t>
                    </w:r>
                    <w:r>
                      <w:rPr>
                        <w:b/>
                        <w:spacing w:val="1"/>
                        <w:w w:val="101"/>
                        <w:sz w:val="20"/>
                      </w:rPr>
                      <w:t>o</w:t>
                    </w:r>
                    <w:r>
                      <w:rPr>
                        <w:b/>
                        <w:spacing w:val="-1"/>
                        <w:w w:val="101"/>
                        <w:sz w:val="20"/>
                      </w:rPr>
                      <w:t>r</w:t>
                    </w:r>
                    <w:r>
                      <w:rPr>
                        <w:b/>
                        <w:w w:val="101"/>
                        <w:sz w:val="20"/>
                      </w:rPr>
                      <w:t>c</w:t>
                    </w:r>
                    <w:r>
                      <w:rPr>
                        <w:b/>
                        <w:spacing w:val="-1"/>
                        <w:w w:val="101"/>
                        <w:sz w:val="20"/>
                      </w:rPr>
                      <w:t>e</w:t>
                    </w:r>
                    <w:r>
                      <w:rPr>
                        <w:b/>
                        <w:w w:val="101"/>
                        <w:sz w:val="20"/>
                      </w:rPr>
                      <w:t>n</w:t>
                    </w:r>
                    <w:r>
                      <w:rPr>
                        <w:b/>
                        <w:spacing w:val="-1"/>
                        <w:w w:val="101"/>
                        <w:sz w:val="20"/>
                      </w:rPr>
                      <w:t>t</w:t>
                    </w:r>
                    <w:r>
                      <w:rPr>
                        <w:b/>
                        <w:spacing w:val="1"/>
                        <w:w w:val="101"/>
                        <w:sz w:val="20"/>
                      </w:rPr>
                      <w:t>a</w:t>
                    </w:r>
                    <w:r>
                      <w:rPr>
                        <w:b/>
                        <w:spacing w:val="-1"/>
                        <w:w w:val="101"/>
                        <w:sz w:val="20"/>
                      </w:rPr>
                      <w:t>j</w:t>
                    </w:r>
                    <w:r>
                      <w:rPr>
                        <w:b/>
                        <w:spacing w:val="-100"/>
                        <w:w w:val="101"/>
                        <w:sz w:val="20"/>
                      </w:rPr>
                      <w:t>e</w:t>
                    </w:r>
                    <w:r>
                      <w:rPr>
                        <w:w w:val="103"/>
                        <w:position w:val="9"/>
                        <w:sz w:val="12"/>
                      </w:rPr>
                      <w:t>N</w:t>
                    </w:r>
                    <w:r>
                      <w:rPr>
                        <w:spacing w:val="-2"/>
                        <w:w w:val="103"/>
                        <w:position w:val="9"/>
                        <w:sz w:val="12"/>
                      </w:rPr>
                      <w:t>o</w:t>
                    </w:r>
                    <w:r>
                      <w:rPr>
                        <w:b/>
                        <w:spacing w:val="-1"/>
                        <w:w w:val="101"/>
                        <w:sz w:val="20"/>
                      </w:rPr>
                      <w:t>t</w:t>
                    </w:r>
                    <w:r>
                      <w:rPr>
                        <w:b/>
                        <w:spacing w:val="1"/>
                        <w:w w:val="101"/>
                        <w:sz w:val="20"/>
                      </w:rPr>
                      <w:t>o</w:t>
                    </w:r>
                    <w:r>
                      <w:rPr>
                        <w:b/>
                        <w:spacing w:val="-1"/>
                        <w:w w:val="101"/>
                        <w:sz w:val="20"/>
                      </w:rPr>
                      <w:t>t</w:t>
                    </w:r>
                    <w:r>
                      <w:rPr>
                        <w:b/>
                        <w:w w:val="101"/>
                        <w:sz w:val="20"/>
                      </w:rPr>
                      <w:t>a</w:t>
                    </w:r>
                    <w:r>
                      <w:rPr>
                        <w:b/>
                        <w:w w:val="101"/>
                        <w:sz w:val="20"/>
                      </w:rPr>
                      <w:t>l</w:t>
                    </w:r>
                  </w:p>
                </w:txbxContent>
              </v:textbox>
              <w10:wrap type="none"/>
            </v:shape>
            <v:shape style="position:absolute;left:7443;top:3342;width:69;height:125" type="#_x0000_t202" filled="false" stroked="false">
              <v:textbox inset="0,0,0,0">
                <w:txbxContent>
                  <w:p>
                    <w:pPr>
                      <w:spacing w:line="124" w:lineRule="exact" w:before="0"/>
                      <w:ind w:left="0" w:right="0" w:firstLine="0"/>
                      <w:jc w:val="left"/>
                      <w:rPr>
                        <w:sz w:val="12"/>
                      </w:rPr>
                    </w:pPr>
                    <w:r>
                      <w:rPr>
                        <w:w w:val="103"/>
                        <w:sz w:val="12"/>
                      </w:rPr>
                      <w:t>0</w:t>
                    </w:r>
                  </w:p>
                </w:txbxContent>
              </v:textbox>
              <w10:wrap type="none"/>
            </v:shape>
            <v:shape style="position:absolute;left:10494;top:3342;width:159;height:125" type="#_x0000_t202" filled="false" stroked="false">
              <v:textbox inset="0,0,0,0">
                <w:txbxContent>
                  <w:p>
                    <w:pPr>
                      <w:spacing w:line="124" w:lineRule="exact" w:before="0"/>
                      <w:ind w:left="0" w:right="-15" w:firstLine="0"/>
                      <w:jc w:val="left"/>
                      <w:rPr>
                        <w:sz w:val="12"/>
                      </w:rPr>
                    </w:pPr>
                    <w:r>
                      <w:rPr>
                        <w:sz w:val="12"/>
                      </w:rPr>
                      <w:t>No</w:t>
                    </w:r>
                  </w:p>
                </w:txbxContent>
              </v:textbox>
              <w10:wrap type="none"/>
            </v:shape>
            <v:shape style="position:absolute;left:11980;top:3342;width:207;height:125" type="#_x0000_t202" filled="false" stroked="false">
              <v:textbox inset="0,0,0,0">
                <w:txbxContent>
                  <w:p>
                    <w:pPr>
                      <w:spacing w:line="124" w:lineRule="exact" w:before="0"/>
                      <w:ind w:left="0" w:right="-14" w:firstLine="0"/>
                      <w:jc w:val="left"/>
                      <w:rPr>
                        <w:sz w:val="12"/>
                      </w:rPr>
                    </w:pPr>
                    <w:r>
                      <w:rPr>
                        <w:sz w:val="12"/>
                      </w:rPr>
                      <w:t>N/E</w:t>
                    </w:r>
                  </w:p>
                </w:txbxContent>
              </v:textbox>
              <w10:wrap type="none"/>
            </v:shape>
            <v:shape style="position:absolute;left:13312;top:3342;width:110;height:125" type="#_x0000_t202" filled="false" stroked="false">
              <v:textbox inset="0,0,0,0">
                <w:txbxContent>
                  <w:p>
                    <w:pPr>
                      <w:spacing w:line="124" w:lineRule="exact" w:before="0"/>
                      <w:ind w:left="0" w:right="-17" w:firstLine="0"/>
                      <w:jc w:val="left"/>
                      <w:rPr>
                        <w:sz w:val="12"/>
                      </w:rPr>
                    </w:pPr>
                    <w:r>
                      <w:rPr>
                        <w:sz w:val="12"/>
                      </w:rPr>
                      <w:t>Si</w:t>
                    </w:r>
                  </w:p>
                </w:txbxContent>
              </v:textbox>
              <w10:wrap type="none"/>
            </v:shape>
            <v:shape style="position:absolute;left:2209;top:3973;width:797;height:125" type="#_x0000_t202" filled="false" stroked="false">
              <v:textbox inset="0,0,0,0">
                <w:txbxContent>
                  <w:p>
                    <w:pPr>
                      <w:spacing w:line="124" w:lineRule="exact" w:before="0"/>
                      <w:ind w:left="0" w:right="-14" w:firstLine="0"/>
                      <w:jc w:val="left"/>
                      <w:rPr>
                        <w:sz w:val="12"/>
                      </w:rPr>
                    </w:pPr>
                    <w:r>
                      <w:rPr>
                        <w:spacing w:val="-3"/>
                        <w:w w:val="105"/>
                        <w:sz w:val="12"/>
                      </w:rPr>
                      <w:t>2011 </w:t>
                    </w:r>
                    <w:r>
                      <w:rPr>
                        <w:w w:val="105"/>
                        <w:sz w:val="12"/>
                      </w:rPr>
                      <w:t>Sultepec</w:t>
                    </w:r>
                  </w:p>
                </w:txbxContent>
              </v:textbox>
              <w10:wrap type="none"/>
            </v:shape>
            <v:shape style="position:absolute;left:3943;top:3973;width:1329;height:125" type="#_x0000_t202" filled="false" stroked="false">
              <v:textbox inset="0,0,0,0">
                <w:txbxContent>
                  <w:p>
                    <w:pPr>
                      <w:spacing w:line="124" w:lineRule="exact" w:before="0"/>
                      <w:ind w:left="0" w:right="-10" w:firstLine="0"/>
                      <w:jc w:val="left"/>
                      <w:rPr>
                        <w:sz w:val="12"/>
                      </w:rPr>
                    </w:pPr>
                    <w:r>
                      <w:rPr>
                        <w:w w:val="105"/>
                        <w:sz w:val="12"/>
                      </w:rPr>
                      <w:t>Solo comité</w:t>
                    </w:r>
                    <w:r>
                      <w:rPr>
                        <w:spacing w:val="-26"/>
                        <w:w w:val="105"/>
                        <w:sz w:val="12"/>
                      </w:rPr>
                      <w:t> </w:t>
                    </w:r>
                    <w:r>
                      <w:rPr>
                        <w:w w:val="105"/>
                        <w:sz w:val="12"/>
                      </w:rPr>
                      <w:t>comunitario</w:t>
                    </w:r>
                  </w:p>
                </w:txbxContent>
              </v:textbox>
              <w10:wrap type="none"/>
            </v:shape>
            <v:shape style="position:absolute;left:5977;top:3973;width:159;height:125" type="#_x0000_t202" filled="false" stroked="false">
              <v:textbox inset="0,0,0,0">
                <w:txbxContent>
                  <w:p>
                    <w:pPr>
                      <w:spacing w:line="124" w:lineRule="exact" w:before="0"/>
                      <w:ind w:left="0" w:right="-15" w:firstLine="0"/>
                      <w:jc w:val="left"/>
                      <w:rPr>
                        <w:sz w:val="12"/>
                      </w:rPr>
                    </w:pPr>
                    <w:r>
                      <w:rPr>
                        <w:sz w:val="12"/>
                      </w:rPr>
                      <w:t>No</w:t>
                    </w:r>
                  </w:p>
                </w:txbxContent>
              </v:textbox>
              <w10:wrap type="none"/>
            </v:shape>
            <v:shape style="position:absolute;left:7373;top:3973;width:206;height:125" type="#_x0000_t202" filled="false" stroked="false">
              <v:textbox inset="0,0,0,0">
                <w:txbxContent>
                  <w:p>
                    <w:pPr>
                      <w:spacing w:line="124" w:lineRule="exact" w:before="0"/>
                      <w:ind w:left="0" w:right="-15" w:firstLine="0"/>
                      <w:jc w:val="left"/>
                      <w:rPr>
                        <w:sz w:val="12"/>
                      </w:rPr>
                    </w:pPr>
                    <w:r>
                      <w:rPr>
                        <w:sz w:val="12"/>
                      </w:rPr>
                      <w:t>100</w:t>
                    </w:r>
                  </w:p>
                </w:txbxContent>
              </v:textbox>
              <w10:wrap type="none"/>
            </v:shape>
            <v:shape style="position:absolute;left:8854;top:3973;width:207;height:125" type="#_x0000_t202" filled="false" stroked="false">
              <v:textbox inset="0,0,0,0">
                <w:txbxContent>
                  <w:p>
                    <w:pPr>
                      <w:spacing w:line="124" w:lineRule="exact" w:before="0"/>
                      <w:ind w:left="0" w:right="-14" w:firstLine="0"/>
                      <w:jc w:val="left"/>
                      <w:rPr>
                        <w:sz w:val="12"/>
                      </w:rPr>
                    </w:pPr>
                    <w:r>
                      <w:rPr>
                        <w:sz w:val="12"/>
                      </w:rPr>
                      <w:t>N/E</w:t>
                    </w:r>
                  </w:p>
                </w:txbxContent>
              </v:textbox>
              <w10:wrap type="none"/>
            </v:shape>
            <v:shape style="position:absolute;left:10519;top:3973;width:110;height:125" type="#_x0000_t202" filled="false" stroked="false">
              <v:textbox inset="0,0,0,0">
                <w:txbxContent>
                  <w:p>
                    <w:pPr>
                      <w:spacing w:line="124" w:lineRule="exact" w:before="0"/>
                      <w:ind w:left="0" w:right="-17" w:firstLine="0"/>
                      <w:jc w:val="left"/>
                      <w:rPr>
                        <w:sz w:val="12"/>
                      </w:rPr>
                    </w:pPr>
                    <w:r>
                      <w:rPr>
                        <w:sz w:val="12"/>
                      </w:rPr>
                      <w:t>Si</w:t>
                    </w:r>
                  </w:p>
                </w:txbxContent>
              </v:textbox>
              <w10:wrap type="none"/>
            </v:shape>
            <v:shape style="position:absolute;left:11980;top:3973;width:207;height:125" type="#_x0000_t202" filled="false" stroked="false">
              <v:textbox inset="0,0,0,0">
                <w:txbxContent>
                  <w:p>
                    <w:pPr>
                      <w:spacing w:line="124" w:lineRule="exact" w:before="0"/>
                      <w:ind w:left="0" w:right="-14" w:firstLine="0"/>
                      <w:jc w:val="left"/>
                      <w:rPr>
                        <w:sz w:val="12"/>
                      </w:rPr>
                    </w:pPr>
                    <w:r>
                      <w:rPr>
                        <w:sz w:val="12"/>
                      </w:rPr>
                      <w:t>N/E</w:t>
                    </w:r>
                  </w:p>
                </w:txbxContent>
              </v:textbox>
              <w10:wrap type="none"/>
            </v:shape>
            <v:shape style="position:absolute;left:13290;top:3973;width:159;height:125" type="#_x0000_t202" filled="false" stroked="false">
              <v:textbox inset="0,0,0,0">
                <w:txbxContent>
                  <w:p>
                    <w:pPr>
                      <w:spacing w:line="124" w:lineRule="exact" w:before="0"/>
                      <w:ind w:left="0" w:right="-15" w:firstLine="0"/>
                      <w:jc w:val="left"/>
                      <w:rPr>
                        <w:sz w:val="12"/>
                      </w:rPr>
                    </w:pPr>
                    <w:r>
                      <w:rPr>
                        <w:sz w:val="12"/>
                      </w:rPr>
                      <w:t>No</w:t>
                    </w:r>
                  </w:p>
                </w:txbxContent>
              </v:textbox>
              <w10:wrap type="none"/>
            </v:shape>
            <v:shape style="position:absolute;left:2209;top:4528;width:895;height:125" type="#_x0000_t202" filled="false" stroked="false">
              <v:textbox inset="0,0,0,0">
                <w:txbxContent>
                  <w:p>
                    <w:pPr>
                      <w:spacing w:line="124" w:lineRule="exact" w:before="0"/>
                      <w:ind w:left="0" w:right="-14" w:firstLine="0"/>
                      <w:jc w:val="left"/>
                      <w:rPr>
                        <w:sz w:val="12"/>
                      </w:rPr>
                    </w:pPr>
                    <w:r>
                      <w:rPr>
                        <w:spacing w:val="-3"/>
                        <w:w w:val="105"/>
                        <w:sz w:val="12"/>
                      </w:rPr>
                      <w:t>2011 </w:t>
                    </w:r>
                    <w:r>
                      <w:rPr>
                        <w:w w:val="105"/>
                        <w:sz w:val="12"/>
                      </w:rPr>
                      <w:t>Zacualpan</w:t>
                    </w:r>
                  </w:p>
                </w:txbxContent>
              </v:textbox>
              <w10:wrap type="none"/>
            </v:shape>
            <v:shape style="position:absolute;left:3943;top:4528;width:1329;height:125" type="#_x0000_t202" filled="false" stroked="false">
              <v:textbox inset="0,0,0,0">
                <w:txbxContent>
                  <w:p>
                    <w:pPr>
                      <w:spacing w:line="124" w:lineRule="exact" w:before="0"/>
                      <w:ind w:left="0" w:right="-10" w:firstLine="0"/>
                      <w:jc w:val="left"/>
                      <w:rPr>
                        <w:sz w:val="12"/>
                      </w:rPr>
                    </w:pPr>
                    <w:r>
                      <w:rPr>
                        <w:w w:val="105"/>
                        <w:sz w:val="12"/>
                      </w:rPr>
                      <w:t>Solo comité</w:t>
                    </w:r>
                    <w:r>
                      <w:rPr>
                        <w:spacing w:val="-26"/>
                        <w:w w:val="105"/>
                        <w:sz w:val="12"/>
                      </w:rPr>
                      <w:t> </w:t>
                    </w:r>
                    <w:r>
                      <w:rPr>
                        <w:w w:val="105"/>
                        <w:sz w:val="12"/>
                      </w:rPr>
                      <w:t>comunitario</w:t>
                    </w:r>
                  </w:p>
                </w:txbxContent>
              </v:textbox>
              <w10:wrap type="none"/>
            </v:shape>
            <v:shape style="position:absolute;left:5977;top:4528;width:159;height:125" type="#_x0000_t202" filled="false" stroked="false">
              <v:textbox inset="0,0,0,0">
                <w:txbxContent>
                  <w:p>
                    <w:pPr>
                      <w:spacing w:line="124" w:lineRule="exact" w:before="0"/>
                      <w:ind w:left="0" w:right="-15" w:firstLine="0"/>
                      <w:jc w:val="left"/>
                      <w:rPr>
                        <w:sz w:val="12"/>
                      </w:rPr>
                    </w:pPr>
                    <w:r>
                      <w:rPr>
                        <w:sz w:val="12"/>
                      </w:rPr>
                      <w:t>No</w:t>
                    </w:r>
                  </w:p>
                </w:txbxContent>
              </v:textbox>
              <w10:wrap type="none"/>
            </v:shape>
            <v:shape style="position:absolute;left:7373;top:4528;width:206;height:125" type="#_x0000_t202" filled="false" stroked="false">
              <v:textbox inset="0,0,0,0">
                <w:txbxContent>
                  <w:p>
                    <w:pPr>
                      <w:spacing w:line="124" w:lineRule="exact" w:before="0"/>
                      <w:ind w:left="0" w:right="-15" w:firstLine="0"/>
                      <w:jc w:val="left"/>
                      <w:rPr>
                        <w:sz w:val="12"/>
                      </w:rPr>
                    </w:pPr>
                    <w:r>
                      <w:rPr>
                        <w:sz w:val="12"/>
                      </w:rPr>
                      <w:t>100</w:t>
                    </w:r>
                  </w:p>
                </w:txbxContent>
              </v:textbox>
              <w10:wrap type="none"/>
            </v:shape>
            <v:shape style="position:absolute;left:8854;top:4528;width:207;height:125" type="#_x0000_t202" filled="false" stroked="false">
              <v:textbox inset="0,0,0,0">
                <w:txbxContent>
                  <w:p>
                    <w:pPr>
                      <w:spacing w:line="124" w:lineRule="exact" w:before="0"/>
                      <w:ind w:left="0" w:right="-14" w:firstLine="0"/>
                      <w:jc w:val="left"/>
                      <w:rPr>
                        <w:sz w:val="12"/>
                      </w:rPr>
                    </w:pPr>
                    <w:r>
                      <w:rPr>
                        <w:sz w:val="12"/>
                      </w:rPr>
                      <w:t>N/E</w:t>
                    </w:r>
                  </w:p>
                </w:txbxContent>
              </v:textbox>
              <w10:wrap type="none"/>
            </v:shape>
            <v:shape style="position:absolute;left:10519;top:4528;width:110;height:125" type="#_x0000_t202" filled="false" stroked="false">
              <v:textbox inset="0,0,0,0">
                <w:txbxContent>
                  <w:p>
                    <w:pPr>
                      <w:spacing w:line="124" w:lineRule="exact" w:before="0"/>
                      <w:ind w:left="0" w:right="-17" w:firstLine="0"/>
                      <w:jc w:val="left"/>
                      <w:rPr>
                        <w:sz w:val="12"/>
                      </w:rPr>
                    </w:pPr>
                    <w:r>
                      <w:rPr>
                        <w:sz w:val="12"/>
                      </w:rPr>
                      <w:t>Si</w:t>
                    </w:r>
                  </w:p>
                </w:txbxContent>
              </v:textbox>
              <w10:wrap type="none"/>
            </v:shape>
            <v:shape style="position:absolute;left:11980;top:4528;width:207;height:125" type="#_x0000_t202" filled="false" stroked="false">
              <v:textbox inset="0,0,0,0">
                <w:txbxContent>
                  <w:p>
                    <w:pPr>
                      <w:spacing w:line="124" w:lineRule="exact" w:before="0"/>
                      <w:ind w:left="0" w:right="-14" w:firstLine="0"/>
                      <w:jc w:val="left"/>
                      <w:rPr>
                        <w:sz w:val="12"/>
                      </w:rPr>
                    </w:pPr>
                    <w:r>
                      <w:rPr>
                        <w:sz w:val="12"/>
                      </w:rPr>
                      <w:t>N/E</w:t>
                    </w:r>
                  </w:p>
                </w:txbxContent>
              </v:textbox>
              <w10:wrap type="none"/>
            </v:shape>
            <v:shape style="position:absolute;left:13290;top:4528;width:159;height:125" type="#_x0000_t202" filled="false" stroked="false">
              <v:textbox inset="0,0,0,0">
                <w:txbxContent>
                  <w:p>
                    <w:pPr>
                      <w:spacing w:line="124" w:lineRule="exact" w:before="0"/>
                      <w:ind w:left="0" w:right="-15" w:firstLine="0"/>
                      <w:jc w:val="left"/>
                      <w:rPr>
                        <w:sz w:val="12"/>
                      </w:rPr>
                    </w:pPr>
                    <w:r>
                      <w:rPr>
                        <w:sz w:val="12"/>
                      </w:rPr>
                      <w:t>No</w:t>
                    </w:r>
                  </w:p>
                </w:txbxContent>
              </v:textbox>
              <w10:wrap type="none"/>
            </v:shape>
            <w10:wrap type="topAndBottom"/>
          </v:group>
        </w:pict>
      </w:r>
    </w:p>
    <w:p>
      <w:pPr>
        <w:spacing w:line="172" w:lineRule="exact" w:before="0"/>
        <w:ind w:left="202" w:right="0" w:firstLine="0"/>
        <w:jc w:val="left"/>
        <w:rPr>
          <w:sz w:val="20"/>
        </w:rPr>
      </w:pPr>
      <w:r>
        <w:rPr>
          <w:b/>
          <w:sz w:val="20"/>
        </w:rPr>
        <w:t>Fuente</w:t>
      </w:r>
      <w:r>
        <w:rPr>
          <w:sz w:val="20"/>
        </w:rPr>
        <w:t>: Elaboración propia con base en el Informe de Resultados de la Fiscalización Superior de las cuentas públicas 2008-2014.</w:t>
      </w:r>
    </w:p>
    <w:p>
      <w:pPr>
        <w:spacing w:after="0" w:line="172" w:lineRule="exact"/>
        <w:jc w:val="left"/>
        <w:rPr>
          <w:sz w:val="20"/>
        </w:rPr>
        <w:sectPr>
          <w:pgSz w:w="15840" w:h="12240" w:orient="landscape"/>
          <w:pgMar w:header="0" w:footer="992" w:top="1140" w:bottom="1180" w:left="1720" w:right="1720"/>
        </w:sectPr>
      </w:pPr>
    </w:p>
    <w:p>
      <w:pPr>
        <w:pStyle w:val="BodyText"/>
        <w:rPr>
          <w:sz w:val="20"/>
        </w:rPr>
      </w:pPr>
    </w:p>
    <w:p>
      <w:pPr>
        <w:pStyle w:val="BodyText"/>
        <w:rPr>
          <w:sz w:val="20"/>
        </w:rPr>
      </w:pPr>
    </w:p>
    <w:p>
      <w:pPr>
        <w:pStyle w:val="BodyText"/>
        <w:spacing w:before="210"/>
        <w:ind w:left="3022" w:right="1340"/>
      </w:pPr>
      <w:r>
        <w:rPr/>
        <w:t>Anexo 17.</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6"/>
        </w:rPr>
      </w:pPr>
    </w:p>
    <w:p>
      <w:pPr>
        <w:spacing w:before="0"/>
        <w:ind w:left="742" w:right="338" w:firstLine="0"/>
        <w:jc w:val="left"/>
        <w:rPr>
          <w:sz w:val="20"/>
        </w:rPr>
      </w:pPr>
      <w:r>
        <w:rPr>
          <w:b/>
          <w:sz w:val="20"/>
        </w:rPr>
        <w:t>Fuente</w:t>
      </w:r>
      <w:r>
        <w:rPr>
          <w:sz w:val="20"/>
        </w:rPr>
        <w:t>: Elaboración propia con base en el Informe de Resultados de la Fiscalización Superior de las cuentas públicas 2008-2014.</w:t>
      </w:r>
    </w:p>
    <w:p>
      <w:pPr>
        <w:spacing w:after="0"/>
        <w:jc w:val="left"/>
        <w:rPr>
          <w:sz w:val="20"/>
        </w:rPr>
        <w:sectPr>
          <w:pgSz w:w="15840" w:h="12240" w:orient="landscape"/>
          <w:pgMar w:header="0" w:footer="992" w:top="1140" w:bottom="1180" w:left="2260" w:right="2260"/>
        </w:sectPr>
      </w:pPr>
    </w:p>
    <w:p>
      <w:pPr>
        <w:pStyle w:val="BodyText"/>
        <w:rPr>
          <w:sz w:val="20"/>
        </w:rPr>
      </w:pPr>
      <w:r>
        <w:rPr/>
        <w:pict>
          <v:shape style="position:absolute;margin-left:139.104034pt;margin-top:336.819122pt;width:512.25pt;height:15.2pt;mso-position-horizontal-relative:page;mso-position-vertical-relative:page;z-index:-679144" type="#_x0000_t202" filled="false" stroked="false">
            <v:textbox inset="0,0,0,0">
              <w:txbxContent>
                <w:p>
                  <w:pPr>
                    <w:tabs>
                      <w:tab w:pos="4874" w:val="left" w:leader="none"/>
                      <w:tab w:pos="6722" w:val="left" w:leader="none"/>
                      <w:tab w:pos="8527" w:val="left" w:leader="none"/>
                    </w:tabs>
                    <w:spacing w:line="188" w:lineRule="exact" w:before="0"/>
                    <w:ind w:left="0" w:right="0" w:firstLine="0"/>
                    <w:jc w:val="left"/>
                    <w:rPr>
                      <w:sz w:val="18"/>
                    </w:rPr>
                  </w:pPr>
                  <w:r>
                    <w:rPr>
                      <w:w w:val="105"/>
                      <w:sz w:val="18"/>
                    </w:rPr>
                    <w:t>urales</w:t>
                    <w:tab/>
                    <w:t>2.3</w:t>
                    <w:tab/>
                    <w:t>5.8</w:t>
                    <w:tab/>
                    <w:t>0.0</w:t>
                  </w:r>
                </w:p>
              </w:txbxContent>
            </v:textbox>
            <w10:wrap type="none"/>
          </v:shape>
        </w:pict>
      </w:r>
    </w:p>
    <w:p>
      <w:pPr>
        <w:pStyle w:val="BodyText"/>
        <w:rPr>
          <w:sz w:val="20"/>
        </w:rPr>
      </w:pPr>
    </w:p>
    <w:p>
      <w:pPr>
        <w:pStyle w:val="BodyText"/>
        <w:rPr>
          <w:sz w:val="20"/>
        </w:rPr>
      </w:pPr>
    </w:p>
    <w:p>
      <w:pPr>
        <w:pStyle w:val="BodyText"/>
        <w:spacing w:before="2"/>
        <w:rPr>
          <w:sz w:val="19"/>
        </w:rPr>
      </w:pPr>
    </w:p>
    <w:p>
      <w:pPr>
        <w:pStyle w:val="BodyText"/>
        <w:ind w:left="3743"/>
      </w:pPr>
      <w:r>
        <w:rPr/>
        <w:t>Anexo 18.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spacing w:before="1" w:after="11"/>
        <w:ind w:left="1627" w:right="1592" w:firstLine="0"/>
        <w:jc w:val="center"/>
        <w:rPr>
          <w:b/>
          <w:sz w:val="18"/>
        </w:rPr>
      </w:pPr>
      <w:r>
        <w:rPr>
          <w:b/>
          <w:w w:val="105"/>
          <w:sz w:val="18"/>
        </w:rPr>
        <w:t>Destino del Fondo para la Infraestructura Municipal Social (FISM) 2008 %</w:t>
      </w:r>
    </w:p>
    <w:p>
      <w:pPr>
        <w:pStyle w:val="BodyText"/>
        <w:spacing w:line="20" w:lineRule="exact"/>
        <w:ind w:left="119"/>
        <w:rPr>
          <w:sz w:val="2"/>
        </w:rPr>
      </w:pPr>
      <w:r>
        <w:rPr>
          <w:sz w:val="2"/>
        </w:rPr>
        <w:pict>
          <v:group style="width:599.75pt;height:.7pt;mso-position-horizontal-relative:char;mso-position-vertical-relative:line" coordorigin="0,0" coordsize="11995,14">
            <v:shape style="position:absolute;left:7;top:7;width:11981;height:2" coordorigin="7,7" coordsize="11981,0" path="m7,7l7,7,11988,7e" filled="false" stroked="true" strokeweight=".687955pt" strokecolor="#000000">
              <v:path arrowok="t"/>
            </v:shape>
          </v:group>
        </w:pict>
      </w:r>
      <w:r>
        <w:rPr>
          <w:sz w:val="2"/>
        </w:rPr>
      </w:r>
    </w:p>
    <w:p>
      <w:pPr>
        <w:pStyle w:val="BodyText"/>
        <w:spacing w:line="269" w:lineRule="exact"/>
        <w:ind w:left="3983"/>
      </w:pPr>
      <w:r>
        <w:rPr/>
        <w:t>Anexo 19.</w:t>
      </w:r>
    </w:p>
    <w:p>
      <w:pPr>
        <w:spacing w:line="248" w:lineRule="exact" w:before="0"/>
        <w:ind w:left="1638" w:right="1592" w:firstLine="0"/>
        <w:jc w:val="center"/>
        <w:rPr>
          <w:b/>
          <w:sz w:val="22"/>
        </w:rPr>
      </w:pPr>
      <w:r>
        <w:rPr/>
        <w:pict>
          <v:shape style="position:absolute;margin-left:139.537842pt;margin-top:74.602348pt;width:511.85pt;height:15.2pt;mso-position-horizontal-relative:page;mso-position-vertical-relative:paragraph;z-index:-679168" type="#_x0000_t202" filled="false" stroked="false">
            <v:textbox inset="0,0,0,0">
              <w:txbxContent>
                <w:p>
                  <w:pPr>
                    <w:tabs>
                      <w:tab w:pos="4865" w:val="left" w:leader="none"/>
                      <w:tab w:pos="6714" w:val="left" w:leader="none"/>
                      <w:tab w:pos="8519" w:val="left" w:leader="none"/>
                    </w:tabs>
                    <w:spacing w:line="204" w:lineRule="exact" w:before="100"/>
                    <w:ind w:left="21" w:right="0" w:firstLine="0"/>
                    <w:jc w:val="left"/>
                    <w:rPr>
                      <w:sz w:val="18"/>
                    </w:rPr>
                  </w:pPr>
                  <w:r>
                    <w:rPr>
                      <w:w w:val="105"/>
                      <w:sz w:val="18"/>
                    </w:rPr>
                    <w:t>tura básica</w:t>
                  </w:r>
                  <w:r>
                    <w:rPr>
                      <w:spacing w:val="-20"/>
                      <w:w w:val="105"/>
                      <w:sz w:val="18"/>
                    </w:rPr>
                    <w:t> </w:t>
                  </w:r>
                  <w:r>
                    <w:rPr>
                      <w:w w:val="105"/>
                      <w:sz w:val="18"/>
                    </w:rPr>
                    <w:t>de</w:t>
                  </w:r>
                  <w:r>
                    <w:rPr>
                      <w:spacing w:val="-10"/>
                      <w:w w:val="105"/>
                      <w:sz w:val="18"/>
                    </w:rPr>
                    <w:t> </w:t>
                  </w:r>
                  <w:r>
                    <w:rPr>
                      <w:w w:val="105"/>
                      <w:sz w:val="18"/>
                    </w:rPr>
                    <w:t>salud</w:t>
                    <w:tab/>
                    <w:t>0.9</w:t>
                    <w:tab/>
                    <w:t>0.0</w:t>
                    <w:tab/>
                    <w:t>0.0</w:t>
                  </w:r>
                </w:p>
              </w:txbxContent>
            </v:textbox>
            <w10:wrap type="none"/>
          </v:shape>
        </w:pict>
      </w:r>
      <w:r>
        <w:rPr/>
        <w:pict>
          <v:group style="position:absolute;margin-left:94.954582pt;margin-top:8.439078pt;width:599.9pt;height:176.3pt;mso-position-horizontal-relative:page;mso-position-vertical-relative:paragraph;z-index:-678688" coordorigin="1899,169" coordsize="11998,3526">
            <v:shape style="position:absolute;left:1906;top:416;width:11981;height:3034" coordorigin="1906,416" coordsize="11981,3034" path="m13887,3214l1906,3214,1906,3450,13887,3450,13887,3214m13887,2747l1906,2747,1906,2984,13887,2984,13887,2747m13887,2281l1906,2281,1906,2518,13887,2518,13887,2281m13887,1815l1906,1815,1906,2052,13887,2052,13887,1815m13887,1349l1906,1349,1906,1586,13887,1586,13887,1349m13887,883l1906,883,1906,1119,13887,1119,13887,883m13887,416l1906,416,1906,653,13887,653,13887,416e" filled="true" fillcolor="#e6b8b7" stroked="false">
              <v:path arrowok="t"/>
              <v:fill type="solid"/>
            </v:shape>
            <v:shape style="position:absolute;left:170;top:2606;width:15568;height:4562" coordorigin="170,2606" coordsize="15568,4562" path="m1906,176l1906,176,1906,3687m6113,191l6113,1492m6113,2613l6113,3687m7949,191l7949,1492m7949,2613l7949,3687m9797,191l9797,1492m9797,1775l9797,2329m9797,2613l9797,3687m11601,191l11601,1492m11601,2613l11601,3687m13883,191l13883,191,13883,3687m1913,184l1913,184,13890,184m1913,416l1913,416,13890,416m1913,650l1913,650,13890,650m1913,883l1913,883,13890,883m1913,1116l1913,1116,13890,1116m1913,1349l1913,1349,13890,1349m13027,1581l13890,1581m1913,1581l2791,1581m1913,1815l1913,1815,13890,1815m1913,2049l1913,2049,13890,2049m1913,2281l1913,2281,13890,2281m13027,2515l13890,2515m1913,2515l2791,2515m1913,2747l1913,2747,13890,2747m1913,2981l1913,2981,13890,2981m1913,3214l1913,3214,13890,3214m1913,3447l1913,3447,13890,3447e" filled="false" stroked="true" strokeweight=".68795pt" strokecolor="#000000">
              <v:path arrowok="t"/>
            </v:shape>
            <v:shape style="position:absolute;left:2791;top:1492;width:10237;height:1122" coordorigin="2791,1492" coordsize="10237,1122" path="m13027,2329l2791,2329,2791,2613,13027,2613,13027,2329m13027,1492l2791,1492,2791,1775,13027,1775,13027,1492e" filled="true" fillcolor="#e6b8b7" stroked="false">
              <v:path arrowok="t"/>
              <v:fill type="solid"/>
            </v:shape>
            <v:shape style="position:absolute;left:60;top:3400;width:15875;height:4022" coordorigin="60,3400" coordsize="15875,4022" path="m2791,1203l2791,1203,2791,3176m6854,1221l6854,1221,6854,3176m10049,1221l10049,1221,10049,3176m13023,1221l13023,1221,13023,3176m2791,582l2791,582,13027,582m2799,1212l2799,1212,13032,1212m2799,1492l2799,1492,13032,1492m2799,1771l2799,1771,13032,1771m2799,2329l2799,2329,13032,2329m2799,2609l2799,2609,13032,2609m2799,2888l2799,2888,13032,2888m2799,3167l2799,3167,13032,3167e" filled="false" stroked="true" strokeweight=".864788pt" strokecolor="#000000">
              <v:path arrowok="t"/>
            </v:shape>
            <v:shape style="position:absolute;left:1940;top:446;width:1111;height:185" type="#_x0000_t202" filled="false" stroked="false">
              <v:textbox inset="0,0,0,0">
                <w:txbxContent>
                  <w:p>
                    <w:pPr>
                      <w:spacing w:line="185" w:lineRule="exact" w:before="0"/>
                      <w:ind w:left="0" w:right="-13" w:firstLine="0"/>
                      <w:jc w:val="left"/>
                      <w:rPr>
                        <w:sz w:val="18"/>
                      </w:rPr>
                    </w:pPr>
                    <w:r>
                      <w:rPr>
                        <w:w w:val="105"/>
                        <w:sz w:val="18"/>
                      </w:rPr>
                      <w:t>Agua</w:t>
                    </w:r>
                    <w:r>
                      <w:rPr>
                        <w:spacing w:val="-31"/>
                        <w:w w:val="105"/>
                        <w:sz w:val="18"/>
                      </w:rPr>
                      <w:t> </w:t>
                    </w:r>
                    <w:r>
                      <w:rPr>
                        <w:w w:val="105"/>
                        <w:sz w:val="18"/>
                      </w:rPr>
                      <w:t>Potable</w:t>
                    </w:r>
                  </w:p>
                </w:txbxContent>
              </v:textbox>
              <w10:wrap type="none"/>
            </v:shape>
            <v:shape style="position:absolute;left:7553;top:446;width:358;height:185" type="#_x0000_t202" filled="false" stroked="false">
              <v:textbox inset="0,0,0,0">
                <w:txbxContent>
                  <w:p>
                    <w:pPr>
                      <w:spacing w:line="185" w:lineRule="exact" w:before="0"/>
                      <w:ind w:left="0" w:right="-13" w:firstLine="0"/>
                      <w:jc w:val="left"/>
                      <w:rPr>
                        <w:sz w:val="18"/>
                      </w:rPr>
                    </w:pPr>
                    <w:r>
                      <w:rPr>
                        <w:sz w:val="18"/>
                      </w:rPr>
                      <w:t>10.1</w:t>
                    </w:r>
                  </w:p>
                </w:txbxContent>
              </v:textbox>
              <w10:wrap type="none"/>
            </v:shape>
            <v:shape style="position:absolute;left:9402;top:446;width:358;height:185" type="#_x0000_t202" filled="false" stroked="false">
              <v:textbox inset="0,0,0,0">
                <w:txbxContent>
                  <w:p>
                    <w:pPr>
                      <w:spacing w:line="185" w:lineRule="exact" w:before="0"/>
                      <w:ind w:left="0" w:right="-13" w:firstLine="0"/>
                      <w:jc w:val="left"/>
                      <w:rPr>
                        <w:sz w:val="18"/>
                      </w:rPr>
                    </w:pPr>
                    <w:r>
                      <w:rPr>
                        <w:sz w:val="18"/>
                      </w:rPr>
                      <w:t>16.5</w:t>
                    </w:r>
                  </w:p>
                </w:txbxContent>
              </v:textbox>
              <w10:wrap type="none"/>
            </v:shape>
            <v:shape style="position:absolute;left:11310;top:446;width:256;height:185" type="#_x0000_t202" filled="false" stroked="false">
              <v:textbox inset="0,0,0,0">
                <w:txbxContent>
                  <w:p>
                    <w:pPr>
                      <w:spacing w:line="185" w:lineRule="exact" w:before="0"/>
                      <w:ind w:left="0" w:right="-15" w:firstLine="0"/>
                      <w:jc w:val="left"/>
                      <w:rPr>
                        <w:sz w:val="18"/>
                      </w:rPr>
                    </w:pPr>
                    <w:r>
                      <w:rPr>
                        <w:sz w:val="18"/>
                      </w:rPr>
                      <w:t>0.0</w:t>
                    </w:r>
                  </w:p>
                </w:txbxContent>
              </v:textbox>
              <w10:wrap type="none"/>
            </v:shape>
            <v:shape style="position:absolute;left:13591;top:446;width:256;height:185" type="#_x0000_t202" filled="false" stroked="false">
              <v:textbox inset="0,0,0,0">
                <w:txbxContent>
                  <w:p>
                    <w:pPr>
                      <w:spacing w:line="185" w:lineRule="exact" w:before="0"/>
                      <w:ind w:left="0" w:right="-15" w:firstLine="0"/>
                      <w:jc w:val="left"/>
                      <w:rPr>
                        <w:sz w:val="18"/>
                      </w:rPr>
                    </w:pPr>
                    <w:r>
                      <w:rPr>
                        <w:sz w:val="18"/>
                      </w:rPr>
                      <w:t>6.5</w:t>
                    </w:r>
                  </w:p>
                </w:txbxContent>
              </v:textbox>
              <w10:wrap type="none"/>
            </v:shape>
            <v:shape style="position:absolute;left:1940;top:1377;width:1562;height:185" type="#_x0000_t202" filled="false" stroked="false">
              <v:textbox inset="0,0,0,0">
                <w:txbxContent>
                  <w:p>
                    <w:pPr>
                      <w:spacing w:line="185" w:lineRule="exact" w:before="0"/>
                      <w:ind w:left="0" w:right="0" w:firstLine="0"/>
                      <w:jc w:val="left"/>
                      <w:rPr>
                        <w:sz w:val="18"/>
                      </w:rPr>
                    </w:pPr>
                    <w:r>
                      <w:rPr>
                        <w:sz w:val="18"/>
                      </w:rPr>
                      <w:t>Electrificación rural</w:t>
                    </w:r>
                  </w:p>
                </w:txbxContent>
              </v:textbox>
              <w10:wrap type="none"/>
            </v:shape>
            <v:shape style="position:absolute;left:7553;top:1377;width:358;height:185" type="#_x0000_t202" filled="false" stroked="false">
              <v:textbox inset="0,0,0,0">
                <w:txbxContent>
                  <w:p>
                    <w:pPr>
                      <w:spacing w:line="185" w:lineRule="exact" w:before="0"/>
                      <w:ind w:left="0" w:right="-13" w:firstLine="0"/>
                      <w:jc w:val="left"/>
                      <w:rPr>
                        <w:sz w:val="18"/>
                      </w:rPr>
                    </w:pPr>
                    <w:r>
                      <w:rPr>
                        <w:sz w:val="18"/>
                      </w:rPr>
                      <w:t>10.6</w:t>
                    </w:r>
                  </w:p>
                </w:txbxContent>
              </v:textbox>
              <w10:wrap type="none"/>
            </v:shape>
            <v:shape style="position:absolute;left:9402;top:1377;width:358;height:185" type="#_x0000_t202" filled="false" stroked="false">
              <v:textbox inset="0,0,0,0">
                <w:txbxContent>
                  <w:p>
                    <w:pPr>
                      <w:spacing w:line="185" w:lineRule="exact" w:before="0"/>
                      <w:ind w:left="0" w:right="-13" w:firstLine="0"/>
                      <w:jc w:val="left"/>
                      <w:rPr>
                        <w:sz w:val="18"/>
                      </w:rPr>
                    </w:pPr>
                    <w:r>
                      <w:rPr>
                        <w:sz w:val="18"/>
                      </w:rPr>
                      <w:t>14.6</w:t>
                    </w:r>
                  </w:p>
                </w:txbxContent>
              </v:textbox>
              <w10:wrap type="none"/>
            </v:shape>
            <v:shape style="position:absolute;left:11206;top:1246;width:1095;height:317" type="#_x0000_t202" filled="false" stroked="false">
              <v:textbox inset="0,0,0,0">
                <w:txbxContent>
                  <w:p>
                    <w:pPr>
                      <w:spacing w:line="316" w:lineRule="exact" w:before="0"/>
                      <w:ind w:left="0" w:right="0" w:firstLine="0"/>
                      <w:jc w:val="left"/>
                      <w:rPr>
                        <w:sz w:val="22"/>
                      </w:rPr>
                    </w:pPr>
                    <w:r>
                      <w:rPr>
                        <w:position w:val="-9"/>
                        <w:sz w:val="18"/>
                      </w:rPr>
                      <w:t>15.5  </w:t>
                    </w:r>
                    <w:r>
                      <w:rPr>
                        <w:sz w:val="22"/>
                      </w:rPr>
                      <w:t>lcóyotl</w:t>
                    </w:r>
                  </w:p>
                </w:txbxContent>
              </v:textbox>
              <w10:wrap type="none"/>
            </v:shape>
            <v:shape style="position:absolute;left:13591;top:1377;width:256;height:185" type="#_x0000_t202" filled="false" stroked="false">
              <v:textbox inset="0,0,0,0">
                <w:txbxContent>
                  <w:p>
                    <w:pPr>
                      <w:spacing w:line="185" w:lineRule="exact" w:before="0"/>
                      <w:ind w:left="0" w:right="-15" w:firstLine="0"/>
                      <w:jc w:val="left"/>
                      <w:rPr>
                        <w:sz w:val="18"/>
                      </w:rPr>
                    </w:pPr>
                    <w:r>
                      <w:rPr>
                        <w:sz w:val="18"/>
                      </w:rPr>
                      <w:t>5.9</w:t>
                    </w:r>
                  </w:p>
                </w:txbxContent>
              </v:textbox>
              <w10:wrap type="none"/>
            </v:shape>
            <v:shape style="position:absolute;left:1940;top:2543;width:2518;height:185" type="#_x0000_t202" filled="false" stroked="false">
              <v:textbox inset="0,0,0,0">
                <w:txbxContent>
                  <w:p>
                    <w:pPr>
                      <w:spacing w:line="185" w:lineRule="exact" w:before="0"/>
                      <w:ind w:left="0" w:right="0" w:firstLine="0"/>
                      <w:jc w:val="left"/>
                      <w:rPr>
                        <w:sz w:val="18"/>
                      </w:rPr>
                    </w:pPr>
                    <w:r>
                      <w:rPr>
                        <w:sz w:val="18"/>
                      </w:rPr>
                      <w:t>Infraestructura productiva rural</w:t>
                    </w:r>
                  </w:p>
                </w:txbxContent>
              </v:textbox>
              <w10:wrap type="none"/>
            </v:shape>
            <v:shape style="position:absolute;left:2830;top:2643;width:2205;height:221" type="#_x0000_t202" filled="false" stroked="false">
              <v:textbox inset="0,0,0,0">
                <w:txbxContent>
                  <w:p>
                    <w:pPr>
                      <w:spacing w:line="221" w:lineRule="exact" w:before="0"/>
                      <w:ind w:left="0" w:right="-4" w:firstLine="0"/>
                      <w:jc w:val="left"/>
                      <w:rPr>
                        <w:sz w:val="22"/>
                      </w:rPr>
                    </w:pPr>
                    <w:r>
                      <w:rPr>
                        <w:sz w:val="22"/>
                      </w:rPr>
                      <w:t>Otros rubros de gasto.</w:t>
                    </w:r>
                  </w:p>
                </w:txbxContent>
              </v:textbox>
              <w10:wrap type="none"/>
            </v:shape>
            <v:shape style="position:absolute;left:7656;top:2543;width:256;height:185" type="#_x0000_t202" filled="false" stroked="false">
              <v:textbox inset="0,0,0,0">
                <w:txbxContent>
                  <w:p>
                    <w:pPr>
                      <w:spacing w:line="185" w:lineRule="exact" w:before="0"/>
                      <w:ind w:left="0" w:right="-15" w:firstLine="0"/>
                      <w:jc w:val="left"/>
                      <w:rPr>
                        <w:sz w:val="18"/>
                      </w:rPr>
                    </w:pPr>
                    <w:r>
                      <w:rPr>
                        <w:sz w:val="18"/>
                      </w:rPr>
                      <w:t>3.6</w:t>
                    </w:r>
                  </w:p>
                </w:txbxContent>
              </v:textbox>
              <w10:wrap type="none"/>
            </v:shape>
            <v:shape style="position:absolute;left:9505;top:2543;width:256;height:185" type="#_x0000_t202" filled="false" stroked="false">
              <v:textbox inset="0,0,0,0">
                <w:txbxContent>
                  <w:p>
                    <w:pPr>
                      <w:spacing w:line="185" w:lineRule="exact" w:before="0"/>
                      <w:ind w:left="0" w:right="-15" w:firstLine="0"/>
                      <w:jc w:val="left"/>
                      <w:rPr>
                        <w:sz w:val="18"/>
                      </w:rPr>
                    </w:pPr>
                    <w:r>
                      <w:rPr>
                        <w:sz w:val="18"/>
                      </w:rPr>
                      <w:t>0.0</w:t>
                    </w:r>
                  </w:p>
                </w:txbxContent>
              </v:textbox>
              <w10:wrap type="none"/>
            </v:shape>
            <v:shape style="position:absolute;left:9576;top:2643;width:431;height:221" type="#_x0000_t202" filled="false" stroked="false">
              <v:textbox inset="0,0,0,0">
                <w:txbxContent>
                  <w:p>
                    <w:pPr>
                      <w:spacing w:line="221" w:lineRule="exact" w:before="0"/>
                      <w:ind w:left="0" w:right="-18" w:firstLine="0"/>
                      <w:jc w:val="left"/>
                      <w:rPr>
                        <w:sz w:val="22"/>
                      </w:rPr>
                    </w:pPr>
                    <w:r>
                      <w:rPr>
                        <w:sz w:val="22"/>
                      </w:rPr>
                      <w:t>43.4</w:t>
                    </w:r>
                  </w:p>
                </w:txbxContent>
              </v:textbox>
              <w10:wrap type="none"/>
            </v:shape>
            <v:shape style="position:absolute;left:11310;top:2543;width:256;height:185" type="#_x0000_t202" filled="false" stroked="false">
              <v:textbox inset="0,0,0,0">
                <w:txbxContent>
                  <w:p>
                    <w:pPr>
                      <w:spacing w:line="185" w:lineRule="exact" w:before="0"/>
                      <w:ind w:left="0" w:right="-15" w:firstLine="0"/>
                      <w:jc w:val="left"/>
                      <w:rPr>
                        <w:sz w:val="18"/>
                      </w:rPr>
                    </w:pPr>
                    <w:r>
                      <w:rPr>
                        <w:sz w:val="18"/>
                      </w:rPr>
                      <w:t>0.0</w:t>
                    </w:r>
                  </w:p>
                </w:txbxContent>
              </v:textbox>
              <w10:wrap type="none"/>
            </v:shape>
            <v:shape style="position:absolute;left:12650;top:2643;width:334;height:614" type="#_x0000_t202" filled="false" stroked="false">
              <v:textbox inset="0,0,0,0">
                <w:txbxContent>
                  <w:p>
                    <w:pPr>
                      <w:spacing w:line="226" w:lineRule="exact" w:before="0"/>
                      <w:ind w:left="24" w:right="-16" w:firstLine="0"/>
                      <w:jc w:val="left"/>
                      <w:rPr>
                        <w:sz w:val="22"/>
                      </w:rPr>
                    </w:pPr>
                    <w:r>
                      <w:rPr>
                        <w:sz w:val="22"/>
                      </w:rPr>
                      <w:t>0.0</w:t>
                    </w:r>
                  </w:p>
                  <w:p>
                    <w:pPr>
                      <w:spacing w:line="225" w:lineRule="exact" w:before="162"/>
                      <w:ind w:left="0" w:right="-20" w:firstLine="0"/>
                      <w:jc w:val="left"/>
                      <w:rPr>
                        <w:sz w:val="20"/>
                      </w:rPr>
                    </w:pPr>
                    <w:r>
                      <w:rPr>
                        <w:sz w:val="20"/>
                      </w:rPr>
                      <w:t>200</w:t>
                    </w:r>
                  </w:p>
                </w:txbxContent>
              </v:textbox>
              <w10:wrap type="none"/>
            </v:shape>
            <v:shape style="position:absolute;left:13591;top:2543;width:256;height:185" type="#_x0000_t202" filled="false" stroked="false">
              <v:textbox inset="0,0,0,0">
                <w:txbxContent>
                  <w:p>
                    <w:pPr>
                      <w:spacing w:line="185" w:lineRule="exact" w:before="0"/>
                      <w:ind w:left="0" w:right="-15" w:firstLine="0"/>
                      <w:jc w:val="left"/>
                      <w:rPr>
                        <w:sz w:val="18"/>
                      </w:rPr>
                    </w:pPr>
                    <w:r>
                      <w:rPr>
                        <w:sz w:val="18"/>
                      </w:rPr>
                      <w:t>0.0</w:t>
                    </w:r>
                  </w:p>
                </w:txbxContent>
              </v:textbox>
              <w10:wrap type="none"/>
            </v:shape>
            <w10:wrap type="none"/>
          </v:group>
        </w:pict>
      </w:r>
      <w:r>
        <w:rPr/>
        <w:pict>
          <v:shape style="position:absolute;margin-left:95.304581pt;margin-top:10.601246pt;width:598.9pt;height:174.1pt;mso-position-horizontal-relative:page;mso-position-vertical-relative:paragraph;z-index:45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46"/>
                    <w:gridCol w:w="1861"/>
                    <w:gridCol w:w="741"/>
                    <w:gridCol w:w="1094"/>
                    <w:gridCol w:w="1849"/>
                    <w:gridCol w:w="252"/>
                    <w:gridCol w:w="1552"/>
                    <w:gridCol w:w="1422"/>
                    <w:gridCol w:w="860"/>
                  </w:tblGrid>
                  <w:tr>
                    <w:trPr>
                      <w:trHeight w:val="466" w:hRule="exact"/>
                    </w:trPr>
                    <w:tc>
                      <w:tcPr>
                        <w:tcW w:w="11977" w:type="dxa"/>
                        <w:gridSpan w:val="9"/>
                      </w:tcPr>
                      <w:p>
                        <w:pPr>
                          <w:pStyle w:val="TableParagraph"/>
                          <w:spacing w:line="317" w:lineRule="exact"/>
                          <w:ind w:left="2213"/>
                          <w:rPr>
                            <w:sz w:val="18"/>
                          </w:rPr>
                        </w:pPr>
                        <w:r>
                          <w:rPr>
                            <w:b/>
                            <w:w w:val="100"/>
                            <w:position w:val="-11"/>
                            <w:sz w:val="22"/>
                          </w:rPr>
                          <w:t>De</w:t>
                        </w:r>
                        <w:r>
                          <w:rPr>
                            <w:b/>
                            <w:spacing w:val="1"/>
                            <w:w w:val="100"/>
                            <w:position w:val="-11"/>
                            <w:sz w:val="22"/>
                          </w:rPr>
                          <w:t>m</w:t>
                        </w:r>
                        <w:r>
                          <w:rPr>
                            <w:b/>
                            <w:w w:val="100"/>
                            <w:position w:val="-11"/>
                            <w:sz w:val="22"/>
                          </w:rPr>
                          <w:t>a</w:t>
                        </w:r>
                        <w:r>
                          <w:rPr>
                            <w:b/>
                            <w:w w:val="100"/>
                            <w:position w:val="-11"/>
                            <w:sz w:val="22"/>
                          </w:rPr>
                          <w:t>r</w:t>
                        </w:r>
                        <w:r>
                          <w:rPr>
                            <w:b/>
                            <w:w w:val="100"/>
                            <w:position w:val="-11"/>
                            <w:sz w:val="22"/>
                          </w:rPr>
                          <w:t>c</w:t>
                        </w:r>
                        <w:r>
                          <w:rPr>
                            <w:b/>
                            <w:spacing w:val="1"/>
                            <w:w w:val="100"/>
                            <w:position w:val="-11"/>
                            <w:sz w:val="22"/>
                          </w:rPr>
                          <w:t>a</w:t>
                        </w:r>
                        <w:r>
                          <w:rPr>
                            <w:b/>
                            <w:w w:val="100"/>
                            <w:position w:val="-11"/>
                            <w:sz w:val="22"/>
                          </w:rPr>
                          <w:t>c</w:t>
                        </w:r>
                        <w:r>
                          <w:rPr>
                            <w:b/>
                            <w:spacing w:val="-1"/>
                            <w:w w:val="100"/>
                            <w:position w:val="-11"/>
                            <w:sz w:val="22"/>
                          </w:rPr>
                          <w:t>i</w:t>
                        </w:r>
                        <w:r>
                          <w:rPr>
                            <w:b/>
                            <w:w w:val="100"/>
                            <w:position w:val="-11"/>
                            <w:sz w:val="22"/>
                          </w:rPr>
                          <w:t>on</w:t>
                        </w:r>
                        <w:r>
                          <w:rPr>
                            <w:b/>
                            <w:w w:val="100"/>
                            <w:position w:val="-11"/>
                            <w:sz w:val="22"/>
                          </w:rPr>
                          <w:t>es</w:t>
                        </w:r>
                        <w:r>
                          <w:rPr>
                            <w:b/>
                            <w:spacing w:val="1"/>
                            <w:position w:val="-11"/>
                            <w:sz w:val="22"/>
                          </w:rPr>
                          <w:t> </w:t>
                        </w:r>
                        <w:r>
                          <w:rPr>
                            <w:b/>
                            <w:spacing w:val="-17"/>
                            <w:w w:val="100"/>
                            <w:position w:val="-11"/>
                            <w:sz w:val="22"/>
                          </w:rPr>
                          <w:t>T</w:t>
                        </w:r>
                        <w:r>
                          <w:rPr>
                            <w:b/>
                            <w:w w:val="100"/>
                            <w:position w:val="-11"/>
                            <w:sz w:val="22"/>
                          </w:rPr>
                          <w:t>e</w:t>
                        </w:r>
                        <w:r>
                          <w:rPr>
                            <w:b/>
                            <w:w w:val="100"/>
                            <w:position w:val="-11"/>
                            <w:sz w:val="22"/>
                          </w:rPr>
                          <w:t>r</w:t>
                        </w:r>
                        <w:r>
                          <w:rPr>
                            <w:b/>
                            <w:spacing w:val="-8"/>
                            <w:w w:val="100"/>
                            <w:position w:val="-11"/>
                            <w:sz w:val="22"/>
                          </w:rPr>
                          <w:t>r</w:t>
                        </w:r>
                        <w:r>
                          <w:rPr>
                            <w:spacing w:val="-116"/>
                            <w:w w:val="102"/>
                            <w:sz w:val="18"/>
                          </w:rPr>
                          <w:t>A</w:t>
                        </w:r>
                        <w:r>
                          <w:rPr>
                            <w:b/>
                            <w:w w:val="100"/>
                            <w:position w:val="-11"/>
                            <w:sz w:val="22"/>
                          </w:rPr>
                          <w:t>i</w:t>
                        </w:r>
                        <w:r>
                          <w:rPr>
                            <w:b/>
                            <w:spacing w:val="-22"/>
                            <w:w w:val="100"/>
                            <w:position w:val="-11"/>
                            <w:sz w:val="22"/>
                          </w:rPr>
                          <w:t>t</w:t>
                        </w:r>
                        <w:r>
                          <w:rPr>
                            <w:spacing w:val="-20"/>
                            <w:w w:val="102"/>
                            <w:sz w:val="18"/>
                          </w:rPr>
                          <w:t>l</w:t>
                        </w:r>
                        <w:r>
                          <w:rPr>
                            <w:b/>
                            <w:spacing w:val="-115"/>
                            <w:w w:val="100"/>
                            <w:position w:val="-11"/>
                            <w:sz w:val="22"/>
                          </w:rPr>
                          <w:t>o</w:t>
                        </w:r>
                        <w:r>
                          <w:rPr>
                            <w:spacing w:val="-40"/>
                            <w:w w:val="102"/>
                            <w:sz w:val="18"/>
                          </w:rPr>
                          <w:t>m</w:t>
                        </w:r>
                        <w:r>
                          <w:rPr>
                            <w:b/>
                            <w:spacing w:val="-48"/>
                            <w:w w:val="100"/>
                            <w:position w:val="-11"/>
                            <w:sz w:val="22"/>
                          </w:rPr>
                          <w:t>r</w:t>
                        </w:r>
                        <w:r>
                          <w:rPr>
                            <w:spacing w:val="-56"/>
                            <w:w w:val="102"/>
                            <w:sz w:val="18"/>
                          </w:rPr>
                          <w:t>o</w:t>
                        </w:r>
                        <w:r>
                          <w:rPr>
                            <w:b/>
                            <w:spacing w:val="-6"/>
                            <w:w w:val="100"/>
                            <w:position w:val="-11"/>
                            <w:sz w:val="22"/>
                          </w:rPr>
                          <w:t>i</w:t>
                        </w:r>
                        <w:r>
                          <w:rPr>
                            <w:spacing w:val="-37"/>
                            <w:w w:val="102"/>
                            <w:sz w:val="18"/>
                          </w:rPr>
                          <w:t>l</w:t>
                        </w:r>
                        <w:r>
                          <w:rPr>
                            <w:b/>
                            <w:spacing w:val="-88"/>
                            <w:w w:val="100"/>
                            <w:position w:val="-11"/>
                            <w:sz w:val="22"/>
                          </w:rPr>
                          <w:t>a</w:t>
                        </w:r>
                        <w:r>
                          <w:rPr>
                            <w:spacing w:val="-15"/>
                            <w:w w:val="102"/>
                            <w:sz w:val="18"/>
                          </w:rPr>
                          <w:t>o</w:t>
                        </w:r>
                        <w:r>
                          <w:rPr>
                            <w:b/>
                            <w:spacing w:val="-47"/>
                            <w:w w:val="100"/>
                            <w:position w:val="-11"/>
                            <w:sz w:val="22"/>
                          </w:rPr>
                          <w:t>l</w:t>
                        </w:r>
                        <w:r>
                          <w:rPr>
                            <w:spacing w:val="-47"/>
                            <w:w w:val="102"/>
                            <w:sz w:val="18"/>
                          </w:rPr>
                          <w:t>y</w:t>
                        </w:r>
                        <w:r>
                          <w:rPr>
                            <w:b/>
                            <w:spacing w:val="-78"/>
                            <w:w w:val="100"/>
                            <w:position w:val="-11"/>
                            <w:sz w:val="22"/>
                          </w:rPr>
                          <w:t>e</w:t>
                        </w:r>
                        <w:r>
                          <w:rPr>
                            <w:spacing w:val="-25"/>
                            <w:w w:val="102"/>
                            <w:sz w:val="18"/>
                          </w:rPr>
                          <w:t>a</w:t>
                        </w:r>
                        <w:r>
                          <w:rPr>
                            <w:b/>
                            <w:spacing w:val="-45"/>
                            <w:w w:val="100"/>
                            <w:position w:val="-11"/>
                            <w:sz w:val="22"/>
                          </w:rPr>
                          <w:t>s</w:t>
                        </w:r>
                        <w:r>
                          <w:rPr>
                            <w:w w:val="102"/>
                            <w:sz w:val="18"/>
                          </w:rPr>
                          <w:t>d</w:t>
                        </w:r>
                        <w:r>
                          <w:rPr>
                            <w:spacing w:val="-99"/>
                            <w:w w:val="102"/>
                            <w:sz w:val="18"/>
                          </w:rPr>
                          <w:t>e</w:t>
                        </w:r>
                        <w:r>
                          <w:rPr>
                            <w:b/>
                            <w:w w:val="100"/>
                            <w:position w:val="-11"/>
                            <w:sz w:val="22"/>
                          </w:rPr>
                          <w:t>d</w:t>
                        </w:r>
                        <w:r>
                          <w:rPr>
                            <w:b/>
                            <w:spacing w:val="-110"/>
                            <w:w w:val="100"/>
                            <w:position w:val="-11"/>
                            <w:sz w:val="22"/>
                          </w:rPr>
                          <w:t>e</w:t>
                        </w:r>
                        <w:r>
                          <w:rPr>
                            <w:spacing w:val="-2"/>
                            <w:w w:val="102"/>
                            <w:sz w:val="18"/>
                          </w:rPr>
                          <w:t>J</w:t>
                        </w:r>
                        <w:r>
                          <w:rPr>
                            <w:spacing w:val="-85"/>
                            <w:w w:val="102"/>
                            <w:sz w:val="18"/>
                          </w:rPr>
                          <w:t>u</w:t>
                        </w:r>
                        <w:r>
                          <w:rPr>
                            <w:b/>
                            <w:w w:val="100"/>
                            <w:position w:val="-11"/>
                            <w:sz w:val="22"/>
                          </w:rPr>
                          <w:t>l</w:t>
                        </w:r>
                        <w:r>
                          <w:rPr>
                            <w:b/>
                            <w:spacing w:val="-37"/>
                            <w:position w:val="-11"/>
                            <w:sz w:val="22"/>
                          </w:rPr>
                          <w:t> </w:t>
                        </w:r>
                        <w:r>
                          <w:rPr>
                            <w:spacing w:val="-67"/>
                            <w:w w:val="102"/>
                            <w:sz w:val="18"/>
                          </w:rPr>
                          <w:t>á</w:t>
                        </w:r>
                        <w:r>
                          <w:rPr>
                            <w:b/>
                            <w:spacing w:val="-94"/>
                            <w:w w:val="100"/>
                            <w:position w:val="-11"/>
                            <w:sz w:val="22"/>
                          </w:rPr>
                          <w:t>D</w:t>
                        </w:r>
                        <w:r>
                          <w:rPr>
                            <w:spacing w:val="-1"/>
                            <w:w w:val="102"/>
                            <w:sz w:val="18"/>
                          </w:rPr>
                          <w:t>r</w:t>
                        </w:r>
                        <w:r>
                          <w:rPr>
                            <w:spacing w:val="-69"/>
                            <w:w w:val="102"/>
                            <w:sz w:val="18"/>
                          </w:rPr>
                          <w:t>e</w:t>
                        </w:r>
                        <w:r>
                          <w:rPr>
                            <w:b/>
                            <w:spacing w:val="-1"/>
                            <w:w w:val="100"/>
                            <w:position w:val="-11"/>
                            <w:sz w:val="22"/>
                          </w:rPr>
                          <w:t>i</w:t>
                        </w:r>
                        <w:r>
                          <w:rPr>
                            <w:b/>
                            <w:spacing w:val="-115"/>
                            <w:w w:val="100"/>
                            <w:position w:val="-11"/>
                            <w:sz w:val="22"/>
                          </w:rPr>
                          <w:t>s</w:t>
                        </w:r>
                        <w:r>
                          <w:rPr>
                            <w:w w:val="102"/>
                            <w:sz w:val="18"/>
                          </w:rPr>
                          <w:t>z</w:t>
                        </w:r>
                        <w:r>
                          <w:rPr>
                            <w:spacing w:val="-29"/>
                            <w:sz w:val="18"/>
                          </w:rPr>
                          <w:t> </w:t>
                        </w:r>
                        <w:r>
                          <w:rPr>
                            <w:b/>
                            <w:w w:val="100"/>
                            <w:position w:val="-11"/>
                            <w:sz w:val="22"/>
                          </w:rPr>
                          <w:t>t</w:t>
                        </w:r>
                        <w:r>
                          <w:rPr>
                            <w:b/>
                            <w:spacing w:val="1"/>
                            <w:w w:val="100"/>
                            <w:position w:val="-11"/>
                            <w:sz w:val="22"/>
                          </w:rPr>
                          <w:t>r</w:t>
                        </w:r>
                        <w:r>
                          <w:rPr>
                            <w:b/>
                            <w:spacing w:val="-1"/>
                            <w:w w:val="100"/>
                            <w:position w:val="-11"/>
                            <w:sz w:val="22"/>
                          </w:rPr>
                          <w:t>i</w:t>
                        </w:r>
                        <w:r>
                          <w:rPr>
                            <w:b/>
                            <w:w w:val="100"/>
                            <w:position w:val="-11"/>
                            <w:sz w:val="22"/>
                          </w:rPr>
                          <w:t>t</w:t>
                        </w:r>
                        <w:r>
                          <w:rPr>
                            <w:b/>
                            <w:spacing w:val="-13"/>
                            <w:w w:val="100"/>
                            <w:position w:val="-11"/>
                            <w:sz w:val="22"/>
                          </w:rPr>
                          <w:t>o</w:t>
                        </w:r>
                        <w:r>
                          <w:rPr>
                            <w:spacing w:val="-59"/>
                            <w:w w:val="102"/>
                            <w:sz w:val="18"/>
                          </w:rPr>
                          <w:t>C</w:t>
                        </w:r>
                        <w:r>
                          <w:rPr>
                            <w:b/>
                            <w:spacing w:val="-77"/>
                            <w:w w:val="100"/>
                            <w:position w:val="-11"/>
                            <w:sz w:val="22"/>
                          </w:rPr>
                          <w:t>F</w:t>
                        </w:r>
                        <w:r>
                          <w:rPr>
                            <w:spacing w:val="-27"/>
                            <w:w w:val="102"/>
                            <w:sz w:val="18"/>
                          </w:rPr>
                          <w:t>h</w:t>
                        </w:r>
                        <w:r>
                          <w:rPr>
                            <w:b/>
                            <w:spacing w:val="-97"/>
                            <w:w w:val="100"/>
                            <w:position w:val="-11"/>
                            <w:sz w:val="22"/>
                          </w:rPr>
                          <w:t>e</w:t>
                        </w:r>
                        <w:r>
                          <w:rPr>
                            <w:w w:val="102"/>
                            <w:sz w:val="18"/>
                          </w:rPr>
                          <w:t>i</w:t>
                        </w:r>
                        <w:r>
                          <w:rPr>
                            <w:spacing w:val="-99"/>
                            <w:w w:val="102"/>
                            <w:sz w:val="18"/>
                          </w:rPr>
                          <w:t>m</w:t>
                        </w:r>
                        <w:r>
                          <w:rPr>
                            <w:b/>
                            <w:spacing w:val="-38"/>
                            <w:w w:val="100"/>
                            <w:position w:val="-11"/>
                            <w:sz w:val="22"/>
                          </w:rPr>
                          <w:t>d</w:t>
                        </w:r>
                        <w:r>
                          <w:rPr>
                            <w:spacing w:val="-66"/>
                            <w:w w:val="102"/>
                            <w:sz w:val="18"/>
                          </w:rPr>
                          <w:t>a</w:t>
                        </w:r>
                        <w:r>
                          <w:rPr>
                            <w:b/>
                            <w:spacing w:val="-58"/>
                            <w:w w:val="100"/>
                            <w:position w:val="-11"/>
                            <w:sz w:val="22"/>
                          </w:rPr>
                          <w:t>e</w:t>
                        </w:r>
                        <w:r>
                          <w:rPr>
                            <w:w w:val="102"/>
                            <w:sz w:val="18"/>
                          </w:rPr>
                          <w:t>l</w:t>
                        </w:r>
                        <w:r>
                          <w:rPr>
                            <w:spacing w:val="-87"/>
                            <w:w w:val="102"/>
                            <w:sz w:val="18"/>
                          </w:rPr>
                          <w:t>h</w:t>
                        </w:r>
                        <w:r>
                          <w:rPr>
                            <w:b/>
                            <w:w w:val="100"/>
                            <w:position w:val="-11"/>
                            <w:sz w:val="22"/>
                          </w:rPr>
                          <w:t>r</w:t>
                        </w:r>
                        <w:r>
                          <w:rPr>
                            <w:spacing w:val="-103"/>
                            <w:w w:val="102"/>
                            <w:sz w:val="18"/>
                          </w:rPr>
                          <w:t>u</w:t>
                        </w:r>
                        <w:r>
                          <w:rPr>
                            <w:b/>
                            <w:spacing w:val="-21"/>
                            <w:w w:val="100"/>
                            <w:position w:val="-11"/>
                            <w:sz w:val="22"/>
                          </w:rPr>
                          <w:t>a</w:t>
                        </w:r>
                        <w:r>
                          <w:rPr>
                            <w:spacing w:val="-83"/>
                            <w:w w:val="102"/>
                            <w:sz w:val="18"/>
                          </w:rPr>
                          <w:t>a</w:t>
                        </w:r>
                        <w:r>
                          <w:rPr>
                            <w:b/>
                            <w:w w:val="100"/>
                            <w:position w:val="-11"/>
                            <w:sz w:val="22"/>
                          </w:rPr>
                          <w:t>l</w:t>
                        </w:r>
                        <w:r>
                          <w:rPr>
                            <w:b/>
                            <w:spacing w:val="-41"/>
                            <w:position w:val="-11"/>
                            <w:sz w:val="22"/>
                          </w:rPr>
                          <w:t> </w:t>
                        </w:r>
                        <w:r>
                          <w:rPr>
                            <w:spacing w:val="-52"/>
                            <w:w w:val="102"/>
                            <w:sz w:val="18"/>
                          </w:rPr>
                          <w:t>c</w:t>
                        </w:r>
                        <w:r>
                          <w:rPr>
                            <w:b/>
                            <w:spacing w:val="-24"/>
                            <w:w w:val="100"/>
                            <w:position w:val="-11"/>
                            <w:sz w:val="22"/>
                          </w:rPr>
                          <w:t>(</w:t>
                        </w:r>
                        <w:r>
                          <w:rPr>
                            <w:spacing w:val="-80"/>
                            <w:w w:val="102"/>
                            <w:sz w:val="18"/>
                          </w:rPr>
                          <w:t>á</w:t>
                        </w:r>
                        <w:r>
                          <w:rPr>
                            <w:b/>
                            <w:spacing w:val="-55"/>
                            <w:w w:val="100"/>
                            <w:position w:val="-11"/>
                            <w:sz w:val="22"/>
                          </w:rPr>
                          <w:t>F</w:t>
                        </w:r>
                        <w:r>
                          <w:rPr>
                            <w:spacing w:val="-48"/>
                            <w:w w:val="102"/>
                            <w:sz w:val="18"/>
                          </w:rPr>
                          <w:t>n</w:t>
                        </w:r>
                        <w:r>
                          <w:rPr>
                            <w:b/>
                            <w:w w:val="100"/>
                            <w:position w:val="-11"/>
                            <w:sz w:val="22"/>
                          </w:rPr>
                          <w:t>O</w:t>
                        </w:r>
                        <w:r>
                          <w:rPr>
                            <w:b/>
                            <w:w w:val="100"/>
                            <w:position w:val="-11"/>
                            <w:sz w:val="22"/>
                          </w:rPr>
                          <w:t>R</w:t>
                        </w:r>
                        <w:r>
                          <w:rPr>
                            <w:b/>
                            <w:spacing w:val="-16"/>
                            <w:w w:val="100"/>
                            <w:position w:val="-11"/>
                            <w:sz w:val="22"/>
                          </w:rPr>
                          <w:t>T</w:t>
                        </w:r>
                        <w:r>
                          <w:rPr>
                            <w:b/>
                            <w:w w:val="100"/>
                            <w:position w:val="-11"/>
                            <w:sz w:val="22"/>
                          </w:rPr>
                          <w:t>A</w:t>
                        </w:r>
                        <w:r>
                          <w:rPr>
                            <w:b/>
                            <w:spacing w:val="-147"/>
                            <w:w w:val="100"/>
                            <w:position w:val="-11"/>
                            <w:sz w:val="22"/>
                          </w:rPr>
                          <w:t>M</w:t>
                        </w:r>
                        <w:r>
                          <w:rPr>
                            <w:w w:val="102"/>
                            <w:sz w:val="18"/>
                          </w:rPr>
                          <w:t>N</w:t>
                        </w:r>
                        <w:r>
                          <w:rPr>
                            <w:spacing w:val="-91"/>
                            <w:w w:val="102"/>
                            <w:sz w:val="18"/>
                          </w:rPr>
                          <w:t>e</w:t>
                        </w:r>
                        <w:r>
                          <w:rPr>
                            <w:b/>
                            <w:spacing w:val="-69"/>
                            <w:w w:val="100"/>
                            <w:position w:val="-11"/>
                            <w:sz w:val="22"/>
                          </w:rPr>
                          <w:t>U</w:t>
                        </w:r>
                        <w:r>
                          <w:rPr>
                            <w:spacing w:val="-23"/>
                            <w:w w:val="102"/>
                            <w:sz w:val="18"/>
                          </w:rPr>
                          <w:t>z</w:t>
                        </w:r>
                        <w:r>
                          <w:rPr>
                            <w:b/>
                            <w:spacing w:val="-139"/>
                            <w:w w:val="100"/>
                            <w:position w:val="-11"/>
                            <w:sz w:val="22"/>
                          </w:rPr>
                          <w:t>N</w:t>
                        </w:r>
                        <w:r>
                          <w:rPr>
                            <w:spacing w:val="1"/>
                            <w:w w:val="102"/>
                            <w:sz w:val="18"/>
                          </w:rPr>
                          <w:t>a</w:t>
                        </w:r>
                        <w:r>
                          <w:rPr>
                            <w:spacing w:val="-69"/>
                            <w:w w:val="102"/>
                            <w:sz w:val="18"/>
                          </w:rPr>
                          <w:t>h</w:t>
                        </w:r>
                        <w:r>
                          <w:rPr>
                            <w:b/>
                            <w:spacing w:val="-92"/>
                            <w:w w:val="100"/>
                            <w:position w:val="-11"/>
                            <w:sz w:val="22"/>
                          </w:rPr>
                          <w:t>D</w:t>
                        </w:r>
                        <w:r>
                          <w:rPr>
                            <w:spacing w:val="-11"/>
                            <w:w w:val="102"/>
                            <w:sz w:val="18"/>
                          </w:rPr>
                          <w:t>u</w:t>
                        </w:r>
                        <w:r>
                          <w:rPr>
                            <w:b/>
                            <w:spacing w:val="-125"/>
                            <w:w w:val="100"/>
                            <w:position w:val="-11"/>
                            <w:sz w:val="22"/>
                          </w:rPr>
                          <w:t>F</w:t>
                        </w:r>
                        <w:r>
                          <w:rPr>
                            <w:spacing w:val="-1"/>
                            <w:w w:val="102"/>
                            <w:sz w:val="18"/>
                          </w:rPr>
                          <w:t>a</w:t>
                        </w:r>
                        <w:r>
                          <w:rPr>
                            <w:spacing w:val="-20"/>
                            <w:w w:val="102"/>
                            <w:sz w:val="18"/>
                          </w:rPr>
                          <w:t>l</w:t>
                        </w:r>
                        <w:r>
                          <w:rPr>
                            <w:b/>
                            <w:spacing w:val="-55"/>
                            <w:w w:val="100"/>
                            <w:position w:val="-11"/>
                            <w:sz w:val="22"/>
                          </w:rPr>
                          <w:t>)</w:t>
                        </w:r>
                        <w:r>
                          <w:rPr>
                            <w:spacing w:val="-2"/>
                            <w:w w:val="102"/>
                            <w:sz w:val="18"/>
                          </w:rPr>
                          <w:t>c</w:t>
                        </w:r>
                        <w:r>
                          <w:rPr>
                            <w:spacing w:val="-78"/>
                            <w:w w:val="102"/>
                            <w:sz w:val="18"/>
                          </w:rPr>
                          <w:t>ó</w:t>
                        </w:r>
                        <w:r>
                          <w:rPr>
                            <w:b/>
                            <w:spacing w:val="-45"/>
                            <w:w w:val="100"/>
                            <w:position w:val="-11"/>
                            <w:sz w:val="22"/>
                          </w:rPr>
                          <w:t>2</w:t>
                        </w:r>
                        <w:r>
                          <w:rPr>
                            <w:spacing w:val="-49"/>
                            <w:w w:val="102"/>
                            <w:sz w:val="18"/>
                          </w:rPr>
                          <w:t>y</w:t>
                        </w:r>
                        <w:r>
                          <w:rPr>
                            <w:b/>
                            <w:spacing w:val="-76"/>
                            <w:w w:val="100"/>
                            <w:position w:val="-11"/>
                            <w:sz w:val="22"/>
                          </w:rPr>
                          <w:t>0</w:t>
                        </w:r>
                        <w:r>
                          <w:rPr>
                            <w:spacing w:val="-26"/>
                            <w:w w:val="102"/>
                            <w:sz w:val="18"/>
                          </w:rPr>
                          <w:t>o</w:t>
                        </w:r>
                        <w:r>
                          <w:rPr>
                            <w:b/>
                            <w:spacing w:val="-96"/>
                            <w:w w:val="100"/>
                            <w:position w:val="-11"/>
                            <w:sz w:val="22"/>
                          </w:rPr>
                          <w:t>0</w:t>
                        </w:r>
                        <w:r>
                          <w:rPr>
                            <w:spacing w:val="-1"/>
                            <w:w w:val="102"/>
                            <w:sz w:val="18"/>
                          </w:rPr>
                          <w:t>t</w:t>
                        </w:r>
                        <w:r>
                          <w:rPr>
                            <w:spacing w:val="4"/>
                            <w:w w:val="102"/>
                            <w:sz w:val="18"/>
                          </w:rPr>
                          <w:t>l</w:t>
                        </w:r>
                        <w:r>
                          <w:rPr>
                            <w:b/>
                            <w:w w:val="100"/>
                            <w:position w:val="-11"/>
                            <w:sz w:val="22"/>
                          </w:rPr>
                          <w:t>9</w:t>
                        </w:r>
                        <w:r>
                          <w:rPr>
                            <w:b/>
                            <w:spacing w:val="1"/>
                            <w:position w:val="-11"/>
                            <w:sz w:val="22"/>
                          </w:rPr>
                          <w:t> </w:t>
                        </w:r>
                        <w:r>
                          <w:rPr>
                            <w:b/>
                            <w:w w:val="100"/>
                            <w:position w:val="-11"/>
                            <w:sz w:val="22"/>
                          </w:rPr>
                          <w:t>%</w:t>
                        </w:r>
                        <w:r>
                          <w:rPr>
                            <w:b/>
                            <w:spacing w:val="-25"/>
                            <w:position w:val="-11"/>
                            <w:sz w:val="22"/>
                          </w:rPr>
                          <w:t> </w:t>
                        </w:r>
                        <w:r>
                          <w:rPr>
                            <w:spacing w:val="-2"/>
                            <w:w w:val="102"/>
                            <w:sz w:val="18"/>
                          </w:rPr>
                          <w:t>S</w:t>
                        </w:r>
                        <w:r>
                          <w:rPr>
                            <w:spacing w:val="1"/>
                            <w:w w:val="102"/>
                            <w:sz w:val="18"/>
                          </w:rPr>
                          <w:t>a</w:t>
                        </w:r>
                        <w:r>
                          <w:rPr>
                            <w:w w:val="102"/>
                            <w:sz w:val="18"/>
                          </w:rPr>
                          <w:t>n</w:t>
                        </w:r>
                        <w:r>
                          <w:rPr>
                            <w:sz w:val="18"/>
                          </w:rPr>
                          <w:t> </w:t>
                        </w:r>
                        <w:r>
                          <w:rPr>
                            <w:w w:val="102"/>
                            <w:sz w:val="18"/>
                          </w:rPr>
                          <w:t>F</w:t>
                        </w:r>
                        <w:r>
                          <w:rPr>
                            <w:w w:val="102"/>
                            <w:sz w:val="18"/>
                          </w:rPr>
                          <w:t>e</w:t>
                        </w:r>
                        <w:r>
                          <w:rPr>
                            <w:w w:val="102"/>
                            <w:sz w:val="18"/>
                          </w:rPr>
                          <w:t>l</w:t>
                        </w:r>
                        <w:r>
                          <w:rPr>
                            <w:spacing w:val="-1"/>
                            <w:w w:val="102"/>
                            <w:sz w:val="18"/>
                          </w:rPr>
                          <w:t>i</w:t>
                        </w:r>
                        <w:r>
                          <w:rPr>
                            <w:w w:val="102"/>
                            <w:sz w:val="18"/>
                          </w:rPr>
                          <w:t>pe</w:t>
                        </w:r>
                        <w:r>
                          <w:rPr>
                            <w:spacing w:val="1"/>
                            <w:sz w:val="18"/>
                          </w:rPr>
                          <w:t> </w:t>
                        </w:r>
                        <w:r>
                          <w:rPr>
                            <w:w w:val="102"/>
                            <w:sz w:val="18"/>
                          </w:rPr>
                          <w:t>de</w:t>
                        </w:r>
                        <w:r>
                          <w:rPr>
                            <w:w w:val="102"/>
                            <w:sz w:val="18"/>
                          </w:rPr>
                          <w:t>l</w:t>
                        </w:r>
                        <w:r>
                          <w:rPr>
                            <w:spacing w:val="1"/>
                            <w:sz w:val="18"/>
                          </w:rPr>
                          <w:t> </w:t>
                        </w:r>
                        <w:r>
                          <w:rPr>
                            <w:spacing w:val="-2"/>
                            <w:w w:val="102"/>
                            <w:sz w:val="18"/>
                          </w:rPr>
                          <w:t>P</w:t>
                        </w:r>
                        <w:r>
                          <w:rPr>
                            <w:w w:val="102"/>
                            <w:sz w:val="18"/>
                          </w:rPr>
                          <w:t>r</w:t>
                        </w:r>
                        <w:r>
                          <w:rPr>
                            <w:spacing w:val="1"/>
                            <w:w w:val="102"/>
                            <w:sz w:val="18"/>
                          </w:rPr>
                          <w:t>o</w:t>
                        </w:r>
                        <w:r>
                          <w:rPr>
                            <w:spacing w:val="-1"/>
                            <w:w w:val="102"/>
                            <w:sz w:val="18"/>
                          </w:rPr>
                          <w:t>gre</w:t>
                        </w:r>
                        <w:r>
                          <w:rPr>
                            <w:spacing w:val="-2"/>
                            <w:w w:val="102"/>
                            <w:sz w:val="18"/>
                          </w:rPr>
                          <w:t>so</w:t>
                        </w:r>
                      </w:p>
                    </w:tc>
                  </w:tr>
                  <w:tr>
                    <w:trPr>
                      <w:trHeight w:val="205" w:hRule="exact"/>
                    </w:trPr>
                    <w:tc>
                      <w:tcPr>
                        <w:tcW w:w="4207" w:type="dxa"/>
                        <w:gridSpan w:val="2"/>
                      </w:tcPr>
                      <w:p>
                        <w:pPr>
                          <w:pStyle w:val="TableParagraph"/>
                          <w:spacing w:line="188" w:lineRule="exact"/>
                          <w:ind w:left="33"/>
                          <w:rPr>
                            <w:sz w:val="18"/>
                          </w:rPr>
                        </w:pPr>
                        <w:r>
                          <w:rPr>
                            <w:w w:val="105"/>
                            <w:sz w:val="18"/>
                          </w:rPr>
                          <w:t>Alcantarillado</w:t>
                        </w:r>
                      </w:p>
                    </w:tc>
                    <w:tc>
                      <w:tcPr>
                        <w:tcW w:w="741" w:type="dxa"/>
                      </w:tcPr>
                      <w:p>
                        <w:pPr/>
                      </w:p>
                    </w:tc>
                    <w:tc>
                      <w:tcPr>
                        <w:tcW w:w="1094" w:type="dxa"/>
                      </w:tcPr>
                      <w:p>
                        <w:pPr>
                          <w:pStyle w:val="TableParagraph"/>
                          <w:spacing w:line="188" w:lineRule="exact"/>
                          <w:ind w:right="34"/>
                          <w:jc w:val="right"/>
                          <w:rPr>
                            <w:sz w:val="18"/>
                          </w:rPr>
                        </w:pPr>
                        <w:r>
                          <w:rPr>
                            <w:sz w:val="18"/>
                          </w:rPr>
                          <w:t>0.0</w:t>
                        </w:r>
                      </w:p>
                    </w:tc>
                    <w:tc>
                      <w:tcPr>
                        <w:tcW w:w="1849" w:type="dxa"/>
                      </w:tcPr>
                      <w:p>
                        <w:pPr>
                          <w:pStyle w:val="TableParagraph"/>
                          <w:spacing w:line="188" w:lineRule="exact"/>
                          <w:ind w:right="34"/>
                          <w:jc w:val="right"/>
                          <w:rPr>
                            <w:sz w:val="18"/>
                          </w:rPr>
                        </w:pPr>
                        <w:r>
                          <w:rPr>
                            <w:sz w:val="18"/>
                          </w:rPr>
                          <w:t>0.0</w:t>
                        </w:r>
                      </w:p>
                    </w:tc>
                    <w:tc>
                      <w:tcPr>
                        <w:tcW w:w="252" w:type="dxa"/>
                      </w:tcPr>
                      <w:p>
                        <w:pPr/>
                      </w:p>
                    </w:tc>
                    <w:tc>
                      <w:tcPr>
                        <w:tcW w:w="1552" w:type="dxa"/>
                      </w:tcPr>
                      <w:p>
                        <w:pPr>
                          <w:pStyle w:val="TableParagraph"/>
                          <w:spacing w:line="188" w:lineRule="exact"/>
                          <w:ind w:right="33"/>
                          <w:jc w:val="right"/>
                          <w:rPr>
                            <w:sz w:val="18"/>
                          </w:rPr>
                        </w:pPr>
                        <w:r>
                          <w:rPr>
                            <w:sz w:val="18"/>
                          </w:rPr>
                          <w:t>0.0</w:t>
                        </w:r>
                      </w:p>
                    </w:tc>
                    <w:tc>
                      <w:tcPr>
                        <w:tcW w:w="1422" w:type="dxa"/>
                      </w:tcPr>
                      <w:p>
                        <w:pPr/>
                      </w:p>
                    </w:tc>
                    <w:tc>
                      <w:tcPr>
                        <w:tcW w:w="860" w:type="dxa"/>
                      </w:tcPr>
                      <w:p>
                        <w:pPr>
                          <w:pStyle w:val="TableParagraph"/>
                          <w:spacing w:line="188" w:lineRule="exact"/>
                          <w:ind w:right="34"/>
                          <w:jc w:val="right"/>
                          <w:rPr>
                            <w:sz w:val="18"/>
                          </w:rPr>
                        </w:pPr>
                        <w:r>
                          <w:rPr>
                            <w:sz w:val="18"/>
                          </w:rPr>
                          <w:t>2.9</w:t>
                        </w:r>
                      </w:p>
                    </w:tc>
                  </w:tr>
                  <w:tr>
                    <w:trPr>
                      <w:trHeight w:val="232" w:hRule="exact"/>
                    </w:trPr>
                    <w:tc>
                      <w:tcPr>
                        <w:tcW w:w="4207" w:type="dxa"/>
                        <w:gridSpan w:val="2"/>
                        <w:shd w:val="clear" w:color="auto" w:fill="E6B8B7"/>
                      </w:tcPr>
                      <w:p>
                        <w:pPr>
                          <w:pStyle w:val="TableParagraph"/>
                          <w:spacing w:before="9"/>
                          <w:ind w:left="33"/>
                          <w:rPr>
                            <w:sz w:val="18"/>
                          </w:rPr>
                        </w:pPr>
                        <w:r>
                          <w:rPr>
                            <w:w w:val="105"/>
                            <w:sz w:val="18"/>
                          </w:rPr>
                          <w:t>Drenaje y letrinas</w:t>
                        </w:r>
                      </w:p>
                    </w:tc>
                    <w:tc>
                      <w:tcPr>
                        <w:tcW w:w="741" w:type="dxa"/>
                        <w:shd w:val="clear" w:color="auto" w:fill="E6B8B7"/>
                      </w:tcPr>
                      <w:p>
                        <w:pPr/>
                      </w:p>
                    </w:tc>
                    <w:tc>
                      <w:tcPr>
                        <w:tcW w:w="1094" w:type="dxa"/>
                        <w:shd w:val="clear" w:color="auto" w:fill="E6B8B7"/>
                      </w:tcPr>
                      <w:p>
                        <w:pPr>
                          <w:pStyle w:val="TableParagraph"/>
                          <w:spacing w:before="9"/>
                          <w:ind w:right="34"/>
                          <w:jc w:val="right"/>
                          <w:rPr>
                            <w:sz w:val="18"/>
                          </w:rPr>
                        </w:pPr>
                        <w:r>
                          <w:rPr>
                            <w:sz w:val="18"/>
                          </w:rPr>
                          <w:t>2.3</w:t>
                        </w:r>
                      </w:p>
                    </w:tc>
                    <w:tc>
                      <w:tcPr>
                        <w:tcW w:w="1849" w:type="dxa"/>
                        <w:shd w:val="clear" w:color="auto" w:fill="E6B8B7"/>
                      </w:tcPr>
                      <w:p>
                        <w:pPr>
                          <w:pStyle w:val="TableParagraph"/>
                          <w:spacing w:before="9"/>
                          <w:ind w:right="34"/>
                          <w:jc w:val="right"/>
                          <w:rPr>
                            <w:sz w:val="18"/>
                          </w:rPr>
                        </w:pPr>
                        <w:r>
                          <w:rPr>
                            <w:sz w:val="18"/>
                          </w:rPr>
                          <w:t>0.0</w:t>
                        </w:r>
                      </w:p>
                    </w:tc>
                    <w:tc>
                      <w:tcPr>
                        <w:tcW w:w="252" w:type="dxa"/>
                        <w:shd w:val="clear" w:color="auto" w:fill="E6B8B7"/>
                      </w:tcPr>
                      <w:p>
                        <w:pPr/>
                      </w:p>
                    </w:tc>
                    <w:tc>
                      <w:tcPr>
                        <w:tcW w:w="1552" w:type="dxa"/>
                        <w:shd w:val="clear" w:color="auto" w:fill="E6B8B7"/>
                      </w:tcPr>
                      <w:p>
                        <w:pPr>
                          <w:pStyle w:val="TableParagraph"/>
                          <w:spacing w:before="9"/>
                          <w:ind w:right="36"/>
                          <w:jc w:val="right"/>
                          <w:rPr>
                            <w:sz w:val="18"/>
                          </w:rPr>
                        </w:pPr>
                        <w:r>
                          <w:rPr>
                            <w:sz w:val="18"/>
                          </w:rPr>
                          <w:t>10.0</w:t>
                        </w:r>
                      </w:p>
                    </w:tc>
                    <w:tc>
                      <w:tcPr>
                        <w:tcW w:w="1422" w:type="dxa"/>
                        <w:shd w:val="clear" w:color="auto" w:fill="E6B8B7"/>
                      </w:tcPr>
                      <w:p>
                        <w:pPr/>
                      </w:p>
                    </w:tc>
                    <w:tc>
                      <w:tcPr>
                        <w:tcW w:w="860" w:type="dxa"/>
                        <w:shd w:val="clear" w:color="auto" w:fill="E6B8B7"/>
                      </w:tcPr>
                      <w:p>
                        <w:pPr>
                          <w:pStyle w:val="TableParagraph"/>
                          <w:spacing w:before="9"/>
                          <w:ind w:right="34"/>
                          <w:jc w:val="right"/>
                          <w:rPr>
                            <w:sz w:val="18"/>
                          </w:rPr>
                        </w:pPr>
                        <w:r>
                          <w:rPr>
                            <w:sz w:val="18"/>
                          </w:rPr>
                          <w:t>0.0</w:t>
                        </w:r>
                      </w:p>
                    </w:tc>
                  </w:tr>
                  <w:tr>
                    <w:trPr>
                      <w:trHeight w:val="213" w:hRule="exact"/>
                    </w:trPr>
                    <w:tc>
                      <w:tcPr>
                        <w:tcW w:w="4207" w:type="dxa"/>
                        <w:gridSpan w:val="2"/>
                      </w:tcPr>
                      <w:p>
                        <w:pPr>
                          <w:pStyle w:val="TableParagraph"/>
                          <w:spacing w:before="9"/>
                          <w:ind w:left="33"/>
                          <w:rPr>
                            <w:sz w:val="18"/>
                          </w:rPr>
                        </w:pPr>
                        <w:r>
                          <w:rPr>
                            <w:sz w:val="18"/>
                          </w:rPr>
                          <w:t>Urbanización Municipal</w:t>
                        </w:r>
                      </w:p>
                    </w:tc>
                    <w:tc>
                      <w:tcPr>
                        <w:tcW w:w="741" w:type="dxa"/>
                      </w:tcPr>
                      <w:p>
                        <w:pPr/>
                      </w:p>
                    </w:tc>
                    <w:tc>
                      <w:tcPr>
                        <w:tcW w:w="1094" w:type="dxa"/>
                      </w:tcPr>
                      <w:p>
                        <w:pPr>
                          <w:pStyle w:val="TableParagraph"/>
                          <w:spacing w:before="9"/>
                          <w:ind w:right="36"/>
                          <w:jc w:val="right"/>
                          <w:rPr>
                            <w:sz w:val="18"/>
                          </w:rPr>
                        </w:pPr>
                        <w:r>
                          <w:rPr>
                            <w:sz w:val="18"/>
                          </w:rPr>
                          <w:t>46.0</w:t>
                        </w:r>
                      </w:p>
                    </w:tc>
                    <w:tc>
                      <w:tcPr>
                        <w:tcW w:w="1849" w:type="dxa"/>
                      </w:tcPr>
                      <w:p>
                        <w:pPr>
                          <w:pStyle w:val="TableParagraph"/>
                          <w:spacing w:before="9"/>
                          <w:ind w:right="36"/>
                          <w:jc w:val="right"/>
                          <w:rPr>
                            <w:sz w:val="18"/>
                          </w:rPr>
                        </w:pPr>
                        <w:r>
                          <w:rPr>
                            <w:sz w:val="18"/>
                          </w:rPr>
                          <w:t>43.1</w:t>
                        </w:r>
                      </w:p>
                    </w:tc>
                    <w:tc>
                      <w:tcPr>
                        <w:tcW w:w="252" w:type="dxa"/>
                      </w:tcPr>
                      <w:p>
                        <w:pPr/>
                      </w:p>
                    </w:tc>
                    <w:tc>
                      <w:tcPr>
                        <w:tcW w:w="1552" w:type="dxa"/>
                      </w:tcPr>
                      <w:p>
                        <w:pPr>
                          <w:pStyle w:val="TableParagraph"/>
                          <w:spacing w:before="9"/>
                          <w:ind w:right="36"/>
                          <w:jc w:val="right"/>
                          <w:rPr>
                            <w:sz w:val="18"/>
                          </w:rPr>
                        </w:pPr>
                        <w:r>
                          <w:rPr>
                            <w:sz w:val="18"/>
                          </w:rPr>
                          <w:t>50.6</w:t>
                        </w:r>
                      </w:p>
                    </w:tc>
                    <w:tc>
                      <w:tcPr>
                        <w:tcW w:w="1422" w:type="dxa"/>
                      </w:tcPr>
                      <w:p>
                        <w:pPr/>
                      </w:p>
                    </w:tc>
                    <w:tc>
                      <w:tcPr>
                        <w:tcW w:w="860" w:type="dxa"/>
                      </w:tcPr>
                      <w:p>
                        <w:pPr>
                          <w:pStyle w:val="TableParagraph"/>
                          <w:spacing w:before="9"/>
                          <w:ind w:right="35"/>
                          <w:jc w:val="right"/>
                          <w:rPr>
                            <w:sz w:val="18"/>
                          </w:rPr>
                        </w:pPr>
                        <w:r>
                          <w:rPr>
                            <w:sz w:val="18"/>
                          </w:rPr>
                          <w:t>32.8</w:t>
                        </w:r>
                      </w:p>
                    </w:tc>
                  </w:tr>
                  <w:tr>
                    <w:trPr>
                      <w:trHeight w:val="208" w:hRule="exact"/>
                    </w:trPr>
                    <w:tc>
                      <w:tcPr>
                        <w:tcW w:w="11977" w:type="dxa"/>
                        <w:gridSpan w:val="9"/>
                        <w:shd w:val="clear" w:color="auto" w:fill="E6B8B7"/>
                      </w:tcPr>
                      <w:p>
                        <w:pPr>
                          <w:pStyle w:val="TableParagraph"/>
                          <w:tabs>
                            <w:tab w:pos="8879" w:val="left" w:leader="none"/>
                          </w:tabs>
                          <w:spacing w:line="143" w:lineRule="exact"/>
                          <w:ind w:left="4988"/>
                          <w:rPr>
                            <w:sz w:val="22"/>
                          </w:rPr>
                        </w:pPr>
                        <w:r>
                          <w:rPr>
                            <w:sz w:val="22"/>
                          </w:rPr>
                          <w:t>Ecatepec</w:t>
                        </w:r>
                        <w:r>
                          <w:rPr>
                            <w:spacing w:val="1"/>
                            <w:sz w:val="22"/>
                          </w:rPr>
                          <w:t> </w:t>
                        </w:r>
                        <w:r>
                          <w:rPr>
                            <w:sz w:val="22"/>
                          </w:rPr>
                          <w:t>de</w:t>
                        </w:r>
                        <w:r>
                          <w:rPr>
                            <w:spacing w:val="2"/>
                            <w:sz w:val="22"/>
                          </w:rPr>
                          <w:t> </w:t>
                        </w:r>
                        <w:r>
                          <w:rPr>
                            <w:sz w:val="22"/>
                          </w:rPr>
                          <w:t>Morelos</w:t>
                          <w:tab/>
                          <w:t>Nezahua</w:t>
                        </w:r>
                      </w:p>
                    </w:tc>
                  </w:tr>
                  <w:tr>
                    <w:trPr>
                      <w:trHeight w:val="259" w:hRule="exact"/>
                    </w:trPr>
                    <w:tc>
                      <w:tcPr>
                        <w:tcW w:w="4207" w:type="dxa"/>
                        <w:gridSpan w:val="2"/>
                      </w:tcPr>
                      <w:p>
                        <w:pPr>
                          <w:pStyle w:val="TableParagraph"/>
                          <w:spacing w:line="266" w:lineRule="exact"/>
                          <w:ind w:left="33"/>
                          <w:rPr>
                            <w:sz w:val="22"/>
                          </w:rPr>
                        </w:pPr>
                        <w:r>
                          <w:rPr>
                            <w:position w:val="-5"/>
                            <w:sz w:val="18"/>
                          </w:rPr>
                          <w:t>Infraestruc </w:t>
                        </w:r>
                        <w:r>
                          <w:rPr>
                            <w:sz w:val="22"/>
                          </w:rPr>
                          <w:t>Pago de obligaciones financieras</w:t>
                        </w:r>
                      </w:p>
                    </w:tc>
                    <w:tc>
                      <w:tcPr>
                        <w:tcW w:w="1835" w:type="dxa"/>
                        <w:gridSpan w:val="2"/>
                        <w:shd w:val="clear" w:color="auto" w:fill="E6B8B7"/>
                      </w:tcPr>
                      <w:p>
                        <w:pPr/>
                      </w:p>
                    </w:tc>
                    <w:tc>
                      <w:tcPr>
                        <w:tcW w:w="2101" w:type="dxa"/>
                        <w:gridSpan w:val="2"/>
                        <w:shd w:val="clear" w:color="auto" w:fill="E6B8B7"/>
                      </w:tcPr>
                      <w:p>
                        <w:pPr>
                          <w:pStyle w:val="TableParagraph"/>
                          <w:spacing w:line="215" w:lineRule="exact"/>
                          <w:ind w:right="41"/>
                          <w:jc w:val="right"/>
                          <w:rPr>
                            <w:sz w:val="22"/>
                          </w:rPr>
                        </w:pPr>
                        <w:r>
                          <w:rPr>
                            <w:sz w:val="22"/>
                          </w:rPr>
                          <w:t>30.5</w:t>
                        </w:r>
                      </w:p>
                    </w:tc>
                    <w:tc>
                      <w:tcPr>
                        <w:tcW w:w="1552" w:type="dxa"/>
                        <w:shd w:val="clear" w:color="auto" w:fill="E6B8B7"/>
                      </w:tcPr>
                      <w:p>
                        <w:pPr/>
                      </w:p>
                    </w:tc>
                    <w:tc>
                      <w:tcPr>
                        <w:tcW w:w="2282" w:type="dxa"/>
                        <w:gridSpan w:val="2"/>
                      </w:tcPr>
                      <w:p>
                        <w:pPr>
                          <w:pStyle w:val="TableParagraph"/>
                          <w:tabs>
                            <w:tab w:pos="1989" w:val="left" w:leader="none"/>
                          </w:tabs>
                          <w:spacing w:line="266" w:lineRule="exact"/>
                          <w:ind w:left="1072"/>
                          <w:rPr>
                            <w:sz w:val="18"/>
                          </w:rPr>
                        </w:pPr>
                        <w:r>
                          <w:rPr>
                            <w:sz w:val="22"/>
                          </w:rPr>
                          <w:t>0.0</w:t>
                          <w:tab/>
                        </w:r>
                        <w:r>
                          <w:rPr>
                            <w:position w:val="-5"/>
                            <w:sz w:val="18"/>
                          </w:rPr>
                          <w:t>5.7</w:t>
                        </w:r>
                      </w:p>
                    </w:tc>
                  </w:tr>
                  <w:tr>
                    <w:trPr>
                      <w:trHeight w:val="253" w:hRule="exact"/>
                    </w:trPr>
                    <w:tc>
                      <w:tcPr>
                        <w:tcW w:w="4207" w:type="dxa"/>
                        <w:gridSpan w:val="2"/>
                        <w:tcBorders>
                          <w:right w:val="single" w:sz="6" w:space="0" w:color="000000"/>
                        </w:tcBorders>
                        <w:shd w:val="clear" w:color="auto" w:fill="E6B8B7"/>
                      </w:tcPr>
                      <w:p>
                        <w:pPr>
                          <w:pStyle w:val="TableParagraph"/>
                          <w:spacing w:line="235" w:lineRule="exact"/>
                          <w:ind w:left="33" w:right="-1"/>
                          <w:rPr>
                            <w:sz w:val="22"/>
                          </w:rPr>
                        </w:pPr>
                        <w:r>
                          <w:rPr>
                            <w:w w:val="102"/>
                            <w:sz w:val="18"/>
                          </w:rPr>
                          <w:t>I</w:t>
                        </w:r>
                        <w:r>
                          <w:rPr>
                            <w:spacing w:val="-1"/>
                            <w:w w:val="102"/>
                            <w:sz w:val="18"/>
                          </w:rPr>
                          <w:t>n</w:t>
                        </w:r>
                        <w:r>
                          <w:rPr>
                            <w:spacing w:val="-1"/>
                            <w:w w:val="102"/>
                            <w:sz w:val="18"/>
                          </w:rPr>
                          <w:t>f</w:t>
                        </w:r>
                        <w:r>
                          <w:rPr>
                            <w:spacing w:val="-1"/>
                            <w:w w:val="102"/>
                            <w:sz w:val="18"/>
                          </w:rPr>
                          <w:t>rae</w:t>
                        </w:r>
                        <w:r>
                          <w:rPr>
                            <w:spacing w:val="-2"/>
                            <w:w w:val="102"/>
                            <w:sz w:val="18"/>
                          </w:rPr>
                          <w:t>s</w:t>
                        </w:r>
                        <w:r>
                          <w:rPr>
                            <w:spacing w:val="1"/>
                            <w:w w:val="102"/>
                            <w:sz w:val="18"/>
                          </w:rPr>
                          <w:t>t</w:t>
                        </w:r>
                        <w:r>
                          <w:rPr>
                            <w:spacing w:val="-1"/>
                            <w:w w:val="102"/>
                            <w:sz w:val="18"/>
                          </w:rPr>
                          <w:t>r</w:t>
                        </w:r>
                        <w:r>
                          <w:rPr>
                            <w:w w:val="102"/>
                            <w:sz w:val="18"/>
                          </w:rPr>
                          <w:t>u</w:t>
                        </w:r>
                        <w:r>
                          <w:rPr>
                            <w:spacing w:val="-2"/>
                            <w:w w:val="102"/>
                            <w:sz w:val="18"/>
                          </w:rPr>
                          <w:t>c</w:t>
                        </w:r>
                        <w:r>
                          <w:rPr>
                            <w:spacing w:val="-34"/>
                            <w:w w:val="102"/>
                            <w:sz w:val="18"/>
                          </w:rPr>
                          <w:t>t</w:t>
                        </w:r>
                        <w:r>
                          <w:rPr>
                            <w:spacing w:val="-126"/>
                            <w:w w:val="100"/>
                            <w:position w:val="1"/>
                            <w:sz w:val="22"/>
                          </w:rPr>
                          <w:t>R</w:t>
                        </w:r>
                        <w:r>
                          <w:rPr>
                            <w:w w:val="102"/>
                            <w:sz w:val="18"/>
                          </w:rPr>
                          <w:t>u</w:t>
                        </w:r>
                        <w:r>
                          <w:rPr>
                            <w:spacing w:val="-39"/>
                            <w:w w:val="102"/>
                            <w:sz w:val="18"/>
                          </w:rPr>
                          <w:t>r</w:t>
                        </w:r>
                        <w:r>
                          <w:rPr>
                            <w:spacing w:val="-85"/>
                            <w:w w:val="100"/>
                            <w:position w:val="1"/>
                            <w:sz w:val="22"/>
                          </w:rPr>
                          <w:t>e</w:t>
                        </w:r>
                        <w:r>
                          <w:rPr>
                            <w:spacing w:val="-18"/>
                            <w:w w:val="102"/>
                            <w:sz w:val="18"/>
                          </w:rPr>
                          <w:t>a</w:t>
                        </w:r>
                        <w:r>
                          <w:rPr>
                            <w:spacing w:val="-42"/>
                            <w:w w:val="100"/>
                            <w:position w:val="1"/>
                            <w:sz w:val="22"/>
                          </w:rPr>
                          <w:t>c</w:t>
                        </w:r>
                        <w:r>
                          <w:rPr>
                            <w:spacing w:val="-62"/>
                            <w:w w:val="102"/>
                            <w:sz w:val="18"/>
                          </w:rPr>
                          <w:t>b</w:t>
                        </w:r>
                        <w:r>
                          <w:rPr>
                            <w:spacing w:val="-62"/>
                            <w:w w:val="100"/>
                            <w:position w:val="1"/>
                            <w:sz w:val="22"/>
                          </w:rPr>
                          <w:t>u</w:t>
                        </w:r>
                        <w:r>
                          <w:rPr>
                            <w:spacing w:val="-40"/>
                            <w:w w:val="102"/>
                            <w:sz w:val="18"/>
                          </w:rPr>
                          <w:t>á</w:t>
                        </w:r>
                        <w:r>
                          <w:rPr>
                            <w:spacing w:val="-34"/>
                            <w:w w:val="100"/>
                            <w:position w:val="1"/>
                            <w:sz w:val="22"/>
                          </w:rPr>
                          <w:t>r</w:t>
                        </w:r>
                        <w:r>
                          <w:rPr>
                            <w:spacing w:val="-59"/>
                            <w:w w:val="102"/>
                            <w:sz w:val="18"/>
                          </w:rPr>
                          <w:t>s</w:t>
                        </w:r>
                        <w:r>
                          <w:rPr>
                            <w:spacing w:val="-53"/>
                            <w:w w:val="100"/>
                            <w:position w:val="1"/>
                            <w:sz w:val="22"/>
                          </w:rPr>
                          <w:t>s</w:t>
                        </w:r>
                        <w:r>
                          <w:rPr>
                            <w:spacing w:val="1"/>
                            <w:w w:val="102"/>
                            <w:sz w:val="18"/>
                          </w:rPr>
                          <w:t>i</w:t>
                        </w:r>
                        <w:r>
                          <w:rPr>
                            <w:spacing w:val="-83"/>
                            <w:w w:val="102"/>
                            <w:sz w:val="18"/>
                          </w:rPr>
                          <w:t>c</w:t>
                        </w:r>
                        <w:r>
                          <w:rPr>
                            <w:spacing w:val="-42"/>
                            <w:w w:val="100"/>
                            <w:position w:val="1"/>
                            <w:sz w:val="22"/>
                          </w:rPr>
                          <w:t>o</w:t>
                        </w:r>
                        <w:r>
                          <w:rPr>
                            <w:spacing w:val="-62"/>
                            <w:w w:val="102"/>
                            <w:sz w:val="18"/>
                          </w:rPr>
                          <w:t>a</w:t>
                        </w:r>
                        <w:r>
                          <w:rPr>
                            <w:spacing w:val="2"/>
                            <w:w w:val="100"/>
                            <w:position w:val="1"/>
                            <w:sz w:val="22"/>
                          </w:rPr>
                          <w:t>s</w:t>
                        </w:r>
                        <w:r>
                          <w:rPr>
                            <w:spacing w:val="-44"/>
                            <w:w w:val="102"/>
                            <w:sz w:val="18"/>
                          </w:rPr>
                          <w:t>d</w:t>
                        </w:r>
                        <w:r>
                          <w:rPr>
                            <w:spacing w:val="-80"/>
                            <w:w w:val="100"/>
                            <w:position w:val="1"/>
                            <w:sz w:val="22"/>
                          </w:rPr>
                          <w:t>a</w:t>
                        </w:r>
                        <w:r>
                          <w:rPr>
                            <w:spacing w:val="-23"/>
                            <w:w w:val="102"/>
                            <w:sz w:val="18"/>
                          </w:rPr>
                          <w:t>e</w:t>
                        </w:r>
                        <w:r>
                          <w:rPr>
                            <w:spacing w:val="-49"/>
                            <w:w w:val="100"/>
                            <w:position w:val="1"/>
                            <w:sz w:val="22"/>
                          </w:rPr>
                          <w:t>p</w:t>
                        </w:r>
                        <w:r>
                          <w:rPr>
                            <w:spacing w:val="-55"/>
                            <w:w w:val="102"/>
                            <w:sz w:val="18"/>
                          </w:rPr>
                          <w:t>e</w:t>
                        </w:r>
                        <w:r>
                          <w:rPr>
                            <w:w w:val="100"/>
                            <w:position w:val="1"/>
                            <w:sz w:val="22"/>
                          </w:rPr>
                          <w:t>l</w:t>
                        </w:r>
                        <w:r>
                          <w:rPr>
                            <w:spacing w:val="-45"/>
                            <w:w w:val="100"/>
                            <w:position w:val="1"/>
                            <w:sz w:val="22"/>
                          </w:rPr>
                          <w:t>i</w:t>
                        </w:r>
                        <w:r>
                          <w:rPr>
                            <w:spacing w:val="-59"/>
                            <w:w w:val="102"/>
                            <w:sz w:val="18"/>
                          </w:rPr>
                          <w:t>d</w:t>
                        </w:r>
                        <w:r>
                          <w:rPr>
                            <w:spacing w:val="-53"/>
                            <w:w w:val="100"/>
                            <w:position w:val="1"/>
                            <w:sz w:val="22"/>
                          </w:rPr>
                          <w:t>c</w:t>
                        </w:r>
                        <w:r>
                          <w:rPr>
                            <w:spacing w:val="-51"/>
                            <w:w w:val="102"/>
                            <w:sz w:val="18"/>
                          </w:rPr>
                          <w:t>u</w:t>
                        </w:r>
                        <w:r>
                          <w:rPr>
                            <w:spacing w:val="-73"/>
                            <w:w w:val="100"/>
                            <w:position w:val="1"/>
                            <w:sz w:val="22"/>
                          </w:rPr>
                          <w:t>a</w:t>
                        </w:r>
                        <w:r>
                          <w:rPr>
                            <w:spacing w:val="-21"/>
                            <w:w w:val="102"/>
                            <w:sz w:val="18"/>
                          </w:rPr>
                          <w:t>c</w:t>
                        </w:r>
                        <w:r>
                          <w:rPr>
                            <w:spacing w:val="-104"/>
                            <w:w w:val="100"/>
                            <w:position w:val="1"/>
                            <w:sz w:val="22"/>
                          </w:rPr>
                          <w:t>d</w:t>
                        </w:r>
                        <w:r>
                          <w:rPr>
                            <w:w w:val="102"/>
                            <w:sz w:val="18"/>
                          </w:rPr>
                          <w:t>a</w:t>
                        </w:r>
                        <w:r>
                          <w:rPr>
                            <w:spacing w:val="-123"/>
                            <w:w w:val="100"/>
                            <w:position w:val="1"/>
                            <w:sz w:val="22"/>
                          </w:rPr>
                          <w:t>o</w:t>
                        </w:r>
                        <w:r>
                          <w:rPr>
                            <w:spacing w:val="-2"/>
                            <w:w w:val="102"/>
                            <w:sz w:val="18"/>
                          </w:rPr>
                          <w:t>c</w:t>
                        </w:r>
                        <w:r>
                          <w:rPr>
                            <w:spacing w:val="-9"/>
                            <w:w w:val="102"/>
                            <w:sz w:val="18"/>
                          </w:rPr>
                          <w:t>i</w:t>
                        </w:r>
                        <w:r>
                          <w:rPr>
                            <w:spacing w:val="-102"/>
                            <w:w w:val="100"/>
                            <w:position w:val="1"/>
                            <w:sz w:val="22"/>
                          </w:rPr>
                          <w:t>s</w:t>
                        </w:r>
                        <w:r>
                          <w:rPr>
                            <w:w w:val="102"/>
                            <w:sz w:val="18"/>
                          </w:rPr>
                          <w:t>ó</w:t>
                        </w:r>
                        <w:r>
                          <w:rPr>
                            <w:spacing w:val="-43"/>
                            <w:w w:val="102"/>
                            <w:sz w:val="18"/>
                          </w:rPr>
                          <w:t>n</w:t>
                        </w:r>
                        <w:r>
                          <w:rPr>
                            <w:w w:val="100"/>
                            <w:position w:val="1"/>
                            <w:sz w:val="22"/>
                          </w:rPr>
                          <w:t>en</w:t>
                        </w:r>
                        <w:r>
                          <w:rPr>
                            <w:position w:val="1"/>
                            <w:sz w:val="22"/>
                          </w:rPr>
                          <w:t> </w:t>
                        </w:r>
                        <w:r>
                          <w:rPr>
                            <w:w w:val="100"/>
                            <w:position w:val="1"/>
                            <w:sz w:val="22"/>
                          </w:rPr>
                          <w:t>se</w:t>
                        </w:r>
                        <w:r>
                          <w:rPr>
                            <w:spacing w:val="1"/>
                            <w:w w:val="100"/>
                            <w:position w:val="1"/>
                            <w:sz w:val="22"/>
                          </w:rPr>
                          <w:t>g</w:t>
                        </w:r>
                        <w:r>
                          <w:rPr>
                            <w:w w:val="100"/>
                            <w:position w:val="1"/>
                            <w:sz w:val="22"/>
                          </w:rPr>
                          <w:t>uridad</w:t>
                        </w:r>
                      </w:p>
                    </w:tc>
                    <w:tc>
                      <w:tcPr>
                        <w:tcW w:w="1835" w:type="dxa"/>
                        <w:gridSpan w:val="2"/>
                        <w:tcBorders>
                          <w:left w:val="single" w:sz="6" w:space="0" w:color="000000"/>
                          <w:right w:val="single" w:sz="6" w:space="0" w:color="000000"/>
                        </w:tcBorders>
                        <w:shd w:val="clear" w:color="auto" w:fill="E6B8B7"/>
                      </w:tcPr>
                      <w:p>
                        <w:pPr>
                          <w:pStyle w:val="TableParagraph"/>
                          <w:spacing w:before="28"/>
                          <w:ind w:right="28"/>
                          <w:jc w:val="right"/>
                          <w:rPr>
                            <w:sz w:val="18"/>
                          </w:rPr>
                        </w:pPr>
                        <w:r>
                          <w:rPr>
                            <w:sz w:val="18"/>
                          </w:rPr>
                          <w:t>6.3</w:t>
                        </w:r>
                      </w:p>
                    </w:tc>
                    <w:tc>
                      <w:tcPr>
                        <w:tcW w:w="2101" w:type="dxa"/>
                        <w:gridSpan w:val="2"/>
                        <w:tcBorders>
                          <w:left w:val="single" w:sz="6" w:space="0" w:color="000000"/>
                        </w:tcBorders>
                        <w:shd w:val="clear" w:color="auto" w:fill="E6B8B7"/>
                      </w:tcPr>
                      <w:p>
                        <w:pPr>
                          <w:pStyle w:val="TableParagraph"/>
                          <w:spacing w:before="28"/>
                          <w:ind w:right="286"/>
                          <w:jc w:val="right"/>
                          <w:rPr>
                            <w:sz w:val="18"/>
                          </w:rPr>
                        </w:pPr>
                        <w:r>
                          <w:rPr>
                            <w:sz w:val="18"/>
                          </w:rPr>
                          <w:t>6.0</w:t>
                        </w:r>
                      </w:p>
                    </w:tc>
                    <w:tc>
                      <w:tcPr>
                        <w:tcW w:w="1552" w:type="dxa"/>
                        <w:tcBorders>
                          <w:right w:val="single" w:sz="6" w:space="0" w:color="000000"/>
                        </w:tcBorders>
                        <w:shd w:val="clear" w:color="auto" w:fill="E6B8B7"/>
                      </w:tcPr>
                      <w:p>
                        <w:pPr>
                          <w:pStyle w:val="TableParagraph"/>
                          <w:spacing w:before="28"/>
                          <w:ind w:right="29"/>
                          <w:jc w:val="right"/>
                          <w:rPr>
                            <w:sz w:val="18"/>
                          </w:rPr>
                        </w:pPr>
                        <w:r>
                          <w:rPr>
                            <w:sz w:val="18"/>
                          </w:rPr>
                          <w:t>21.5</w:t>
                        </w:r>
                      </w:p>
                    </w:tc>
                    <w:tc>
                      <w:tcPr>
                        <w:tcW w:w="2282" w:type="dxa"/>
                        <w:gridSpan w:val="2"/>
                        <w:tcBorders>
                          <w:left w:val="single" w:sz="6" w:space="0" w:color="000000"/>
                        </w:tcBorders>
                        <w:shd w:val="clear" w:color="auto" w:fill="E6B8B7"/>
                      </w:tcPr>
                      <w:p>
                        <w:pPr>
                          <w:pStyle w:val="TableParagraph"/>
                          <w:spacing w:before="28"/>
                          <w:ind w:right="35"/>
                          <w:jc w:val="right"/>
                          <w:rPr>
                            <w:sz w:val="18"/>
                          </w:rPr>
                        </w:pPr>
                        <w:r>
                          <w:rPr>
                            <w:sz w:val="18"/>
                          </w:rPr>
                          <w:t>10.6</w:t>
                        </w:r>
                      </w:p>
                    </w:tc>
                  </w:tr>
                  <w:tr>
                    <w:trPr>
                      <w:trHeight w:val="280" w:hRule="exact"/>
                    </w:trPr>
                    <w:tc>
                      <w:tcPr>
                        <w:tcW w:w="4207" w:type="dxa"/>
                        <w:gridSpan w:val="2"/>
                        <w:tcBorders>
                          <w:right w:val="single" w:sz="6" w:space="0" w:color="000000"/>
                        </w:tcBorders>
                      </w:tcPr>
                      <w:p>
                        <w:pPr>
                          <w:pStyle w:val="TableParagraph"/>
                          <w:spacing w:before="9"/>
                          <w:ind w:left="33" w:right="-1"/>
                          <w:rPr>
                            <w:sz w:val="18"/>
                          </w:rPr>
                        </w:pPr>
                        <w:r>
                          <w:rPr>
                            <w:spacing w:val="-1"/>
                            <w:w w:val="102"/>
                            <w:sz w:val="18"/>
                          </w:rPr>
                          <w:t>Me</w:t>
                        </w:r>
                        <w:r>
                          <w:rPr>
                            <w:w w:val="102"/>
                            <w:sz w:val="18"/>
                          </w:rPr>
                          <w:t>j</w:t>
                        </w:r>
                        <w:r>
                          <w:rPr>
                            <w:spacing w:val="-1"/>
                            <w:w w:val="102"/>
                            <w:sz w:val="18"/>
                          </w:rPr>
                          <w:t>ora</w:t>
                        </w:r>
                        <w:r>
                          <w:rPr>
                            <w:spacing w:val="-1"/>
                            <w:w w:val="102"/>
                            <w:sz w:val="18"/>
                          </w:rPr>
                          <w:t>m</w:t>
                        </w:r>
                        <w:r>
                          <w:rPr>
                            <w:w w:val="102"/>
                            <w:sz w:val="18"/>
                          </w:rPr>
                          <w:t>i</w:t>
                        </w:r>
                        <w:r>
                          <w:rPr>
                            <w:spacing w:val="-1"/>
                            <w:w w:val="102"/>
                            <w:sz w:val="18"/>
                          </w:rPr>
                          <w:t>e</w:t>
                        </w:r>
                        <w:r>
                          <w:rPr>
                            <w:spacing w:val="-75"/>
                            <w:w w:val="102"/>
                            <w:sz w:val="18"/>
                          </w:rPr>
                          <w:t>n</w:t>
                        </w:r>
                        <w:r>
                          <w:rPr>
                            <w:spacing w:val="-49"/>
                            <w:w w:val="100"/>
                            <w:position w:val="-3"/>
                            <w:sz w:val="22"/>
                          </w:rPr>
                          <w:t>p</w:t>
                        </w:r>
                        <w:r>
                          <w:rPr>
                            <w:spacing w:val="-2"/>
                            <w:w w:val="102"/>
                            <w:sz w:val="18"/>
                          </w:rPr>
                          <w:t>t</w:t>
                        </w:r>
                        <w:r>
                          <w:rPr>
                            <w:spacing w:val="-121"/>
                            <w:w w:val="100"/>
                            <w:position w:val="-3"/>
                            <w:sz w:val="22"/>
                          </w:rPr>
                          <w:t>ú</w:t>
                        </w:r>
                        <w:r>
                          <w:rPr>
                            <w:w w:val="102"/>
                            <w:sz w:val="18"/>
                          </w:rPr>
                          <w:t>o</w:t>
                        </w:r>
                        <w:r>
                          <w:rPr>
                            <w:spacing w:val="-32"/>
                            <w:sz w:val="18"/>
                          </w:rPr>
                          <w:t> </w:t>
                        </w:r>
                        <w:r>
                          <w:rPr>
                            <w:spacing w:val="-91"/>
                            <w:w w:val="100"/>
                            <w:position w:val="-3"/>
                            <w:sz w:val="22"/>
                          </w:rPr>
                          <w:t>b</w:t>
                        </w:r>
                        <w:r>
                          <w:rPr>
                            <w:spacing w:val="-13"/>
                            <w:w w:val="102"/>
                            <w:sz w:val="18"/>
                          </w:rPr>
                          <w:t>d</w:t>
                        </w:r>
                        <w:r>
                          <w:rPr>
                            <w:spacing w:val="-37"/>
                            <w:w w:val="100"/>
                            <w:position w:val="-3"/>
                            <w:sz w:val="22"/>
                          </w:rPr>
                          <w:t>l</w:t>
                        </w:r>
                        <w:r>
                          <w:rPr>
                            <w:spacing w:val="-67"/>
                            <w:w w:val="102"/>
                            <w:sz w:val="18"/>
                          </w:rPr>
                          <w:t>e</w:t>
                        </w:r>
                        <w:r>
                          <w:rPr>
                            <w:w w:val="100"/>
                            <w:position w:val="-3"/>
                            <w:sz w:val="22"/>
                          </w:rPr>
                          <w:t>i</w:t>
                        </w:r>
                        <w:r>
                          <w:rPr>
                            <w:spacing w:val="-43"/>
                            <w:w w:val="100"/>
                            <w:position w:val="-3"/>
                            <w:sz w:val="22"/>
                          </w:rPr>
                          <w:t>c</w:t>
                        </w:r>
                        <w:r>
                          <w:rPr>
                            <w:spacing w:val="-50"/>
                            <w:w w:val="102"/>
                            <w:sz w:val="18"/>
                          </w:rPr>
                          <w:t>v</w:t>
                        </w:r>
                        <w:r>
                          <w:rPr>
                            <w:spacing w:val="-75"/>
                            <w:w w:val="100"/>
                            <w:position w:val="-3"/>
                            <w:sz w:val="22"/>
                          </w:rPr>
                          <w:t>a</w:t>
                        </w:r>
                        <w:r>
                          <w:rPr>
                            <w:spacing w:val="1"/>
                            <w:w w:val="102"/>
                            <w:sz w:val="18"/>
                          </w:rPr>
                          <w:t>i</w:t>
                        </w:r>
                        <w:r>
                          <w:rPr>
                            <w:spacing w:val="-2"/>
                            <w:w w:val="102"/>
                            <w:sz w:val="18"/>
                          </w:rPr>
                          <w:t>v</w:t>
                        </w:r>
                        <w:r>
                          <w:rPr>
                            <w:spacing w:val="1"/>
                            <w:w w:val="102"/>
                            <w:sz w:val="18"/>
                          </w:rPr>
                          <w:t>i</w:t>
                        </w:r>
                        <w:r>
                          <w:rPr>
                            <w:w w:val="102"/>
                            <w:sz w:val="18"/>
                          </w:rPr>
                          <w:t>en</w:t>
                        </w:r>
                        <w:r>
                          <w:rPr>
                            <w:spacing w:val="-1"/>
                            <w:w w:val="102"/>
                            <w:sz w:val="18"/>
                          </w:rPr>
                          <w:t>d</w:t>
                        </w:r>
                        <w:r>
                          <w:rPr>
                            <w:w w:val="102"/>
                            <w:sz w:val="18"/>
                          </w:rPr>
                          <w:t>a</w:t>
                        </w:r>
                      </w:p>
                    </w:tc>
                    <w:tc>
                      <w:tcPr>
                        <w:tcW w:w="1835" w:type="dxa"/>
                        <w:gridSpan w:val="2"/>
                        <w:tcBorders>
                          <w:left w:val="single" w:sz="6" w:space="0" w:color="000000"/>
                          <w:right w:val="single" w:sz="6" w:space="0" w:color="000000"/>
                        </w:tcBorders>
                      </w:tcPr>
                      <w:p>
                        <w:pPr>
                          <w:pStyle w:val="TableParagraph"/>
                          <w:spacing w:before="9"/>
                          <w:ind w:right="29"/>
                          <w:jc w:val="right"/>
                          <w:rPr>
                            <w:sz w:val="18"/>
                          </w:rPr>
                        </w:pPr>
                        <w:r>
                          <w:rPr>
                            <w:sz w:val="18"/>
                          </w:rPr>
                          <w:t>16.5</w:t>
                        </w:r>
                      </w:p>
                    </w:tc>
                    <w:tc>
                      <w:tcPr>
                        <w:tcW w:w="2101" w:type="dxa"/>
                        <w:gridSpan w:val="2"/>
                        <w:tcBorders>
                          <w:left w:val="single" w:sz="6" w:space="0" w:color="000000"/>
                        </w:tcBorders>
                      </w:tcPr>
                      <w:p>
                        <w:pPr>
                          <w:pStyle w:val="TableParagraph"/>
                          <w:spacing w:before="5"/>
                          <w:ind w:right="41"/>
                          <w:jc w:val="right"/>
                          <w:rPr>
                            <w:sz w:val="22"/>
                          </w:rPr>
                        </w:pPr>
                        <w:r>
                          <w:rPr>
                            <w:spacing w:val="-33"/>
                            <w:w w:val="102"/>
                            <w:position w:val="4"/>
                            <w:sz w:val="18"/>
                          </w:rPr>
                          <w:t>0</w:t>
                        </w:r>
                        <w:r>
                          <w:rPr>
                            <w:spacing w:val="-92"/>
                            <w:w w:val="100"/>
                            <w:sz w:val="22"/>
                          </w:rPr>
                          <w:t>2</w:t>
                        </w:r>
                        <w:r>
                          <w:rPr>
                            <w:spacing w:val="-1"/>
                            <w:w w:val="102"/>
                            <w:position w:val="4"/>
                            <w:sz w:val="18"/>
                          </w:rPr>
                          <w:t>.</w:t>
                        </w:r>
                        <w:r>
                          <w:rPr>
                            <w:spacing w:val="-62"/>
                            <w:w w:val="102"/>
                            <w:position w:val="4"/>
                            <w:sz w:val="18"/>
                          </w:rPr>
                          <w:t>0</w:t>
                        </w:r>
                        <w:r>
                          <w:rPr>
                            <w:w w:val="100"/>
                            <w:sz w:val="22"/>
                          </w:rPr>
                          <w:t>6</w:t>
                        </w:r>
                        <w:r>
                          <w:rPr>
                            <w:w w:val="100"/>
                            <w:sz w:val="22"/>
                          </w:rPr>
                          <w:t>.1</w:t>
                        </w:r>
                      </w:p>
                    </w:tc>
                    <w:tc>
                      <w:tcPr>
                        <w:tcW w:w="1552" w:type="dxa"/>
                        <w:tcBorders>
                          <w:right w:val="single" w:sz="6" w:space="0" w:color="000000"/>
                        </w:tcBorders>
                      </w:tcPr>
                      <w:p>
                        <w:pPr>
                          <w:pStyle w:val="TableParagraph"/>
                          <w:spacing w:before="9"/>
                          <w:ind w:right="26"/>
                          <w:jc w:val="right"/>
                          <w:rPr>
                            <w:sz w:val="18"/>
                          </w:rPr>
                        </w:pPr>
                        <w:r>
                          <w:rPr>
                            <w:sz w:val="18"/>
                          </w:rPr>
                          <w:t>0.0</w:t>
                        </w:r>
                      </w:p>
                    </w:tc>
                    <w:tc>
                      <w:tcPr>
                        <w:tcW w:w="2282" w:type="dxa"/>
                        <w:gridSpan w:val="2"/>
                        <w:tcBorders>
                          <w:left w:val="single" w:sz="6" w:space="0" w:color="000000"/>
                        </w:tcBorders>
                      </w:tcPr>
                      <w:p>
                        <w:pPr>
                          <w:pStyle w:val="TableParagraph"/>
                          <w:tabs>
                            <w:tab w:pos="1982" w:val="left" w:leader="none"/>
                          </w:tabs>
                          <w:spacing w:before="9"/>
                          <w:ind w:left="1065"/>
                          <w:rPr>
                            <w:sz w:val="18"/>
                          </w:rPr>
                        </w:pPr>
                        <w:r>
                          <w:rPr>
                            <w:position w:val="-3"/>
                            <w:sz w:val="22"/>
                          </w:rPr>
                          <w:t>0.0</w:t>
                          <w:tab/>
                        </w:r>
                        <w:r>
                          <w:rPr>
                            <w:sz w:val="18"/>
                          </w:rPr>
                          <w:t>2.8</w:t>
                        </w:r>
                      </w:p>
                    </w:tc>
                  </w:tr>
                  <w:tr>
                    <w:trPr>
                      <w:trHeight w:val="399" w:hRule="exact"/>
                    </w:trPr>
                    <w:tc>
                      <w:tcPr>
                        <w:tcW w:w="11977" w:type="dxa"/>
                        <w:gridSpan w:val="9"/>
                      </w:tcPr>
                      <w:p>
                        <w:pPr>
                          <w:pStyle w:val="TableParagraph"/>
                          <w:tabs>
                            <w:tab w:pos="7793" w:val="left" w:leader="none"/>
                            <w:tab w:pos="10767" w:val="left" w:leader="none"/>
                            <w:tab w:pos="11940" w:val="right" w:leader="none"/>
                          </w:tabs>
                          <w:spacing w:line="261" w:lineRule="exact"/>
                          <w:ind w:left="33"/>
                          <w:rPr>
                            <w:sz w:val="18"/>
                          </w:rPr>
                        </w:pPr>
                        <w:r>
                          <w:rPr>
                            <w:position w:val="8"/>
                            <w:sz w:val="18"/>
                          </w:rPr>
                          <w:t>Caminos r </w:t>
                        </w:r>
                        <w:r>
                          <w:rPr>
                            <w:sz w:val="22"/>
                          </w:rPr>
                          <w:t>Recursos aplicados en</w:t>
                        </w:r>
                        <w:r>
                          <w:rPr>
                            <w:spacing w:val="18"/>
                            <w:sz w:val="22"/>
                          </w:rPr>
                          <w:t> </w:t>
                        </w:r>
                        <w:r>
                          <w:rPr>
                            <w:sz w:val="22"/>
                          </w:rPr>
                          <w:t>obra</w:t>
                        </w:r>
                        <w:r>
                          <w:rPr>
                            <w:spacing w:val="4"/>
                            <w:sz w:val="22"/>
                          </w:rPr>
                          <w:t> </w:t>
                        </w:r>
                        <w:r>
                          <w:rPr>
                            <w:sz w:val="22"/>
                          </w:rPr>
                          <w:t>pública</w:t>
                          <w:tab/>
                          <w:t>0.0</w:t>
                          <w:tab/>
                          <w:t>0.0</w:t>
                        </w:r>
                        <w:r>
                          <w:rPr>
                            <w:position w:val="8"/>
                            <w:sz w:val="18"/>
                          </w:rPr>
                          <w:tab/>
                          <w:t>8.3</w:t>
                        </w:r>
                      </w:p>
                    </w:tc>
                  </w:tr>
                  <w:tr>
                    <w:trPr>
                      <w:trHeight w:val="253" w:hRule="exact"/>
                    </w:trPr>
                    <w:tc>
                      <w:tcPr>
                        <w:tcW w:w="2346" w:type="dxa"/>
                        <w:shd w:val="clear" w:color="auto" w:fill="E6B8B7"/>
                      </w:tcPr>
                      <w:p>
                        <w:pPr>
                          <w:pStyle w:val="TableParagraph"/>
                          <w:spacing w:before="10"/>
                          <w:ind w:left="33" w:right="-18"/>
                          <w:rPr>
                            <w:sz w:val="18"/>
                          </w:rPr>
                        </w:pPr>
                        <w:r>
                          <w:rPr>
                            <w:sz w:val="18"/>
                          </w:rPr>
                          <w:t>Desarrollo Institucional</w:t>
                        </w:r>
                      </w:p>
                    </w:tc>
                    <w:tc>
                      <w:tcPr>
                        <w:tcW w:w="1861" w:type="dxa"/>
                        <w:shd w:val="clear" w:color="auto" w:fill="E6B8B7"/>
                      </w:tcPr>
                      <w:p>
                        <w:pPr/>
                      </w:p>
                    </w:tc>
                    <w:tc>
                      <w:tcPr>
                        <w:tcW w:w="1835" w:type="dxa"/>
                        <w:gridSpan w:val="2"/>
                        <w:shd w:val="clear" w:color="auto" w:fill="E6B8B7"/>
                      </w:tcPr>
                      <w:p>
                        <w:pPr>
                          <w:pStyle w:val="TableParagraph"/>
                          <w:spacing w:before="10"/>
                          <w:ind w:right="34"/>
                          <w:jc w:val="right"/>
                          <w:rPr>
                            <w:sz w:val="18"/>
                          </w:rPr>
                        </w:pPr>
                        <w:r>
                          <w:rPr>
                            <w:sz w:val="18"/>
                          </w:rPr>
                          <w:t>1.1</w:t>
                        </w:r>
                      </w:p>
                    </w:tc>
                    <w:tc>
                      <w:tcPr>
                        <w:tcW w:w="1849" w:type="dxa"/>
                        <w:shd w:val="clear" w:color="auto" w:fill="E6B8B7"/>
                      </w:tcPr>
                      <w:p>
                        <w:pPr>
                          <w:pStyle w:val="TableParagraph"/>
                          <w:spacing w:before="10"/>
                          <w:ind w:right="34"/>
                          <w:jc w:val="right"/>
                          <w:rPr>
                            <w:sz w:val="18"/>
                          </w:rPr>
                        </w:pPr>
                        <w:r>
                          <w:rPr>
                            <w:sz w:val="18"/>
                          </w:rPr>
                          <w:t>0.0</w:t>
                        </w:r>
                      </w:p>
                    </w:tc>
                    <w:tc>
                      <w:tcPr>
                        <w:tcW w:w="1804" w:type="dxa"/>
                        <w:gridSpan w:val="2"/>
                        <w:shd w:val="clear" w:color="auto" w:fill="E6B8B7"/>
                      </w:tcPr>
                      <w:p>
                        <w:pPr>
                          <w:pStyle w:val="TableParagraph"/>
                          <w:spacing w:before="10"/>
                          <w:ind w:right="33"/>
                          <w:jc w:val="right"/>
                          <w:rPr>
                            <w:sz w:val="18"/>
                          </w:rPr>
                        </w:pPr>
                        <w:r>
                          <w:rPr>
                            <w:sz w:val="18"/>
                          </w:rPr>
                          <w:t>0.0</w:t>
                        </w:r>
                      </w:p>
                    </w:tc>
                    <w:tc>
                      <w:tcPr>
                        <w:tcW w:w="2282" w:type="dxa"/>
                        <w:gridSpan w:val="2"/>
                        <w:shd w:val="clear" w:color="auto" w:fill="E6B8B7"/>
                      </w:tcPr>
                      <w:p>
                        <w:pPr>
                          <w:pStyle w:val="TableParagraph"/>
                          <w:spacing w:before="10"/>
                          <w:ind w:right="34"/>
                          <w:jc w:val="right"/>
                          <w:rPr>
                            <w:sz w:val="18"/>
                          </w:rPr>
                        </w:pPr>
                        <w:r>
                          <w:rPr>
                            <w:sz w:val="18"/>
                          </w:rPr>
                          <w:t>2.2</w:t>
                        </w:r>
                      </w:p>
                    </w:tc>
                  </w:tr>
                  <w:tr>
                    <w:trPr>
                      <w:trHeight w:val="209" w:hRule="exact"/>
                    </w:trPr>
                    <w:tc>
                      <w:tcPr>
                        <w:tcW w:w="2346" w:type="dxa"/>
                      </w:tcPr>
                      <w:p>
                        <w:pPr>
                          <w:pStyle w:val="TableParagraph"/>
                          <w:spacing w:line="240" w:lineRule="exact" w:before="9"/>
                          <w:ind w:left="33" w:right="-18"/>
                          <w:rPr>
                            <w:sz w:val="20"/>
                          </w:rPr>
                        </w:pPr>
                        <w:r>
                          <w:rPr>
                            <w:w w:val="102"/>
                            <w:position w:val="6"/>
                            <w:sz w:val="18"/>
                          </w:rPr>
                          <w:t>G</w:t>
                        </w:r>
                        <w:r>
                          <w:rPr>
                            <w:spacing w:val="-85"/>
                            <w:w w:val="102"/>
                            <w:position w:val="6"/>
                            <w:sz w:val="18"/>
                          </w:rPr>
                          <w:t>a</w:t>
                        </w:r>
                        <w:r>
                          <w:rPr>
                            <w:b/>
                            <w:spacing w:val="-38"/>
                            <w:w w:val="99"/>
                            <w:sz w:val="20"/>
                          </w:rPr>
                          <w:t>F</w:t>
                        </w:r>
                        <w:r>
                          <w:rPr>
                            <w:spacing w:val="-55"/>
                            <w:w w:val="102"/>
                            <w:position w:val="6"/>
                            <w:sz w:val="18"/>
                          </w:rPr>
                          <w:t>s</w:t>
                        </w:r>
                        <w:r>
                          <w:rPr>
                            <w:b/>
                            <w:spacing w:val="-69"/>
                            <w:w w:val="99"/>
                            <w:sz w:val="20"/>
                          </w:rPr>
                          <w:t>u</w:t>
                        </w:r>
                        <w:r>
                          <w:rPr>
                            <w:w w:val="102"/>
                            <w:position w:val="6"/>
                            <w:sz w:val="18"/>
                          </w:rPr>
                          <w:t>t</w:t>
                        </w:r>
                        <w:r>
                          <w:rPr>
                            <w:spacing w:val="-87"/>
                            <w:w w:val="102"/>
                            <w:position w:val="6"/>
                            <w:sz w:val="18"/>
                          </w:rPr>
                          <w:t>o</w:t>
                        </w:r>
                        <w:r>
                          <w:rPr>
                            <w:b/>
                            <w:spacing w:val="-25"/>
                            <w:w w:val="99"/>
                            <w:sz w:val="20"/>
                          </w:rPr>
                          <w:t>e</w:t>
                        </w:r>
                        <w:r>
                          <w:rPr>
                            <w:spacing w:val="-68"/>
                            <w:w w:val="102"/>
                            <w:position w:val="6"/>
                            <w:sz w:val="18"/>
                          </w:rPr>
                          <w:t>s</w:t>
                        </w:r>
                        <w:r>
                          <w:rPr>
                            <w:b/>
                            <w:spacing w:val="-2"/>
                            <w:w w:val="99"/>
                            <w:sz w:val="20"/>
                          </w:rPr>
                          <w:t>n</w:t>
                        </w:r>
                        <w:r>
                          <w:rPr>
                            <w:spacing w:val="-50"/>
                            <w:w w:val="102"/>
                            <w:position w:val="6"/>
                            <w:sz w:val="18"/>
                          </w:rPr>
                          <w:t>I</w:t>
                        </w:r>
                        <w:r>
                          <w:rPr>
                            <w:b/>
                            <w:spacing w:val="-18"/>
                            <w:w w:val="99"/>
                            <w:sz w:val="20"/>
                          </w:rPr>
                          <w:t>t</w:t>
                        </w:r>
                        <w:r>
                          <w:rPr>
                            <w:spacing w:val="-85"/>
                            <w:w w:val="102"/>
                            <w:position w:val="6"/>
                            <w:sz w:val="18"/>
                          </w:rPr>
                          <w:t>n</w:t>
                        </w:r>
                        <w:r>
                          <w:rPr>
                            <w:b/>
                            <w:spacing w:val="-27"/>
                            <w:w w:val="99"/>
                            <w:sz w:val="20"/>
                          </w:rPr>
                          <w:t>e</w:t>
                        </w:r>
                        <w:r>
                          <w:rPr>
                            <w:spacing w:val="-77"/>
                            <w:w w:val="102"/>
                            <w:position w:val="6"/>
                            <w:sz w:val="18"/>
                          </w:rPr>
                          <w:t>d</w:t>
                        </w:r>
                        <w:r>
                          <w:rPr>
                            <w:w w:val="99"/>
                            <w:sz w:val="20"/>
                          </w:rPr>
                          <w:t>:</w:t>
                        </w:r>
                        <w:r>
                          <w:rPr>
                            <w:spacing w:val="-35"/>
                            <w:sz w:val="20"/>
                          </w:rPr>
                          <w:t> </w:t>
                        </w:r>
                        <w:r>
                          <w:rPr>
                            <w:spacing w:val="-7"/>
                            <w:w w:val="102"/>
                            <w:position w:val="6"/>
                            <w:sz w:val="18"/>
                          </w:rPr>
                          <w:t>i</w:t>
                        </w:r>
                        <w:r>
                          <w:rPr>
                            <w:spacing w:val="-126"/>
                            <w:w w:val="99"/>
                            <w:sz w:val="20"/>
                          </w:rPr>
                          <w:t>E</w:t>
                        </w:r>
                        <w:r>
                          <w:rPr>
                            <w:spacing w:val="-1"/>
                            <w:w w:val="102"/>
                            <w:position w:val="6"/>
                            <w:sz w:val="18"/>
                          </w:rPr>
                          <w:t>r</w:t>
                        </w:r>
                        <w:r>
                          <w:rPr>
                            <w:spacing w:val="-38"/>
                            <w:w w:val="102"/>
                            <w:position w:val="6"/>
                            <w:sz w:val="18"/>
                          </w:rPr>
                          <w:t>e</w:t>
                        </w:r>
                        <w:r>
                          <w:rPr>
                            <w:spacing w:val="-8"/>
                            <w:w w:val="99"/>
                            <w:sz w:val="20"/>
                          </w:rPr>
                          <w:t>l</w:t>
                        </w:r>
                        <w:r>
                          <w:rPr>
                            <w:spacing w:val="-87"/>
                            <w:w w:val="102"/>
                            <w:position w:val="6"/>
                            <w:sz w:val="18"/>
                          </w:rPr>
                          <w:t>c</w:t>
                        </w:r>
                        <w:r>
                          <w:rPr>
                            <w:spacing w:val="-26"/>
                            <w:w w:val="99"/>
                            <w:sz w:val="20"/>
                          </w:rPr>
                          <w:t>a</w:t>
                        </w:r>
                        <w:r>
                          <w:rPr>
                            <w:spacing w:val="-26"/>
                            <w:w w:val="102"/>
                            <w:position w:val="6"/>
                            <w:sz w:val="18"/>
                          </w:rPr>
                          <w:t>t</w:t>
                        </w:r>
                        <w:r>
                          <w:rPr>
                            <w:spacing w:val="-85"/>
                            <w:w w:val="99"/>
                            <w:sz w:val="20"/>
                          </w:rPr>
                          <w:t>b</w:t>
                        </w:r>
                        <w:r>
                          <w:rPr>
                            <w:spacing w:val="-18"/>
                            <w:w w:val="102"/>
                            <w:position w:val="6"/>
                            <w:sz w:val="18"/>
                          </w:rPr>
                          <w:t>o</w:t>
                        </w:r>
                        <w:r>
                          <w:rPr>
                            <w:spacing w:val="-94"/>
                            <w:w w:val="99"/>
                            <w:sz w:val="20"/>
                          </w:rPr>
                          <w:t>o</w:t>
                        </w:r>
                        <w:r>
                          <w:rPr>
                            <w:spacing w:val="1"/>
                            <w:w w:val="102"/>
                            <w:position w:val="6"/>
                            <w:sz w:val="18"/>
                          </w:rPr>
                          <w:t>s</w:t>
                        </w:r>
                        <w:r>
                          <w:rPr>
                            <w:w w:val="99"/>
                            <w:sz w:val="20"/>
                          </w:rPr>
                          <w:t>ra</w:t>
                        </w:r>
                        <w:r>
                          <w:rPr>
                            <w:spacing w:val="1"/>
                            <w:w w:val="99"/>
                            <w:sz w:val="20"/>
                          </w:rPr>
                          <w:t>c</w:t>
                        </w:r>
                        <w:r>
                          <w:rPr>
                            <w:spacing w:val="-1"/>
                            <w:w w:val="99"/>
                            <w:sz w:val="20"/>
                          </w:rPr>
                          <w:t>i</w:t>
                        </w:r>
                        <w:r>
                          <w:rPr>
                            <w:spacing w:val="1"/>
                            <w:w w:val="99"/>
                            <w:sz w:val="20"/>
                          </w:rPr>
                          <w:t>ó</w:t>
                        </w:r>
                        <w:r>
                          <w:rPr>
                            <w:w w:val="99"/>
                            <w:sz w:val="20"/>
                          </w:rPr>
                          <w:t>n</w:t>
                        </w:r>
                        <w:r>
                          <w:rPr>
                            <w:spacing w:val="-1"/>
                            <w:sz w:val="20"/>
                          </w:rPr>
                          <w:t> </w:t>
                        </w:r>
                        <w:r>
                          <w:rPr>
                            <w:spacing w:val="-1"/>
                            <w:w w:val="99"/>
                            <w:sz w:val="20"/>
                          </w:rPr>
                          <w:t>p</w:t>
                        </w:r>
                        <w:r>
                          <w:rPr>
                            <w:w w:val="99"/>
                            <w:sz w:val="20"/>
                          </w:rPr>
                          <w:t>r</w:t>
                        </w:r>
                        <w:r>
                          <w:rPr>
                            <w:w w:val="99"/>
                            <w:sz w:val="20"/>
                          </w:rPr>
                          <w:t>o</w:t>
                        </w:r>
                      </w:p>
                    </w:tc>
                    <w:tc>
                      <w:tcPr>
                        <w:tcW w:w="1861" w:type="dxa"/>
                      </w:tcPr>
                      <w:p>
                        <w:pPr>
                          <w:pStyle w:val="TableParagraph"/>
                          <w:tabs>
                            <w:tab w:pos="900" w:val="left" w:leader="none"/>
                          </w:tabs>
                          <w:spacing w:line="163" w:lineRule="exact"/>
                          <w:ind w:left="16"/>
                          <w:rPr>
                            <w:b/>
                            <w:sz w:val="22"/>
                          </w:rPr>
                        </w:pPr>
                        <w:r>
                          <w:rPr>
                            <w:position w:val="-11"/>
                            <w:sz w:val="20"/>
                          </w:rPr>
                          <w:t>pia</w:t>
                        </w:r>
                        <w:r>
                          <w:rPr>
                            <w:spacing w:val="-1"/>
                            <w:position w:val="-11"/>
                            <w:sz w:val="20"/>
                          </w:rPr>
                          <w:t> </w:t>
                        </w:r>
                        <w:r>
                          <w:rPr>
                            <w:position w:val="-11"/>
                            <w:sz w:val="20"/>
                          </w:rPr>
                          <w:t>con</w:t>
                          <w:tab/>
                        </w:r>
                        <w:r>
                          <w:rPr>
                            <w:b/>
                            <w:sz w:val="22"/>
                          </w:rPr>
                          <w:t>Porcenta</w:t>
                        </w:r>
                      </w:p>
                      <w:p>
                        <w:pPr>
                          <w:pStyle w:val="TableParagraph"/>
                          <w:spacing w:line="86" w:lineRule="exact"/>
                          <w:ind w:left="714" w:right="-19"/>
                          <w:rPr>
                            <w:sz w:val="20"/>
                          </w:rPr>
                        </w:pPr>
                        <w:r>
                          <w:rPr>
                            <w:sz w:val="20"/>
                          </w:rPr>
                          <w:t>base en el In</w:t>
                        </w:r>
                      </w:p>
                    </w:tc>
                    <w:tc>
                      <w:tcPr>
                        <w:tcW w:w="1835" w:type="dxa"/>
                        <w:gridSpan w:val="2"/>
                      </w:tcPr>
                      <w:p>
                        <w:pPr>
                          <w:pStyle w:val="TableParagraph"/>
                          <w:spacing w:line="21" w:lineRule="auto" w:before="99"/>
                          <w:ind w:left="-3" w:right="-19" w:hanging="11"/>
                          <w:rPr>
                            <w:sz w:val="20"/>
                          </w:rPr>
                        </w:pPr>
                        <w:r>
                          <w:rPr>
                            <w:b/>
                            <w:w w:val="100"/>
                            <w:position w:val="12"/>
                            <w:sz w:val="22"/>
                          </w:rPr>
                          <w:t>j</w:t>
                        </w:r>
                        <w:r>
                          <w:rPr>
                            <w:b/>
                            <w:w w:val="100"/>
                            <w:position w:val="12"/>
                            <w:sz w:val="22"/>
                          </w:rPr>
                          <w:t>e</w:t>
                        </w:r>
                        <w:r>
                          <w:rPr>
                            <w:b/>
                            <w:position w:val="12"/>
                            <w:sz w:val="22"/>
                          </w:rPr>
                          <w:t> </w:t>
                        </w:r>
                        <w:r>
                          <w:rPr>
                            <w:b/>
                            <w:w w:val="100"/>
                            <w:position w:val="12"/>
                            <w:sz w:val="22"/>
                          </w:rPr>
                          <w:t>to</w:t>
                        </w:r>
                        <w:r>
                          <w:rPr>
                            <w:b/>
                            <w:w w:val="100"/>
                            <w:position w:val="12"/>
                            <w:sz w:val="22"/>
                          </w:rPr>
                          <w:t>ta</w:t>
                        </w:r>
                        <w:r>
                          <w:rPr>
                            <w:b/>
                            <w:w w:val="100"/>
                            <w:position w:val="12"/>
                            <w:sz w:val="22"/>
                          </w:rPr>
                          <w:t>l</w:t>
                        </w:r>
                        <w:r>
                          <w:rPr>
                            <w:b/>
                            <w:position w:val="12"/>
                            <w:sz w:val="22"/>
                          </w:rPr>
                          <w:t> </w:t>
                        </w:r>
                        <w:r>
                          <w:rPr>
                            <w:b/>
                            <w:spacing w:val="20"/>
                            <w:position w:val="12"/>
                            <w:sz w:val="22"/>
                          </w:rPr>
                          <w:t> </w:t>
                        </w:r>
                        <w:r>
                          <w:rPr>
                            <w:w w:val="99"/>
                            <w:sz w:val="20"/>
                          </w:rPr>
                          <w:t>R</w:t>
                        </w:r>
                        <w:r>
                          <w:rPr>
                            <w:spacing w:val="-1"/>
                            <w:w w:val="99"/>
                            <w:sz w:val="20"/>
                          </w:rPr>
                          <w:t>e</w:t>
                        </w:r>
                        <w:r>
                          <w:rPr>
                            <w:spacing w:val="1"/>
                            <w:w w:val="99"/>
                            <w:sz w:val="20"/>
                          </w:rPr>
                          <w:t>s</w:t>
                        </w:r>
                        <w:r>
                          <w:rPr>
                            <w:w w:val="99"/>
                            <w:sz w:val="20"/>
                          </w:rPr>
                          <w:t>u</w:t>
                        </w:r>
                        <w:r>
                          <w:rPr>
                            <w:spacing w:val="-2"/>
                            <w:w w:val="99"/>
                            <w:sz w:val="20"/>
                          </w:rPr>
                          <w:t>l</w:t>
                        </w:r>
                        <w:r>
                          <w:rPr>
                            <w:spacing w:val="2"/>
                            <w:w w:val="99"/>
                            <w:sz w:val="20"/>
                          </w:rPr>
                          <w:t>t</w:t>
                        </w:r>
                        <w:r>
                          <w:rPr>
                            <w:w w:val="99"/>
                            <w:sz w:val="20"/>
                          </w:rPr>
                          <w:t>a</w:t>
                        </w:r>
                        <w:r>
                          <w:rPr>
                            <w:spacing w:val="-89"/>
                            <w:w w:val="99"/>
                            <w:sz w:val="20"/>
                          </w:rPr>
                          <w:t>d</w:t>
                        </w:r>
                        <w:r>
                          <w:rPr>
                            <w:spacing w:val="-16"/>
                            <w:w w:val="102"/>
                            <w:position w:val="6"/>
                            <w:sz w:val="18"/>
                          </w:rPr>
                          <w:t>0</w:t>
                        </w:r>
                        <w:r>
                          <w:rPr>
                            <w:spacing w:val="-97"/>
                            <w:w w:val="99"/>
                            <w:sz w:val="20"/>
                          </w:rPr>
                          <w:t>o</w:t>
                        </w:r>
                        <w:r>
                          <w:rPr>
                            <w:spacing w:val="-1"/>
                            <w:w w:val="102"/>
                            <w:position w:val="6"/>
                            <w:sz w:val="18"/>
                          </w:rPr>
                          <w:t>.</w:t>
                        </w:r>
                        <w:r>
                          <w:rPr>
                            <w:spacing w:val="-57"/>
                            <w:w w:val="102"/>
                            <w:position w:val="6"/>
                            <w:sz w:val="18"/>
                          </w:rPr>
                          <w:t>0</w:t>
                        </w:r>
                        <w:r>
                          <w:rPr>
                            <w:w w:val="99"/>
                            <w:sz w:val="20"/>
                          </w:rPr>
                          <w:t>s </w:t>
                        </w:r>
                        <w:r>
                          <w:rPr>
                            <w:sz w:val="20"/>
                          </w:rPr>
                          <w:t>forme</w:t>
                        </w:r>
                        <w:r>
                          <w:rPr>
                            <w:spacing w:val="-1"/>
                            <w:sz w:val="20"/>
                          </w:rPr>
                          <w:t> </w:t>
                        </w:r>
                        <w:r>
                          <w:rPr>
                            <w:sz w:val="20"/>
                          </w:rPr>
                          <w:t>de</w:t>
                        </w:r>
                      </w:p>
                    </w:tc>
                    <w:tc>
                      <w:tcPr>
                        <w:tcW w:w="3653" w:type="dxa"/>
                        <w:gridSpan w:val="3"/>
                      </w:tcPr>
                      <w:p>
                        <w:pPr>
                          <w:pStyle w:val="TableParagraph"/>
                          <w:spacing w:line="21" w:lineRule="auto" w:before="99"/>
                          <w:ind w:left="1479" w:right="3" w:hanging="1419"/>
                          <w:rPr>
                            <w:sz w:val="20"/>
                          </w:rPr>
                        </w:pPr>
                        <w:r>
                          <w:rPr>
                            <w:spacing w:val="1"/>
                            <w:w w:val="99"/>
                            <w:sz w:val="20"/>
                          </w:rPr>
                          <w:t>d</w:t>
                        </w:r>
                        <w:r>
                          <w:rPr>
                            <w:w w:val="99"/>
                            <w:sz w:val="20"/>
                          </w:rPr>
                          <w:t>e</w:t>
                        </w:r>
                        <w:r>
                          <w:rPr>
                            <w:spacing w:val="-1"/>
                            <w:sz w:val="20"/>
                          </w:rPr>
                          <w:t> </w:t>
                        </w:r>
                        <w:r>
                          <w:rPr>
                            <w:w w:val="99"/>
                            <w:sz w:val="20"/>
                          </w:rPr>
                          <w:t>l</w:t>
                        </w:r>
                        <w:r>
                          <w:rPr>
                            <w:w w:val="99"/>
                            <w:sz w:val="20"/>
                          </w:rPr>
                          <w:t>a</w:t>
                        </w:r>
                        <w:r>
                          <w:rPr>
                            <w:spacing w:val="-1"/>
                            <w:sz w:val="20"/>
                          </w:rPr>
                          <w:t> </w:t>
                        </w:r>
                        <w:r>
                          <w:rPr>
                            <w:w w:val="99"/>
                            <w:sz w:val="20"/>
                          </w:rPr>
                          <w:t>F</w:t>
                        </w:r>
                        <w:r>
                          <w:rPr>
                            <w:spacing w:val="-1"/>
                            <w:w w:val="99"/>
                            <w:sz w:val="20"/>
                          </w:rPr>
                          <w:t>i</w:t>
                        </w:r>
                        <w:r>
                          <w:rPr>
                            <w:spacing w:val="1"/>
                            <w:w w:val="99"/>
                            <w:sz w:val="20"/>
                          </w:rPr>
                          <w:t>sc</w:t>
                        </w:r>
                        <w:r>
                          <w:rPr>
                            <w:spacing w:val="1"/>
                            <w:w w:val="99"/>
                            <w:sz w:val="20"/>
                          </w:rPr>
                          <w:t>a</w:t>
                        </w:r>
                        <w:r>
                          <w:rPr>
                            <w:spacing w:val="-1"/>
                            <w:w w:val="99"/>
                            <w:sz w:val="20"/>
                          </w:rPr>
                          <w:t>l</w:t>
                        </w:r>
                        <w:r>
                          <w:rPr>
                            <w:spacing w:val="7"/>
                            <w:w w:val="99"/>
                            <w:sz w:val="20"/>
                          </w:rPr>
                          <w:t>i</w:t>
                        </w:r>
                        <w:r>
                          <w:rPr>
                            <w:spacing w:val="-2"/>
                            <w:w w:val="99"/>
                            <w:sz w:val="20"/>
                          </w:rPr>
                          <w:t>z</w:t>
                        </w:r>
                        <w:r>
                          <w:rPr>
                            <w:w w:val="99"/>
                            <w:sz w:val="20"/>
                          </w:rPr>
                          <w:t>a</w:t>
                        </w:r>
                        <w:r>
                          <w:rPr>
                            <w:spacing w:val="3"/>
                            <w:w w:val="99"/>
                            <w:sz w:val="20"/>
                          </w:rPr>
                          <w:t>c</w:t>
                        </w:r>
                        <w:r>
                          <w:rPr>
                            <w:w w:val="99"/>
                            <w:sz w:val="20"/>
                          </w:rPr>
                          <w:t>i</w:t>
                        </w:r>
                        <w:r>
                          <w:rPr>
                            <w:spacing w:val="-29"/>
                            <w:sz w:val="20"/>
                          </w:rPr>
                          <w:t> </w:t>
                        </w:r>
                        <w:r>
                          <w:rPr>
                            <w:b/>
                            <w:spacing w:val="-75"/>
                            <w:w w:val="100"/>
                            <w:position w:val="12"/>
                            <w:sz w:val="22"/>
                          </w:rPr>
                          <w:t>1</w:t>
                        </w:r>
                        <w:r>
                          <w:rPr>
                            <w:spacing w:val="-29"/>
                            <w:w w:val="102"/>
                            <w:position w:val="6"/>
                            <w:sz w:val="18"/>
                          </w:rPr>
                          <w:t>1</w:t>
                        </w:r>
                        <w:r>
                          <w:rPr>
                            <w:b/>
                            <w:spacing w:val="-96"/>
                            <w:w w:val="100"/>
                            <w:position w:val="12"/>
                            <w:sz w:val="22"/>
                          </w:rPr>
                          <w:t>0</w:t>
                        </w:r>
                        <w:r>
                          <w:rPr>
                            <w:spacing w:val="-1"/>
                            <w:w w:val="102"/>
                            <w:position w:val="6"/>
                            <w:sz w:val="18"/>
                          </w:rPr>
                          <w:t>.</w:t>
                        </w:r>
                        <w:r>
                          <w:rPr>
                            <w:spacing w:val="-58"/>
                            <w:w w:val="102"/>
                            <w:position w:val="6"/>
                            <w:sz w:val="18"/>
                          </w:rPr>
                          <w:t>5</w:t>
                        </w:r>
                        <w:r>
                          <w:rPr>
                            <w:b/>
                            <w:w w:val="100"/>
                            <w:position w:val="12"/>
                            <w:sz w:val="22"/>
                          </w:rPr>
                          <w:t>0</w:t>
                        </w:r>
                        <w:r>
                          <w:rPr>
                            <w:b/>
                            <w:w w:val="100"/>
                            <w:position w:val="12"/>
                            <w:sz w:val="22"/>
                          </w:rPr>
                          <w:t>.0</w:t>
                        </w:r>
                        <w:r>
                          <w:rPr>
                            <w:b/>
                            <w:spacing w:val="-9"/>
                            <w:position w:val="12"/>
                            <w:sz w:val="22"/>
                          </w:rPr>
                          <w:t> </w:t>
                        </w:r>
                        <w:r>
                          <w:rPr>
                            <w:spacing w:val="-1"/>
                            <w:w w:val="99"/>
                            <w:sz w:val="20"/>
                          </w:rPr>
                          <w:t>e</w:t>
                        </w:r>
                        <w:r>
                          <w:rPr>
                            <w:w w:val="99"/>
                            <w:sz w:val="20"/>
                          </w:rPr>
                          <w:t>r</w:t>
                        </w:r>
                        <w:r>
                          <w:rPr>
                            <w:spacing w:val="1"/>
                            <w:w w:val="99"/>
                            <w:sz w:val="20"/>
                          </w:rPr>
                          <w:t>i</w:t>
                        </w:r>
                        <w:r>
                          <w:rPr>
                            <w:w w:val="99"/>
                            <w:sz w:val="20"/>
                          </w:rPr>
                          <w:t>or</w:t>
                        </w:r>
                        <w:r>
                          <w:rPr>
                            <w:spacing w:val="-1"/>
                            <w:sz w:val="20"/>
                          </w:rPr>
                          <w:t> </w:t>
                        </w:r>
                        <w:r>
                          <w:rPr>
                            <w:w w:val="99"/>
                            <w:sz w:val="20"/>
                          </w:rPr>
                          <w:t>de</w:t>
                        </w:r>
                        <w:r>
                          <w:rPr>
                            <w:spacing w:val="1"/>
                            <w:sz w:val="20"/>
                          </w:rPr>
                          <w:t> </w:t>
                        </w:r>
                        <w:r>
                          <w:rPr>
                            <w:spacing w:val="-1"/>
                            <w:w w:val="99"/>
                            <w:sz w:val="20"/>
                          </w:rPr>
                          <w:t>l</w:t>
                        </w:r>
                        <w:r>
                          <w:rPr>
                            <w:w w:val="99"/>
                            <w:sz w:val="20"/>
                          </w:rPr>
                          <w:t>as</w:t>
                        </w:r>
                        <w:r>
                          <w:rPr>
                            <w:sz w:val="20"/>
                          </w:rPr>
                          <w:t> </w:t>
                        </w:r>
                        <w:r>
                          <w:rPr>
                            <w:w w:val="99"/>
                            <w:sz w:val="20"/>
                          </w:rPr>
                          <w:t>c</w:t>
                        </w:r>
                        <w:r>
                          <w:rPr>
                            <w:spacing w:val="-7"/>
                            <w:w w:val="99"/>
                            <w:sz w:val="20"/>
                          </w:rPr>
                          <w:t>u</w:t>
                        </w:r>
                        <w:r>
                          <w:rPr>
                            <w:spacing w:val="-97"/>
                            <w:w w:val="102"/>
                            <w:position w:val="6"/>
                            <w:sz w:val="18"/>
                          </w:rPr>
                          <w:t>2</w:t>
                        </w:r>
                        <w:r>
                          <w:rPr>
                            <w:spacing w:val="-16"/>
                            <w:w w:val="99"/>
                            <w:sz w:val="20"/>
                          </w:rPr>
                          <w:t>e</w:t>
                        </w:r>
                        <w:r>
                          <w:rPr>
                            <w:spacing w:val="-35"/>
                            <w:w w:val="102"/>
                            <w:position w:val="6"/>
                            <w:sz w:val="18"/>
                          </w:rPr>
                          <w:t>.</w:t>
                        </w:r>
                        <w:r>
                          <w:rPr>
                            <w:spacing w:val="-77"/>
                            <w:w w:val="99"/>
                            <w:sz w:val="20"/>
                          </w:rPr>
                          <w:t>n</w:t>
                        </w:r>
                        <w:r>
                          <w:rPr>
                            <w:spacing w:val="-27"/>
                            <w:w w:val="102"/>
                            <w:position w:val="6"/>
                            <w:sz w:val="18"/>
                          </w:rPr>
                          <w:t>4</w:t>
                        </w:r>
                        <w:r>
                          <w:rPr>
                            <w:w w:val="99"/>
                            <w:sz w:val="20"/>
                          </w:rPr>
                          <w:t>t </w:t>
                        </w:r>
                        <w:r>
                          <w:rPr>
                            <w:sz w:val="20"/>
                          </w:rPr>
                          <w:t>ón</w:t>
                        </w:r>
                        <w:r>
                          <w:rPr>
                            <w:spacing w:val="-2"/>
                            <w:sz w:val="20"/>
                          </w:rPr>
                          <w:t> </w:t>
                        </w:r>
                        <w:r>
                          <w:rPr>
                            <w:sz w:val="20"/>
                          </w:rPr>
                          <w:t>Sup</w:t>
                        </w:r>
                      </w:p>
                    </w:tc>
                    <w:tc>
                      <w:tcPr>
                        <w:tcW w:w="2282" w:type="dxa"/>
                        <w:gridSpan w:val="2"/>
                      </w:tcPr>
                      <w:p>
                        <w:pPr>
                          <w:pStyle w:val="TableParagraph"/>
                          <w:spacing w:line="249" w:lineRule="exact"/>
                          <w:ind w:left="-7"/>
                          <w:rPr>
                            <w:sz w:val="18"/>
                          </w:rPr>
                        </w:pPr>
                        <w:r>
                          <w:rPr>
                            <w:spacing w:val="-1"/>
                            <w:w w:val="99"/>
                            <w:sz w:val="20"/>
                          </w:rPr>
                          <w:t>a</w:t>
                        </w:r>
                        <w:r>
                          <w:rPr>
                            <w:w w:val="99"/>
                            <w:sz w:val="20"/>
                          </w:rPr>
                          <w:t>s</w:t>
                        </w:r>
                        <w:r>
                          <w:rPr>
                            <w:spacing w:val="3"/>
                            <w:sz w:val="20"/>
                          </w:rPr>
                          <w:t> </w:t>
                        </w:r>
                        <w:r>
                          <w:rPr>
                            <w:w w:val="99"/>
                            <w:sz w:val="20"/>
                          </w:rPr>
                          <w:t>p</w:t>
                        </w:r>
                        <w:r>
                          <w:rPr>
                            <w:spacing w:val="-1"/>
                            <w:w w:val="99"/>
                            <w:sz w:val="20"/>
                          </w:rPr>
                          <w:t>ú</w:t>
                        </w:r>
                        <w:r>
                          <w:rPr>
                            <w:spacing w:val="1"/>
                            <w:w w:val="99"/>
                            <w:sz w:val="20"/>
                          </w:rPr>
                          <w:t>b</w:t>
                        </w:r>
                        <w:r>
                          <w:rPr>
                            <w:spacing w:val="-1"/>
                            <w:w w:val="99"/>
                            <w:sz w:val="20"/>
                          </w:rPr>
                          <w:t>li</w:t>
                        </w:r>
                        <w:r>
                          <w:rPr>
                            <w:spacing w:val="1"/>
                            <w:w w:val="99"/>
                            <w:sz w:val="20"/>
                          </w:rPr>
                          <w:t>c</w:t>
                        </w:r>
                        <w:r>
                          <w:rPr>
                            <w:w w:val="99"/>
                            <w:sz w:val="20"/>
                          </w:rPr>
                          <w:t>as</w:t>
                        </w:r>
                        <w:r>
                          <w:rPr>
                            <w:spacing w:val="24"/>
                            <w:sz w:val="20"/>
                          </w:rPr>
                          <w:t> </w:t>
                        </w:r>
                        <w:r>
                          <w:rPr>
                            <w:b/>
                            <w:w w:val="100"/>
                            <w:position w:val="12"/>
                            <w:sz w:val="22"/>
                          </w:rPr>
                          <w:t>0.</w:t>
                        </w:r>
                        <w:r>
                          <w:rPr>
                            <w:b/>
                            <w:spacing w:val="1"/>
                            <w:w w:val="100"/>
                            <w:position w:val="12"/>
                            <w:sz w:val="22"/>
                          </w:rPr>
                          <w:t>0</w:t>
                        </w:r>
                        <w:r>
                          <w:rPr>
                            <w:spacing w:val="3"/>
                            <w:w w:val="99"/>
                            <w:sz w:val="20"/>
                          </w:rPr>
                          <w:t>8</w:t>
                        </w:r>
                        <w:r>
                          <w:rPr>
                            <w:spacing w:val="3"/>
                            <w:w w:val="99"/>
                            <w:sz w:val="20"/>
                          </w:rPr>
                          <w:t>-</w:t>
                        </w:r>
                        <w:r>
                          <w:rPr>
                            <w:w w:val="99"/>
                            <w:sz w:val="20"/>
                          </w:rPr>
                          <w:t>2</w:t>
                        </w:r>
                        <w:r>
                          <w:rPr>
                            <w:spacing w:val="-1"/>
                            <w:w w:val="99"/>
                            <w:sz w:val="20"/>
                          </w:rPr>
                          <w:t>0</w:t>
                        </w:r>
                        <w:r>
                          <w:rPr>
                            <w:spacing w:val="1"/>
                            <w:w w:val="99"/>
                            <w:sz w:val="20"/>
                          </w:rPr>
                          <w:t>1</w:t>
                        </w:r>
                        <w:r>
                          <w:rPr>
                            <w:spacing w:val="-20"/>
                            <w:w w:val="99"/>
                            <w:sz w:val="20"/>
                          </w:rPr>
                          <w:t>4</w:t>
                        </w:r>
                        <w:r>
                          <w:rPr>
                            <w:spacing w:val="-84"/>
                            <w:w w:val="102"/>
                            <w:position w:val="6"/>
                            <w:sz w:val="18"/>
                          </w:rPr>
                          <w:t>3</w:t>
                        </w:r>
                        <w:r>
                          <w:rPr>
                            <w:w w:val="99"/>
                            <w:sz w:val="20"/>
                          </w:rPr>
                          <w:t>.</w:t>
                        </w:r>
                        <w:r>
                          <w:rPr>
                            <w:spacing w:val="-29"/>
                            <w:sz w:val="20"/>
                          </w:rPr>
                          <w:t> </w:t>
                        </w:r>
                        <w:r>
                          <w:rPr>
                            <w:spacing w:val="-1"/>
                            <w:w w:val="102"/>
                            <w:position w:val="6"/>
                            <w:sz w:val="18"/>
                          </w:rPr>
                          <w:t>.</w:t>
                        </w:r>
                        <w:r>
                          <w:rPr>
                            <w:w w:val="102"/>
                            <w:position w:val="6"/>
                            <w:sz w:val="18"/>
                          </w:rPr>
                          <w:t>1</w:t>
                        </w:r>
                      </w:p>
                    </w:tc>
                  </w:tr>
                  <w:tr>
                    <w:trPr>
                      <w:trHeight w:val="257" w:hRule="exact"/>
                    </w:trPr>
                    <w:tc>
                      <w:tcPr>
                        <w:tcW w:w="2346" w:type="dxa"/>
                        <w:shd w:val="clear" w:color="auto" w:fill="E6B8B7"/>
                      </w:tcPr>
                      <w:p>
                        <w:pPr>
                          <w:pStyle w:val="TableParagraph"/>
                          <w:spacing w:before="33"/>
                          <w:ind w:left="33" w:right="-18"/>
                          <w:rPr>
                            <w:sz w:val="18"/>
                          </w:rPr>
                        </w:pPr>
                        <w:r>
                          <w:rPr>
                            <w:w w:val="105"/>
                            <w:sz w:val="18"/>
                          </w:rPr>
                          <w:t>Otros</w:t>
                        </w:r>
                      </w:p>
                    </w:tc>
                    <w:tc>
                      <w:tcPr>
                        <w:tcW w:w="1861" w:type="dxa"/>
                        <w:shd w:val="clear" w:color="auto" w:fill="E6B8B7"/>
                      </w:tcPr>
                      <w:p>
                        <w:pPr/>
                      </w:p>
                    </w:tc>
                    <w:tc>
                      <w:tcPr>
                        <w:tcW w:w="1835" w:type="dxa"/>
                        <w:gridSpan w:val="2"/>
                        <w:shd w:val="clear" w:color="auto" w:fill="E6B8B7"/>
                      </w:tcPr>
                      <w:p>
                        <w:pPr>
                          <w:pStyle w:val="TableParagraph"/>
                          <w:spacing w:before="33"/>
                          <w:ind w:right="36"/>
                          <w:jc w:val="right"/>
                          <w:rPr>
                            <w:sz w:val="18"/>
                          </w:rPr>
                        </w:pPr>
                        <w:r>
                          <w:rPr>
                            <w:sz w:val="18"/>
                          </w:rPr>
                          <w:t>0.30</w:t>
                        </w:r>
                      </w:p>
                    </w:tc>
                    <w:tc>
                      <w:tcPr>
                        <w:tcW w:w="1849" w:type="dxa"/>
                        <w:shd w:val="clear" w:color="auto" w:fill="E6B8B7"/>
                      </w:tcPr>
                      <w:p>
                        <w:pPr/>
                      </w:p>
                    </w:tc>
                    <w:tc>
                      <w:tcPr>
                        <w:tcW w:w="1804" w:type="dxa"/>
                        <w:gridSpan w:val="2"/>
                        <w:shd w:val="clear" w:color="auto" w:fill="E6B8B7"/>
                      </w:tcPr>
                      <w:p>
                        <w:pPr>
                          <w:pStyle w:val="TableParagraph"/>
                          <w:spacing w:before="33"/>
                          <w:ind w:right="33"/>
                          <w:jc w:val="right"/>
                          <w:rPr>
                            <w:sz w:val="18"/>
                          </w:rPr>
                        </w:pPr>
                        <w:r>
                          <w:rPr>
                            <w:sz w:val="18"/>
                          </w:rPr>
                          <w:t>0.0</w:t>
                        </w:r>
                      </w:p>
                    </w:tc>
                    <w:tc>
                      <w:tcPr>
                        <w:tcW w:w="2282" w:type="dxa"/>
                        <w:gridSpan w:val="2"/>
                        <w:shd w:val="clear" w:color="auto" w:fill="E6B8B7"/>
                      </w:tcPr>
                      <w:p>
                        <w:pPr>
                          <w:pStyle w:val="TableParagraph"/>
                          <w:spacing w:before="33"/>
                          <w:ind w:right="35"/>
                          <w:jc w:val="right"/>
                          <w:rPr>
                            <w:sz w:val="18"/>
                          </w:rPr>
                        </w:pPr>
                        <w:r>
                          <w:rPr>
                            <w:sz w:val="18"/>
                          </w:rPr>
                          <w:t>19.2</w:t>
                        </w:r>
                      </w:p>
                    </w:tc>
                  </w:tr>
                  <w:tr>
                    <w:trPr>
                      <w:trHeight w:val="234" w:hRule="exact"/>
                    </w:trPr>
                    <w:tc>
                      <w:tcPr>
                        <w:tcW w:w="2346" w:type="dxa"/>
                        <w:tcBorders>
                          <w:bottom w:val="single" w:sz="6" w:space="0" w:color="000000"/>
                        </w:tcBorders>
                      </w:tcPr>
                      <w:p>
                        <w:pPr/>
                      </w:p>
                    </w:tc>
                    <w:tc>
                      <w:tcPr>
                        <w:tcW w:w="1861" w:type="dxa"/>
                        <w:tcBorders>
                          <w:bottom w:val="single" w:sz="6" w:space="0" w:color="000000"/>
                        </w:tcBorders>
                      </w:tcPr>
                      <w:p>
                        <w:pPr>
                          <w:pStyle w:val="TableParagraph"/>
                          <w:spacing w:before="9"/>
                          <w:ind w:left="442"/>
                          <w:rPr>
                            <w:b/>
                            <w:sz w:val="18"/>
                          </w:rPr>
                        </w:pPr>
                        <w:r>
                          <w:rPr>
                            <w:b/>
                            <w:sz w:val="18"/>
                          </w:rPr>
                          <w:t>Porcentaje total</w:t>
                        </w:r>
                      </w:p>
                    </w:tc>
                    <w:tc>
                      <w:tcPr>
                        <w:tcW w:w="1835" w:type="dxa"/>
                        <w:gridSpan w:val="2"/>
                        <w:tcBorders>
                          <w:bottom w:val="single" w:sz="6" w:space="0" w:color="000000"/>
                        </w:tcBorders>
                      </w:tcPr>
                      <w:p>
                        <w:pPr>
                          <w:pStyle w:val="TableParagraph"/>
                          <w:spacing w:before="9"/>
                          <w:ind w:right="34"/>
                          <w:jc w:val="right"/>
                          <w:rPr>
                            <w:b/>
                            <w:sz w:val="18"/>
                          </w:rPr>
                        </w:pPr>
                        <w:r>
                          <w:rPr>
                            <w:b/>
                            <w:sz w:val="18"/>
                          </w:rPr>
                          <w:t>100.0</w:t>
                        </w:r>
                      </w:p>
                    </w:tc>
                    <w:tc>
                      <w:tcPr>
                        <w:tcW w:w="1849" w:type="dxa"/>
                        <w:tcBorders>
                          <w:bottom w:val="single" w:sz="6" w:space="0" w:color="000000"/>
                        </w:tcBorders>
                      </w:tcPr>
                      <w:p>
                        <w:pPr>
                          <w:pStyle w:val="TableParagraph"/>
                          <w:spacing w:before="9"/>
                          <w:ind w:right="36"/>
                          <w:jc w:val="right"/>
                          <w:rPr>
                            <w:b/>
                            <w:sz w:val="18"/>
                          </w:rPr>
                        </w:pPr>
                        <w:r>
                          <w:rPr>
                            <w:b/>
                            <w:sz w:val="18"/>
                          </w:rPr>
                          <w:t>87.5</w:t>
                        </w:r>
                      </w:p>
                    </w:tc>
                    <w:tc>
                      <w:tcPr>
                        <w:tcW w:w="1804" w:type="dxa"/>
                        <w:gridSpan w:val="2"/>
                        <w:tcBorders>
                          <w:bottom w:val="single" w:sz="6" w:space="0" w:color="000000"/>
                        </w:tcBorders>
                      </w:tcPr>
                      <w:p>
                        <w:pPr>
                          <w:pStyle w:val="TableParagraph"/>
                          <w:spacing w:before="9"/>
                          <w:ind w:right="33"/>
                          <w:jc w:val="right"/>
                          <w:rPr>
                            <w:b/>
                            <w:sz w:val="18"/>
                          </w:rPr>
                        </w:pPr>
                        <w:r>
                          <w:rPr>
                            <w:b/>
                            <w:sz w:val="18"/>
                          </w:rPr>
                          <w:t>100.0</w:t>
                        </w:r>
                      </w:p>
                    </w:tc>
                    <w:tc>
                      <w:tcPr>
                        <w:tcW w:w="2282" w:type="dxa"/>
                        <w:gridSpan w:val="2"/>
                        <w:tcBorders>
                          <w:bottom w:val="single" w:sz="6" w:space="0" w:color="000000"/>
                        </w:tcBorders>
                      </w:tcPr>
                      <w:p>
                        <w:pPr>
                          <w:pStyle w:val="TableParagraph"/>
                          <w:spacing w:before="9"/>
                          <w:ind w:right="34"/>
                          <w:jc w:val="right"/>
                          <w:rPr>
                            <w:b/>
                            <w:sz w:val="18"/>
                          </w:rPr>
                        </w:pPr>
                        <w:r>
                          <w:rPr>
                            <w:b/>
                            <w:sz w:val="18"/>
                          </w:rPr>
                          <w:t>100.0</w:t>
                        </w:r>
                      </w:p>
                    </w:tc>
                  </w:tr>
                </w:tbl>
                <w:p>
                  <w:pPr>
                    <w:pStyle w:val="BodyText"/>
                  </w:pPr>
                </w:p>
              </w:txbxContent>
            </v:textbox>
            <w10:wrap type="none"/>
          </v:shape>
        </w:pict>
      </w:r>
      <w:r>
        <w:rPr>
          <w:b/>
          <w:sz w:val="22"/>
        </w:rPr>
        <w:t>Destino del Fondo de Aportaciones para el Fortalecimiento de los Municipios y de las</w:t>
      </w:r>
    </w:p>
    <w:p>
      <w:pPr>
        <w:spacing w:after="0" w:line="248" w:lineRule="exact"/>
        <w:jc w:val="center"/>
        <w:rPr>
          <w:sz w:val="22"/>
        </w:rPr>
        <w:sectPr>
          <w:pgSz w:w="15840" w:h="12240" w:orient="landscape"/>
          <w:pgMar w:header="0" w:footer="992" w:top="1140" w:bottom="1180" w:left="1780" w:right="18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8"/>
        </w:rPr>
      </w:pPr>
    </w:p>
    <w:p>
      <w:pPr>
        <w:spacing w:line="242" w:lineRule="auto" w:before="74"/>
        <w:ind w:left="562" w:right="338" w:firstLine="0"/>
        <w:jc w:val="left"/>
        <w:rPr>
          <w:sz w:val="20"/>
        </w:rPr>
      </w:pPr>
      <w:r>
        <w:rPr>
          <w:b/>
          <w:sz w:val="20"/>
        </w:rPr>
        <w:t>Fuente</w:t>
      </w:r>
      <w:r>
        <w:rPr>
          <w:sz w:val="20"/>
        </w:rPr>
        <w:t>: Elaboración propia con base en el Informe de Resultados de la Fiscalización Superior de las cuentas públicas 2008-2014.</w:t>
      </w:r>
    </w:p>
    <w:p>
      <w:pPr>
        <w:spacing w:after="0" w:line="242" w:lineRule="auto"/>
        <w:jc w:val="left"/>
        <w:rPr>
          <w:sz w:val="20"/>
        </w:rPr>
        <w:sectPr>
          <w:footerReference w:type="default" r:id="rId63"/>
          <w:pgSz w:w="15840" w:h="12240" w:orient="landscape"/>
          <w:pgMar w:footer="992" w:header="0" w:top="1140" w:bottom="1180" w:left="2260" w:right="2260"/>
        </w:sectPr>
      </w:pPr>
    </w:p>
    <w:p>
      <w:pPr>
        <w:pStyle w:val="BodyText"/>
        <w:rPr>
          <w:sz w:val="20"/>
        </w:rPr>
      </w:pPr>
    </w:p>
    <w:p>
      <w:pPr>
        <w:pStyle w:val="BodyText"/>
        <w:spacing w:before="10"/>
        <w:rPr>
          <w:sz w:val="28"/>
        </w:rPr>
      </w:pPr>
    </w:p>
    <w:p>
      <w:pPr>
        <w:pStyle w:val="BodyText"/>
        <w:spacing w:before="70"/>
        <w:ind w:left="3262"/>
      </w:pPr>
      <w:r>
        <w:rPr/>
        <w:t>Anexo 20.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75" w:after="9"/>
        <w:ind w:left="2989" w:right="0" w:firstLine="0"/>
        <w:jc w:val="left"/>
        <w:rPr>
          <w:b/>
          <w:sz w:val="19"/>
        </w:rPr>
      </w:pPr>
      <w:r>
        <w:rPr>
          <w:b/>
          <w:sz w:val="19"/>
        </w:rPr>
        <w:t>Destino del Fondo para la Infraestructura Municipal Social (FISM) 2009 %</w:t>
      </w:r>
    </w:p>
    <w:p>
      <w:pPr>
        <w:pStyle w:val="BodyText"/>
        <w:spacing w:line="20" w:lineRule="exact"/>
        <w:ind w:left="100"/>
        <w:rPr>
          <w:sz w:val="2"/>
        </w:rPr>
      </w:pPr>
      <w:r>
        <w:rPr>
          <w:sz w:val="2"/>
        </w:rPr>
        <w:pict>
          <v:group style="width:612.75pt;height:.75pt;mso-position-horizontal-relative:char;mso-position-vertical-relative:line" coordorigin="0,0" coordsize="12255,15">
            <v:line style="position:absolute" from="7,7" to="12247,8" stroked="true" strokeweight=".718099pt" strokecolor="#000000"/>
          </v:group>
        </w:pict>
      </w:r>
      <w:r>
        <w:rPr>
          <w:sz w:val="2"/>
        </w:rPr>
      </w:r>
    </w:p>
    <w:p>
      <w:pPr>
        <w:pStyle w:val="BodyText"/>
        <w:rPr>
          <w:b/>
          <w:sz w:val="20"/>
        </w:rPr>
      </w:pPr>
    </w:p>
    <w:p>
      <w:pPr>
        <w:pStyle w:val="BodyText"/>
        <w:spacing w:before="7"/>
        <w:rPr>
          <w:b/>
          <w:sz w:val="19"/>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439"/>
        <w:gridCol w:w="1861"/>
        <w:gridCol w:w="1703"/>
        <w:gridCol w:w="1830"/>
        <w:gridCol w:w="1830"/>
        <w:gridCol w:w="1579"/>
      </w:tblGrid>
      <w:tr>
        <w:trPr>
          <w:trHeight w:val="477" w:hRule="exact"/>
        </w:trPr>
        <w:tc>
          <w:tcPr>
            <w:tcW w:w="3439" w:type="dxa"/>
          </w:tcPr>
          <w:p>
            <w:pPr/>
          </w:p>
        </w:tc>
        <w:tc>
          <w:tcPr>
            <w:tcW w:w="1861" w:type="dxa"/>
          </w:tcPr>
          <w:p>
            <w:pPr>
              <w:pStyle w:val="TableParagraph"/>
              <w:spacing w:before="4"/>
              <w:rPr>
                <w:b/>
                <w:sz w:val="20"/>
              </w:rPr>
            </w:pPr>
          </w:p>
          <w:p>
            <w:pPr>
              <w:pStyle w:val="TableParagraph"/>
              <w:spacing w:before="1"/>
              <w:ind w:right="33"/>
              <w:jc w:val="right"/>
              <w:rPr>
                <w:sz w:val="19"/>
              </w:rPr>
            </w:pPr>
            <w:r>
              <w:rPr>
                <w:sz w:val="19"/>
              </w:rPr>
              <w:t>Ecatepec de Morelos</w:t>
            </w:r>
          </w:p>
        </w:tc>
        <w:tc>
          <w:tcPr>
            <w:tcW w:w="1703" w:type="dxa"/>
          </w:tcPr>
          <w:p>
            <w:pPr>
              <w:pStyle w:val="TableParagraph"/>
              <w:spacing w:before="4"/>
              <w:rPr>
                <w:b/>
                <w:sz w:val="20"/>
              </w:rPr>
            </w:pPr>
          </w:p>
          <w:p>
            <w:pPr>
              <w:pStyle w:val="TableParagraph"/>
              <w:spacing w:before="1"/>
              <w:ind w:left="424"/>
              <w:rPr>
                <w:sz w:val="19"/>
              </w:rPr>
            </w:pPr>
            <w:r>
              <w:rPr>
                <w:sz w:val="19"/>
              </w:rPr>
              <w:t>Ixtlahuaca</w:t>
            </w:r>
          </w:p>
        </w:tc>
        <w:tc>
          <w:tcPr>
            <w:tcW w:w="1830" w:type="dxa"/>
          </w:tcPr>
          <w:p>
            <w:pPr>
              <w:pStyle w:val="TableParagraph"/>
              <w:spacing w:line="261" w:lineRule="auto"/>
              <w:ind w:left="531" w:hanging="220"/>
              <w:rPr>
                <w:sz w:val="19"/>
              </w:rPr>
            </w:pPr>
            <w:r>
              <w:rPr>
                <w:sz w:val="19"/>
              </w:rPr>
              <w:t>San Felipe del Progreso</w:t>
            </w:r>
          </w:p>
        </w:tc>
        <w:tc>
          <w:tcPr>
            <w:tcW w:w="1830" w:type="dxa"/>
          </w:tcPr>
          <w:p>
            <w:pPr>
              <w:pStyle w:val="TableParagraph"/>
              <w:spacing w:before="4"/>
              <w:rPr>
                <w:b/>
                <w:sz w:val="20"/>
              </w:rPr>
            </w:pPr>
          </w:p>
          <w:p>
            <w:pPr>
              <w:pStyle w:val="TableParagraph"/>
              <w:spacing w:before="1"/>
              <w:ind w:right="40"/>
              <w:jc w:val="right"/>
              <w:rPr>
                <w:sz w:val="19"/>
              </w:rPr>
            </w:pPr>
            <w:r>
              <w:rPr>
                <w:sz w:val="19"/>
              </w:rPr>
              <w:t>San José del Rincón</w:t>
            </w:r>
          </w:p>
        </w:tc>
        <w:tc>
          <w:tcPr>
            <w:tcW w:w="1579" w:type="dxa"/>
          </w:tcPr>
          <w:p>
            <w:pPr>
              <w:pStyle w:val="TableParagraph"/>
              <w:spacing w:before="4"/>
              <w:rPr>
                <w:b/>
                <w:sz w:val="20"/>
              </w:rPr>
            </w:pPr>
          </w:p>
          <w:p>
            <w:pPr>
              <w:pStyle w:val="TableParagraph"/>
              <w:spacing w:before="1"/>
              <w:ind w:left="519"/>
              <w:rPr>
                <w:sz w:val="19"/>
              </w:rPr>
            </w:pPr>
            <w:r>
              <w:rPr>
                <w:sz w:val="19"/>
              </w:rPr>
              <w:t>Toluca</w:t>
            </w:r>
          </w:p>
        </w:tc>
      </w:tr>
      <w:tr>
        <w:trPr>
          <w:trHeight w:val="237" w:hRule="exact"/>
        </w:trPr>
        <w:tc>
          <w:tcPr>
            <w:tcW w:w="3439" w:type="dxa"/>
            <w:shd w:val="clear" w:color="auto" w:fill="E6B8B7"/>
          </w:tcPr>
          <w:p>
            <w:pPr>
              <w:pStyle w:val="TableParagraph"/>
              <w:spacing w:line="215" w:lineRule="exact"/>
              <w:ind w:left="27" w:right="-12"/>
              <w:rPr>
                <w:sz w:val="19"/>
              </w:rPr>
            </w:pPr>
            <w:r>
              <w:rPr>
                <w:sz w:val="19"/>
              </w:rPr>
              <w:t>Agua Potable</w:t>
            </w:r>
          </w:p>
        </w:tc>
        <w:tc>
          <w:tcPr>
            <w:tcW w:w="1861" w:type="dxa"/>
            <w:shd w:val="clear" w:color="auto" w:fill="E6B8B7"/>
          </w:tcPr>
          <w:p>
            <w:pPr>
              <w:pStyle w:val="TableParagraph"/>
              <w:spacing w:line="215" w:lineRule="exact"/>
              <w:ind w:right="27"/>
              <w:jc w:val="right"/>
              <w:rPr>
                <w:sz w:val="19"/>
              </w:rPr>
            </w:pPr>
            <w:r>
              <w:rPr>
                <w:w w:val="95"/>
                <w:sz w:val="19"/>
              </w:rPr>
              <w:t>0.0</w:t>
            </w:r>
          </w:p>
        </w:tc>
        <w:tc>
          <w:tcPr>
            <w:tcW w:w="1703" w:type="dxa"/>
            <w:shd w:val="clear" w:color="auto" w:fill="E6B8B7"/>
          </w:tcPr>
          <w:p>
            <w:pPr>
              <w:pStyle w:val="TableParagraph"/>
              <w:spacing w:line="215" w:lineRule="exact"/>
              <w:ind w:right="27"/>
              <w:jc w:val="right"/>
              <w:rPr>
                <w:sz w:val="19"/>
              </w:rPr>
            </w:pPr>
            <w:r>
              <w:rPr>
                <w:w w:val="95"/>
                <w:sz w:val="19"/>
              </w:rPr>
              <w:t>3.1</w:t>
            </w:r>
          </w:p>
        </w:tc>
        <w:tc>
          <w:tcPr>
            <w:tcW w:w="1830" w:type="dxa"/>
            <w:shd w:val="clear" w:color="auto" w:fill="E6B8B7"/>
          </w:tcPr>
          <w:p>
            <w:pPr>
              <w:pStyle w:val="TableParagraph"/>
              <w:spacing w:line="215" w:lineRule="exact"/>
              <w:ind w:right="26"/>
              <w:jc w:val="right"/>
              <w:rPr>
                <w:sz w:val="19"/>
              </w:rPr>
            </w:pPr>
            <w:r>
              <w:rPr>
                <w:w w:val="95"/>
                <w:sz w:val="19"/>
              </w:rPr>
              <w:t>1.5</w:t>
            </w:r>
          </w:p>
        </w:tc>
        <w:tc>
          <w:tcPr>
            <w:tcW w:w="1830" w:type="dxa"/>
            <w:shd w:val="clear" w:color="auto" w:fill="E6B8B7"/>
          </w:tcPr>
          <w:p>
            <w:pPr>
              <w:pStyle w:val="TableParagraph"/>
              <w:spacing w:line="215" w:lineRule="exact"/>
              <w:ind w:right="26"/>
              <w:jc w:val="right"/>
              <w:rPr>
                <w:sz w:val="19"/>
              </w:rPr>
            </w:pPr>
            <w:r>
              <w:rPr>
                <w:w w:val="95"/>
                <w:sz w:val="19"/>
              </w:rPr>
              <w:t>4.9</w:t>
            </w:r>
          </w:p>
        </w:tc>
        <w:tc>
          <w:tcPr>
            <w:tcW w:w="1579" w:type="dxa"/>
            <w:shd w:val="clear" w:color="auto" w:fill="E6B8B7"/>
          </w:tcPr>
          <w:p>
            <w:pPr>
              <w:pStyle w:val="TableParagraph"/>
              <w:spacing w:line="215" w:lineRule="exact"/>
              <w:ind w:right="26"/>
              <w:jc w:val="right"/>
              <w:rPr>
                <w:sz w:val="19"/>
              </w:rPr>
            </w:pPr>
            <w:r>
              <w:rPr>
                <w:w w:val="95"/>
                <w:sz w:val="19"/>
              </w:rPr>
              <w:t>0.1</w:t>
            </w:r>
          </w:p>
        </w:tc>
      </w:tr>
      <w:tr>
        <w:trPr>
          <w:trHeight w:val="238" w:hRule="exact"/>
        </w:trPr>
        <w:tc>
          <w:tcPr>
            <w:tcW w:w="3439" w:type="dxa"/>
          </w:tcPr>
          <w:p>
            <w:pPr>
              <w:pStyle w:val="TableParagraph"/>
              <w:spacing w:line="216" w:lineRule="exact"/>
              <w:ind w:left="27" w:right="-12"/>
              <w:rPr>
                <w:sz w:val="19"/>
              </w:rPr>
            </w:pPr>
            <w:r>
              <w:rPr>
                <w:sz w:val="19"/>
              </w:rPr>
              <w:t>Alcantarillado</w:t>
            </w:r>
          </w:p>
        </w:tc>
        <w:tc>
          <w:tcPr>
            <w:tcW w:w="1861" w:type="dxa"/>
          </w:tcPr>
          <w:p>
            <w:pPr>
              <w:pStyle w:val="TableParagraph"/>
              <w:spacing w:line="216" w:lineRule="exact"/>
              <w:ind w:right="27"/>
              <w:jc w:val="right"/>
              <w:rPr>
                <w:sz w:val="19"/>
              </w:rPr>
            </w:pPr>
            <w:r>
              <w:rPr>
                <w:w w:val="95"/>
                <w:sz w:val="19"/>
              </w:rPr>
              <w:t>0.0</w:t>
            </w:r>
          </w:p>
        </w:tc>
        <w:tc>
          <w:tcPr>
            <w:tcW w:w="1703" w:type="dxa"/>
            <w:vMerge w:val="restart"/>
          </w:tcPr>
          <w:p>
            <w:pPr>
              <w:pStyle w:val="TableParagraph"/>
              <w:spacing w:before="4"/>
              <w:rPr>
                <w:b/>
                <w:sz w:val="20"/>
              </w:rPr>
            </w:pPr>
          </w:p>
          <w:p>
            <w:pPr>
              <w:pStyle w:val="TableParagraph"/>
              <w:ind w:right="28"/>
              <w:jc w:val="right"/>
              <w:rPr>
                <w:sz w:val="19"/>
              </w:rPr>
            </w:pPr>
            <w:r>
              <w:rPr>
                <w:w w:val="95"/>
                <w:sz w:val="19"/>
              </w:rPr>
              <w:t>22.0</w:t>
            </w:r>
          </w:p>
        </w:tc>
        <w:tc>
          <w:tcPr>
            <w:tcW w:w="1830" w:type="dxa"/>
          </w:tcPr>
          <w:p>
            <w:pPr>
              <w:pStyle w:val="TableParagraph"/>
              <w:spacing w:line="216" w:lineRule="exact"/>
              <w:ind w:right="26"/>
              <w:jc w:val="right"/>
              <w:rPr>
                <w:sz w:val="19"/>
              </w:rPr>
            </w:pPr>
            <w:r>
              <w:rPr>
                <w:w w:val="95"/>
                <w:sz w:val="19"/>
              </w:rPr>
              <w:t>0.1</w:t>
            </w:r>
          </w:p>
        </w:tc>
        <w:tc>
          <w:tcPr>
            <w:tcW w:w="1830" w:type="dxa"/>
          </w:tcPr>
          <w:p>
            <w:pPr>
              <w:pStyle w:val="TableParagraph"/>
              <w:spacing w:line="216" w:lineRule="exact"/>
              <w:ind w:right="26"/>
              <w:jc w:val="right"/>
              <w:rPr>
                <w:sz w:val="19"/>
              </w:rPr>
            </w:pPr>
            <w:r>
              <w:rPr>
                <w:w w:val="95"/>
                <w:sz w:val="19"/>
              </w:rPr>
              <w:t>1.6</w:t>
            </w:r>
          </w:p>
        </w:tc>
        <w:tc>
          <w:tcPr>
            <w:tcW w:w="1579" w:type="dxa"/>
          </w:tcPr>
          <w:p>
            <w:pPr>
              <w:pStyle w:val="TableParagraph"/>
              <w:spacing w:line="216" w:lineRule="exact"/>
              <w:ind w:right="26"/>
              <w:jc w:val="right"/>
              <w:rPr>
                <w:sz w:val="19"/>
              </w:rPr>
            </w:pPr>
            <w:r>
              <w:rPr>
                <w:w w:val="95"/>
                <w:sz w:val="19"/>
              </w:rPr>
              <w:t>0.0</w:t>
            </w:r>
          </w:p>
        </w:tc>
      </w:tr>
      <w:tr>
        <w:trPr>
          <w:trHeight w:val="238" w:hRule="exact"/>
        </w:trPr>
        <w:tc>
          <w:tcPr>
            <w:tcW w:w="3439" w:type="dxa"/>
            <w:shd w:val="clear" w:color="auto" w:fill="E6B8B7"/>
          </w:tcPr>
          <w:p>
            <w:pPr>
              <w:pStyle w:val="TableParagraph"/>
              <w:spacing w:line="215" w:lineRule="exact"/>
              <w:ind w:left="27" w:right="-12"/>
              <w:rPr>
                <w:sz w:val="19"/>
              </w:rPr>
            </w:pPr>
            <w:r>
              <w:rPr>
                <w:sz w:val="19"/>
              </w:rPr>
              <w:t>Drenaje y letrinas</w:t>
            </w:r>
          </w:p>
        </w:tc>
        <w:tc>
          <w:tcPr>
            <w:tcW w:w="1861" w:type="dxa"/>
            <w:shd w:val="clear" w:color="auto" w:fill="E6B8B7"/>
          </w:tcPr>
          <w:p>
            <w:pPr>
              <w:pStyle w:val="TableParagraph"/>
              <w:spacing w:line="215" w:lineRule="exact"/>
              <w:ind w:right="27"/>
              <w:jc w:val="right"/>
              <w:rPr>
                <w:sz w:val="19"/>
              </w:rPr>
            </w:pPr>
            <w:r>
              <w:rPr>
                <w:w w:val="95"/>
                <w:sz w:val="19"/>
              </w:rPr>
              <w:t>0.0</w:t>
            </w:r>
          </w:p>
        </w:tc>
        <w:tc>
          <w:tcPr>
            <w:tcW w:w="1703" w:type="dxa"/>
            <w:vMerge/>
          </w:tcPr>
          <w:p>
            <w:pPr/>
          </w:p>
        </w:tc>
        <w:tc>
          <w:tcPr>
            <w:tcW w:w="1830" w:type="dxa"/>
            <w:shd w:val="clear" w:color="auto" w:fill="E6B8B7"/>
          </w:tcPr>
          <w:p>
            <w:pPr>
              <w:pStyle w:val="TableParagraph"/>
              <w:spacing w:line="215" w:lineRule="exact"/>
              <w:ind w:right="26"/>
              <w:jc w:val="right"/>
              <w:rPr>
                <w:sz w:val="19"/>
              </w:rPr>
            </w:pPr>
            <w:r>
              <w:rPr>
                <w:w w:val="95"/>
                <w:sz w:val="19"/>
              </w:rPr>
              <w:t>2.5</w:t>
            </w:r>
          </w:p>
        </w:tc>
        <w:tc>
          <w:tcPr>
            <w:tcW w:w="1830" w:type="dxa"/>
            <w:shd w:val="clear" w:color="auto" w:fill="E6B8B7"/>
          </w:tcPr>
          <w:p>
            <w:pPr>
              <w:pStyle w:val="TableParagraph"/>
              <w:spacing w:line="215" w:lineRule="exact"/>
              <w:ind w:right="26"/>
              <w:jc w:val="right"/>
              <w:rPr>
                <w:sz w:val="19"/>
              </w:rPr>
            </w:pPr>
            <w:r>
              <w:rPr>
                <w:w w:val="95"/>
                <w:sz w:val="19"/>
              </w:rPr>
              <w:t>0.0</w:t>
            </w:r>
          </w:p>
        </w:tc>
        <w:tc>
          <w:tcPr>
            <w:tcW w:w="1579" w:type="dxa"/>
            <w:shd w:val="clear" w:color="auto" w:fill="E6B8B7"/>
          </w:tcPr>
          <w:p>
            <w:pPr>
              <w:pStyle w:val="TableParagraph"/>
              <w:spacing w:line="215" w:lineRule="exact"/>
              <w:ind w:right="26"/>
              <w:jc w:val="right"/>
              <w:rPr>
                <w:sz w:val="19"/>
              </w:rPr>
            </w:pPr>
            <w:r>
              <w:rPr>
                <w:w w:val="95"/>
                <w:sz w:val="19"/>
              </w:rPr>
              <w:t>0.1</w:t>
            </w:r>
          </w:p>
        </w:tc>
      </w:tr>
      <w:tr>
        <w:trPr>
          <w:trHeight w:val="237" w:hRule="exact"/>
        </w:trPr>
        <w:tc>
          <w:tcPr>
            <w:tcW w:w="3439" w:type="dxa"/>
          </w:tcPr>
          <w:p>
            <w:pPr>
              <w:pStyle w:val="TableParagraph"/>
              <w:spacing w:line="215" w:lineRule="exact"/>
              <w:ind w:left="27" w:right="-12"/>
              <w:rPr>
                <w:sz w:val="19"/>
              </w:rPr>
            </w:pPr>
            <w:r>
              <w:rPr>
                <w:sz w:val="19"/>
              </w:rPr>
              <w:t>Urbanización Municipal</w:t>
            </w:r>
          </w:p>
        </w:tc>
        <w:tc>
          <w:tcPr>
            <w:tcW w:w="1861" w:type="dxa"/>
          </w:tcPr>
          <w:p>
            <w:pPr>
              <w:pStyle w:val="TableParagraph"/>
              <w:spacing w:line="215" w:lineRule="exact"/>
              <w:ind w:right="28"/>
              <w:jc w:val="right"/>
              <w:rPr>
                <w:sz w:val="19"/>
              </w:rPr>
            </w:pPr>
            <w:r>
              <w:rPr>
                <w:w w:val="95"/>
                <w:sz w:val="19"/>
              </w:rPr>
              <w:t>27.5</w:t>
            </w:r>
          </w:p>
        </w:tc>
        <w:tc>
          <w:tcPr>
            <w:tcW w:w="1703" w:type="dxa"/>
          </w:tcPr>
          <w:p>
            <w:pPr>
              <w:pStyle w:val="TableParagraph"/>
              <w:spacing w:line="215" w:lineRule="exact"/>
              <w:ind w:right="28"/>
              <w:jc w:val="right"/>
              <w:rPr>
                <w:sz w:val="19"/>
              </w:rPr>
            </w:pPr>
            <w:r>
              <w:rPr>
                <w:w w:val="95"/>
                <w:sz w:val="19"/>
              </w:rPr>
              <w:t>38.5</w:t>
            </w:r>
          </w:p>
        </w:tc>
        <w:tc>
          <w:tcPr>
            <w:tcW w:w="1830" w:type="dxa"/>
          </w:tcPr>
          <w:p>
            <w:pPr>
              <w:pStyle w:val="TableParagraph"/>
              <w:spacing w:line="215" w:lineRule="exact"/>
              <w:ind w:right="27"/>
              <w:jc w:val="right"/>
              <w:rPr>
                <w:sz w:val="19"/>
              </w:rPr>
            </w:pPr>
            <w:r>
              <w:rPr>
                <w:w w:val="95"/>
                <w:sz w:val="19"/>
              </w:rPr>
              <w:t>53.6</w:t>
            </w:r>
          </w:p>
        </w:tc>
        <w:tc>
          <w:tcPr>
            <w:tcW w:w="1830" w:type="dxa"/>
          </w:tcPr>
          <w:p>
            <w:pPr>
              <w:pStyle w:val="TableParagraph"/>
              <w:spacing w:line="215" w:lineRule="exact"/>
              <w:ind w:right="27"/>
              <w:jc w:val="right"/>
              <w:rPr>
                <w:sz w:val="19"/>
              </w:rPr>
            </w:pPr>
            <w:r>
              <w:rPr>
                <w:w w:val="95"/>
                <w:sz w:val="19"/>
              </w:rPr>
              <w:t>10.1</w:t>
            </w:r>
          </w:p>
        </w:tc>
        <w:tc>
          <w:tcPr>
            <w:tcW w:w="1579" w:type="dxa"/>
          </w:tcPr>
          <w:p>
            <w:pPr>
              <w:pStyle w:val="TableParagraph"/>
              <w:spacing w:line="215" w:lineRule="exact"/>
              <w:ind w:right="27"/>
              <w:jc w:val="right"/>
              <w:rPr>
                <w:sz w:val="19"/>
              </w:rPr>
            </w:pPr>
            <w:r>
              <w:rPr>
                <w:w w:val="95"/>
                <w:sz w:val="19"/>
              </w:rPr>
              <w:t>75.2</w:t>
            </w:r>
          </w:p>
        </w:tc>
      </w:tr>
      <w:tr>
        <w:trPr>
          <w:trHeight w:val="238" w:hRule="exact"/>
        </w:trPr>
        <w:tc>
          <w:tcPr>
            <w:tcW w:w="3439" w:type="dxa"/>
            <w:shd w:val="clear" w:color="auto" w:fill="E6B8B7"/>
          </w:tcPr>
          <w:p>
            <w:pPr>
              <w:pStyle w:val="TableParagraph"/>
              <w:spacing w:line="216" w:lineRule="exact"/>
              <w:ind w:left="27" w:right="-12"/>
              <w:rPr>
                <w:sz w:val="19"/>
              </w:rPr>
            </w:pPr>
            <w:r>
              <w:rPr>
                <w:sz w:val="19"/>
              </w:rPr>
              <w:t>Electrificación rural</w:t>
            </w:r>
          </w:p>
        </w:tc>
        <w:tc>
          <w:tcPr>
            <w:tcW w:w="1861" w:type="dxa"/>
            <w:shd w:val="clear" w:color="auto" w:fill="E6B8B7"/>
          </w:tcPr>
          <w:p>
            <w:pPr>
              <w:pStyle w:val="TableParagraph"/>
              <w:spacing w:line="216" w:lineRule="exact"/>
              <w:ind w:right="27"/>
              <w:jc w:val="right"/>
              <w:rPr>
                <w:sz w:val="19"/>
              </w:rPr>
            </w:pPr>
            <w:r>
              <w:rPr>
                <w:w w:val="95"/>
                <w:sz w:val="19"/>
              </w:rPr>
              <w:t>0.0</w:t>
            </w:r>
          </w:p>
        </w:tc>
        <w:tc>
          <w:tcPr>
            <w:tcW w:w="1703" w:type="dxa"/>
            <w:shd w:val="clear" w:color="auto" w:fill="E6B8B7"/>
          </w:tcPr>
          <w:p>
            <w:pPr>
              <w:pStyle w:val="TableParagraph"/>
              <w:spacing w:line="216" w:lineRule="exact"/>
              <w:ind w:right="27"/>
              <w:jc w:val="right"/>
              <w:rPr>
                <w:sz w:val="19"/>
              </w:rPr>
            </w:pPr>
            <w:r>
              <w:rPr>
                <w:w w:val="95"/>
                <w:sz w:val="19"/>
              </w:rPr>
              <w:t>2.3</w:t>
            </w:r>
          </w:p>
        </w:tc>
        <w:tc>
          <w:tcPr>
            <w:tcW w:w="1830" w:type="dxa"/>
            <w:shd w:val="clear" w:color="auto" w:fill="E6B8B7"/>
          </w:tcPr>
          <w:p>
            <w:pPr>
              <w:pStyle w:val="TableParagraph"/>
              <w:spacing w:line="216" w:lineRule="exact"/>
              <w:ind w:right="26"/>
              <w:jc w:val="right"/>
              <w:rPr>
                <w:sz w:val="19"/>
              </w:rPr>
            </w:pPr>
            <w:r>
              <w:rPr>
                <w:w w:val="95"/>
                <w:sz w:val="19"/>
              </w:rPr>
              <w:t>6.7</w:t>
            </w:r>
          </w:p>
        </w:tc>
        <w:tc>
          <w:tcPr>
            <w:tcW w:w="1830" w:type="dxa"/>
            <w:shd w:val="clear" w:color="auto" w:fill="E6B8B7"/>
          </w:tcPr>
          <w:p>
            <w:pPr>
              <w:pStyle w:val="TableParagraph"/>
              <w:spacing w:line="216" w:lineRule="exact"/>
              <w:ind w:right="26"/>
              <w:jc w:val="right"/>
              <w:rPr>
                <w:sz w:val="19"/>
              </w:rPr>
            </w:pPr>
            <w:r>
              <w:rPr>
                <w:w w:val="95"/>
                <w:sz w:val="19"/>
              </w:rPr>
              <w:t>7.5</w:t>
            </w:r>
          </w:p>
        </w:tc>
        <w:tc>
          <w:tcPr>
            <w:tcW w:w="1579" w:type="dxa"/>
            <w:shd w:val="clear" w:color="auto" w:fill="E6B8B7"/>
          </w:tcPr>
          <w:p>
            <w:pPr>
              <w:pStyle w:val="TableParagraph"/>
              <w:spacing w:line="216" w:lineRule="exact"/>
              <w:ind w:right="26"/>
              <w:jc w:val="right"/>
              <w:rPr>
                <w:sz w:val="19"/>
              </w:rPr>
            </w:pPr>
            <w:r>
              <w:rPr>
                <w:w w:val="95"/>
                <w:sz w:val="19"/>
              </w:rPr>
              <w:t>0.0</w:t>
            </w:r>
          </w:p>
        </w:tc>
      </w:tr>
      <w:tr>
        <w:trPr>
          <w:trHeight w:val="239" w:hRule="exact"/>
        </w:trPr>
        <w:tc>
          <w:tcPr>
            <w:tcW w:w="3439" w:type="dxa"/>
          </w:tcPr>
          <w:p>
            <w:pPr>
              <w:pStyle w:val="TableParagraph"/>
              <w:spacing w:line="215" w:lineRule="exact"/>
              <w:ind w:left="27" w:right="-12"/>
              <w:rPr>
                <w:sz w:val="19"/>
              </w:rPr>
            </w:pPr>
            <w:r>
              <w:rPr>
                <w:sz w:val="19"/>
              </w:rPr>
              <w:t>Infraestructura básica de salud</w:t>
            </w:r>
          </w:p>
        </w:tc>
        <w:tc>
          <w:tcPr>
            <w:tcW w:w="1861" w:type="dxa"/>
          </w:tcPr>
          <w:p>
            <w:pPr>
              <w:pStyle w:val="TableParagraph"/>
              <w:spacing w:line="215" w:lineRule="exact"/>
              <w:ind w:right="27"/>
              <w:jc w:val="right"/>
              <w:rPr>
                <w:sz w:val="19"/>
              </w:rPr>
            </w:pPr>
            <w:r>
              <w:rPr>
                <w:w w:val="95"/>
                <w:sz w:val="19"/>
              </w:rPr>
              <w:t>0.0</w:t>
            </w:r>
          </w:p>
        </w:tc>
        <w:tc>
          <w:tcPr>
            <w:tcW w:w="1703" w:type="dxa"/>
          </w:tcPr>
          <w:p>
            <w:pPr>
              <w:pStyle w:val="TableParagraph"/>
              <w:spacing w:line="215" w:lineRule="exact"/>
              <w:ind w:right="27"/>
              <w:jc w:val="right"/>
              <w:rPr>
                <w:sz w:val="19"/>
              </w:rPr>
            </w:pPr>
            <w:r>
              <w:rPr>
                <w:w w:val="95"/>
                <w:sz w:val="19"/>
              </w:rPr>
              <w:t>4.1</w:t>
            </w:r>
          </w:p>
        </w:tc>
        <w:tc>
          <w:tcPr>
            <w:tcW w:w="1830" w:type="dxa"/>
          </w:tcPr>
          <w:p>
            <w:pPr>
              <w:pStyle w:val="TableParagraph"/>
              <w:spacing w:line="215" w:lineRule="exact"/>
              <w:ind w:right="26"/>
              <w:jc w:val="right"/>
              <w:rPr>
                <w:sz w:val="19"/>
              </w:rPr>
            </w:pPr>
            <w:r>
              <w:rPr>
                <w:w w:val="95"/>
                <w:sz w:val="19"/>
              </w:rPr>
              <w:t>2.4</w:t>
            </w:r>
          </w:p>
        </w:tc>
        <w:tc>
          <w:tcPr>
            <w:tcW w:w="1830" w:type="dxa"/>
          </w:tcPr>
          <w:p>
            <w:pPr>
              <w:pStyle w:val="TableParagraph"/>
              <w:spacing w:line="215" w:lineRule="exact"/>
              <w:ind w:right="26"/>
              <w:jc w:val="right"/>
              <w:rPr>
                <w:sz w:val="19"/>
              </w:rPr>
            </w:pPr>
            <w:r>
              <w:rPr>
                <w:w w:val="95"/>
                <w:sz w:val="19"/>
              </w:rPr>
              <w:t>0.6</w:t>
            </w:r>
          </w:p>
        </w:tc>
        <w:tc>
          <w:tcPr>
            <w:tcW w:w="1579" w:type="dxa"/>
          </w:tcPr>
          <w:p>
            <w:pPr>
              <w:pStyle w:val="TableParagraph"/>
              <w:spacing w:line="215" w:lineRule="exact"/>
              <w:ind w:right="26"/>
              <w:jc w:val="right"/>
              <w:rPr>
                <w:sz w:val="19"/>
              </w:rPr>
            </w:pPr>
            <w:r>
              <w:rPr>
                <w:w w:val="95"/>
                <w:sz w:val="19"/>
              </w:rPr>
              <w:t>0.0</w:t>
            </w:r>
          </w:p>
        </w:tc>
      </w:tr>
      <w:tr>
        <w:trPr>
          <w:trHeight w:val="238" w:hRule="exact"/>
        </w:trPr>
        <w:tc>
          <w:tcPr>
            <w:tcW w:w="3439" w:type="dxa"/>
            <w:shd w:val="clear" w:color="auto" w:fill="E6B8B7"/>
          </w:tcPr>
          <w:p>
            <w:pPr>
              <w:pStyle w:val="TableParagraph"/>
              <w:spacing w:line="215" w:lineRule="exact"/>
              <w:ind w:left="27" w:right="-12"/>
              <w:rPr>
                <w:sz w:val="19"/>
              </w:rPr>
            </w:pPr>
            <w:r>
              <w:rPr>
                <w:sz w:val="19"/>
              </w:rPr>
              <w:t>Infraestructura básica de educación</w:t>
            </w:r>
          </w:p>
        </w:tc>
        <w:tc>
          <w:tcPr>
            <w:tcW w:w="1861" w:type="dxa"/>
            <w:shd w:val="clear" w:color="auto" w:fill="E6B8B7"/>
          </w:tcPr>
          <w:p>
            <w:pPr>
              <w:pStyle w:val="TableParagraph"/>
              <w:spacing w:line="215" w:lineRule="exact"/>
              <w:ind w:right="27"/>
              <w:jc w:val="right"/>
              <w:rPr>
                <w:sz w:val="19"/>
              </w:rPr>
            </w:pPr>
            <w:r>
              <w:rPr>
                <w:w w:val="95"/>
                <w:sz w:val="19"/>
              </w:rPr>
              <w:t>0.0</w:t>
            </w:r>
          </w:p>
        </w:tc>
        <w:tc>
          <w:tcPr>
            <w:tcW w:w="1703" w:type="dxa"/>
            <w:shd w:val="clear" w:color="auto" w:fill="E6B8B7"/>
          </w:tcPr>
          <w:p>
            <w:pPr>
              <w:pStyle w:val="TableParagraph"/>
              <w:spacing w:line="215" w:lineRule="exact"/>
              <w:ind w:right="27"/>
              <w:jc w:val="right"/>
              <w:rPr>
                <w:sz w:val="19"/>
              </w:rPr>
            </w:pPr>
            <w:r>
              <w:rPr>
                <w:w w:val="95"/>
                <w:sz w:val="19"/>
              </w:rPr>
              <w:t>5.8</w:t>
            </w:r>
          </w:p>
        </w:tc>
        <w:tc>
          <w:tcPr>
            <w:tcW w:w="1830" w:type="dxa"/>
            <w:shd w:val="clear" w:color="auto" w:fill="E6B8B7"/>
          </w:tcPr>
          <w:p>
            <w:pPr>
              <w:pStyle w:val="TableParagraph"/>
              <w:spacing w:line="215" w:lineRule="exact"/>
              <w:ind w:right="26"/>
              <w:jc w:val="right"/>
              <w:rPr>
                <w:sz w:val="19"/>
              </w:rPr>
            </w:pPr>
            <w:r>
              <w:rPr>
                <w:w w:val="95"/>
                <w:sz w:val="19"/>
              </w:rPr>
              <w:t>4.8</w:t>
            </w:r>
          </w:p>
        </w:tc>
        <w:tc>
          <w:tcPr>
            <w:tcW w:w="1830" w:type="dxa"/>
            <w:shd w:val="clear" w:color="auto" w:fill="E6B8B7"/>
          </w:tcPr>
          <w:p>
            <w:pPr>
              <w:pStyle w:val="TableParagraph"/>
              <w:spacing w:line="215" w:lineRule="exact"/>
              <w:ind w:right="26"/>
              <w:jc w:val="right"/>
              <w:rPr>
                <w:sz w:val="19"/>
              </w:rPr>
            </w:pPr>
            <w:r>
              <w:rPr>
                <w:w w:val="95"/>
                <w:sz w:val="19"/>
              </w:rPr>
              <w:t>7.8</w:t>
            </w:r>
          </w:p>
        </w:tc>
        <w:tc>
          <w:tcPr>
            <w:tcW w:w="1579" w:type="dxa"/>
            <w:shd w:val="clear" w:color="auto" w:fill="E6B8B7"/>
          </w:tcPr>
          <w:p>
            <w:pPr>
              <w:pStyle w:val="TableParagraph"/>
              <w:spacing w:line="215" w:lineRule="exact"/>
              <w:ind w:right="26"/>
              <w:jc w:val="right"/>
              <w:rPr>
                <w:sz w:val="19"/>
              </w:rPr>
            </w:pPr>
            <w:r>
              <w:rPr>
                <w:w w:val="95"/>
                <w:sz w:val="19"/>
              </w:rPr>
              <w:t>0.0</w:t>
            </w:r>
          </w:p>
        </w:tc>
      </w:tr>
      <w:tr>
        <w:trPr>
          <w:trHeight w:val="237" w:hRule="exact"/>
        </w:trPr>
        <w:tc>
          <w:tcPr>
            <w:tcW w:w="3439" w:type="dxa"/>
          </w:tcPr>
          <w:p>
            <w:pPr>
              <w:pStyle w:val="TableParagraph"/>
              <w:spacing w:line="215" w:lineRule="exact"/>
              <w:ind w:left="27" w:right="-12"/>
              <w:rPr>
                <w:sz w:val="19"/>
              </w:rPr>
            </w:pPr>
            <w:r>
              <w:rPr>
                <w:sz w:val="19"/>
              </w:rPr>
              <w:t>Mejoramiento de vivienda</w:t>
            </w:r>
          </w:p>
        </w:tc>
        <w:tc>
          <w:tcPr>
            <w:tcW w:w="1861" w:type="dxa"/>
          </w:tcPr>
          <w:p>
            <w:pPr>
              <w:pStyle w:val="TableParagraph"/>
              <w:spacing w:line="215" w:lineRule="exact"/>
              <w:ind w:right="27"/>
              <w:jc w:val="right"/>
              <w:rPr>
                <w:sz w:val="19"/>
              </w:rPr>
            </w:pPr>
            <w:r>
              <w:rPr>
                <w:w w:val="95"/>
                <w:sz w:val="19"/>
              </w:rPr>
              <w:t>0.0</w:t>
            </w:r>
          </w:p>
        </w:tc>
        <w:tc>
          <w:tcPr>
            <w:tcW w:w="1703" w:type="dxa"/>
          </w:tcPr>
          <w:p>
            <w:pPr>
              <w:pStyle w:val="TableParagraph"/>
              <w:spacing w:line="215" w:lineRule="exact"/>
              <w:ind w:right="27"/>
              <w:jc w:val="right"/>
              <w:rPr>
                <w:sz w:val="19"/>
              </w:rPr>
            </w:pPr>
            <w:r>
              <w:rPr>
                <w:w w:val="95"/>
                <w:sz w:val="19"/>
              </w:rPr>
              <w:t>2.3</w:t>
            </w:r>
          </w:p>
        </w:tc>
        <w:tc>
          <w:tcPr>
            <w:tcW w:w="1830" w:type="dxa"/>
          </w:tcPr>
          <w:p>
            <w:pPr>
              <w:pStyle w:val="TableParagraph"/>
              <w:spacing w:line="215" w:lineRule="exact"/>
              <w:ind w:right="27"/>
              <w:jc w:val="right"/>
              <w:rPr>
                <w:sz w:val="19"/>
              </w:rPr>
            </w:pPr>
            <w:r>
              <w:rPr>
                <w:w w:val="95"/>
                <w:sz w:val="19"/>
              </w:rPr>
              <w:t>23.6</w:t>
            </w:r>
          </w:p>
        </w:tc>
        <w:tc>
          <w:tcPr>
            <w:tcW w:w="1830" w:type="dxa"/>
          </w:tcPr>
          <w:p>
            <w:pPr>
              <w:pStyle w:val="TableParagraph"/>
              <w:spacing w:line="215" w:lineRule="exact"/>
              <w:ind w:right="25"/>
              <w:jc w:val="right"/>
              <w:rPr>
                <w:sz w:val="19"/>
              </w:rPr>
            </w:pPr>
            <w:r>
              <w:rPr>
                <w:w w:val="95"/>
                <w:sz w:val="19"/>
              </w:rPr>
              <w:t>11.8</w:t>
            </w:r>
          </w:p>
        </w:tc>
        <w:tc>
          <w:tcPr>
            <w:tcW w:w="1579" w:type="dxa"/>
          </w:tcPr>
          <w:p>
            <w:pPr>
              <w:pStyle w:val="TableParagraph"/>
              <w:spacing w:line="215" w:lineRule="exact"/>
              <w:ind w:right="27"/>
              <w:jc w:val="right"/>
              <w:rPr>
                <w:sz w:val="19"/>
              </w:rPr>
            </w:pPr>
            <w:r>
              <w:rPr>
                <w:w w:val="95"/>
                <w:sz w:val="19"/>
              </w:rPr>
              <w:t>24.6</w:t>
            </w:r>
          </w:p>
        </w:tc>
      </w:tr>
      <w:tr>
        <w:trPr>
          <w:trHeight w:val="239" w:hRule="exact"/>
        </w:trPr>
        <w:tc>
          <w:tcPr>
            <w:tcW w:w="3439" w:type="dxa"/>
            <w:shd w:val="clear" w:color="auto" w:fill="E6B8B7"/>
          </w:tcPr>
          <w:p>
            <w:pPr>
              <w:pStyle w:val="TableParagraph"/>
              <w:spacing w:line="216" w:lineRule="exact"/>
              <w:ind w:left="27" w:right="-12"/>
              <w:rPr>
                <w:sz w:val="19"/>
              </w:rPr>
            </w:pPr>
            <w:r>
              <w:rPr>
                <w:sz w:val="19"/>
              </w:rPr>
              <w:t>Caminos rurales</w:t>
            </w:r>
          </w:p>
        </w:tc>
        <w:tc>
          <w:tcPr>
            <w:tcW w:w="1861" w:type="dxa"/>
            <w:shd w:val="clear" w:color="auto" w:fill="E6B8B7"/>
          </w:tcPr>
          <w:p>
            <w:pPr>
              <w:pStyle w:val="TableParagraph"/>
              <w:spacing w:line="216" w:lineRule="exact"/>
              <w:ind w:right="27"/>
              <w:jc w:val="right"/>
              <w:rPr>
                <w:sz w:val="19"/>
              </w:rPr>
            </w:pPr>
            <w:r>
              <w:rPr>
                <w:w w:val="95"/>
                <w:sz w:val="19"/>
              </w:rPr>
              <w:t>0.0</w:t>
            </w:r>
          </w:p>
        </w:tc>
        <w:tc>
          <w:tcPr>
            <w:tcW w:w="1703" w:type="dxa"/>
            <w:shd w:val="clear" w:color="auto" w:fill="E6B8B7"/>
          </w:tcPr>
          <w:p>
            <w:pPr>
              <w:pStyle w:val="TableParagraph"/>
              <w:spacing w:line="216" w:lineRule="exact"/>
              <w:ind w:right="28"/>
              <w:jc w:val="right"/>
              <w:rPr>
                <w:sz w:val="19"/>
              </w:rPr>
            </w:pPr>
            <w:r>
              <w:rPr>
                <w:w w:val="95"/>
                <w:sz w:val="19"/>
              </w:rPr>
              <w:t>18.4</w:t>
            </w:r>
          </w:p>
        </w:tc>
        <w:tc>
          <w:tcPr>
            <w:tcW w:w="1830" w:type="dxa"/>
            <w:shd w:val="clear" w:color="auto" w:fill="E6B8B7"/>
          </w:tcPr>
          <w:p>
            <w:pPr>
              <w:pStyle w:val="TableParagraph"/>
              <w:spacing w:line="216" w:lineRule="exact"/>
              <w:ind w:right="26"/>
              <w:jc w:val="right"/>
              <w:rPr>
                <w:sz w:val="19"/>
              </w:rPr>
            </w:pPr>
            <w:r>
              <w:rPr>
                <w:w w:val="95"/>
                <w:sz w:val="19"/>
              </w:rPr>
              <w:t>1.1</w:t>
            </w:r>
          </w:p>
        </w:tc>
        <w:tc>
          <w:tcPr>
            <w:tcW w:w="1830" w:type="dxa"/>
            <w:shd w:val="clear" w:color="auto" w:fill="E6B8B7"/>
          </w:tcPr>
          <w:p>
            <w:pPr>
              <w:pStyle w:val="TableParagraph"/>
              <w:spacing w:line="216" w:lineRule="exact"/>
              <w:ind w:right="27"/>
              <w:jc w:val="right"/>
              <w:rPr>
                <w:sz w:val="19"/>
              </w:rPr>
            </w:pPr>
            <w:r>
              <w:rPr>
                <w:w w:val="95"/>
                <w:sz w:val="19"/>
              </w:rPr>
              <w:t>51.2</w:t>
            </w:r>
          </w:p>
        </w:tc>
        <w:tc>
          <w:tcPr>
            <w:tcW w:w="1579" w:type="dxa"/>
            <w:shd w:val="clear" w:color="auto" w:fill="E6B8B7"/>
          </w:tcPr>
          <w:p>
            <w:pPr>
              <w:pStyle w:val="TableParagraph"/>
              <w:spacing w:line="216" w:lineRule="exact"/>
              <w:ind w:right="26"/>
              <w:jc w:val="right"/>
              <w:rPr>
                <w:sz w:val="19"/>
              </w:rPr>
            </w:pPr>
            <w:r>
              <w:rPr>
                <w:w w:val="95"/>
                <w:sz w:val="19"/>
              </w:rPr>
              <w:t>0.0</w:t>
            </w:r>
          </w:p>
        </w:tc>
      </w:tr>
      <w:tr>
        <w:trPr>
          <w:trHeight w:val="238" w:hRule="exact"/>
        </w:trPr>
        <w:tc>
          <w:tcPr>
            <w:tcW w:w="3439" w:type="dxa"/>
          </w:tcPr>
          <w:p>
            <w:pPr>
              <w:pStyle w:val="TableParagraph"/>
              <w:spacing w:line="215" w:lineRule="exact"/>
              <w:ind w:left="27" w:right="-12"/>
              <w:rPr>
                <w:sz w:val="19"/>
              </w:rPr>
            </w:pPr>
            <w:r>
              <w:rPr>
                <w:sz w:val="19"/>
              </w:rPr>
              <w:t>Infraestructura productiva rural</w:t>
            </w:r>
          </w:p>
        </w:tc>
        <w:tc>
          <w:tcPr>
            <w:tcW w:w="1861" w:type="dxa"/>
          </w:tcPr>
          <w:p>
            <w:pPr>
              <w:pStyle w:val="TableParagraph"/>
              <w:spacing w:line="215" w:lineRule="exact"/>
              <w:ind w:right="27"/>
              <w:jc w:val="right"/>
              <w:rPr>
                <w:sz w:val="19"/>
              </w:rPr>
            </w:pPr>
            <w:r>
              <w:rPr>
                <w:w w:val="95"/>
                <w:sz w:val="19"/>
              </w:rPr>
              <w:t>0.0</w:t>
            </w:r>
          </w:p>
        </w:tc>
        <w:tc>
          <w:tcPr>
            <w:tcW w:w="1703" w:type="dxa"/>
          </w:tcPr>
          <w:p>
            <w:pPr>
              <w:pStyle w:val="TableParagraph"/>
              <w:spacing w:line="215" w:lineRule="exact"/>
              <w:ind w:right="27"/>
              <w:jc w:val="right"/>
              <w:rPr>
                <w:sz w:val="19"/>
              </w:rPr>
            </w:pPr>
            <w:r>
              <w:rPr>
                <w:w w:val="95"/>
                <w:sz w:val="19"/>
              </w:rPr>
              <w:t>0.0</w:t>
            </w:r>
          </w:p>
        </w:tc>
        <w:tc>
          <w:tcPr>
            <w:tcW w:w="1830" w:type="dxa"/>
          </w:tcPr>
          <w:p>
            <w:pPr/>
          </w:p>
        </w:tc>
        <w:tc>
          <w:tcPr>
            <w:tcW w:w="1830" w:type="dxa"/>
          </w:tcPr>
          <w:p>
            <w:pPr>
              <w:pStyle w:val="TableParagraph"/>
              <w:spacing w:line="215" w:lineRule="exact"/>
              <w:ind w:right="26"/>
              <w:jc w:val="right"/>
              <w:rPr>
                <w:sz w:val="19"/>
              </w:rPr>
            </w:pPr>
            <w:r>
              <w:rPr>
                <w:w w:val="95"/>
                <w:sz w:val="19"/>
              </w:rPr>
              <w:t>0.0</w:t>
            </w:r>
          </w:p>
        </w:tc>
        <w:tc>
          <w:tcPr>
            <w:tcW w:w="1579" w:type="dxa"/>
          </w:tcPr>
          <w:p>
            <w:pPr>
              <w:pStyle w:val="TableParagraph"/>
              <w:spacing w:line="215" w:lineRule="exact"/>
              <w:ind w:right="26"/>
              <w:jc w:val="right"/>
              <w:rPr>
                <w:sz w:val="19"/>
              </w:rPr>
            </w:pPr>
            <w:r>
              <w:rPr>
                <w:w w:val="95"/>
                <w:sz w:val="19"/>
              </w:rPr>
              <w:t>0.0</w:t>
            </w:r>
          </w:p>
        </w:tc>
      </w:tr>
      <w:tr>
        <w:trPr>
          <w:trHeight w:val="238" w:hRule="exact"/>
        </w:trPr>
        <w:tc>
          <w:tcPr>
            <w:tcW w:w="3439" w:type="dxa"/>
            <w:shd w:val="clear" w:color="auto" w:fill="E6B8B7"/>
          </w:tcPr>
          <w:p>
            <w:pPr>
              <w:pStyle w:val="TableParagraph"/>
              <w:spacing w:line="215" w:lineRule="exact"/>
              <w:ind w:left="27" w:right="-12"/>
              <w:rPr>
                <w:sz w:val="19"/>
              </w:rPr>
            </w:pPr>
            <w:r>
              <w:rPr>
                <w:w w:val="95"/>
                <w:sz w:val="19"/>
              </w:rPr>
              <w:t>Desarrollo  Institucional</w:t>
            </w:r>
          </w:p>
        </w:tc>
        <w:tc>
          <w:tcPr>
            <w:tcW w:w="1861" w:type="dxa"/>
            <w:shd w:val="clear" w:color="auto" w:fill="E6B8B7"/>
          </w:tcPr>
          <w:p>
            <w:pPr>
              <w:pStyle w:val="TableParagraph"/>
              <w:spacing w:line="215" w:lineRule="exact"/>
              <w:ind w:right="27"/>
              <w:jc w:val="right"/>
              <w:rPr>
                <w:sz w:val="19"/>
              </w:rPr>
            </w:pPr>
            <w:r>
              <w:rPr>
                <w:w w:val="95"/>
                <w:sz w:val="19"/>
              </w:rPr>
              <w:t>0.0</w:t>
            </w:r>
          </w:p>
        </w:tc>
        <w:tc>
          <w:tcPr>
            <w:tcW w:w="1703" w:type="dxa"/>
            <w:shd w:val="clear" w:color="auto" w:fill="E6B8B7"/>
          </w:tcPr>
          <w:p>
            <w:pPr>
              <w:pStyle w:val="TableParagraph"/>
              <w:spacing w:line="215" w:lineRule="exact"/>
              <w:ind w:right="27"/>
              <w:jc w:val="right"/>
              <w:rPr>
                <w:sz w:val="19"/>
              </w:rPr>
            </w:pPr>
            <w:r>
              <w:rPr>
                <w:w w:val="95"/>
                <w:sz w:val="19"/>
              </w:rPr>
              <w:t>1.1</w:t>
            </w:r>
          </w:p>
        </w:tc>
        <w:tc>
          <w:tcPr>
            <w:tcW w:w="1830" w:type="dxa"/>
            <w:shd w:val="clear" w:color="auto" w:fill="E6B8B7"/>
          </w:tcPr>
          <w:p>
            <w:pPr>
              <w:pStyle w:val="TableParagraph"/>
              <w:spacing w:line="215" w:lineRule="exact"/>
              <w:ind w:right="26"/>
              <w:jc w:val="right"/>
              <w:rPr>
                <w:sz w:val="19"/>
              </w:rPr>
            </w:pPr>
            <w:r>
              <w:rPr>
                <w:w w:val="95"/>
                <w:sz w:val="19"/>
              </w:rPr>
              <w:t>0.8</w:t>
            </w:r>
          </w:p>
        </w:tc>
        <w:tc>
          <w:tcPr>
            <w:tcW w:w="1830" w:type="dxa"/>
            <w:shd w:val="clear" w:color="auto" w:fill="E6B8B7"/>
          </w:tcPr>
          <w:p>
            <w:pPr>
              <w:pStyle w:val="TableParagraph"/>
              <w:spacing w:line="215" w:lineRule="exact"/>
              <w:ind w:right="26"/>
              <w:jc w:val="right"/>
              <w:rPr>
                <w:sz w:val="19"/>
              </w:rPr>
            </w:pPr>
            <w:r>
              <w:rPr>
                <w:w w:val="95"/>
                <w:sz w:val="19"/>
              </w:rPr>
              <w:t>2.1</w:t>
            </w:r>
          </w:p>
        </w:tc>
        <w:tc>
          <w:tcPr>
            <w:tcW w:w="1579" w:type="dxa"/>
            <w:shd w:val="clear" w:color="auto" w:fill="E6B8B7"/>
          </w:tcPr>
          <w:p>
            <w:pPr>
              <w:pStyle w:val="TableParagraph"/>
              <w:spacing w:line="215" w:lineRule="exact"/>
              <w:ind w:right="26"/>
              <w:jc w:val="right"/>
              <w:rPr>
                <w:sz w:val="19"/>
              </w:rPr>
            </w:pPr>
            <w:r>
              <w:rPr>
                <w:w w:val="95"/>
                <w:sz w:val="19"/>
              </w:rPr>
              <w:t>0.0</w:t>
            </w:r>
          </w:p>
        </w:tc>
      </w:tr>
      <w:tr>
        <w:trPr>
          <w:trHeight w:val="238" w:hRule="exact"/>
        </w:trPr>
        <w:tc>
          <w:tcPr>
            <w:tcW w:w="3439" w:type="dxa"/>
          </w:tcPr>
          <w:p>
            <w:pPr>
              <w:pStyle w:val="TableParagraph"/>
              <w:spacing w:line="216" w:lineRule="exact"/>
              <w:ind w:left="27" w:right="-12"/>
              <w:rPr>
                <w:sz w:val="19"/>
              </w:rPr>
            </w:pPr>
            <w:r>
              <w:rPr>
                <w:sz w:val="19"/>
              </w:rPr>
              <w:t>Gastos Indirectos</w:t>
            </w:r>
          </w:p>
        </w:tc>
        <w:tc>
          <w:tcPr>
            <w:tcW w:w="1861" w:type="dxa"/>
          </w:tcPr>
          <w:p>
            <w:pPr>
              <w:pStyle w:val="TableParagraph"/>
              <w:spacing w:line="216" w:lineRule="exact"/>
              <w:ind w:right="27"/>
              <w:jc w:val="right"/>
              <w:rPr>
                <w:sz w:val="19"/>
              </w:rPr>
            </w:pPr>
            <w:r>
              <w:rPr>
                <w:w w:val="95"/>
                <w:sz w:val="19"/>
              </w:rPr>
              <w:t>0.0</w:t>
            </w:r>
          </w:p>
        </w:tc>
        <w:tc>
          <w:tcPr>
            <w:tcW w:w="1703" w:type="dxa"/>
          </w:tcPr>
          <w:p>
            <w:pPr>
              <w:pStyle w:val="TableParagraph"/>
              <w:spacing w:line="216" w:lineRule="exact"/>
              <w:ind w:right="27"/>
              <w:jc w:val="right"/>
              <w:rPr>
                <w:sz w:val="19"/>
              </w:rPr>
            </w:pPr>
            <w:r>
              <w:rPr>
                <w:w w:val="95"/>
                <w:sz w:val="19"/>
              </w:rPr>
              <w:t>2.4</w:t>
            </w:r>
          </w:p>
        </w:tc>
        <w:tc>
          <w:tcPr>
            <w:tcW w:w="1830" w:type="dxa"/>
          </w:tcPr>
          <w:p>
            <w:pPr>
              <w:pStyle w:val="TableParagraph"/>
              <w:spacing w:line="216" w:lineRule="exact"/>
              <w:ind w:right="26"/>
              <w:jc w:val="right"/>
              <w:rPr>
                <w:sz w:val="19"/>
              </w:rPr>
            </w:pPr>
            <w:r>
              <w:rPr>
                <w:w w:val="95"/>
                <w:sz w:val="19"/>
              </w:rPr>
              <w:t>2.5</w:t>
            </w:r>
          </w:p>
        </w:tc>
        <w:tc>
          <w:tcPr>
            <w:tcW w:w="1830" w:type="dxa"/>
          </w:tcPr>
          <w:p>
            <w:pPr>
              <w:pStyle w:val="TableParagraph"/>
              <w:spacing w:line="216" w:lineRule="exact"/>
              <w:ind w:right="26"/>
              <w:jc w:val="right"/>
              <w:rPr>
                <w:sz w:val="19"/>
              </w:rPr>
            </w:pPr>
            <w:r>
              <w:rPr>
                <w:w w:val="95"/>
                <w:sz w:val="19"/>
              </w:rPr>
              <w:t>2.4</w:t>
            </w:r>
          </w:p>
        </w:tc>
        <w:tc>
          <w:tcPr>
            <w:tcW w:w="1579" w:type="dxa"/>
          </w:tcPr>
          <w:p>
            <w:pPr>
              <w:pStyle w:val="TableParagraph"/>
              <w:spacing w:line="216" w:lineRule="exact"/>
              <w:ind w:right="26"/>
              <w:jc w:val="right"/>
              <w:rPr>
                <w:sz w:val="19"/>
              </w:rPr>
            </w:pPr>
            <w:r>
              <w:rPr>
                <w:w w:val="95"/>
                <w:sz w:val="19"/>
              </w:rPr>
              <w:t>0.0</w:t>
            </w:r>
          </w:p>
        </w:tc>
      </w:tr>
      <w:tr>
        <w:trPr>
          <w:trHeight w:val="238" w:hRule="exact"/>
        </w:trPr>
        <w:tc>
          <w:tcPr>
            <w:tcW w:w="3439" w:type="dxa"/>
            <w:shd w:val="clear" w:color="auto" w:fill="E6B8B7"/>
          </w:tcPr>
          <w:p>
            <w:pPr>
              <w:pStyle w:val="TableParagraph"/>
              <w:spacing w:line="215" w:lineRule="exact"/>
              <w:ind w:left="27" w:right="-12"/>
              <w:rPr>
                <w:sz w:val="19"/>
              </w:rPr>
            </w:pPr>
            <w:r>
              <w:rPr>
                <w:sz w:val="19"/>
              </w:rPr>
              <w:t>Otros</w:t>
            </w:r>
          </w:p>
        </w:tc>
        <w:tc>
          <w:tcPr>
            <w:tcW w:w="1861" w:type="dxa"/>
            <w:shd w:val="clear" w:color="auto" w:fill="E6B8B7"/>
          </w:tcPr>
          <w:p>
            <w:pPr>
              <w:pStyle w:val="TableParagraph"/>
              <w:spacing w:line="215" w:lineRule="exact"/>
              <w:ind w:right="25"/>
              <w:jc w:val="right"/>
              <w:rPr>
                <w:sz w:val="19"/>
              </w:rPr>
            </w:pPr>
            <w:r>
              <w:rPr>
                <w:w w:val="95"/>
                <w:sz w:val="19"/>
              </w:rPr>
              <w:t>55.30</w:t>
            </w:r>
          </w:p>
        </w:tc>
        <w:tc>
          <w:tcPr>
            <w:tcW w:w="1703" w:type="dxa"/>
            <w:shd w:val="clear" w:color="auto" w:fill="E6B8B7"/>
          </w:tcPr>
          <w:p>
            <w:pPr>
              <w:pStyle w:val="TableParagraph"/>
              <w:spacing w:line="215" w:lineRule="exact"/>
              <w:ind w:right="27"/>
              <w:jc w:val="right"/>
              <w:rPr>
                <w:sz w:val="19"/>
              </w:rPr>
            </w:pPr>
            <w:r>
              <w:rPr>
                <w:w w:val="95"/>
                <w:sz w:val="19"/>
              </w:rPr>
              <w:t>0.0</w:t>
            </w:r>
          </w:p>
        </w:tc>
        <w:tc>
          <w:tcPr>
            <w:tcW w:w="1830" w:type="dxa"/>
            <w:shd w:val="clear" w:color="auto" w:fill="E6B8B7"/>
          </w:tcPr>
          <w:p>
            <w:pPr>
              <w:pStyle w:val="TableParagraph"/>
              <w:spacing w:line="215" w:lineRule="exact"/>
              <w:ind w:right="26"/>
              <w:jc w:val="right"/>
              <w:rPr>
                <w:sz w:val="19"/>
              </w:rPr>
            </w:pPr>
            <w:r>
              <w:rPr>
                <w:w w:val="95"/>
                <w:sz w:val="19"/>
              </w:rPr>
              <w:t>0.4</w:t>
            </w:r>
          </w:p>
        </w:tc>
        <w:tc>
          <w:tcPr>
            <w:tcW w:w="1830" w:type="dxa"/>
            <w:shd w:val="clear" w:color="auto" w:fill="E6B8B7"/>
          </w:tcPr>
          <w:p>
            <w:pPr>
              <w:pStyle w:val="TableParagraph"/>
              <w:spacing w:line="215" w:lineRule="exact"/>
              <w:ind w:right="26"/>
              <w:jc w:val="right"/>
              <w:rPr>
                <w:sz w:val="19"/>
              </w:rPr>
            </w:pPr>
            <w:r>
              <w:rPr>
                <w:w w:val="95"/>
                <w:sz w:val="19"/>
              </w:rPr>
              <w:t>0.0</w:t>
            </w:r>
          </w:p>
        </w:tc>
        <w:tc>
          <w:tcPr>
            <w:tcW w:w="1579" w:type="dxa"/>
            <w:shd w:val="clear" w:color="auto" w:fill="E6B8B7"/>
          </w:tcPr>
          <w:p>
            <w:pPr>
              <w:pStyle w:val="TableParagraph"/>
              <w:spacing w:line="215" w:lineRule="exact"/>
              <w:ind w:right="26"/>
              <w:jc w:val="right"/>
              <w:rPr>
                <w:sz w:val="19"/>
              </w:rPr>
            </w:pPr>
            <w:r>
              <w:rPr>
                <w:w w:val="95"/>
                <w:sz w:val="19"/>
              </w:rPr>
              <w:t>0.0</w:t>
            </w:r>
          </w:p>
        </w:tc>
      </w:tr>
      <w:tr>
        <w:trPr>
          <w:trHeight w:val="238" w:hRule="exact"/>
        </w:trPr>
        <w:tc>
          <w:tcPr>
            <w:tcW w:w="3439" w:type="dxa"/>
          </w:tcPr>
          <w:p>
            <w:pPr>
              <w:pStyle w:val="TableParagraph"/>
              <w:spacing w:line="215" w:lineRule="exact"/>
              <w:ind w:left="1991" w:right="-12"/>
              <w:rPr>
                <w:b/>
                <w:sz w:val="19"/>
              </w:rPr>
            </w:pPr>
            <w:r>
              <w:rPr>
                <w:b/>
                <w:sz w:val="19"/>
              </w:rPr>
              <w:t>Porcentaje total</w:t>
            </w:r>
          </w:p>
        </w:tc>
        <w:tc>
          <w:tcPr>
            <w:tcW w:w="1861" w:type="dxa"/>
          </w:tcPr>
          <w:p>
            <w:pPr>
              <w:pStyle w:val="TableParagraph"/>
              <w:spacing w:line="215" w:lineRule="exact"/>
              <w:ind w:right="29"/>
              <w:jc w:val="right"/>
              <w:rPr>
                <w:b/>
                <w:sz w:val="19"/>
              </w:rPr>
            </w:pPr>
            <w:r>
              <w:rPr>
                <w:b/>
                <w:w w:val="95"/>
                <w:sz w:val="19"/>
              </w:rPr>
              <w:t>82.8</w:t>
            </w:r>
          </w:p>
        </w:tc>
        <w:tc>
          <w:tcPr>
            <w:tcW w:w="1703" w:type="dxa"/>
          </w:tcPr>
          <w:p>
            <w:pPr>
              <w:pStyle w:val="TableParagraph"/>
              <w:spacing w:line="215" w:lineRule="exact"/>
              <w:ind w:right="25"/>
              <w:jc w:val="right"/>
              <w:rPr>
                <w:b/>
                <w:sz w:val="19"/>
              </w:rPr>
            </w:pPr>
            <w:r>
              <w:rPr>
                <w:b/>
                <w:w w:val="95"/>
                <w:sz w:val="19"/>
              </w:rPr>
              <w:t>100.0</w:t>
            </w:r>
          </w:p>
        </w:tc>
        <w:tc>
          <w:tcPr>
            <w:tcW w:w="1830" w:type="dxa"/>
          </w:tcPr>
          <w:p>
            <w:pPr>
              <w:pStyle w:val="TableParagraph"/>
              <w:spacing w:line="215" w:lineRule="exact"/>
              <w:ind w:right="25"/>
              <w:jc w:val="right"/>
              <w:rPr>
                <w:b/>
                <w:sz w:val="19"/>
              </w:rPr>
            </w:pPr>
            <w:r>
              <w:rPr>
                <w:b/>
                <w:w w:val="95"/>
                <w:sz w:val="19"/>
              </w:rPr>
              <w:t>100.0</w:t>
            </w:r>
          </w:p>
        </w:tc>
        <w:tc>
          <w:tcPr>
            <w:tcW w:w="1830" w:type="dxa"/>
          </w:tcPr>
          <w:p>
            <w:pPr>
              <w:pStyle w:val="TableParagraph"/>
              <w:spacing w:line="215" w:lineRule="exact"/>
              <w:ind w:right="25"/>
              <w:jc w:val="right"/>
              <w:rPr>
                <w:b/>
                <w:sz w:val="19"/>
              </w:rPr>
            </w:pPr>
            <w:r>
              <w:rPr>
                <w:b/>
                <w:w w:val="95"/>
                <w:sz w:val="19"/>
              </w:rPr>
              <w:t>100.0</w:t>
            </w:r>
          </w:p>
        </w:tc>
        <w:tc>
          <w:tcPr>
            <w:tcW w:w="1579" w:type="dxa"/>
          </w:tcPr>
          <w:p>
            <w:pPr>
              <w:pStyle w:val="TableParagraph"/>
              <w:spacing w:line="215" w:lineRule="exact"/>
              <w:ind w:right="25"/>
              <w:jc w:val="right"/>
              <w:rPr>
                <w:b/>
                <w:sz w:val="19"/>
              </w:rPr>
            </w:pPr>
            <w:r>
              <w:rPr>
                <w:b/>
                <w:w w:val="95"/>
                <w:sz w:val="19"/>
              </w:rPr>
              <w:t>100.0</w:t>
            </w:r>
          </w:p>
        </w:tc>
      </w:tr>
    </w:tbl>
    <w:p>
      <w:pPr>
        <w:spacing w:before="10"/>
        <w:ind w:left="202" w:right="0" w:firstLine="0"/>
        <w:jc w:val="left"/>
        <w:rPr>
          <w:sz w:val="20"/>
        </w:rPr>
      </w:pPr>
      <w:r>
        <w:rPr>
          <w:b/>
          <w:sz w:val="20"/>
        </w:rPr>
        <w:t>Fuente</w:t>
      </w:r>
      <w:r>
        <w:rPr>
          <w:sz w:val="20"/>
        </w:rPr>
        <w:t>: Elaboración propia con base en el Informe de Resultados de la Fiscalización Superior de las cuentas públicas 2008-2014.</w:t>
      </w:r>
    </w:p>
    <w:p>
      <w:pPr>
        <w:spacing w:after="0"/>
        <w:jc w:val="left"/>
        <w:rPr>
          <w:sz w:val="20"/>
        </w:rPr>
        <w:sectPr>
          <w:footerReference w:type="default" r:id="rId64"/>
          <w:pgSz w:w="15840" w:h="12240" w:orient="landscape"/>
          <w:pgMar w:footer="992" w:header="0" w:top="1140" w:bottom="1180" w:left="1720" w:right="1640"/>
          <w:pgNumType w:start="221"/>
        </w:sectPr>
      </w:pPr>
    </w:p>
    <w:p>
      <w:pPr>
        <w:pStyle w:val="BodyText"/>
        <w:rPr>
          <w:sz w:val="20"/>
        </w:rPr>
      </w:pPr>
    </w:p>
    <w:p>
      <w:pPr>
        <w:pStyle w:val="BodyText"/>
        <w:rPr>
          <w:sz w:val="20"/>
        </w:rPr>
      </w:pPr>
    </w:p>
    <w:p>
      <w:pPr>
        <w:pStyle w:val="BodyText"/>
        <w:spacing w:before="9"/>
        <w:rPr>
          <w:sz w:val="29"/>
        </w:rPr>
      </w:pPr>
    </w:p>
    <w:p>
      <w:pPr>
        <w:pStyle w:val="BodyText"/>
        <w:spacing w:before="69"/>
        <w:ind w:left="2962" w:right="1340"/>
      </w:pPr>
      <w:r>
        <w:rPr/>
        <w:t>Anexo 21.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spacing w:line="268" w:lineRule="auto" w:before="1" w:after="17"/>
        <w:ind w:left="1949" w:right="1340" w:hanging="684"/>
        <w:jc w:val="left"/>
        <w:rPr>
          <w:b/>
          <w:sz w:val="21"/>
        </w:rPr>
      </w:pPr>
      <w:r>
        <w:rPr>
          <w:b/>
          <w:sz w:val="21"/>
        </w:rPr>
        <w:t>Destino del Fondo de Aportaciones para el Fortalecimiento de los Municipios y de las Demarcaciones Territoriales del Distrito Federal (FORTAMUNDF) 2010  %</w:t>
      </w:r>
    </w:p>
    <w:p>
      <w:pPr>
        <w:pStyle w:val="BodyText"/>
        <w:spacing w:line="20" w:lineRule="exact"/>
        <w:ind w:left="534"/>
        <w:rPr>
          <w:sz w:val="2"/>
        </w:rPr>
      </w:pPr>
      <w:r>
        <w:rPr>
          <w:sz w:val="2"/>
        </w:rPr>
        <w:pict>
          <v:group style="width:507.2pt;height:.85pt;mso-position-horizontal-relative:char;mso-position-vertical-relative:line" coordorigin="0,0" coordsize="10144,17">
            <v:shape style="position:absolute;left:9;top:9;width:10127;height:2" coordorigin="9,9" coordsize="10127,0" path="m9,9l9,9,10135,9e" filled="false" stroked="true" strokeweight=".816728pt" strokecolor="#000000">
              <v:path arrowok="t"/>
            </v:shape>
          </v:group>
        </w:pict>
      </w:r>
      <w:r>
        <w:rPr>
          <w:sz w:val="2"/>
        </w:rPr>
      </w:r>
    </w:p>
    <w:p>
      <w:pPr>
        <w:pStyle w:val="BodyText"/>
        <w:rPr>
          <w:b/>
          <w:sz w:val="20"/>
        </w:rPr>
      </w:pPr>
    </w:p>
    <w:p>
      <w:pPr>
        <w:pStyle w:val="BodyText"/>
        <w:rPr>
          <w:b/>
          <w:sz w:val="20"/>
        </w:rPr>
      </w:pPr>
    </w:p>
    <w:p>
      <w:pPr>
        <w:pStyle w:val="BodyText"/>
        <w:spacing w:before="1"/>
        <w:rPr>
          <w:b/>
          <w:sz w:val="11"/>
        </w:rPr>
      </w:pPr>
    </w:p>
    <w:tbl>
      <w:tblPr>
        <w:tblW w:w="0" w:type="auto"/>
        <w:jc w:val="left"/>
        <w:tblInd w:w="535"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3921"/>
        <w:gridCol w:w="3084"/>
        <w:gridCol w:w="3117"/>
      </w:tblGrid>
      <w:tr>
        <w:trPr>
          <w:trHeight w:val="269" w:hRule="exact"/>
        </w:trPr>
        <w:tc>
          <w:tcPr>
            <w:tcW w:w="3921" w:type="dxa"/>
          </w:tcPr>
          <w:p>
            <w:pPr/>
          </w:p>
        </w:tc>
        <w:tc>
          <w:tcPr>
            <w:tcW w:w="3084" w:type="dxa"/>
          </w:tcPr>
          <w:p>
            <w:pPr>
              <w:pStyle w:val="TableParagraph"/>
              <w:spacing w:before="1"/>
              <w:ind w:left="30"/>
              <w:rPr>
                <w:sz w:val="21"/>
              </w:rPr>
            </w:pPr>
            <w:r>
              <w:rPr>
                <w:sz w:val="21"/>
              </w:rPr>
              <w:t>Ecatepec de Morelos</w:t>
            </w:r>
          </w:p>
        </w:tc>
        <w:tc>
          <w:tcPr>
            <w:tcW w:w="3117" w:type="dxa"/>
          </w:tcPr>
          <w:p>
            <w:pPr>
              <w:pStyle w:val="TableParagraph"/>
              <w:spacing w:before="1"/>
              <w:ind w:left="30"/>
              <w:rPr>
                <w:sz w:val="21"/>
              </w:rPr>
            </w:pPr>
            <w:r>
              <w:rPr>
                <w:sz w:val="21"/>
              </w:rPr>
              <w:t>Naucalpan de Juárez</w:t>
            </w:r>
          </w:p>
        </w:tc>
      </w:tr>
      <w:tr>
        <w:trPr>
          <w:trHeight w:val="270" w:hRule="exact"/>
        </w:trPr>
        <w:tc>
          <w:tcPr>
            <w:tcW w:w="3921" w:type="dxa"/>
            <w:shd w:val="clear" w:color="auto" w:fill="E6B8B7"/>
          </w:tcPr>
          <w:p>
            <w:pPr>
              <w:pStyle w:val="TableParagraph"/>
              <w:spacing w:before="1"/>
              <w:ind w:left="30" w:right="123"/>
              <w:rPr>
                <w:sz w:val="21"/>
              </w:rPr>
            </w:pPr>
            <w:r>
              <w:rPr>
                <w:sz w:val="21"/>
              </w:rPr>
              <w:t>Pago de obligaciones financieras</w:t>
            </w:r>
          </w:p>
        </w:tc>
        <w:tc>
          <w:tcPr>
            <w:tcW w:w="3084" w:type="dxa"/>
            <w:shd w:val="clear" w:color="auto" w:fill="E6B8B7"/>
          </w:tcPr>
          <w:p>
            <w:pPr>
              <w:pStyle w:val="TableParagraph"/>
              <w:spacing w:before="1"/>
              <w:ind w:right="33"/>
              <w:jc w:val="right"/>
              <w:rPr>
                <w:sz w:val="21"/>
              </w:rPr>
            </w:pPr>
            <w:r>
              <w:rPr>
                <w:sz w:val="21"/>
              </w:rPr>
              <w:t>50.8</w:t>
            </w:r>
          </w:p>
        </w:tc>
        <w:tc>
          <w:tcPr>
            <w:tcW w:w="3117" w:type="dxa"/>
            <w:shd w:val="clear" w:color="auto" w:fill="E6B8B7"/>
          </w:tcPr>
          <w:p>
            <w:pPr>
              <w:pStyle w:val="TableParagraph"/>
              <w:spacing w:before="1"/>
              <w:ind w:right="31"/>
              <w:jc w:val="right"/>
              <w:rPr>
                <w:sz w:val="21"/>
              </w:rPr>
            </w:pPr>
            <w:r>
              <w:rPr>
                <w:sz w:val="21"/>
              </w:rPr>
              <w:t>0.0</w:t>
            </w:r>
          </w:p>
        </w:tc>
      </w:tr>
      <w:tr>
        <w:trPr>
          <w:trHeight w:val="539" w:hRule="exact"/>
        </w:trPr>
        <w:tc>
          <w:tcPr>
            <w:tcW w:w="3921" w:type="dxa"/>
          </w:tcPr>
          <w:p>
            <w:pPr>
              <w:pStyle w:val="TableParagraph"/>
              <w:spacing w:line="268" w:lineRule="auto"/>
              <w:ind w:left="31" w:right="123" w:hanging="1"/>
              <w:rPr>
                <w:sz w:val="21"/>
              </w:rPr>
            </w:pPr>
            <w:r>
              <w:rPr>
                <w:sz w:val="21"/>
              </w:rPr>
              <w:t>Recursos aplicados en seguridad pública</w:t>
            </w:r>
          </w:p>
        </w:tc>
        <w:tc>
          <w:tcPr>
            <w:tcW w:w="3084" w:type="dxa"/>
          </w:tcPr>
          <w:p>
            <w:pPr>
              <w:pStyle w:val="TableParagraph"/>
              <w:spacing w:before="5"/>
              <w:rPr>
                <w:b/>
                <w:sz w:val="23"/>
              </w:rPr>
            </w:pPr>
          </w:p>
          <w:p>
            <w:pPr>
              <w:pStyle w:val="TableParagraph"/>
              <w:ind w:right="33"/>
              <w:jc w:val="right"/>
              <w:rPr>
                <w:sz w:val="21"/>
              </w:rPr>
            </w:pPr>
            <w:r>
              <w:rPr>
                <w:sz w:val="21"/>
              </w:rPr>
              <w:t>22.2</w:t>
            </w:r>
          </w:p>
        </w:tc>
        <w:tc>
          <w:tcPr>
            <w:tcW w:w="3117" w:type="dxa"/>
          </w:tcPr>
          <w:p>
            <w:pPr>
              <w:pStyle w:val="TableParagraph"/>
              <w:spacing w:before="5"/>
              <w:rPr>
                <w:b/>
                <w:sz w:val="23"/>
              </w:rPr>
            </w:pPr>
          </w:p>
          <w:p>
            <w:pPr>
              <w:pStyle w:val="TableParagraph"/>
              <w:ind w:right="31"/>
              <w:jc w:val="right"/>
              <w:rPr>
                <w:sz w:val="21"/>
              </w:rPr>
            </w:pPr>
            <w:r>
              <w:rPr>
                <w:sz w:val="21"/>
              </w:rPr>
              <w:t>0.0</w:t>
            </w:r>
          </w:p>
        </w:tc>
      </w:tr>
      <w:tr>
        <w:trPr>
          <w:trHeight w:val="269" w:hRule="exact"/>
        </w:trPr>
        <w:tc>
          <w:tcPr>
            <w:tcW w:w="3921" w:type="dxa"/>
            <w:shd w:val="clear" w:color="auto" w:fill="E6B8B7"/>
          </w:tcPr>
          <w:p>
            <w:pPr>
              <w:pStyle w:val="TableParagraph"/>
              <w:spacing w:before="1"/>
              <w:ind w:left="30" w:right="123"/>
              <w:rPr>
                <w:sz w:val="21"/>
              </w:rPr>
            </w:pPr>
            <w:r>
              <w:rPr>
                <w:sz w:val="21"/>
              </w:rPr>
              <w:t>Recursos aplicados en obra</w:t>
            </w:r>
            <w:r>
              <w:rPr>
                <w:spacing w:val="50"/>
                <w:sz w:val="21"/>
              </w:rPr>
              <w:t> </w:t>
            </w:r>
            <w:r>
              <w:rPr>
                <w:sz w:val="21"/>
              </w:rPr>
              <w:t>pública</w:t>
            </w:r>
          </w:p>
        </w:tc>
        <w:tc>
          <w:tcPr>
            <w:tcW w:w="3084" w:type="dxa"/>
            <w:shd w:val="clear" w:color="auto" w:fill="E6B8B7"/>
          </w:tcPr>
          <w:p>
            <w:pPr>
              <w:pStyle w:val="TableParagraph"/>
              <w:spacing w:before="1"/>
              <w:ind w:right="31"/>
              <w:jc w:val="right"/>
              <w:rPr>
                <w:sz w:val="21"/>
              </w:rPr>
            </w:pPr>
            <w:r>
              <w:rPr>
                <w:sz w:val="21"/>
              </w:rPr>
              <w:t>0.0</w:t>
            </w:r>
          </w:p>
        </w:tc>
        <w:tc>
          <w:tcPr>
            <w:tcW w:w="3117" w:type="dxa"/>
            <w:shd w:val="clear" w:color="auto" w:fill="E6B8B7"/>
          </w:tcPr>
          <w:p>
            <w:pPr>
              <w:pStyle w:val="TableParagraph"/>
              <w:spacing w:before="1"/>
              <w:ind w:right="31"/>
              <w:jc w:val="right"/>
              <w:rPr>
                <w:sz w:val="21"/>
              </w:rPr>
            </w:pPr>
            <w:r>
              <w:rPr>
                <w:sz w:val="21"/>
              </w:rPr>
              <w:t>0.0</w:t>
            </w:r>
          </w:p>
        </w:tc>
      </w:tr>
      <w:tr>
        <w:trPr>
          <w:trHeight w:val="270" w:hRule="exact"/>
        </w:trPr>
        <w:tc>
          <w:tcPr>
            <w:tcW w:w="3921" w:type="dxa"/>
          </w:tcPr>
          <w:p>
            <w:pPr>
              <w:pStyle w:val="TableParagraph"/>
              <w:spacing w:before="1"/>
              <w:ind w:left="30" w:right="123"/>
              <w:rPr>
                <w:sz w:val="21"/>
              </w:rPr>
            </w:pPr>
            <w:r>
              <w:rPr>
                <w:sz w:val="21"/>
              </w:rPr>
              <w:t>Otros rubros de gasto.</w:t>
            </w:r>
          </w:p>
        </w:tc>
        <w:tc>
          <w:tcPr>
            <w:tcW w:w="3084" w:type="dxa"/>
          </w:tcPr>
          <w:p>
            <w:pPr>
              <w:pStyle w:val="TableParagraph"/>
              <w:spacing w:before="1"/>
              <w:ind w:right="33"/>
              <w:jc w:val="right"/>
              <w:rPr>
                <w:sz w:val="21"/>
              </w:rPr>
            </w:pPr>
            <w:r>
              <w:rPr>
                <w:sz w:val="21"/>
              </w:rPr>
              <w:t>27.0</w:t>
            </w:r>
          </w:p>
        </w:tc>
        <w:tc>
          <w:tcPr>
            <w:tcW w:w="3117" w:type="dxa"/>
          </w:tcPr>
          <w:p>
            <w:pPr>
              <w:pStyle w:val="TableParagraph"/>
              <w:spacing w:before="1"/>
              <w:ind w:right="31"/>
              <w:jc w:val="right"/>
              <w:rPr>
                <w:sz w:val="21"/>
              </w:rPr>
            </w:pPr>
            <w:r>
              <w:rPr>
                <w:sz w:val="21"/>
              </w:rPr>
              <w:t>0.0</w:t>
            </w:r>
          </w:p>
        </w:tc>
      </w:tr>
      <w:tr>
        <w:trPr>
          <w:trHeight w:val="269" w:hRule="exact"/>
        </w:trPr>
        <w:tc>
          <w:tcPr>
            <w:tcW w:w="3921" w:type="dxa"/>
          </w:tcPr>
          <w:p>
            <w:pPr>
              <w:pStyle w:val="TableParagraph"/>
              <w:ind w:left="2271"/>
              <w:rPr>
                <w:b/>
                <w:sz w:val="21"/>
              </w:rPr>
            </w:pPr>
            <w:r>
              <w:rPr>
                <w:b/>
                <w:sz w:val="21"/>
              </w:rPr>
              <w:t>Porcentaje total</w:t>
            </w:r>
          </w:p>
        </w:tc>
        <w:tc>
          <w:tcPr>
            <w:tcW w:w="3084" w:type="dxa"/>
          </w:tcPr>
          <w:p>
            <w:pPr>
              <w:pStyle w:val="TableParagraph"/>
              <w:ind w:right="30"/>
              <w:jc w:val="right"/>
              <w:rPr>
                <w:b/>
                <w:sz w:val="21"/>
              </w:rPr>
            </w:pPr>
            <w:r>
              <w:rPr>
                <w:b/>
                <w:sz w:val="21"/>
              </w:rPr>
              <w:t>100.0</w:t>
            </w:r>
          </w:p>
        </w:tc>
        <w:tc>
          <w:tcPr>
            <w:tcW w:w="3117" w:type="dxa"/>
          </w:tcPr>
          <w:p>
            <w:pPr>
              <w:pStyle w:val="TableParagraph"/>
              <w:ind w:right="31"/>
              <w:jc w:val="right"/>
              <w:rPr>
                <w:b/>
                <w:sz w:val="21"/>
              </w:rPr>
            </w:pPr>
            <w:r>
              <w:rPr>
                <w:b/>
                <w:sz w:val="21"/>
              </w:rPr>
              <w:t>0.0</w:t>
            </w:r>
          </w:p>
        </w:tc>
      </w:tr>
    </w:tbl>
    <w:p>
      <w:pPr>
        <w:spacing w:line="242" w:lineRule="auto" w:before="30"/>
        <w:ind w:left="562" w:right="338" w:firstLine="0"/>
        <w:jc w:val="left"/>
        <w:rPr>
          <w:sz w:val="20"/>
        </w:rPr>
      </w:pPr>
      <w:r>
        <w:rPr>
          <w:b/>
          <w:sz w:val="20"/>
        </w:rPr>
        <w:t>Fuente</w:t>
      </w:r>
      <w:r>
        <w:rPr>
          <w:sz w:val="20"/>
        </w:rPr>
        <w:t>: Elaboración propia con base en el Informe de Resultados de la Fiscalización Superior de las cuentas públicas 2008-2014.</w:t>
      </w:r>
    </w:p>
    <w:p>
      <w:pPr>
        <w:spacing w:after="0" w:line="242" w:lineRule="auto"/>
        <w:jc w:val="left"/>
        <w:rPr>
          <w:sz w:val="20"/>
        </w:rPr>
        <w:sectPr>
          <w:pgSz w:w="15840" w:h="12240" w:orient="landscape"/>
          <w:pgMar w:header="0" w:footer="992" w:top="1140" w:bottom="1180" w:left="2260" w:right="2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2"/>
        <w:ind w:left="3883"/>
      </w:pPr>
      <w:r>
        <w:rPr/>
        <w:t>Anexo 22.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before="84" w:after="10"/>
        <w:ind w:left="3782" w:right="0" w:firstLine="0"/>
        <w:jc w:val="left"/>
        <w:rPr>
          <w:b/>
          <w:sz w:val="17"/>
        </w:rPr>
      </w:pPr>
      <w:r>
        <w:rPr>
          <w:b/>
          <w:w w:val="90"/>
          <w:sz w:val="17"/>
        </w:rPr>
        <w:t>Destino del Fondo para la Infraestructura Municipal Social (FISM) 2010 %</w:t>
      </w:r>
    </w:p>
    <w:p>
      <w:pPr>
        <w:pStyle w:val="BodyText"/>
        <w:spacing w:line="20" w:lineRule="exact"/>
        <w:ind w:left="112"/>
        <w:rPr>
          <w:sz w:val="2"/>
        </w:rPr>
      </w:pPr>
      <w:r>
        <w:rPr>
          <w:sz w:val="2"/>
        </w:rPr>
        <w:pict>
          <v:group style="width:626.6pt;height:.65pt;mso-position-horizontal-relative:char;mso-position-vertical-relative:line" coordorigin="0,0" coordsize="12532,13">
            <v:shape style="position:absolute;left:6;top:6;width:12519;height:2" coordorigin="6,6" coordsize="12519,0" path="m6,6l6,6,12525,7e" filled="false" stroked="true" strokeweight=".64361pt" strokecolor="#000000">
              <v:path arrowok="t"/>
            </v:shape>
          </v:group>
        </w:pict>
      </w:r>
      <w:r>
        <w:rPr>
          <w:sz w:val="2"/>
        </w:rPr>
      </w:r>
    </w:p>
    <w:p>
      <w:pPr>
        <w:pStyle w:val="BodyText"/>
        <w:spacing w:before="6"/>
        <w:rPr>
          <w:b/>
          <w:sz w:val="17"/>
        </w:rPr>
      </w:pPr>
    </w:p>
    <w:tbl>
      <w:tblPr>
        <w:tblW w:w="0" w:type="auto"/>
        <w:jc w:val="left"/>
        <w:tblInd w:w="113"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755"/>
        <w:gridCol w:w="1489"/>
        <w:gridCol w:w="1501"/>
        <w:gridCol w:w="1465"/>
        <w:gridCol w:w="1363"/>
        <w:gridCol w:w="1465"/>
        <w:gridCol w:w="1301"/>
        <w:gridCol w:w="1177"/>
      </w:tblGrid>
      <w:tr>
        <w:trPr>
          <w:trHeight w:val="445" w:hRule="exact"/>
        </w:trPr>
        <w:tc>
          <w:tcPr>
            <w:tcW w:w="2755" w:type="dxa"/>
            <w:tcBorders>
              <w:left w:val="single" w:sz="4" w:space="0" w:color="000000"/>
              <w:right w:val="single" w:sz="4" w:space="0" w:color="000000"/>
            </w:tcBorders>
          </w:tcPr>
          <w:p>
            <w:pPr/>
          </w:p>
        </w:tc>
        <w:tc>
          <w:tcPr>
            <w:tcW w:w="1489" w:type="dxa"/>
            <w:tcBorders>
              <w:left w:val="single" w:sz="4" w:space="0" w:color="000000"/>
              <w:right w:val="single" w:sz="4" w:space="0" w:color="000000"/>
            </w:tcBorders>
          </w:tcPr>
          <w:p>
            <w:pPr>
              <w:pStyle w:val="TableParagraph"/>
              <w:spacing w:before="9"/>
              <w:rPr>
                <w:b/>
                <w:sz w:val="19"/>
              </w:rPr>
            </w:pPr>
          </w:p>
          <w:p>
            <w:pPr>
              <w:pStyle w:val="TableParagraph"/>
              <w:ind w:right="72"/>
              <w:jc w:val="right"/>
              <w:rPr>
                <w:sz w:val="17"/>
              </w:rPr>
            </w:pPr>
            <w:r>
              <w:rPr>
                <w:w w:val="90"/>
                <w:sz w:val="17"/>
              </w:rPr>
              <w:t>Almoloya de Juárez</w:t>
            </w:r>
          </w:p>
        </w:tc>
        <w:tc>
          <w:tcPr>
            <w:tcW w:w="1501" w:type="dxa"/>
            <w:tcBorders>
              <w:left w:val="single" w:sz="4" w:space="0" w:color="000000"/>
              <w:right w:val="single" w:sz="4" w:space="0" w:color="000000"/>
            </w:tcBorders>
          </w:tcPr>
          <w:p>
            <w:pPr>
              <w:pStyle w:val="TableParagraph"/>
              <w:spacing w:line="273" w:lineRule="auto" w:before="5"/>
              <w:ind w:left="433" w:hanging="81"/>
              <w:rPr>
                <w:sz w:val="17"/>
              </w:rPr>
            </w:pPr>
            <w:r>
              <w:rPr>
                <w:w w:val="90"/>
                <w:sz w:val="17"/>
              </w:rPr>
              <w:t>Atizapán de </w:t>
            </w:r>
            <w:r>
              <w:rPr>
                <w:w w:val="95"/>
                <w:sz w:val="17"/>
              </w:rPr>
              <w:t>Zaragoza</w:t>
            </w:r>
          </w:p>
        </w:tc>
        <w:tc>
          <w:tcPr>
            <w:tcW w:w="1465" w:type="dxa"/>
            <w:tcBorders>
              <w:left w:val="single" w:sz="4" w:space="0" w:color="000000"/>
              <w:right w:val="single" w:sz="4" w:space="0" w:color="000000"/>
            </w:tcBorders>
          </w:tcPr>
          <w:p>
            <w:pPr>
              <w:pStyle w:val="TableParagraph"/>
              <w:spacing w:before="9"/>
              <w:rPr>
                <w:b/>
                <w:sz w:val="19"/>
              </w:rPr>
            </w:pPr>
          </w:p>
          <w:p>
            <w:pPr>
              <w:pStyle w:val="TableParagraph"/>
              <w:ind w:right="13"/>
              <w:jc w:val="right"/>
              <w:rPr>
                <w:sz w:val="17"/>
              </w:rPr>
            </w:pPr>
            <w:r>
              <w:rPr>
                <w:w w:val="90"/>
                <w:sz w:val="17"/>
              </w:rPr>
              <w:t>Ecatepec de Morelos</w:t>
            </w:r>
          </w:p>
        </w:tc>
        <w:tc>
          <w:tcPr>
            <w:tcW w:w="1363" w:type="dxa"/>
            <w:tcBorders>
              <w:left w:val="single" w:sz="4" w:space="0" w:color="000000"/>
              <w:right w:val="single" w:sz="4" w:space="0" w:color="000000"/>
            </w:tcBorders>
          </w:tcPr>
          <w:p>
            <w:pPr>
              <w:pStyle w:val="TableParagraph"/>
              <w:spacing w:before="9"/>
              <w:rPr>
                <w:b/>
                <w:sz w:val="19"/>
              </w:rPr>
            </w:pPr>
          </w:p>
          <w:p>
            <w:pPr>
              <w:pStyle w:val="TableParagraph"/>
              <w:ind w:left="373"/>
              <w:rPr>
                <w:sz w:val="17"/>
              </w:rPr>
            </w:pPr>
            <w:r>
              <w:rPr>
                <w:sz w:val="17"/>
              </w:rPr>
              <w:t>Jiquipilco</w:t>
            </w:r>
          </w:p>
        </w:tc>
        <w:tc>
          <w:tcPr>
            <w:tcW w:w="1465" w:type="dxa"/>
            <w:tcBorders>
              <w:left w:val="single" w:sz="4" w:space="0" w:color="000000"/>
              <w:right w:val="single" w:sz="4" w:space="0" w:color="000000"/>
            </w:tcBorders>
          </w:tcPr>
          <w:p>
            <w:pPr>
              <w:pStyle w:val="TableParagraph"/>
              <w:spacing w:before="9"/>
              <w:rPr>
                <w:b/>
                <w:sz w:val="19"/>
              </w:rPr>
            </w:pPr>
          </w:p>
          <w:p>
            <w:pPr>
              <w:pStyle w:val="TableParagraph"/>
              <w:ind w:right="11"/>
              <w:jc w:val="right"/>
              <w:rPr>
                <w:sz w:val="17"/>
              </w:rPr>
            </w:pPr>
            <w:r>
              <w:rPr>
                <w:w w:val="90"/>
                <w:sz w:val="17"/>
              </w:rPr>
              <w:t>Naucalpan</w:t>
            </w:r>
            <w:r>
              <w:rPr>
                <w:spacing w:val="-18"/>
                <w:w w:val="90"/>
                <w:sz w:val="17"/>
              </w:rPr>
              <w:t> </w:t>
            </w:r>
            <w:r>
              <w:rPr>
                <w:w w:val="90"/>
                <w:sz w:val="17"/>
              </w:rPr>
              <w:t>de</w:t>
            </w:r>
            <w:r>
              <w:rPr>
                <w:spacing w:val="-18"/>
                <w:w w:val="90"/>
                <w:sz w:val="17"/>
              </w:rPr>
              <w:t> </w:t>
            </w:r>
            <w:r>
              <w:rPr>
                <w:w w:val="90"/>
                <w:sz w:val="17"/>
              </w:rPr>
              <w:t>Juárez</w:t>
            </w:r>
          </w:p>
        </w:tc>
        <w:tc>
          <w:tcPr>
            <w:tcW w:w="1301" w:type="dxa"/>
            <w:tcBorders>
              <w:left w:val="single" w:sz="4" w:space="0" w:color="000000"/>
              <w:right w:val="single" w:sz="4" w:space="0" w:color="000000"/>
            </w:tcBorders>
          </w:tcPr>
          <w:p>
            <w:pPr>
              <w:pStyle w:val="TableParagraph"/>
              <w:spacing w:before="9"/>
              <w:rPr>
                <w:b/>
                <w:sz w:val="19"/>
              </w:rPr>
            </w:pPr>
          </w:p>
          <w:p>
            <w:pPr>
              <w:pStyle w:val="TableParagraph"/>
              <w:ind w:left="136"/>
              <w:rPr>
                <w:sz w:val="17"/>
              </w:rPr>
            </w:pPr>
            <w:r>
              <w:rPr>
                <w:w w:val="95"/>
                <w:sz w:val="17"/>
              </w:rPr>
              <w:t>Nezahualcóyotl</w:t>
            </w:r>
          </w:p>
        </w:tc>
        <w:tc>
          <w:tcPr>
            <w:tcW w:w="1177" w:type="dxa"/>
            <w:tcBorders>
              <w:left w:val="single" w:sz="4" w:space="0" w:color="000000"/>
              <w:right w:val="single" w:sz="4" w:space="0" w:color="000000"/>
            </w:tcBorders>
          </w:tcPr>
          <w:p>
            <w:pPr>
              <w:pStyle w:val="TableParagraph"/>
              <w:spacing w:before="9"/>
              <w:rPr>
                <w:b/>
                <w:sz w:val="19"/>
              </w:rPr>
            </w:pPr>
          </w:p>
          <w:p>
            <w:pPr>
              <w:pStyle w:val="TableParagraph"/>
              <w:ind w:left="370"/>
              <w:rPr>
                <w:sz w:val="17"/>
              </w:rPr>
            </w:pPr>
            <w:r>
              <w:rPr>
                <w:sz w:val="17"/>
              </w:rPr>
              <w:t>Toluca</w:t>
            </w:r>
          </w:p>
        </w:tc>
      </w:tr>
      <w:tr>
        <w:trPr>
          <w:trHeight w:val="223" w:hRule="exact"/>
        </w:trPr>
        <w:tc>
          <w:tcPr>
            <w:tcW w:w="2755" w:type="dxa"/>
            <w:tcBorders>
              <w:left w:val="single" w:sz="4" w:space="0" w:color="000000"/>
              <w:right w:val="single" w:sz="4" w:space="0" w:color="000000"/>
            </w:tcBorders>
            <w:shd w:val="clear" w:color="auto" w:fill="E6B8B7"/>
          </w:tcPr>
          <w:p>
            <w:pPr>
              <w:pStyle w:val="TableParagraph"/>
              <w:spacing w:before="4"/>
              <w:ind w:left="22"/>
              <w:rPr>
                <w:sz w:val="17"/>
              </w:rPr>
            </w:pPr>
            <w:r>
              <w:rPr>
                <w:w w:val="90"/>
                <w:sz w:val="17"/>
              </w:rPr>
              <w:t>Agua Potable</w:t>
            </w:r>
          </w:p>
        </w:tc>
        <w:tc>
          <w:tcPr>
            <w:tcW w:w="1489" w:type="dxa"/>
            <w:tcBorders>
              <w:left w:val="single" w:sz="4" w:space="0" w:color="000000"/>
              <w:right w:val="single" w:sz="4" w:space="0" w:color="000000"/>
            </w:tcBorders>
            <w:shd w:val="clear" w:color="auto" w:fill="E6B8B7"/>
          </w:tcPr>
          <w:p>
            <w:pPr>
              <w:pStyle w:val="TableParagraph"/>
              <w:spacing w:before="4"/>
              <w:ind w:right="23"/>
              <w:jc w:val="right"/>
              <w:rPr>
                <w:sz w:val="17"/>
              </w:rPr>
            </w:pPr>
            <w:r>
              <w:rPr>
                <w:w w:val="85"/>
                <w:sz w:val="17"/>
              </w:rPr>
              <w:t>10.5</w:t>
            </w:r>
          </w:p>
        </w:tc>
        <w:tc>
          <w:tcPr>
            <w:tcW w:w="1501"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0.0</w:t>
            </w:r>
          </w:p>
        </w:tc>
        <w:tc>
          <w:tcPr>
            <w:tcW w:w="1465"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22.5</w:t>
            </w:r>
          </w:p>
        </w:tc>
        <w:tc>
          <w:tcPr>
            <w:tcW w:w="1363"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2.3</w:t>
            </w:r>
          </w:p>
        </w:tc>
        <w:tc>
          <w:tcPr>
            <w:tcW w:w="1465"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301"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22.0</w:t>
            </w:r>
          </w:p>
        </w:tc>
        <w:tc>
          <w:tcPr>
            <w:tcW w:w="1177"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r>
      <w:tr>
        <w:trPr>
          <w:trHeight w:val="222" w:hRule="exact"/>
        </w:trPr>
        <w:tc>
          <w:tcPr>
            <w:tcW w:w="2755" w:type="dxa"/>
            <w:tcBorders>
              <w:left w:val="single" w:sz="4" w:space="0" w:color="000000"/>
              <w:right w:val="single" w:sz="4" w:space="0" w:color="000000"/>
            </w:tcBorders>
          </w:tcPr>
          <w:p>
            <w:pPr>
              <w:pStyle w:val="TableParagraph"/>
              <w:spacing w:before="4"/>
              <w:ind w:left="22"/>
              <w:rPr>
                <w:sz w:val="17"/>
              </w:rPr>
            </w:pPr>
            <w:r>
              <w:rPr>
                <w:sz w:val="17"/>
              </w:rPr>
              <w:t>Alcantarillado</w:t>
            </w:r>
          </w:p>
        </w:tc>
        <w:tc>
          <w:tcPr>
            <w:tcW w:w="1489" w:type="dxa"/>
            <w:tcBorders>
              <w:left w:val="single" w:sz="4" w:space="0" w:color="000000"/>
              <w:right w:val="single" w:sz="4" w:space="0" w:color="000000"/>
            </w:tcBorders>
          </w:tcPr>
          <w:p>
            <w:pPr>
              <w:pStyle w:val="TableParagraph"/>
              <w:spacing w:before="4"/>
              <w:ind w:right="23"/>
              <w:jc w:val="right"/>
              <w:rPr>
                <w:sz w:val="17"/>
              </w:rPr>
            </w:pPr>
            <w:r>
              <w:rPr>
                <w:w w:val="85"/>
                <w:sz w:val="17"/>
              </w:rPr>
              <w:t>15.2</w:t>
            </w:r>
          </w:p>
        </w:tc>
        <w:tc>
          <w:tcPr>
            <w:tcW w:w="1501" w:type="dxa"/>
            <w:tcBorders>
              <w:left w:val="single" w:sz="4" w:space="0" w:color="000000"/>
              <w:right w:val="single" w:sz="4" w:space="0" w:color="000000"/>
            </w:tcBorders>
          </w:tcPr>
          <w:p>
            <w:pPr>
              <w:pStyle w:val="TableParagraph"/>
              <w:spacing w:before="4"/>
              <w:ind w:right="22"/>
              <w:jc w:val="right"/>
              <w:rPr>
                <w:sz w:val="17"/>
              </w:rPr>
            </w:pPr>
            <w:r>
              <w:rPr>
                <w:w w:val="85"/>
                <w:sz w:val="17"/>
              </w:rPr>
              <w:t>0.0</w:t>
            </w:r>
          </w:p>
        </w:tc>
        <w:tc>
          <w:tcPr>
            <w:tcW w:w="1465" w:type="dxa"/>
            <w:vMerge w:val="restart"/>
            <w:tcBorders>
              <w:left w:val="single" w:sz="4" w:space="0" w:color="000000"/>
              <w:right w:val="single" w:sz="4" w:space="0" w:color="000000"/>
            </w:tcBorders>
          </w:tcPr>
          <w:p>
            <w:pPr>
              <w:pStyle w:val="TableParagraph"/>
              <w:spacing w:before="7"/>
              <w:rPr>
                <w:b/>
                <w:sz w:val="19"/>
              </w:rPr>
            </w:pPr>
          </w:p>
          <w:p>
            <w:pPr>
              <w:pStyle w:val="TableParagraph"/>
              <w:spacing w:before="1"/>
              <w:ind w:right="21"/>
              <w:jc w:val="right"/>
              <w:rPr>
                <w:sz w:val="17"/>
              </w:rPr>
            </w:pPr>
            <w:r>
              <w:rPr>
                <w:w w:val="85"/>
                <w:sz w:val="17"/>
              </w:rPr>
              <w:t>3.2</w:t>
            </w:r>
          </w:p>
        </w:tc>
        <w:tc>
          <w:tcPr>
            <w:tcW w:w="1363"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465"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301"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177"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r>
      <w:tr>
        <w:trPr>
          <w:trHeight w:val="222" w:hRule="exact"/>
        </w:trPr>
        <w:tc>
          <w:tcPr>
            <w:tcW w:w="2755" w:type="dxa"/>
            <w:tcBorders>
              <w:left w:val="single" w:sz="4" w:space="0" w:color="000000"/>
              <w:right w:val="single" w:sz="4" w:space="0" w:color="000000"/>
            </w:tcBorders>
            <w:shd w:val="clear" w:color="auto" w:fill="E6B8B7"/>
          </w:tcPr>
          <w:p>
            <w:pPr>
              <w:pStyle w:val="TableParagraph"/>
              <w:spacing w:before="4"/>
              <w:ind w:left="22"/>
              <w:rPr>
                <w:sz w:val="17"/>
              </w:rPr>
            </w:pPr>
            <w:r>
              <w:rPr>
                <w:w w:val="90"/>
                <w:sz w:val="17"/>
              </w:rPr>
              <w:t>Drenaje y letrinas</w:t>
            </w:r>
          </w:p>
        </w:tc>
        <w:tc>
          <w:tcPr>
            <w:tcW w:w="1489"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0.0</w:t>
            </w:r>
          </w:p>
        </w:tc>
        <w:tc>
          <w:tcPr>
            <w:tcW w:w="1501"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0.0</w:t>
            </w:r>
          </w:p>
        </w:tc>
        <w:tc>
          <w:tcPr>
            <w:tcW w:w="1465" w:type="dxa"/>
            <w:vMerge/>
            <w:tcBorders>
              <w:left w:val="single" w:sz="4" w:space="0" w:color="000000"/>
              <w:right w:val="single" w:sz="4" w:space="0" w:color="000000"/>
            </w:tcBorders>
          </w:tcPr>
          <w:p>
            <w:pPr/>
          </w:p>
        </w:tc>
        <w:tc>
          <w:tcPr>
            <w:tcW w:w="1363" w:type="dxa"/>
            <w:tcBorders>
              <w:left w:val="single" w:sz="4" w:space="0" w:color="000000"/>
              <w:right w:val="single" w:sz="4" w:space="0" w:color="000000"/>
            </w:tcBorders>
            <w:shd w:val="clear" w:color="auto" w:fill="E6B8B7"/>
          </w:tcPr>
          <w:p>
            <w:pPr>
              <w:pStyle w:val="TableParagraph"/>
              <w:spacing w:before="4"/>
              <w:ind w:right="23"/>
              <w:jc w:val="right"/>
              <w:rPr>
                <w:sz w:val="17"/>
              </w:rPr>
            </w:pPr>
            <w:r>
              <w:rPr>
                <w:w w:val="85"/>
                <w:sz w:val="17"/>
              </w:rPr>
              <w:t>16.0</w:t>
            </w:r>
          </w:p>
        </w:tc>
        <w:tc>
          <w:tcPr>
            <w:tcW w:w="1465"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301"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8.9</w:t>
            </w:r>
          </w:p>
        </w:tc>
        <w:tc>
          <w:tcPr>
            <w:tcW w:w="1177"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r>
      <w:tr>
        <w:trPr>
          <w:trHeight w:val="223" w:hRule="exact"/>
        </w:trPr>
        <w:tc>
          <w:tcPr>
            <w:tcW w:w="2755" w:type="dxa"/>
            <w:tcBorders>
              <w:left w:val="single" w:sz="4" w:space="0" w:color="000000"/>
              <w:right w:val="single" w:sz="4" w:space="0" w:color="000000"/>
            </w:tcBorders>
          </w:tcPr>
          <w:p>
            <w:pPr>
              <w:pStyle w:val="TableParagraph"/>
              <w:spacing w:before="4"/>
              <w:ind w:left="22"/>
              <w:rPr>
                <w:sz w:val="17"/>
              </w:rPr>
            </w:pPr>
            <w:r>
              <w:rPr>
                <w:w w:val="85"/>
                <w:sz w:val="17"/>
              </w:rPr>
              <w:t>Urbanización  Municipal</w:t>
            </w:r>
          </w:p>
        </w:tc>
        <w:tc>
          <w:tcPr>
            <w:tcW w:w="1489" w:type="dxa"/>
            <w:tcBorders>
              <w:left w:val="single" w:sz="4" w:space="0" w:color="000000"/>
              <w:right w:val="single" w:sz="4" w:space="0" w:color="000000"/>
            </w:tcBorders>
          </w:tcPr>
          <w:p>
            <w:pPr>
              <w:pStyle w:val="TableParagraph"/>
              <w:spacing w:before="4"/>
              <w:ind w:right="23"/>
              <w:jc w:val="right"/>
              <w:rPr>
                <w:sz w:val="17"/>
              </w:rPr>
            </w:pPr>
            <w:r>
              <w:rPr>
                <w:w w:val="85"/>
                <w:sz w:val="17"/>
              </w:rPr>
              <w:t>27.9</w:t>
            </w:r>
          </w:p>
        </w:tc>
        <w:tc>
          <w:tcPr>
            <w:tcW w:w="1501" w:type="dxa"/>
            <w:tcBorders>
              <w:left w:val="single" w:sz="4" w:space="0" w:color="000000"/>
              <w:right w:val="single" w:sz="4" w:space="0" w:color="000000"/>
            </w:tcBorders>
          </w:tcPr>
          <w:p>
            <w:pPr>
              <w:pStyle w:val="TableParagraph"/>
              <w:spacing w:before="4"/>
              <w:ind w:right="22"/>
              <w:jc w:val="right"/>
              <w:rPr>
                <w:sz w:val="17"/>
              </w:rPr>
            </w:pPr>
            <w:r>
              <w:rPr>
                <w:w w:val="85"/>
                <w:sz w:val="17"/>
              </w:rPr>
              <w:t>5.6</w:t>
            </w:r>
          </w:p>
        </w:tc>
        <w:tc>
          <w:tcPr>
            <w:tcW w:w="1465" w:type="dxa"/>
            <w:tcBorders>
              <w:left w:val="single" w:sz="4" w:space="0" w:color="000000"/>
              <w:right w:val="single" w:sz="4" w:space="0" w:color="000000"/>
            </w:tcBorders>
          </w:tcPr>
          <w:p>
            <w:pPr>
              <w:pStyle w:val="TableParagraph"/>
              <w:spacing w:before="4"/>
              <w:ind w:right="22"/>
              <w:jc w:val="right"/>
              <w:rPr>
                <w:sz w:val="17"/>
              </w:rPr>
            </w:pPr>
            <w:r>
              <w:rPr>
                <w:w w:val="85"/>
                <w:sz w:val="17"/>
              </w:rPr>
              <w:t>29.5</w:t>
            </w:r>
          </w:p>
        </w:tc>
        <w:tc>
          <w:tcPr>
            <w:tcW w:w="1363" w:type="dxa"/>
            <w:tcBorders>
              <w:left w:val="single" w:sz="4" w:space="0" w:color="000000"/>
              <w:right w:val="single" w:sz="4" w:space="0" w:color="000000"/>
            </w:tcBorders>
          </w:tcPr>
          <w:p>
            <w:pPr>
              <w:pStyle w:val="TableParagraph"/>
              <w:spacing w:before="4"/>
              <w:ind w:right="23"/>
              <w:jc w:val="right"/>
              <w:rPr>
                <w:sz w:val="17"/>
              </w:rPr>
            </w:pPr>
            <w:r>
              <w:rPr>
                <w:w w:val="85"/>
                <w:sz w:val="17"/>
              </w:rPr>
              <w:t>63.2</w:t>
            </w:r>
          </w:p>
        </w:tc>
        <w:tc>
          <w:tcPr>
            <w:tcW w:w="1465" w:type="dxa"/>
            <w:tcBorders>
              <w:left w:val="single" w:sz="4" w:space="0" w:color="000000"/>
              <w:right w:val="single" w:sz="4" w:space="0" w:color="000000"/>
            </w:tcBorders>
          </w:tcPr>
          <w:p>
            <w:pPr>
              <w:pStyle w:val="TableParagraph"/>
              <w:spacing w:before="4"/>
              <w:ind w:right="22"/>
              <w:jc w:val="right"/>
              <w:rPr>
                <w:sz w:val="17"/>
              </w:rPr>
            </w:pPr>
            <w:r>
              <w:rPr>
                <w:w w:val="85"/>
                <w:sz w:val="17"/>
              </w:rPr>
              <w:t>39.2</w:t>
            </w:r>
          </w:p>
        </w:tc>
        <w:tc>
          <w:tcPr>
            <w:tcW w:w="1301" w:type="dxa"/>
            <w:tcBorders>
              <w:left w:val="single" w:sz="4" w:space="0" w:color="000000"/>
              <w:right w:val="single" w:sz="4" w:space="0" w:color="000000"/>
            </w:tcBorders>
          </w:tcPr>
          <w:p>
            <w:pPr>
              <w:pStyle w:val="TableParagraph"/>
              <w:spacing w:before="4"/>
              <w:ind w:right="22"/>
              <w:jc w:val="right"/>
              <w:rPr>
                <w:sz w:val="17"/>
              </w:rPr>
            </w:pPr>
            <w:r>
              <w:rPr>
                <w:w w:val="85"/>
                <w:sz w:val="17"/>
              </w:rPr>
              <w:t>32.6</w:t>
            </w:r>
          </w:p>
        </w:tc>
        <w:tc>
          <w:tcPr>
            <w:tcW w:w="1177" w:type="dxa"/>
            <w:tcBorders>
              <w:left w:val="single" w:sz="4" w:space="0" w:color="000000"/>
              <w:right w:val="single" w:sz="4" w:space="0" w:color="000000"/>
            </w:tcBorders>
          </w:tcPr>
          <w:p>
            <w:pPr>
              <w:pStyle w:val="TableParagraph"/>
              <w:spacing w:before="4"/>
              <w:ind w:right="22"/>
              <w:jc w:val="right"/>
              <w:rPr>
                <w:sz w:val="17"/>
              </w:rPr>
            </w:pPr>
            <w:r>
              <w:rPr>
                <w:w w:val="85"/>
                <w:sz w:val="17"/>
              </w:rPr>
              <w:t>25.9</w:t>
            </w:r>
          </w:p>
        </w:tc>
      </w:tr>
      <w:tr>
        <w:trPr>
          <w:trHeight w:val="222" w:hRule="exact"/>
        </w:trPr>
        <w:tc>
          <w:tcPr>
            <w:tcW w:w="2755" w:type="dxa"/>
            <w:tcBorders>
              <w:left w:val="single" w:sz="4" w:space="0" w:color="000000"/>
              <w:right w:val="single" w:sz="4" w:space="0" w:color="000000"/>
            </w:tcBorders>
            <w:shd w:val="clear" w:color="auto" w:fill="E6B8B7"/>
          </w:tcPr>
          <w:p>
            <w:pPr>
              <w:pStyle w:val="TableParagraph"/>
              <w:spacing w:before="4"/>
              <w:ind w:left="22"/>
              <w:rPr>
                <w:sz w:val="17"/>
              </w:rPr>
            </w:pPr>
            <w:r>
              <w:rPr>
                <w:w w:val="85"/>
                <w:sz w:val="17"/>
              </w:rPr>
              <w:t>Electrificación rural</w:t>
            </w:r>
          </w:p>
        </w:tc>
        <w:tc>
          <w:tcPr>
            <w:tcW w:w="1489"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9.5</w:t>
            </w:r>
          </w:p>
        </w:tc>
        <w:tc>
          <w:tcPr>
            <w:tcW w:w="1501"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0.0</w:t>
            </w:r>
          </w:p>
        </w:tc>
        <w:tc>
          <w:tcPr>
            <w:tcW w:w="1465"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4.0</w:t>
            </w:r>
          </w:p>
        </w:tc>
        <w:tc>
          <w:tcPr>
            <w:tcW w:w="1363"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0.7</w:t>
            </w:r>
          </w:p>
        </w:tc>
        <w:tc>
          <w:tcPr>
            <w:tcW w:w="1465"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301"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177"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21.4</w:t>
            </w:r>
          </w:p>
        </w:tc>
      </w:tr>
      <w:tr>
        <w:trPr>
          <w:trHeight w:val="222" w:hRule="exact"/>
        </w:trPr>
        <w:tc>
          <w:tcPr>
            <w:tcW w:w="2755" w:type="dxa"/>
            <w:tcBorders>
              <w:left w:val="single" w:sz="4" w:space="0" w:color="000000"/>
              <w:right w:val="single" w:sz="4" w:space="0" w:color="000000"/>
            </w:tcBorders>
          </w:tcPr>
          <w:p>
            <w:pPr>
              <w:pStyle w:val="TableParagraph"/>
              <w:spacing w:before="4"/>
              <w:ind w:left="22"/>
              <w:rPr>
                <w:sz w:val="17"/>
              </w:rPr>
            </w:pPr>
            <w:r>
              <w:rPr>
                <w:w w:val="90"/>
                <w:sz w:val="17"/>
              </w:rPr>
              <w:t>Infraestructura básica de salud</w:t>
            </w:r>
          </w:p>
        </w:tc>
        <w:tc>
          <w:tcPr>
            <w:tcW w:w="1489" w:type="dxa"/>
            <w:tcBorders>
              <w:left w:val="single" w:sz="4" w:space="0" w:color="000000"/>
              <w:right w:val="single" w:sz="4" w:space="0" w:color="000000"/>
            </w:tcBorders>
          </w:tcPr>
          <w:p>
            <w:pPr>
              <w:pStyle w:val="TableParagraph"/>
              <w:spacing w:before="4"/>
              <w:ind w:right="23"/>
              <w:jc w:val="right"/>
              <w:rPr>
                <w:sz w:val="17"/>
              </w:rPr>
            </w:pPr>
            <w:r>
              <w:rPr>
                <w:w w:val="85"/>
                <w:sz w:val="17"/>
              </w:rPr>
              <w:t>14.5</w:t>
            </w:r>
          </w:p>
        </w:tc>
        <w:tc>
          <w:tcPr>
            <w:tcW w:w="1501" w:type="dxa"/>
            <w:tcBorders>
              <w:left w:val="single" w:sz="4" w:space="0" w:color="000000"/>
              <w:right w:val="single" w:sz="4" w:space="0" w:color="000000"/>
            </w:tcBorders>
          </w:tcPr>
          <w:p>
            <w:pPr>
              <w:pStyle w:val="TableParagraph"/>
              <w:spacing w:before="4"/>
              <w:ind w:right="22"/>
              <w:jc w:val="right"/>
              <w:rPr>
                <w:sz w:val="17"/>
              </w:rPr>
            </w:pPr>
            <w:r>
              <w:rPr>
                <w:w w:val="85"/>
                <w:sz w:val="17"/>
              </w:rPr>
              <w:t>7.9</w:t>
            </w:r>
          </w:p>
        </w:tc>
        <w:tc>
          <w:tcPr>
            <w:tcW w:w="1465"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363"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465"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301"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177"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r>
      <w:tr>
        <w:trPr>
          <w:trHeight w:val="223" w:hRule="exact"/>
        </w:trPr>
        <w:tc>
          <w:tcPr>
            <w:tcW w:w="2755" w:type="dxa"/>
            <w:tcBorders>
              <w:left w:val="single" w:sz="4" w:space="0" w:color="000000"/>
              <w:right w:val="single" w:sz="4" w:space="0" w:color="000000"/>
            </w:tcBorders>
            <w:shd w:val="clear" w:color="auto" w:fill="E6B8B7"/>
          </w:tcPr>
          <w:p>
            <w:pPr>
              <w:pStyle w:val="TableParagraph"/>
              <w:spacing w:before="4"/>
              <w:ind w:left="22"/>
              <w:rPr>
                <w:sz w:val="17"/>
              </w:rPr>
            </w:pPr>
            <w:r>
              <w:rPr>
                <w:w w:val="90"/>
                <w:sz w:val="17"/>
              </w:rPr>
              <w:t>Infraestructura básica de educación</w:t>
            </w:r>
          </w:p>
        </w:tc>
        <w:tc>
          <w:tcPr>
            <w:tcW w:w="1489"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4.4</w:t>
            </w:r>
          </w:p>
        </w:tc>
        <w:tc>
          <w:tcPr>
            <w:tcW w:w="1501" w:type="dxa"/>
            <w:tcBorders>
              <w:left w:val="single" w:sz="4" w:space="0" w:color="000000"/>
              <w:right w:val="single" w:sz="4" w:space="0" w:color="000000"/>
            </w:tcBorders>
            <w:shd w:val="clear" w:color="auto" w:fill="E6B8B7"/>
          </w:tcPr>
          <w:p>
            <w:pPr>
              <w:pStyle w:val="TableParagraph"/>
              <w:spacing w:before="4"/>
              <w:ind w:right="23"/>
              <w:jc w:val="right"/>
              <w:rPr>
                <w:sz w:val="17"/>
              </w:rPr>
            </w:pPr>
            <w:r>
              <w:rPr>
                <w:w w:val="85"/>
                <w:sz w:val="17"/>
              </w:rPr>
              <w:t>12.5</w:t>
            </w:r>
          </w:p>
        </w:tc>
        <w:tc>
          <w:tcPr>
            <w:tcW w:w="1465"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363"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5.4</w:t>
            </w:r>
          </w:p>
        </w:tc>
        <w:tc>
          <w:tcPr>
            <w:tcW w:w="1465"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24.0</w:t>
            </w:r>
          </w:p>
        </w:tc>
        <w:tc>
          <w:tcPr>
            <w:tcW w:w="1301"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34.6</w:t>
            </w:r>
          </w:p>
        </w:tc>
        <w:tc>
          <w:tcPr>
            <w:tcW w:w="1177"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14.1</w:t>
            </w:r>
          </w:p>
        </w:tc>
      </w:tr>
      <w:tr>
        <w:trPr>
          <w:trHeight w:val="222" w:hRule="exact"/>
        </w:trPr>
        <w:tc>
          <w:tcPr>
            <w:tcW w:w="2755" w:type="dxa"/>
            <w:tcBorders>
              <w:left w:val="single" w:sz="4" w:space="0" w:color="000000"/>
              <w:right w:val="single" w:sz="4" w:space="0" w:color="000000"/>
            </w:tcBorders>
          </w:tcPr>
          <w:p>
            <w:pPr>
              <w:pStyle w:val="TableParagraph"/>
              <w:spacing w:before="4"/>
              <w:ind w:left="22"/>
              <w:rPr>
                <w:sz w:val="17"/>
              </w:rPr>
            </w:pPr>
            <w:r>
              <w:rPr>
                <w:w w:val="90"/>
                <w:sz w:val="17"/>
              </w:rPr>
              <w:t>Mejoramiento de vivienda</w:t>
            </w:r>
          </w:p>
        </w:tc>
        <w:tc>
          <w:tcPr>
            <w:tcW w:w="1489" w:type="dxa"/>
            <w:tcBorders>
              <w:left w:val="single" w:sz="4" w:space="0" w:color="000000"/>
              <w:right w:val="single" w:sz="4" w:space="0" w:color="000000"/>
            </w:tcBorders>
          </w:tcPr>
          <w:p>
            <w:pPr>
              <w:pStyle w:val="TableParagraph"/>
              <w:spacing w:before="4"/>
              <w:ind w:right="22"/>
              <w:jc w:val="right"/>
              <w:rPr>
                <w:sz w:val="17"/>
              </w:rPr>
            </w:pPr>
            <w:r>
              <w:rPr>
                <w:w w:val="85"/>
                <w:sz w:val="17"/>
              </w:rPr>
              <w:t>5.5</w:t>
            </w:r>
          </w:p>
        </w:tc>
        <w:tc>
          <w:tcPr>
            <w:tcW w:w="1501" w:type="dxa"/>
            <w:tcBorders>
              <w:left w:val="single" w:sz="4" w:space="0" w:color="000000"/>
              <w:right w:val="single" w:sz="4" w:space="0" w:color="000000"/>
            </w:tcBorders>
          </w:tcPr>
          <w:p>
            <w:pPr>
              <w:pStyle w:val="TableParagraph"/>
              <w:spacing w:before="4"/>
              <w:ind w:right="22"/>
              <w:jc w:val="right"/>
              <w:rPr>
                <w:sz w:val="17"/>
              </w:rPr>
            </w:pPr>
            <w:r>
              <w:rPr>
                <w:w w:val="85"/>
                <w:sz w:val="17"/>
              </w:rPr>
              <w:t>0.0</w:t>
            </w:r>
          </w:p>
        </w:tc>
        <w:tc>
          <w:tcPr>
            <w:tcW w:w="1465" w:type="dxa"/>
            <w:tcBorders>
              <w:left w:val="single" w:sz="4" w:space="0" w:color="000000"/>
              <w:right w:val="single" w:sz="4" w:space="0" w:color="000000"/>
            </w:tcBorders>
          </w:tcPr>
          <w:p>
            <w:pPr>
              <w:pStyle w:val="TableParagraph"/>
              <w:spacing w:before="4"/>
              <w:ind w:right="21"/>
              <w:jc w:val="right"/>
              <w:rPr>
                <w:sz w:val="17"/>
              </w:rPr>
            </w:pPr>
            <w:r>
              <w:rPr>
                <w:w w:val="85"/>
                <w:sz w:val="17"/>
              </w:rPr>
              <w:t>7.5</w:t>
            </w:r>
          </w:p>
        </w:tc>
        <w:tc>
          <w:tcPr>
            <w:tcW w:w="1363" w:type="dxa"/>
            <w:tcBorders>
              <w:left w:val="single" w:sz="4" w:space="0" w:color="000000"/>
              <w:right w:val="single" w:sz="4" w:space="0" w:color="000000"/>
            </w:tcBorders>
          </w:tcPr>
          <w:p>
            <w:pPr>
              <w:pStyle w:val="TableParagraph"/>
              <w:spacing w:before="4"/>
              <w:ind w:right="21"/>
              <w:jc w:val="right"/>
              <w:rPr>
                <w:sz w:val="17"/>
              </w:rPr>
            </w:pPr>
            <w:r>
              <w:rPr>
                <w:w w:val="85"/>
                <w:sz w:val="17"/>
              </w:rPr>
              <w:t>1.4</w:t>
            </w:r>
          </w:p>
        </w:tc>
        <w:tc>
          <w:tcPr>
            <w:tcW w:w="1465"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301"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177" w:type="dxa"/>
            <w:tcBorders>
              <w:left w:val="single" w:sz="4" w:space="0" w:color="000000"/>
              <w:right w:val="single" w:sz="4" w:space="0" w:color="000000"/>
            </w:tcBorders>
          </w:tcPr>
          <w:p>
            <w:pPr>
              <w:pStyle w:val="TableParagraph"/>
              <w:spacing w:before="4"/>
              <w:ind w:right="21"/>
              <w:jc w:val="right"/>
              <w:rPr>
                <w:sz w:val="17"/>
              </w:rPr>
            </w:pPr>
            <w:r>
              <w:rPr>
                <w:w w:val="85"/>
                <w:sz w:val="17"/>
              </w:rPr>
              <w:t>3.4</w:t>
            </w:r>
          </w:p>
        </w:tc>
      </w:tr>
      <w:tr>
        <w:trPr>
          <w:trHeight w:val="222" w:hRule="exact"/>
        </w:trPr>
        <w:tc>
          <w:tcPr>
            <w:tcW w:w="2755" w:type="dxa"/>
            <w:tcBorders>
              <w:left w:val="single" w:sz="4" w:space="0" w:color="000000"/>
              <w:right w:val="single" w:sz="4" w:space="0" w:color="000000"/>
            </w:tcBorders>
            <w:shd w:val="clear" w:color="auto" w:fill="E6B8B7"/>
          </w:tcPr>
          <w:p>
            <w:pPr>
              <w:pStyle w:val="TableParagraph"/>
              <w:spacing w:before="4"/>
              <w:ind w:left="22"/>
              <w:rPr>
                <w:sz w:val="17"/>
              </w:rPr>
            </w:pPr>
            <w:r>
              <w:rPr>
                <w:w w:val="90"/>
                <w:sz w:val="17"/>
              </w:rPr>
              <w:t>Caminos rurales</w:t>
            </w:r>
          </w:p>
        </w:tc>
        <w:tc>
          <w:tcPr>
            <w:tcW w:w="1489"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0.0</w:t>
            </w:r>
          </w:p>
        </w:tc>
        <w:tc>
          <w:tcPr>
            <w:tcW w:w="1501"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0.0</w:t>
            </w:r>
          </w:p>
        </w:tc>
        <w:tc>
          <w:tcPr>
            <w:tcW w:w="1465"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363"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6.2</w:t>
            </w:r>
          </w:p>
        </w:tc>
        <w:tc>
          <w:tcPr>
            <w:tcW w:w="1465"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301"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177"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r>
      <w:tr>
        <w:trPr>
          <w:trHeight w:val="223" w:hRule="exact"/>
        </w:trPr>
        <w:tc>
          <w:tcPr>
            <w:tcW w:w="2755" w:type="dxa"/>
            <w:tcBorders>
              <w:left w:val="single" w:sz="4" w:space="0" w:color="000000"/>
              <w:right w:val="single" w:sz="4" w:space="0" w:color="000000"/>
            </w:tcBorders>
          </w:tcPr>
          <w:p>
            <w:pPr>
              <w:pStyle w:val="TableParagraph"/>
              <w:spacing w:before="4"/>
              <w:ind w:left="22"/>
              <w:rPr>
                <w:sz w:val="17"/>
              </w:rPr>
            </w:pPr>
            <w:r>
              <w:rPr>
                <w:w w:val="90"/>
                <w:sz w:val="17"/>
              </w:rPr>
              <w:t>Infraestructura productiva rural</w:t>
            </w:r>
          </w:p>
        </w:tc>
        <w:tc>
          <w:tcPr>
            <w:tcW w:w="1489" w:type="dxa"/>
            <w:tcBorders>
              <w:left w:val="single" w:sz="4" w:space="0" w:color="000000"/>
              <w:right w:val="single" w:sz="4" w:space="0" w:color="000000"/>
            </w:tcBorders>
          </w:tcPr>
          <w:p>
            <w:pPr>
              <w:pStyle w:val="TableParagraph"/>
              <w:spacing w:before="4"/>
              <w:ind w:right="22"/>
              <w:jc w:val="right"/>
              <w:rPr>
                <w:sz w:val="17"/>
              </w:rPr>
            </w:pPr>
            <w:r>
              <w:rPr>
                <w:w w:val="85"/>
                <w:sz w:val="17"/>
              </w:rPr>
              <w:t>6.2</w:t>
            </w:r>
          </w:p>
        </w:tc>
        <w:tc>
          <w:tcPr>
            <w:tcW w:w="1501" w:type="dxa"/>
            <w:tcBorders>
              <w:left w:val="single" w:sz="4" w:space="0" w:color="000000"/>
              <w:right w:val="single" w:sz="4" w:space="0" w:color="000000"/>
            </w:tcBorders>
          </w:tcPr>
          <w:p>
            <w:pPr>
              <w:pStyle w:val="TableParagraph"/>
              <w:spacing w:before="4"/>
              <w:ind w:right="22"/>
              <w:jc w:val="right"/>
              <w:rPr>
                <w:sz w:val="17"/>
              </w:rPr>
            </w:pPr>
            <w:r>
              <w:rPr>
                <w:w w:val="85"/>
                <w:sz w:val="17"/>
              </w:rPr>
              <w:t>0.0</w:t>
            </w:r>
          </w:p>
        </w:tc>
        <w:tc>
          <w:tcPr>
            <w:tcW w:w="1465"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363"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465"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301"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177"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r>
      <w:tr>
        <w:trPr>
          <w:trHeight w:val="222" w:hRule="exact"/>
        </w:trPr>
        <w:tc>
          <w:tcPr>
            <w:tcW w:w="2755" w:type="dxa"/>
            <w:tcBorders>
              <w:left w:val="single" w:sz="4" w:space="0" w:color="000000"/>
              <w:right w:val="single" w:sz="4" w:space="0" w:color="000000"/>
            </w:tcBorders>
            <w:shd w:val="clear" w:color="auto" w:fill="E6B8B7"/>
          </w:tcPr>
          <w:p>
            <w:pPr>
              <w:pStyle w:val="TableParagraph"/>
              <w:spacing w:before="4"/>
              <w:ind w:left="22"/>
              <w:rPr>
                <w:sz w:val="17"/>
              </w:rPr>
            </w:pPr>
            <w:r>
              <w:rPr>
                <w:w w:val="85"/>
                <w:sz w:val="17"/>
              </w:rPr>
              <w:t>Desarrollo  Institucional</w:t>
            </w:r>
          </w:p>
        </w:tc>
        <w:tc>
          <w:tcPr>
            <w:tcW w:w="1489"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1.8</w:t>
            </w:r>
          </w:p>
        </w:tc>
        <w:tc>
          <w:tcPr>
            <w:tcW w:w="1501" w:type="dxa"/>
            <w:tcBorders>
              <w:left w:val="single" w:sz="4" w:space="0" w:color="000000"/>
              <w:right w:val="single" w:sz="4" w:space="0" w:color="000000"/>
            </w:tcBorders>
            <w:shd w:val="clear" w:color="auto" w:fill="E6B8B7"/>
          </w:tcPr>
          <w:p>
            <w:pPr>
              <w:pStyle w:val="TableParagraph"/>
              <w:spacing w:before="4"/>
              <w:ind w:right="22"/>
              <w:jc w:val="right"/>
              <w:rPr>
                <w:sz w:val="17"/>
              </w:rPr>
            </w:pPr>
            <w:r>
              <w:rPr>
                <w:w w:val="85"/>
                <w:sz w:val="17"/>
              </w:rPr>
              <w:t>0.0</w:t>
            </w:r>
          </w:p>
        </w:tc>
        <w:tc>
          <w:tcPr>
            <w:tcW w:w="1465"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363"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2.1</w:t>
            </w:r>
          </w:p>
        </w:tc>
        <w:tc>
          <w:tcPr>
            <w:tcW w:w="1465"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301"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0.0</w:t>
            </w:r>
          </w:p>
        </w:tc>
        <w:tc>
          <w:tcPr>
            <w:tcW w:w="1177" w:type="dxa"/>
            <w:tcBorders>
              <w:left w:val="single" w:sz="4" w:space="0" w:color="000000"/>
              <w:right w:val="single" w:sz="4" w:space="0" w:color="000000"/>
            </w:tcBorders>
            <w:shd w:val="clear" w:color="auto" w:fill="E6B8B7"/>
          </w:tcPr>
          <w:p>
            <w:pPr>
              <w:pStyle w:val="TableParagraph"/>
              <w:spacing w:before="4"/>
              <w:ind w:right="21"/>
              <w:jc w:val="right"/>
              <w:rPr>
                <w:sz w:val="17"/>
              </w:rPr>
            </w:pPr>
            <w:r>
              <w:rPr>
                <w:w w:val="85"/>
                <w:sz w:val="17"/>
              </w:rPr>
              <w:t>1.9</w:t>
            </w:r>
          </w:p>
        </w:tc>
      </w:tr>
      <w:tr>
        <w:trPr>
          <w:trHeight w:val="222" w:hRule="exact"/>
        </w:trPr>
        <w:tc>
          <w:tcPr>
            <w:tcW w:w="2755" w:type="dxa"/>
            <w:tcBorders>
              <w:left w:val="single" w:sz="4" w:space="0" w:color="000000"/>
              <w:right w:val="single" w:sz="4" w:space="0" w:color="000000"/>
            </w:tcBorders>
          </w:tcPr>
          <w:p>
            <w:pPr>
              <w:pStyle w:val="TableParagraph"/>
              <w:spacing w:before="4"/>
              <w:ind w:left="22"/>
              <w:rPr>
                <w:sz w:val="17"/>
              </w:rPr>
            </w:pPr>
            <w:r>
              <w:rPr>
                <w:w w:val="90"/>
                <w:sz w:val="17"/>
              </w:rPr>
              <w:t>Gastos Indirectos</w:t>
            </w:r>
          </w:p>
        </w:tc>
        <w:tc>
          <w:tcPr>
            <w:tcW w:w="1489" w:type="dxa"/>
            <w:tcBorders>
              <w:left w:val="single" w:sz="4" w:space="0" w:color="000000"/>
              <w:right w:val="single" w:sz="4" w:space="0" w:color="000000"/>
            </w:tcBorders>
          </w:tcPr>
          <w:p>
            <w:pPr>
              <w:pStyle w:val="TableParagraph"/>
              <w:spacing w:before="4"/>
              <w:ind w:right="22"/>
              <w:jc w:val="right"/>
              <w:rPr>
                <w:sz w:val="17"/>
              </w:rPr>
            </w:pPr>
            <w:r>
              <w:rPr>
                <w:w w:val="85"/>
                <w:sz w:val="17"/>
              </w:rPr>
              <w:t>2.1</w:t>
            </w:r>
          </w:p>
        </w:tc>
        <w:tc>
          <w:tcPr>
            <w:tcW w:w="1501" w:type="dxa"/>
            <w:tcBorders>
              <w:left w:val="single" w:sz="4" w:space="0" w:color="000000"/>
              <w:right w:val="single" w:sz="4" w:space="0" w:color="000000"/>
            </w:tcBorders>
          </w:tcPr>
          <w:p>
            <w:pPr>
              <w:pStyle w:val="TableParagraph"/>
              <w:spacing w:before="4"/>
              <w:ind w:right="22"/>
              <w:jc w:val="right"/>
              <w:rPr>
                <w:sz w:val="17"/>
              </w:rPr>
            </w:pPr>
            <w:r>
              <w:rPr>
                <w:w w:val="85"/>
                <w:sz w:val="17"/>
              </w:rPr>
              <w:t>0.0</w:t>
            </w:r>
          </w:p>
        </w:tc>
        <w:tc>
          <w:tcPr>
            <w:tcW w:w="1465"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363" w:type="dxa"/>
            <w:tcBorders>
              <w:left w:val="single" w:sz="4" w:space="0" w:color="000000"/>
              <w:right w:val="single" w:sz="4" w:space="0" w:color="000000"/>
            </w:tcBorders>
          </w:tcPr>
          <w:p>
            <w:pPr>
              <w:pStyle w:val="TableParagraph"/>
              <w:spacing w:before="4"/>
              <w:ind w:right="21"/>
              <w:jc w:val="right"/>
              <w:rPr>
                <w:sz w:val="17"/>
              </w:rPr>
            </w:pPr>
            <w:r>
              <w:rPr>
                <w:w w:val="85"/>
                <w:sz w:val="17"/>
              </w:rPr>
              <w:t>2.7</w:t>
            </w:r>
          </w:p>
        </w:tc>
        <w:tc>
          <w:tcPr>
            <w:tcW w:w="1465" w:type="dxa"/>
            <w:tcBorders>
              <w:left w:val="single" w:sz="4" w:space="0" w:color="000000"/>
              <w:right w:val="single" w:sz="4" w:space="0" w:color="000000"/>
            </w:tcBorders>
          </w:tcPr>
          <w:p>
            <w:pPr>
              <w:pStyle w:val="TableParagraph"/>
              <w:spacing w:before="4"/>
              <w:ind w:right="21"/>
              <w:jc w:val="right"/>
              <w:rPr>
                <w:sz w:val="17"/>
              </w:rPr>
            </w:pPr>
            <w:r>
              <w:rPr>
                <w:w w:val="85"/>
                <w:sz w:val="17"/>
              </w:rPr>
              <w:t>1.5</w:t>
            </w:r>
          </w:p>
        </w:tc>
        <w:tc>
          <w:tcPr>
            <w:tcW w:w="1301"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c>
          <w:tcPr>
            <w:tcW w:w="1177" w:type="dxa"/>
            <w:tcBorders>
              <w:left w:val="single" w:sz="4" w:space="0" w:color="000000"/>
              <w:right w:val="single" w:sz="4" w:space="0" w:color="000000"/>
            </w:tcBorders>
          </w:tcPr>
          <w:p>
            <w:pPr>
              <w:pStyle w:val="TableParagraph"/>
              <w:spacing w:before="4"/>
              <w:ind w:right="21"/>
              <w:jc w:val="right"/>
              <w:rPr>
                <w:sz w:val="17"/>
              </w:rPr>
            </w:pPr>
            <w:r>
              <w:rPr>
                <w:w w:val="85"/>
                <w:sz w:val="17"/>
              </w:rPr>
              <w:t>0.0</w:t>
            </w:r>
          </w:p>
        </w:tc>
      </w:tr>
      <w:tr>
        <w:trPr>
          <w:trHeight w:val="223" w:hRule="exact"/>
        </w:trPr>
        <w:tc>
          <w:tcPr>
            <w:tcW w:w="2755" w:type="dxa"/>
            <w:tcBorders>
              <w:left w:val="single" w:sz="4" w:space="0" w:color="000000"/>
              <w:right w:val="single" w:sz="4" w:space="0" w:color="000000"/>
            </w:tcBorders>
            <w:shd w:val="clear" w:color="auto" w:fill="E6B8B7"/>
          </w:tcPr>
          <w:p>
            <w:pPr>
              <w:pStyle w:val="TableParagraph"/>
              <w:spacing w:before="5"/>
              <w:ind w:left="22"/>
              <w:rPr>
                <w:sz w:val="17"/>
              </w:rPr>
            </w:pPr>
            <w:r>
              <w:rPr>
                <w:sz w:val="17"/>
              </w:rPr>
              <w:t>Otros</w:t>
            </w:r>
          </w:p>
        </w:tc>
        <w:tc>
          <w:tcPr>
            <w:tcW w:w="1489" w:type="dxa"/>
            <w:tcBorders>
              <w:left w:val="single" w:sz="4" w:space="0" w:color="000000"/>
              <w:right w:val="single" w:sz="4" w:space="0" w:color="000000"/>
            </w:tcBorders>
            <w:shd w:val="clear" w:color="auto" w:fill="E6B8B7"/>
          </w:tcPr>
          <w:p>
            <w:pPr>
              <w:pStyle w:val="TableParagraph"/>
              <w:spacing w:before="5"/>
              <w:ind w:right="22"/>
              <w:jc w:val="right"/>
              <w:rPr>
                <w:sz w:val="17"/>
              </w:rPr>
            </w:pPr>
            <w:r>
              <w:rPr>
                <w:w w:val="85"/>
                <w:sz w:val="17"/>
              </w:rPr>
              <w:t>2.4</w:t>
            </w:r>
          </w:p>
        </w:tc>
        <w:tc>
          <w:tcPr>
            <w:tcW w:w="1501" w:type="dxa"/>
            <w:tcBorders>
              <w:left w:val="single" w:sz="4" w:space="0" w:color="000000"/>
              <w:right w:val="single" w:sz="4" w:space="0" w:color="000000"/>
            </w:tcBorders>
            <w:shd w:val="clear" w:color="auto" w:fill="E6B8B7"/>
          </w:tcPr>
          <w:p>
            <w:pPr>
              <w:pStyle w:val="TableParagraph"/>
              <w:spacing w:before="5"/>
              <w:ind w:right="23"/>
              <w:jc w:val="right"/>
              <w:rPr>
                <w:sz w:val="17"/>
              </w:rPr>
            </w:pPr>
            <w:r>
              <w:rPr>
                <w:w w:val="85"/>
                <w:sz w:val="17"/>
              </w:rPr>
              <w:t>74.0</w:t>
            </w:r>
          </w:p>
        </w:tc>
        <w:tc>
          <w:tcPr>
            <w:tcW w:w="1465" w:type="dxa"/>
            <w:tcBorders>
              <w:left w:val="single" w:sz="4" w:space="0" w:color="000000"/>
              <w:right w:val="single" w:sz="4" w:space="0" w:color="000000"/>
            </w:tcBorders>
            <w:shd w:val="clear" w:color="auto" w:fill="E6B8B7"/>
          </w:tcPr>
          <w:p>
            <w:pPr>
              <w:pStyle w:val="TableParagraph"/>
              <w:spacing w:before="5"/>
              <w:ind w:right="22"/>
              <w:jc w:val="right"/>
              <w:rPr>
                <w:sz w:val="17"/>
              </w:rPr>
            </w:pPr>
            <w:r>
              <w:rPr>
                <w:w w:val="85"/>
                <w:sz w:val="17"/>
              </w:rPr>
              <w:t>33.3</w:t>
            </w:r>
          </w:p>
        </w:tc>
        <w:tc>
          <w:tcPr>
            <w:tcW w:w="1363" w:type="dxa"/>
            <w:tcBorders>
              <w:left w:val="single" w:sz="4" w:space="0" w:color="000000"/>
              <w:right w:val="single" w:sz="4" w:space="0" w:color="000000"/>
            </w:tcBorders>
            <w:shd w:val="clear" w:color="auto" w:fill="E6B8B7"/>
          </w:tcPr>
          <w:p>
            <w:pPr>
              <w:pStyle w:val="TableParagraph"/>
              <w:spacing w:before="5"/>
              <w:ind w:right="21"/>
              <w:jc w:val="right"/>
              <w:rPr>
                <w:sz w:val="17"/>
              </w:rPr>
            </w:pPr>
            <w:r>
              <w:rPr>
                <w:w w:val="85"/>
                <w:sz w:val="17"/>
              </w:rPr>
              <w:t>0.0</w:t>
            </w:r>
          </w:p>
        </w:tc>
        <w:tc>
          <w:tcPr>
            <w:tcW w:w="1465" w:type="dxa"/>
            <w:tcBorders>
              <w:left w:val="single" w:sz="4" w:space="0" w:color="000000"/>
              <w:right w:val="single" w:sz="4" w:space="0" w:color="000000"/>
            </w:tcBorders>
            <w:shd w:val="clear" w:color="auto" w:fill="E6B8B7"/>
          </w:tcPr>
          <w:p>
            <w:pPr>
              <w:pStyle w:val="TableParagraph"/>
              <w:spacing w:before="5"/>
              <w:ind w:right="22"/>
              <w:jc w:val="right"/>
              <w:rPr>
                <w:sz w:val="17"/>
              </w:rPr>
            </w:pPr>
            <w:r>
              <w:rPr>
                <w:w w:val="85"/>
                <w:sz w:val="17"/>
              </w:rPr>
              <w:t>35.3</w:t>
            </w:r>
          </w:p>
        </w:tc>
        <w:tc>
          <w:tcPr>
            <w:tcW w:w="1301" w:type="dxa"/>
            <w:tcBorders>
              <w:left w:val="single" w:sz="4" w:space="0" w:color="000000"/>
              <w:right w:val="single" w:sz="4" w:space="0" w:color="000000"/>
            </w:tcBorders>
            <w:shd w:val="clear" w:color="auto" w:fill="E6B8B7"/>
          </w:tcPr>
          <w:p>
            <w:pPr>
              <w:pStyle w:val="TableParagraph"/>
              <w:spacing w:before="5"/>
              <w:ind w:right="21"/>
              <w:jc w:val="right"/>
              <w:rPr>
                <w:sz w:val="17"/>
              </w:rPr>
            </w:pPr>
            <w:r>
              <w:rPr>
                <w:w w:val="85"/>
                <w:sz w:val="17"/>
              </w:rPr>
              <w:t>1.9</w:t>
            </w:r>
          </w:p>
        </w:tc>
        <w:tc>
          <w:tcPr>
            <w:tcW w:w="1177" w:type="dxa"/>
            <w:tcBorders>
              <w:left w:val="single" w:sz="4" w:space="0" w:color="000000"/>
              <w:right w:val="single" w:sz="4" w:space="0" w:color="000000"/>
            </w:tcBorders>
            <w:shd w:val="clear" w:color="auto" w:fill="E6B8B7"/>
          </w:tcPr>
          <w:p>
            <w:pPr>
              <w:pStyle w:val="TableParagraph"/>
              <w:spacing w:before="5"/>
              <w:ind w:right="21"/>
              <w:jc w:val="right"/>
              <w:rPr>
                <w:sz w:val="17"/>
              </w:rPr>
            </w:pPr>
            <w:r>
              <w:rPr>
                <w:w w:val="85"/>
                <w:sz w:val="17"/>
              </w:rPr>
              <w:t>2.4</w:t>
            </w:r>
          </w:p>
        </w:tc>
      </w:tr>
      <w:tr>
        <w:trPr>
          <w:trHeight w:val="222" w:hRule="exact"/>
        </w:trPr>
        <w:tc>
          <w:tcPr>
            <w:tcW w:w="2755" w:type="dxa"/>
            <w:tcBorders>
              <w:left w:val="single" w:sz="4" w:space="0" w:color="000000"/>
              <w:right w:val="single" w:sz="4" w:space="0" w:color="000000"/>
            </w:tcBorders>
          </w:tcPr>
          <w:p>
            <w:pPr>
              <w:pStyle w:val="TableParagraph"/>
              <w:spacing w:before="4"/>
              <w:ind w:left="1596"/>
              <w:rPr>
                <w:b/>
                <w:sz w:val="17"/>
              </w:rPr>
            </w:pPr>
            <w:r>
              <w:rPr>
                <w:b/>
                <w:w w:val="85"/>
                <w:sz w:val="17"/>
              </w:rPr>
              <w:t>Porcentaje total</w:t>
            </w:r>
          </w:p>
        </w:tc>
        <w:tc>
          <w:tcPr>
            <w:tcW w:w="1489" w:type="dxa"/>
            <w:tcBorders>
              <w:left w:val="single" w:sz="4" w:space="0" w:color="000000"/>
              <w:right w:val="single" w:sz="4" w:space="0" w:color="000000"/>
            </w:tcBorders>
          </w:tcPr>
          <w:p>
            <w:pPr>
              <w:pStyle w:val="TableParagraph"/>
              <w:spacing w:before="4"/>
              <w:ind w:right="21"/>
              <w:jc w:val="right"/>
              <w:rPr>
                <w:b/>
                <w:sz w:val="17"/>
              </w:rPr>
            </w:pPr>
            <w:r>
              <w:rPr>
                <w:b/>
                <w:w w:val="85"/>
                <w:sz w:val="17"/>
              </w:rPr>
              <w:t>100.0</w:t>
            </w:r>
          </w:p>
        </w:tc>
        <w:tc>
          <w:tcPr>
            <w:tcW w:w="1501" w:type="dxa"/>
            <w:tcBorders>
              <w:left w:val="single" w:sz="4" w:space="0" w:color="000000"/>
              <w:right w:val="single" w:sz="4" w:space="0" w:color="000000"/>
            </w:tcBorders>
          </w:tcPr>
          <w:p>
            <w:pPr>
              <w:pStyle w:val="TableParagraph"/>
              <w:spacing w:before="4"/>
              <w:ind w:right="21"/>
              <w:jc w:val="right"/>
              <w:rPr>
                <w:b/>
                <w:sz w:val="17"/>
              </w:rPr>
            </w:pPr>
            <w:r>
              <w:rPr>
                <w:b/>
                <w:w w:val="85"/>
                <w:sz w:val="17"/>
              </w:rPr>
              <w:t>100.0</w:t>
            </w:r>
          </w:p>
        </w:tc>
        <w:tc>
          <w:tcPr>
            <w:tcW w:w="1465" w:type="dxa"/>
            <w:tcBorders>
              <w:left w:val="single" w:sz="4" w:space="0" w:color="000000"/>
              <w:right w:val="single" w:sz="4" w:space="0" w:color="000000"/>
            </w:tcBorders>
          </w:tcPr>
          <w:p>
            <w:pPr>
              <w:pStyle w:val="TableParagraph"/>
              <w:spacing w:before="4"/>
              <w:ind w:right="21"/>
              <w:jc w:val="right"/>
              <w:rPr>
                <w:b/>
                <w:sz w:val="17"/>
              </w:rPr>
            </w:pPr>
            <w:r>
              <w:rPr>
                <w:b/>
                <w:w w:val="85"/>
                <w:sz w:val="17"/>
              </w:rPr>
              <w:t>100.0</w:t>
            </w:r>
          </w:p>
        </w:tc>
        <w:tc>
          <w:tcPr>
            <w:tcW w:w="1363" w:type="dxa"/>
            <w:tcBorders>
              <w:left w:val="single" w:sz="4" w:space="0" w:color="000000"/>
              <w:right w:val="single" w:sz="4" w:space="0" w:color="000000"/>
            </w:tcBorders>
          </w:tcPr>
          <w:p>
            <w:pPr>
              <w:pStyle w:val="TableParagraph"/>
              <w:spacing w:before="4"/>
              <w:ind w:right="21"/>
              <w:jc w:val="right"/>
              <w:rPr>
                <w:b/>
                <w:sz w:val="17"/>
              </w:rPr>
            </w:pPr>
            <w:r>
              <w:rPr>
                <w:b/>
                <w:w w:val="85"/>
                <w:sz w:val="17"/>
              </w:rPr>
              <w:t>100.0</w:t>
            </w:r>
          </w:p>
        </w:tc>
        <w:tc>
          <w:tcPr>
            <w:tcW w:w="1465" w:type="dxa"/>
            <w:tcBorders>
              <w:left w:val="single" w:sz="4" w:space="0" w:color="000000"/>
              <w:right w:val="single" w:sz="4" w:space="0" w:color="000000"/>
            </w:tcBorders>
          </w:tcPr>
          <w:p>
            <w:pPr>
              <w:pStyle w:val="TableParagraph"/>
              <w:spacing w:before="4"/>
              <w:ind w:right="21"/>
              <w:jc w:val="right"/>
              <w:rPr>
                <w:b/>
                <w:sz w:val="17"/>
              </w:rPr>
            </w:pPr>
            <w:r>
              <w:rPr>
                <w:b/>
                <w:w w:val="85"/>
                <w:sz w:val="17"/>
              </w:rPr>
              <w:t>100.0</w:t>
            </w:r>
          </w:p>
        </w:tc>
        <w:tc>
          <w:tcPr>
            <w:tcW w:w="1301" w:type="dxa"/>
            <w:tcBorders>
              <w:left w:val="single" w:sz="4" w:space="0" w:color="000000"/>
              <w:right w:val="single" w:sz="4" w:space="0" w:color="000000"/>
            </w:tcBorders>
          </w:tcPr>
          <w:p>
            <w:pPr>
              <w:pStyle w:val="TableParagraph"/>
              <w:spacing w:before="4"/>
              <w:ind w:right="21"/>
              <w:jc w:val="right"/>
              <w:rPr>
                <w:b/>
                <w:sz w:val="17"/>
              </w:rPr>
            </w:pPr>
            <w:r>
              <w:rPr>
                <w:b/>
                <w:w w:val="85"/>
                <w:sz w:val="17"/>
              </w:rPr>
              <w:t>100.0</w:t>
            </w:r>
          </w:p>
        </w:tc>
        <w:tc>
          <w:tcPr>
            <w:tcW w:w="1177" w:type="dxa"/>
            <w:tcBorders>
              <w:left w:val="single" w:sz="4" w:space="0" w:color="000000"/>
              <w:right w:val="single" w:sz="4" w:space="0" w:color="000000"/>
            </w:tcBorders>
          </w:tcPr>
          <w:p>
            <w:pPr>
              <w:pStyle w:val="TableParagraph"/>
              <w:spacing w:before="4"/>
              <w:ind w:right="22"/>
              <w:jc w:val="right"/>
              <w:rPr>
                <w:b/>
                <w:sz w:val="17"/>
              </w:rPr>
            </w:pPr>
            <w:r>
              <w:rPr>
                <w:b/>
                <w:w w:val="85"/>
                <w:sz w:val="17"/>
              </w:rPr>
              <w:t>69.1</w:t>
            </w:r>
          </w:p>
        </w:tc>
      </w:tr>
    </w:tbl>
    <w:p>
      <w:pPr>
        <w:spacing w:before="41"/>
        <w:ind w:left="342" w:right="0" w:firstLine="0"/>
        <w:jc w:val="left"/>
        <w:rPr>
          <w:sz w:val="20"/>
        </w:rPr>
      </w:pPr>
      <w:r>
        <w:rPr>
          <w:b/>
          <w:sz w:val="20"/>
        </w:rPr>
        <w:t>Fuente</w:t>
      </w:r>
      <w:r>
        <w:rPr>
          <w:sz w:val="20"/>
        </w:rPr>
        <w:t>: Elaboración propia con base en el Informe de Resultados de la Fiscalización Superior de las cuentas públicas 2008-2014.</w:t>
      </w:r>
    </w:p>
    <w:p>
      <w:pPr>
        <w:spacing w:after="0"/>
        <w:jc w:val="left"/>
        <w:rPr>
          <w:sz w:val="20"/>
        </w:rPr>
        <w:sectPr>
          <w:pgSz w:w="15840" w:h="12240" w:orient="landscape"/>
          <w:pgMar w:header="0" w:footer="992" w:top="1140" w:bottom="1180" w:left="158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02"/>
        <w:ind w:left="3443" w:right="1340"/>
      </w:pPr>
      <w:r>
        <w:rPr/>
        <w:t>Anexo 23.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spacing w:line="276" w:lineRule="auto" w:before="82" w:after="10"/>
        <w:ind w:left="2962" w:right="852" w:hanging="2159"/>
        <w:jc w:val="left"/>
        <w:rPr>
          <w:b/>
          <w:sz w:val="19"/>
        </w:rPr>
      </w:pPr>
      <w:r>
        <w:rPr>
          <w:b/>
          <w:w w:val="105"/>
          <w:sz w:val="19"/>
        </w:rPr>
        <w:t>Destino del Fondo de Aportaciones para el Fortalecimiento de los Municipios y de las Demarcaciones Territoriales del Distrito Federal (FORTAMUNDF) 2011 %</w:t>
      </w:r>
    </w:p>
    <w:p>
      <w:pPr>
        <w:pStyle w:val="BodyText"/>
        <w:spacing w:line="20" w:lineRule="exact"/>
        <w:ind w:left="712"/>
        <w:rPr>
          <w:sz w:val="2"/>
        </w:rPr>
      </w:pPr>
      <w:r>
        <w:rPr>
          <w:sz w:val="2"/>
        </w:rPr>
        <w:pict>
          <v:group style="width:487.95pt;height:.8pt;mso-position-horizontal-relative:char;mso-position-vertical-relative:line" coordorigin="0,0" coordsize="9759,16">
            <v:shape style="position:absolute;left:8;top:8;width:9743;height:2" coordorigin="8,8" coordsize="9743,0" path="m8,8l8,8,9750,8e" filled="false" stroked="true" strokeweight=".768733pt" strokecolor="#000000">
              <v:path arrowok="t"/>
            </v:shape>
          </v:group>
        </w:pict>
      </w:r>
      <w:r>
        <w:rPr>
          <w:sz w:val="2"/>
        </w:rPr>
      </w:r>
    </w:p>
    <w:p>
      <w:pPr>
        <w:pStyle w:val="BodyText"/>
        <w:rPr>
          <w:b/>
          <w:sz w:val="20"/>
        </w:rPr>
      </w:pPr>
    </w:p>
    <w:p>
      <w:pPr>
        <w:pStyle w:val="BodyText"/>
        <w:spacing w:before="3" w:after="1"/>
        <w:rPr>
          <w:b/>
          <w:sz w:val="27"/>
        </w:rPr>
      </w:pPr>
    </w:p>
    <w:tbl>
      <w:tblPr>
        <w:tblW w:w="0" w:type="auto"/>
        <w:jc w:val="left"/>
        <w:tblInd w:w="7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637"/>
        <w:gridCol w:w="2860"/>
        <w:gridCol w:w="3241"/>
      </w:tblGrid>
      <w:tr>
        <w:trPr>
          <w:trHeight w:val="250" w:hRule="exact"/>
        </w:trPr>
        <w:tc>
          <w:tcPr>
            <w:tcW w:w="3637" w:type="dxa"/>
          </w:tcPr>
          <w:p>
            <w:pPr/>
          </w:p>
        </w:tc>
        <w:tc>
          <w:tcPr>
            <w:tcW w:w="2860" w:type="dxa"/>
          </w:tcPr>
          <w:p>
            <w:pPr>
              <w:pStyle w:val="TableParagraph"/>
              <w:spacing w:before="5"/>
              <w:ind w:left="28"/>
              <w:rPr>
                <w:sz w:val="19"/>
              </w:rPr>
            </w:pPr>
            <w:r>
              <w:rPr>
                <w:w w:val="105"/>
                <w:sz w:val="19"/>
              </w:rPr>
              <w:t>Naucalpan de Juárez</w:t>
            </w:r>
          </w:p>
        </w:tc>
        <w:tc>
          <w:tcPr>
            <w:tcW w:w="3241" w:type="dxa"/>
          </w:tcPr>
          <w:p>
            <w:pPr>
              <w:pStyle w:val="TableParagraph"/>
              <w:spacing w:before="5"/>
              <w:ind w:left="28"/>
              <w:rPr>
                <w:sz w:val="19"/>
              </w:rPr>
            </w:pPr>
            <w:r>
              <w:rPr>
                <w:w w:val="105"/>
                <w:sz w:val="19"/>
              </w:rPr>
              <w:t>Nezahualcóyotl</w:t>
            </w:r>
          </w:p>
        </w:tc>
      </w:tr>
      <w:tr>
        <w:trPr>
          <w:trHeight w:val="250" w:hRule="exact"/>
        </w:trPr>
        <w:tc>
          <w:tcPr>
            <w:tcW w:w="3637" w:type="dxa"/>
            <w:shd w:val="clear" w:color="auto" w:fill="E6B8B7"/>
          </w:tcPr>
          <w:p>
            <w:pPr>
              <w:pStyle w:val="TableParagraph"/>
              <w:spacing w:before="5"/>
              <w:ind w:left="28" w:right="31"/>
              <w:rPr>
                <w:sz w:val="19"/>
              </w:rPr>
            </w:pPr>
            <w:r>
              <w:rPr>
                <w:w w:val="105"/>
                <w:sz w:val="19"/>
              </w:rPr>
              <w:t>Pago de obligaciones financieras</w:t>
            </w:r>
          </w:p>
        </w:tc>
        <w:tc>
          <w:tcPr>
            <w:tcW w:w="2860" w:type="dxa"/>
            <w:shd w:val="clear" w:color="auto" w:fill="E6B8B7"/>
          </w:tcPr>
          <w:p>
            <w:pPr>
              <w:pStyle w:val="TableParagraph"/>
              <w:spacing w:before="5"/>
              <w:ind w:right="31"/>
              <w:jc w:val="right"/>
              <w:rPr>
                <w:sz w:val="19"/>
              </w:rPr>
            </w:pPr>
            <w:r>
              <w:rPr>
                <w:sz w:val="19"/>
              </w:rPr>
              <w:t>68.9</w:t>
            </w:r>
          </w:p>
        </w:tc>
        <w:tc>
          <w:tcPr>
            <w:tcW w:w="3241" w:type="dxa"/>
            <w:shd w:val="clear" w:color="auto" w:fill="E6B8B7"/>
          </w:tcPr>
          <w:p>
            <w:pPr>
              <w:pStyle w:val="TableParagraph"/>
              <w:spacing w:before="5"/>
              <w:ind w:right="31"/>
              <w:jc w:val="right"/>
              <w:rPr>
                <w:sz w:val="19"/>
              </w:rPr>
            </w:pPr>
            <w:r>
              <w:rPr>
                <w:sz w:val="19"/>
              </w:rPr>
              <w:t>34.3</w:t>
            </w:r>
          </w:p>
        </w:tc>
      </w:tr>
      <w:tr>
        <w:trPr>
          <w:trHeight w:val="500" w:hRule="exact"/>
        </w:trPr>
        <w:tc>
          <w:tcPr>
            <w:tcW w:w="3637" w:type="dxa"/>
          </w:tcPr>
          <w:p>
            <w:pPr>
              <w:pStyle w:val="TableParagraph"/>
              <w:spacing w:line="273" w:lineRule="auto" w:before="5"/>
              <w:ind w:left="29" w:right="31" w:hanging="1"/>
              <w:rPr>
                <w:sz w:val="19"/>
              </w:rPr>
            </w:pPr>
            <w:r>
              <w:rPr>
                <w:w w:val="105"/>
                <w:sz w:val="19"/>
              </w:rPr>
              <w:t>Recursos aplicados en seguridad pública</w:t>
            </w:r>
          </w:p>
        </w:tc>
        <w:tc>
          <w:tcPr>
            <w:tcW w:w="2860" w:type="dxa"/>
          </w:tcPr>
          <w:p>
            <w:pPr>
              <w:pStyle w:val="TableParagraph"/>
              <w:spacing w:before="1"/>
              <w:rPr>
                <w:b/>
                <w:sz w:val="22"/>
              </w:rPr>
            </w:pPr>
          </w:p>
          <w:p>
            <w:pPr>
              <w:pStyle w:val="TableParagraph"/>
              <w:spacing w:before="1"/>
              <w:ind w:right="31"/>
              <w:jc w:val="right"/>
              <w:rPr>
                <w:sz w:val="19"/>
              </w:rPr>
            </w:pPr>
            <w:r>
              <w:rPr>
                <w:sz w:val="19"/>
              </w:rPr>
              <w:t>31.1</w:t>
            </w:r>
          </w:p>
        </w:tc>
        <w:tc>
          <w:tcPr>
            <w:tcW w:w="3241" w:type="dxa"/>
          </w:tcPr>
          <w:p>
            <w:pPr>
              <w:pStyle w:val="TableParagraph"/>
              <w:spacing w:before="1"/>
              <w:rPr>
                <w:b/>
                <w:sz w:val="22"/>
              </w:rPr>
            </w:pPr>
          </w:p>
          <w:p>
            <w:pPr>
              <w:pStyle w:val="TableParagraph"/>
              <w:spacing w:before="1"/>
              <w:ind w:right="31"/>
              <w:jc w:val="right"/>
              <w:rPr>
                <w:sz w:val="19"/>
              </w:rPr>
            </w:pPr>
            <w:r>
              <w:rPr>
                <w:sz w:val="19"/>
              </w:rPr>
              <w:t>41.9</w:t>
            </w:r>
          </w:p>
        </w:tc>
      </w:tr>
      <w:tr>
        <w:trPr>
          <w:trHeight w:val="250" w:hRule="exact"/>
        </w:trPr>
        <w:tc>
          <w:tcPr>
            <w:tcW w:w="3637" w:type="dxa"/>
            <w:shd w:val="clear" w:color="auto" w:fill="E6B8B7"/>
          </w:tcPr>
          <w:p>
            <w:pPr>
              <w:pStyle w:val="TableParagraph"/>
              <w:spacing w:before="5"/>
              <w:ind w:left="28" w:right="31"/>
              <w:rPr>
                <w:sz w:val="19"/>
              </w:rPr>
            </w:pPr>
            <w:r>
              <w:rPr>
                <w:w w:val="105"/>
                <w:sz w:val="19"/>
              </w:rPr>
              <w:t>Recursos aplicados en obra pública</w:t>
            </w:r>
          </w:p>
        </w:tc>
        <w:tc>
          <w:tcPr>
            <w:tcW w:w="2860" w:type="dxa"/>
            <w:shd w:val="clear" w:color="auto" w:fill="E6B8B7"/>
          </w:tcPr>
          <w:p>
            <w:pPr>
              <w:pStyle w:val="TableParagraph"/>
              <w:spacing w:before="5"/>
              <w:ind w:right="29"/>
              <w:jc w:val="right"/>
              <w:rPr>
                <w:sz w:val="19"/>
              </w:rPr>
            </w:pPr>
            <w:r>
              <w:rPr>
                <w:sz w:val="19"/>
              </w:rPr>
              <w:t>0.0</w:t>
            </w:r>
          </w:p>
        </w:tc>
        <w:tc>
          <w:tcPr>
            <w:tcW w:w="3241" w:type="dxa"/>
            <w:shd w:val="clear" w:color="auto" w:fill="E6B8B7"/>
          </w:tcPr>
          <w:p>
            <w:pPr>
              <w:pStyle w:val="TableParagraph"/>
              <w:spacing w:before="5"/>
              <w:ind w:right="29"/>
              <w:jc w:val="right"/>
              <w:rPr>
                <w:sz w:val="19"/>
              </w:rPr>
            </w:pPr>
            <w:r>
              <w:rPr>
                <w:sz w:val="19"/>
              </w:rPr>
              <w:t>0.0</w:t>
            </w:r>
          </w:p>
        </w:tc>
      </w:tr>
      <w:tr>
        <w:trPr>
          <w:trHeight w:val="250" w:hRule="exact"/>
        </w:trPr>
        <w:tc>
          <w:tcPr>
            <w:tcW w:w="3637" w:type="dxa"/>
          </w:tcPr>
          <w:p>
            <w:pPr>
              <w:pStyle w:val="TableParagraph"/>
              <w:spacing w:before="5"/>
              <w:ind w:left="28" w:right="31"/>
              <w:rPr>
                <w:sz w:val="19"/>
              </w:rPr>
            </w:pPr>
            <w:r>
              <w:rPr>
                <w:w w:val="105"/>
                <w:sz w:val="19"/>
              </w:rPr>
              <w:t>Otros rubros de gasto.</w:t>
            </w:r>
          </w:p>
        </w:tc>
        <w:tc>
          <w:tcPr>
            <w:tcW w:w="2860" w:type="dxa"/>
          </w:tcPr>
          <w:p>
            <w:pPr>
              <w:pStyle w:val="TableParagraph"/>
              <w:spacing w:before="5"/>
              <w:ind w:right="29"/>
              <w:jc w:val="right"/>
              <w:rPr>
                <w:sz w:val="19"/>
              </w:rPr>
            </w:pPr>
            <w:r>
              <w:rPr>
                <w:sz w:val="19"/>
              </w:rPr>
              <w:t>0.0</w:t>
            </w:r>
          </w:p>
        </w:tc>
        <w:tc>
          <w:tcPr>
            <w:tcW w:w="3241" w:type="dxa"/>
          </w:tcPr>
          <w:p>
            <w:pPr>
              <w:pStyle w:val="TableParagraph"/>
              <w:spacing w:before="5"/>
              <w:ind w:right="31"/>
              <w:jc w:val="right"/>
              <w:rPr>
                <w:sz w:val="19"/>
              </w:rPr>
            </w:pPr>
            <w:r>
              <w:rPr>
                <w:sz w:val="19"/>
              </w:rPr>
              <w:t>23.8</w:t>
            </w:r>
          </w:p>
        </w:tc>
      </w:tr>
      <w:tr>
        <w:trPr>
          <w:trHeight w:val="250" w:hRule="exact"/>
        </w:trPr>
        <w:tc>
          <w:tcPr>
            <w:tcW w:w="3637" w:type="dxa"/>
          </w:tcPr>
          <w:p>
            <w:pPr>
              <w:pStyle w:val="TableParagraph"/>
              <w:spacing w:before="5"/>
              <w:ind w:left="2107" w:right="-2"/>
              <w:rPr>
                <w:b/>
                <w:sz w:val="19"/>
              </w:rPr>
            </w:pPr>
            <w:r>
              <w:rPr>
                <w:b/>
                <w:w w:val="105"/>
                <w:sz w:val="19"/>
              </w:rPr>
              <w:t>Porcentaje total</w:t>
            </w:r>
          </w:p>
        </w:tc>
        <w:tc>
          <w:tcPr>
            <w:tcW w:w="2860" w:type="dxa"/>
          </w:tcPr>
          <w:p>
            <w:pPr>
              <w:pStyle w:val="TableParagraph"/>
              <w:spacing w:before="5"/>
              <w:ind w:right="28"/>
              <w:jc w:val="right"/>
              <w:rPr>
                <w:b/>
                <w:sz w:val="19"/>
              </w:rPr>
            </w:pPr>
            <w:r>
              <w:rPr>
                <w:b/>
                <w:sz w:val="19"/>
              </w:rPr>
              <w:t>100.0</w:t>
            </w:r>
          </w:p>
        </w:tc>
        <w:tc>
          <w:tcPr>
            <w:tcW w:w="3241" w:type="dxa"/>
          </w:tcPr>
          <w:p>
            <w:pPr>
              <w:pStyle w:val="TableParagraph"/>
              <w:spacing w:before="5"/>
              <w:ind w:right="29"/>
              <w:jc w:val="right"/>
              <w:rPr>
                <w:b/>
                <w:sz w:val="19"/>
              </w:rPr>
            </w:pPr>
            <w:r>
              <w:rPr>
                <w:b/>
                <w:sz w:val="19"/>
              </w:rPr>
              <w:t>100.0</w:t>
            </w:r>
          </w:p>
        </w:tc>
      </w:tr>
    </w:tbl>
    <w:p>
      <w:pPr>
        <w:spacing w:line="242" w:lineRule="auto" w:before="4"/>
        <w:ind w:left="742" w:right="338" w:firstLine="0"/>
        <w:jc w:val="left"/>
        <w:rPr>
          <w:sz w:val="20"/>
        </w:rPr>
      </w:pPr>
      <w:r>
        <w:rPr>
          <w:b/>
          <w:sz w:val="20"/>
        </w:rPr>
        <w:t>Fuente</w:t>
      </w:r>
      <w:r>
        <w:rPr>
          <w:sz w:val="20"/>
        </w:rPr>
        <w:t>:</w:t>
      </w:r>
      <w:r>
        <w:rPr>
          <w:spacing w:val="-8"/>
          <w:sz w:val="20"/>
        </w:rPr>
        <w:t> </w:t>
      </w:r>
      <w:r>
        <w:rPr>
          <w:sz w:val="20"/>
        </w:rPr>
        <w:t>Elaboración</w:t>
      </w:r>
      <w:r>
        <w:rPr>
          <w:spacing w:val="-8"/>
          <w:sz w:val="20"/>
        </w:rPr>
        <w:t> </w:t>
      </w:r>
      <w:r>
        <w:rPr>
          <w:sz w:val="20"/>
        </w:rPr>
        <w:t>propia</w:t>
      </w:r>
      <w:r>
        <w:rPr>
          <w:spacing w:val="-6"/>
          <w:sz w:val="20"/>
        </w:rPr>
        <w:t> </w:t>
      </w:r>
      <w:r>
        <w:rPr>
          <w:sz w:val="20"/>
        </w:rPr>
        <w:t>con</w:t>
      </w:r>
      <w:r>
        <w:rPr>
          <w:spacing w:val="-8"/>
          <w:sz w:val="20"/>
        </w:rPr>
        <w:t> </w:t>
      </w:r>
      <w:r>
        <w:rPr>
          <w:sz w:val="20"/>
        </w:rPr>
        <w:t>base</w:t>
      </w:r>
      <w:r>
        <w:rPr>
          <w:spacing w:val="-8"/>
          <w:sz w:val="20"/>
        </w:rPr>
        <w:t> </w:t>
      </w:r>
      <w:r>
        <w:rPr>
          <w:sz w:val="20"/>
        </w:rPr>
        <w:t>en</w:t>
      </w:r>
      <w:r>
        <w:rPr>
          <w:spacing w:val="-8"/>
          <w:sz w:val="20"/>
        </w:rPr>
        <w:t> </w:t>
      </w:r>
      <w:r>
        <w:rPr>
          <w:sz w:val="20"/>
        </w:rPr>
        <w:t>el</w:t>
      </w:r>
      <w:r>
        <w:rPr>
          <w:spacing w:val="-9"/>
          <w:sz w:val="20"/>
        </w:rPr>
        <w:t> </w:t>
      </w:r>
      <w:r>
        <w:rPr>
          <w:sz w:val="20"/>
        </w:rPr>
        <w:t>Informe</w:t>
      </w:r>
      <w:r>
        <w:rPr>
          <w:spacing w:val="-8"/>
          <w:sz w:val="20"/>
        </w:rPr>
        <w:t> </w:t>
      </w:r>
      <w:r>
        <w:rPr>
          <w:sz w:val="20"/>
        </w:rPr>
        <w:t>de</w:t>
      </w:r>
      <w:r>
        <w:rPr>
          <w:spacing w:val="-8"/>
          <w:sz w:val="20"/>
        </w:rPr>
        <w:t> </w:t>
      </w:r>
      <w:r>
        <w:rPr>
          <w:sz w:val="20"/>
        </w:rPr>
        <w:t>Resultados</w:t>
      </w:r>
      <w:r>
        <w:rPr>
          <w:spacing w:val="-7"/>
          <w:sz w:val="20"/>
        </w:rPr>
        <w:t> </w:t>
      </w:r>
      <w:r>
        <w:rPr>
          <w:sz w:val="20"/>
        </w:rPr>
        <w:t>de</w:t>
      </w:r>
      <w:r>
        <w:rPr>
          <w:spacing w:val="-6"/>
          <w:sz w:val="20"/>
        </w:rPr>
        <w:t> </w:t>
      </w:r>
      <w:r>
        <w:rPr>
          <w:sz w:val="20"/>
        </w:rPr>
        <w:t>la</w:t>
      </w:r>
      <w:r>
        <w:rPr>
          <w:spacing w:val="-8"/>
          <w:sz w:val="20"/>
        </w:rPr>
        <w:t> </w:t>
      </w:r>
      <w:r>
        <w:rPr>
          <w:sz w:val="20"/>
        </w:rPr>
        <w:t>Fiscalización</w:t>
      </w:r>
      <w:r>
        <w:rPr>
          <w:spacing w:val="-8"/>
          <w:sz w:val="20"/>
        </w:rPr>
        <w:t> </w:t>
      </w:r>
      <w:r>
        <w:rPr>
          <w:sz w:val="20"/>
        </w:rPr>
        <w:t>Superior</w:t>
      </w:r>
      <w:r>
        <w:rPr>
          <w:spacing w:val="-7"/>
          <w:sz w:val="20"/>
        </w:rPr>
        <w:t> </w:t>
      </w:r>
      <w:r>
        <w:rPr>
          <w:sz w:val="20"/>
        </w:rPr>
        <w:t>de</w:t>
      </w:r>
      <w:r>
        <w:rPr>
          <w:spacing w:val="-8"/>
          <w:sz w:val="20"/>
        </w:rPr>
        <w:t> </w:t>
      </w:r>
      <w:r>
        <w:rPr>
          <w:sz w:val="20"/>
        </w:rPr>
        <w:t>las</w:t>
      </w:r>
      <w:r>
        <w:rPr>
          <w:spacing w:val="-7"/>
          <w:sz w:val="20"/>
        </w:rPr>
        <w:t> </w:t>
      </w:r>
      <w:r>
        <w:rPr>
          <w:sz w:val="20"/>
        </w:rPr>
        <w:t>cuentas públicas</w:t>
      </w:r>
      <w:r>
        <w:rPr>
          <w:spacing w:val="-7"/>
          <w:sz w:val="20"/>
        </w:rPr>
        <w:t> </w:t>
      </w:r>
      <w:r>
        <w:rPr>
          <w:sz w:val="20"/>
        </w:rPr>
        <w:t>2008-2014.</w:t>
      </w:r>
    </w:p>
    <w:p>
      <w:pPr>
        <w:spacing w:after="0" w:line="242" w:lineRule="auto"/>
        <w:jc w:val="left"/>
        <w:rPr>
          <w:sz w:val="20"/>
        </w:rPr>
        <w:sectPr>
          <w:pgSz w:w="15840" w:h="12240" w:orient="landscape"/>
          <w:pgMar w:header="0" w:footer="992" w:top="1140" w:bottom="1180" w:left="2260" w:right="2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2"/>
        <w:ind w:left="4304" w:right="7174"/>
        <w:jc w:val="center"/>
      </w:pPr>
      <w:r>
        <w:rPr/>
        <w:t>Anexo 24.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spacing w:before="79" w:after="7"/>
        <w:ind w:left="3537" w:right="0" w:firstLine="0"/>
        <w:jc w:val="left"/>
        <w:rPr>
          <w:b/>
          <w:sz w:val="16"/>
        </w:rPr>
      </w:pPr>
      <w:r>
        <w:rPr>
          <w:b/>
          <w:sz w:val="16"/>
        </w:rPr>
        <w:t>Destino del Fondo para la Infraestructura Municipal Social (FISM) 2011 %</w:t>
      </w:r>
    </w:p>
    <w:p>
      <w:pPr>
        <w:pStyle w:val="BodyText"/>
        <w:spacing w:line="20" w:lineRule="exact"/>
        <w:ind w:left="110"/>
        <w:rPr>
          <w:sz w:val="2"/>
        </w:rPr>
      </w:pPr>
      <w:r>
        <w:rPr>
          <w:sz w:val="2"/>
        </w:rPr>
        <w:pict>
          <v:group style="width:618.65pt;height:.6pt;mso-position-horizontal-relative:char;mso-position-vertical-relative:line" coordorigin="0,0" coordsize="12373,12">
            <v:shape style="position:absolute;left:6;top:6;width:12361;height:2" coordorigin="6,6" coordsize="12361,0" path="m6,6l6,6,12366,6e" filled="false" stroked="true" strokeweight=".5991pt" strokecolor="#000000">
              <v:path arrowok="t"/>
            </v:shape>
          </v:group>
        </w:pict>
      </w:r>
      <w:r>
        <w:rPr>
          <w:sz w:val="2"/>
        </w:rPr>
      </w:r>
    </w:p>
    <w:p>
      <w:pPr>
        <w:pStyle w:val="BodyText"/>
        <w:spacing w:before="8"/>
        <w:rPr>
          <w:b/>
          <w:sz w:val="15"/>
        </w:rPr>
      </w:pPr>
    </w:p>
    <w:tbl>
      <w:tblPr>
        <w:tblW w:w="0" w:type="auto"/>
        <w:jc w:val="left"/>
        <w:tblInd w:w="11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932"/>
        <w:gridCol w:w="1586"/>
        <w:gridCol w:w="1598"/>
        <w:gridCol w:w="1560"/>
        <w:gridCol w:w="1560"/>
        <w:gridCol w:w="1562"/>
        <w:gridCol w:w="1560"/>
      </w:tblGrid>
      <w:tr>
        <w:trPr>
          <w:trHeight w:val="403" w:hRule="exact"/>
        </w:trPr>
        <w:tc>
          <w:tcPr>
            <w:tcW w:w="2932" w:type="dxa"/>
          </w:tcPr>
          <w:p>
            <w:pPr/>
          </w:p>
        </w:tc>
        <w:tc>
          <w:tcPr>
            <w:tcW w:w="1586" w:type="dxa"/>
          </w:tcPr>
          <w:p>
            <w:pPr>
              <w:pStyle w:val="TableParagraph"/>
              <w:spacing w:line="261" w:lineRule="auto"/>
              <w:ind w:left="446" w:right="321" w:hanging="94"/>
              <w:rPr>
                <w:sz w:val="16"/>
              </w:rPr>
            </w:pPr>
            <w:r>
              <w:rPr>
                <w:sz w:val="16"/>
              </w:rPr>
              <w:t>Almoloya de Alquisiras</w:t>
            </w:r>
          </w:p>
        </w:tc>
        <w:tc>
          <w:tcPr>
            <w:tcW w:w="1598" w:type="dxa"/>
          </w:tcPr>
          <w:p>
            <w:pPr>
              <w:pStyle w:val="TableParagraph"/>
              <w:spacing w:before="4"/>
              <w:rPr>
                <w:b/>
                <w:sz w:val="17"/>
              </w:rPr>
            </w:pPr>
          </w:p>
          <w:p>
            <w:pPr>
              <w:pStyle w:val="TableParagraph"/>
              <w:ind w:left="289"/>
              <w:rPr>
                <w:sz w:val="16"/>
              </w:rPr>
            </w:pPr>
            <w:r>
              <w:rPr>
                <w:sz w:val="16"/>
              </w:rPr>
              <w:t>Chimalhuacán</w:t>
            </w:r>
          </w:p>
        </w:tc>
        <w:tc>
          <w:tcPr>
            <w:tcW w:w="1560" w:type="dxa"/>
          </w:tcPr>
          <w:p>
            <w:pPr>
              <w:pStyle w:val="TableParagraph"/>
              <w:spacing w:before="4"/>
              <w:rPr>
                <w:b/>
                <w:sz w:val="17"/>
              </w:rPr>
            </w:pPr>
          </w:p>
          <w:p>
            <w:pPr>
              <w:pStyle w:val="TableParagraph"/>
              <w:ind w:left="416"/>
              <w:rPr>
                <w:sz w:val="16"/>
              </w:rPr>
            </w:pPr>
            <w:r>
              <w:rPr>
                <w:sz w:val="16"/>
              </w:rPr>
              <w:t>Ixtlahuaca</w:t>
            </w:r>
          </w:p>
        </w:tc>
        <w:tc>
          <w:tcPr>
            <w:tcW w:w="1560" w:type="dxa"/>
          </w:tcPr>
          <w:p>
            <w:pPr>
              <w:pStyle w:val="TableParagraph"/>
              <w:spacing w:before="4"/>
              <w:rPr>
                <w:b/>
                <w:sz w:val="17"/>
              </w:rPr>
            </w:pPr>
          </w:p>
          <w:p>
            <w:pPr>
              <w:pStyle w:val="TableParagraph"/>
              <w:ind w:right="12"/>
              <w:jc w:val="right"/>
              <w:rPr>
                <w:sz w:val="16"/>
              </w:rPr>
            </w:pPr>
            <w:r>
              <w:rPr>
                <w:sz w:val="16"/>
              </w:rPr>
              <w:t>Naucalpan de Juárez</w:t>
            </w:r>
          </w:p>
        </w:tc>
        <w:tc>
          <w:tcPr>
            <w:tcW w:w="1562" w:type="dxa"/>
          </w:tcPr>
          <w:p>
            <w:pPr>
              <w:pStyle w:val="TableParagraph"/>
              <w:spacing w:before="4"/>
              <w:rPr>
                <w:b/>
                <w:sz w:val="17"/>
              </w:rPr>
            </w:pPr>
          </w:p>
          <w:p>
            <w:pPr>
              <w:pStyle w:val="TableParagraph"/>
              <w:ind w:left="468"/>
              <w:rPr>
                <w:sz w:val="16"/>
              </w:rPr>
            </w:pPr>
            <w:r>
              <w:rPr>
                <w:sz w:val="16"/>
              </w:rPr>
              <w:t>Sultepec</w:t>
            </w:r>
          </w:p>
        </w:tc>
        <w:tc>
          <w:tcPr>
            <w:tcW w:w="1560" w:type="dxa"/>
          </w:tcPr>
          <w:p>
            <w:pPr>
              <w:pStyle w:val="TableParagraph"/>
              <w:spacing w:before="4"/>
              <w:rPr>
                <w:b/>
                <w:sz w:val="17"/>
              </w:rPr>
            </w:pPr>
          </w:p>
          <w:p>
            <w:pPr>
              <w:pStyle w:val="TableParagraph"/>
              <w:ind w:left="406"/>
              <w:rPr>
                <w:sz w:val="16"/>
              </w:rPr>
            </w:pPr>
            <w:r>
              <w:rPr>
                <w:sz w:val="16"/>
              </w:rPr>
              <w:t>Zacualpan</w:t>
            </w:r>
          </w:p>
        </w:tc>
      </w:tr>
      <w:tr>
        <w:trPr>
          <w:trHeight w:val="202" w:hRule="exact"/>
        </w:trPr>
        <w:tc>
          <w:tcPr>
            <w:tcW w:w="2932" w:type="dxa"/>
            <w:shd w:val="clear" w:color="auto" w:fill="E6B8B7"/>
          </w:tcPr>
          <w:p>
            <w:pPr>
              <w:pStyle w:val="TableParagraph"/>
              <w:spacing w:line="183" w:lineRule="exact"/>
              <w:ind w:left="22"/>
              <w:rPr>
                <w:sz w:val="16"/>
              </w:rPr>
            </w:pPr>
            <w:r>
              <w:rPr>
                <w:sz w:val="16"/>
              </w:rPr>
              <w:t>Agua Potable</w:t>
            </w:r>
          </w:p>
        </w:tc>
        <w:tc>
          <w:tcPr>
            <w:tcW w:w="1586" w:type="dxa"/>
            <w:shd w:val="clear" w:color="auto" w:fill="E6B8B7"/>
          </w:tcPr>
          <w:p>
            <w:pPr>
              <w:pStyle w:val="TableParagraph"/>
              <w:spacing w:line="183" w:lineRule="exact"/>
              <w:ind w:right="22"/>
              <w:jc w:val="right"/>
              <w:rPr>
                <w:sz w:val="16"/>
              </w:rPr>
            </w:pPr>
            <w:r>
              <w:rPr>
                <w:sz w:val="16"/>
              </w:rPr>
              <w:t>2.1</w:t>
            </w:r>
          </w:p>
        </w:tc>
        <w:tc>
          <w:tcPr>
            <w:tcW w:w="1598" w:type="dxa"/>
            <w:shd w:val="clear" w:color="auto" w:fill="E6B8B7"/>
          </w:tcPr>
          <w:p>
            <w:pPr>
              <w:pStyle w:val="TableParagraph"/>
              <w:spacing w:line="183" w:lineRule="exact"/>
              <w:ind w:right="22"/>
              <w:jc w:val="right"/>
              <w:rPr>
                <w:sz w:val="16"/>
              </w:rPr>
            </w:pPr>
            <w:r>
              <w:rPr>
                <w:sz w:val="16"/>
              </w:rPr>
              <w:t>0.8</w:t>
            </w:r>
          </w:p>
        </w:tc>
        <w:tc>
          <w:tcPr>
            <w:tcW w:w="1560" w:type="dxa"/>
            <w:shd w:val="clear" w:color="auto" w:fill="E6B8B7"/>
          </w:tcPr>
          <w:p>
            <w:pPr>
              <w:pStyle w:val="TableParagraph"/>
              <w:spacing w:line="183" w:lineRule="exact"/>
              <w:ind w:right="22"/>
              <w:jc w:val="right"/>
              <w:rPr>
                <w:sz w:val="16"/>
              </w:rPr>
            </w:pPr>
            <w:r>
              <w:rPr>
                <w:sz w:val="16"/>
              </w:rPr>
              <w:t>0.4</w:t>
            </w:r>
          </w:p>
        </w:tc>
        <w:tc>
          <w:tcPr>
            <w:tcW w:w="1560" w:type="dxa"/>
            <w:shd w:val="clear" w:color="auto" w:fill="E6B8B7"/>
          </w:tcPr>
          <w:p>
            <w:pPr>
              <w:pStyle w:val="TableParagraph"/>
              <w:spacing w:line="183" w:lineRule="exact"/>
              <w:ind w:right="22"/>
              <w:jc w:val="right"/>
              <w:rPr>
                <w:sz w:val="16"/>
              </w:rPr>
            </w:pPr>
            <w:r>
              <w:rPr>
                <w:sz w:val="16"/>
              </w:rPr>
              <w:t>0.0</w:t>
            </w:r>
          </w:p>
        </w:tc>
        <w:tc>
          <w:tcPr>
            <w:tcW w:w="1562" w:type="dxa"/>
            <w:shd w:val="clear" w:color="auto" w:fill="E6B8B7"/>
          </w:tcPr>
          <w:p>
            <w:pPr>
              <w:pStyle w:val="TableParagraph"/>
              <w:spacing w:line="183" w:lineRule="exact"/>
              <w:ind w:right="25"/>
              <w:jc w:val="right"/>
              <w:rPr>
                <w:sz w:val="16"/>
              </w:rPr>
            </w:pPr>
            <w:r>
              <w:rPr>
                <w:sz w:val="16"/>
              </w:rPr>
              <w:t>5.1</w:t>
            </w:r>
          </w:p>
        </w:tc>
        <w:tc>
          <w:tcPr>
            <w:tcW w:w="1560" w:type="dxa"/>
            <w:shd w:val="clear" w:color="auto" w:fill="E6B8B7"/>
          </w:tcPr>
          <w:p>
            <w:pPr>
              <w:pStyle w:val="TableParagraph"/>
              <w:spacing w:line="183" w:lineRule="exact"/>
              <w:ind w:right="23"/>
              <w:jc w:val="right"/>
              <w:rPr>
                <w:sz w:val="16"/>
              </w:rPr>
            </w:pPr>
            <w:r>
              <w:rPr>
                <w:sz w:val="16"/>
              </w:rPr>
              <w:t>0.0</w:t>
            </w:r>
          </w:p>
        </w:tc>
      </w:tr>
      <w:tr>
        <w:trPr>
          <w:trHeight w:val="201" w:hRule="exact"/>
        </w:trPr>
        <w:tc>
          <w:tcPr>
            <w:tcW w:w="2932" w:type="dxa"/>
          </w:tcPr>
          <w:p>
            <w:pPr>
              <w:pStyle w:val="TableParagraph"/>
              <w:spacing w:line="181" w:lineRule="exact"/>
              <w:ind w:left="22"/>
              <w:rPr>
                <w:sz w:val="16"/>
              </w:rPr>
            </w:pPr>
            <w:r>
              <w:rPr>
                <w:sz w:val="16"/>
              </w:rPr>
              <w:t>Alcantarillado</w:t>
            </w:r>
          </w:p>
        </w:tc>
        <w:tc>
          <w:tcPr>
            <w:tcW w:w="1586" w:type="dxa"/>
            <w:vMerge w:val="restart"/>
          </w:tcPr>
          <w:p>
            <w:pPr>
              <w:pStyle w:val="TableParagraph"/>
              <w:spacing w:before="4"/>
              <w:rPr>
                <w:b/>
                <w:sz w:val="17"/>
              </w:rPr>
            </w:pPr>
          </w:p>
          <w:p>
            <w:pPr>
              <w:pStyle w:val="TableParagraph"/>
              <w:ind w:right="22"/>
              <w:jc w:val="right"/>
              <w:rPr>
                <w:sz w:val="16"/>
              </w:rPr>
            </w:pPr>
            <w:r>
              <w:rPr>
                <w:sz w:val="16"/>
              </w:rPr>
              <w:t>5.5</w:t>
            </w:r>
          </w:p>
        </w:tc>
        <w:tc>
          <w:tcPr>
            <w:tcW w:w="1598" w:type="dxa"/>
            <w:vMerge w:val="restart"/>
          </w:tcPr>
          <w:p>
            <w:pPr>
              <w:pStyle w:val="TableParagraph"/>
              <w:spacing w:before="4"/>
              <w:rPr>
                <w:b/>
                <w:sz w:val="17"/>
              </w:rPr>
            </w:pPr>
          </w:p>
          <w:p>
            <w:pPr>
              <w:pStyle w:val="TableParagraph"/>
              <w:ind w:right="25"/>
              <w:jc w:val="right"/>
              <w:rPr>
                <w:sz w:val="16"/>
              </w:rPr>
            </w:pPr>
            <w:r>
              <w:rPr>
                <w:sz w:val="16"/>
              </w:rPr>
              <w:t>10.0</w:t>
            </w:r>
          </w:p>
        </w:tc>
        <w:tc>
          <w:tcPr>
            <w:tcW w:w="1560" w:type="dxa"/>
          </w:tcPr>
          <w:p>
            <w:pPr>
              <w:pStyle w:val="TableParagraph"/>
              <w:spacing w:line="181" w:lineRule="exact"/>
              <w:ind w:right="22"/>
              <w:jc w:val="right"/>
              <w:rPr>
                <w:sz w:val="16"/>
              </w:rPr>
            </w:pPr>
            <w:r>
              <w:rPr>
                <w:sz w:val="16"/>
              </w:rPr>
              <w:t>0.0</w:t>
            </w:r>
          </w:p>
        </w:tc>
        <w:tc>
          <w:tcPr>
            <w:tcW w:w="1560" w:type="dxa"/>
          </w:tcPr>
          <w:p>
            <w:pPr>
              <w:pStyle w:val="TableParagraph"/>
              <w:spacing w:line="181" w:lineRule="exact"/>
              <w:ind w:right="22"/>
              <w:jc w:val="right"/>
              <w:rPr>
                <w:sz w:val="16"/>
              </w:rPr>
            </w:pPr>
            <w:r>
              <w:rPr>
                <w:sz w:val="16"/>
              </w:rPr>
              <w:t>0.0</w:t>
            </w:r>
          </w:p>
        </w:tc>
        <w:tc>
          <w:tcPr>
            <w:tcW w:w="1562" w:type="dxa"/>
            <w:vMerge w:val="restart"/>
          </w:tcPr>
          <w:p>
            <w:pPr>
              <w:pStyle w:val="TableParagraph"/>
              <w:spacing w:before="4"/>
              <w:rPr>
                <w:b/>
                <w:sz w:val="17"/>
              </w:rPr>
            </w:pPr>
          </w:p>
          <w:p>
            <w:pPr>
              <w:pStyle w:val="TableParagraph"/>
              <w:ind w:right="25"/>
              <w:jc w:val="right"/>
              <w:rPr>
                <w:sz w:val="16"/>
              </w:rPr>
            </w:pPr>
            <w:r>
              <w:rPr>
                <w:sz w:val="16"/>
              </w:rPr>
              <w:t>5.5</w:t>
            </w:r>
          </w:p>
        </w:tc>
        <w:tc>
          <w:tcPr>
            <w:tcW w:w="1560" w:type="dxa"/>
            <w:vMerge w:val="restart"/>
          </w:tcPr>
          <w:p>
            <w:pPr>
              <w:pStyle w:val="TableParagraph"/>
              <w:spacing w:before="4"/>
              <w:rPr>
                <w:b/>
                <w:sz w:val="17"/>
              </w:rPr>
            </w:pPr>
          </w:p>
          <w:p>
            <w:pPr>
              <w:pStyle w:val="TableParagraph"/>
              <w:ind w:right="23"/>
              <w:jc w:val="right"/>
              <w:rPr>
                <w:sz w:val="16"/>
              </w:rPr>
            </w:pPr>
            <w:r>
              <w:rPr>
                <w:sz w:val="16"/>
              </w:rPr>
              <w:t>0.9</w:t>
            </w:r>
          </w:p>
        </w:tc>
      </w:tr>
      <w:tr>
        <w:trPr>
          <w:trHeight w:val="202" w:hRule="exact"/>
        </w:trPr>
        <w:tc>
          <w:tcPr>
            <w:tcW w:w="2932" w:type="dxa"/>
            <w:shd w:val="clear" w:color="auto" w:fill="E6B8B7"/>
          </w:tcPr>
          <w:p>
            <w:pPr>
              <w:pStyle w:val="TableParagraph"/>
              <w:spacing w:line="183" w:lineRule="exact"/>
              <w:ind w:left="22"/>
              <w:rPr>
                <w:sz w:val="16"/>
              </w:rPr>
            </w:pPr>
            <w:r>
              <w:rPr>
                <w:sz w:val="16"/>
              </w:rPr>
              <w:t>Drenaje y letrinas</w:t>
            </w:r>
          </w:p>
        </w:tc>
        <w:tc>
          <w:tcPr>
            <w:tcW w:w="1586" w:type="dxa"/>
            <w:vMerge/>
          </w:tcPr>
          <w:p>
            <w:pPr/>
          </w:p>
        </w:tc>
        <w:tc>
          <w:tcPr>
            <w:tcW w:w="1598" w:type="dxa"/>
            <w:vMerge/>
          </w:tcPr>
          <w:p>
            <w:pPr/>
          </w:p>
        </w:tc>
        <w:tc>
          <w:tcPr>
            <w:tcW w:w="1560" w:type="dxa"/>
            <w:shd w:val="clear" w:color="auto" w:fill="E6B8B7"/>
          </w:tcPr>
          <w:p>
            <w:pPr>
              <w:pStyle w:val="TableParagraph"/>
              <w:spacing w:line="183" w:lineRule="exact"/>
              <w:ind w:right="24"/>
              <w:jc w:val="right"/>
              <w:rPr>
                <w:sz w:val="16"/>
              </w:rPr>
            </w:pPr>
            <w:r>
              <w:rPr>
                <w:sz w:val="16"/>
              </w:rPr>
              <w:t>12.2</w:t>
            </w:r>
          </w:p>
        </w:tc>
        <w:tc>
          <w:tcPr>
            <w:tcW w:w="1560" w:type="dxa"/>
            <w:shd w:val="clear" w:color="auto" w:fill="E6B8B7"/>
          </w:tcPr>
          <w:p>
            <w:pPr>
              <w:pStyle w:val="TableParagraph"/>
              <w:spacing w:line="183" w:lineRule="exact"/>
              <w:ind w:right="22"/>
              <w:jc w:val="right"/>
              <w:rPr>
                <w:sz w:val="16"/>
              </w:rPr>
            </w:pPr>
            <w:r>
              <w:rPr>
                <w:sz w:val="16"/>
              </w:rPr>
              <w:t>0.0</w:t>
            </w:r>
          </w:p>
        </w:tc>
        <w:tc>
          <w:tcPr>
            <w:tcW w:w="1562" w:type="dxa"/>
            <w:vMerge/>
          </w:tcPr>
          <w:p>
            <w:pPr/>
          </w:p>
        </w:tc>
        <w:tc>
          <w:tcPr>
            <w:tcW w:w="1560" w:type="dxa"/>
            <w:vMerge/>
          </w:tcPr>
          <w:p>
            <w:pPr/>
          </w:p>
        </w:tc>
      </w:tr>
      <w:tr>
        <w:trPr>
          <w:trHeight w:val="201" w:hRule="exact"/>
        </w:trPr>
        <w:tc>
          <w:tcPr>
            <w:tcW w:w="2932" w:type="dxa"/>
          </w:tcPr>
          <w:p>
            <w:pPr>
              <w:pStyle w:val="TableParagraph"/>
              <w:spacing w:line="181" w:lineRule="exact"/>
              <w:ind w:left="22"/>
              <w:rPr>
                <w:sz w:val="16"/>
              </w:rPr>
            </w:pPr>
            <w:r>
              <w:rPr>
                <w:sz w:val="16"/>
              </w:rPr>
              <w:t>Urbanización Municipal</w:t>
            </w:r>
          </w:p>
        </w:tc>
        <w:tc>
          <w:tcPr>
            <w:tcW w:w="1586" w:type="dxa"/>
          </w:tcPr>
          <w:p>
            <w:pPr>
              <w:pStyle w:val="TableParagraph"/>
              <w:spacing w:line="181" w:lineRule="exact"/>
              <w:ind w:right="25"/>
              <w:jc w:val="right"/>
              <w:rPr>
                <w:sz w:val="16"/>
              </w:rPr>
            </w:pPr>
            <w:r>
              <w:rPr>
                <w:sz w:val="16"/>
              </w:rPr>
              <w:t>46.9</w:t>
            </w:r>
          </w:p>
        </w:tc>
        <w:tc>
          <w:tcPr>
            <w:tcW w:w="1598" w:type="dxa"/>
          </w:tcPr>
          <w:p>
            <w:pPr>
              <w:pStyle w:val="TableParagraph"/>
              <w:spacing w:line="181" w:lineRule="exact"/>
              <w:ind w:right="25"/>
              <w:jc w:val="right"/>
              <w:rPr>
                <w:sz w:val="16"/>
              </w:rPr>
            </w:pPr>
            <w:r>
              <w:rPr>
                <w:sz w:val="16"/>
              </w:rPr>
              <w:t>32.7</w:t>
            </w:r>
          </w:p>
        </w:tc>
        <w:tc>
          <w:tcPr>
            <w:tcW w:w="1560" w:type="dxa"/>
          </w:tcPr>
          <w:p>
            <w:pPr>
              <w:pStyle w:val="TableParagraph"/>
              <w:spacing w:line="181" w:lineRule="exact"/>
              <w:ind w:right="24"/>
              <w:jc w:val="right"/>
              <w:rPr>
                <w:sz w:val="16"/>
              </w:rPr>
            </w:pPr>
            <w:r>
              <w:rPr>
                <w:sz w:val="16"/>
              </w:rPr>
              <w:t>57.1</w:t>
            </w:r>
          </w:p>
        </w:tc>
        <w:tc>
          <w:tcPr>
            <w:tcW w:w="1560" w:type="dxa"/>
          </w:tcPr>
          <w:p>
            <w:pPr>
              <w:pStyle w:val="TableParagraph"/>
              <w:spacing w:line="181" w:lineRule="exact"/>
              <w:ind w:right="24"/>
              <w:jc w:val="right"/>
              <w:rPr>
                <w:sz w:val="16"/>
              </w:rPr>
            </w:pPr>
            <w:r>
              <w:rPr>
                <w:sz w:val="16"/>
              </w:rPr>
              <w:t>90.5</w:t>
            </w:r>
          </w:p>
        </w:tc>
        <w:tc>
          <w:tcPr>
            <w:tcW w:w="1562" w:type="dxa"/>
          </w:tcPr>
          <w:p>
            <w:pPr>
              <w:pStyle w:val="TableParagraph"/>
              <w:spacing w:line="181" w:lineRule="exact"/>
              <w:ind w:right="26"/>
              <w:jc w:val="right"/>
              <w:rPr>
                <w:sz w:val="16"/>
              </w:rPr>
            </w:pPr>
            <w:r>
              <w:rPr>
                <w:sz w:val="16"/>
              </w:rPr>
              <w:t>25.8</w:t>
            </w:r>
          </w:p>
        </w:tc>
        <w:tc>
          <w:tcPr>
            <w:tcW w:w="1560" w:type="dxa"/>
          </w:tcPr>
          <w:p>
            <w:pPr>
              <w:pStyle w:val="TableParagraph"/>
              <w:spacing w:line="181" w:lineRule="exact"/>
              <w:ind w:right="24"/>
              <w:jc w:val="right"/>
              <w:rPr>
                <w:sz w:val="16"/>
              </w:rPr>
            </w:pPr>
            <w:r>
              <w:rPr>
                <w:sz w:val="16"/>
              </w:rPr>
              <w:t>51.9</w:t>
            </w:r>
          </w:p>
        </w:tc>
      </w:tr>
      <w:tr>
        <w:trPr>
          <w:trHeight w:val="202" w:hRule="exact"/>
        </w:trPr>
        <w:tc>
          <w:tcPr>
            <w:tcW w:w="2932" w:type="dxa"/>
            <w:shd w:val="clear" w:color="auto" w:fill="E6B8B7"/>
          </w:tcPr>
          <w:p>
            <w:pPr>
              <w:pStyle w:val="TableParagraph"/>
              <w:spacing w:line="182" w:lineRule="exact"/>
              <w:ind w:left="22"/>
              <w:rPr>
                <w:sz w:val="16"/>
              </w:rPr>
            </w:pPr>
            <w:r>
              <w:rPr>
                <w:sz w:val="16"/>
              </w:rPr>
              <w:t>Electrificación rural</w:t>
            </w:r>
          </w:p>
        </w:tc>
        <w:tc>
          <w:tcPr>
            <w:tcW w:w="1586" w:type="dxa"/>
            <w:shd w:val="clear" w:color="auto" w:fill="E6B8B7"/>
          </w:tcPr>
          <w:p>
            <w:pPr>
              <w:pStyle w:val="TableParagraph"/>
              <w:spacing w:line="182" w:lineRule="exact"/>
              <w:ind w:right="22"/>
              <w:jc w:val="right"/>
              <w:rPr>
                <w:sz w:val="16"/>
              </w:rPr>
            </w:pPr>
            <w:r>
              <w:rPr>
                <w:sz w:val="16"/>
              </w:rPr>
              <w:t>0.0</w:t>
            </w:r>
          </w:p>
        </w:tc>
        <w:tc>
          <w:tcPr>
            <w:tcW w:w="1598" w:type="dxa"/>
            <w:shd w:val="clear" w:color="auto" w:fill="E6B8B7"/>
          </w:tcPr>
          <w:p>
            <w:pPr>
              <w:pStyle w:val="TableParagraph"/>
              <w:spacing w:line="182" w:lineRule="exact"/>
              <w:ind w:right="25"/>
              <w:jc w:val="right"/>
              <w:rPr>
                <w:sz w:val="16"/>
              </w:rPr>
            </w:pPr>
            <w:r>
              <w:rPr>
                <w:sz w:val="16"/>
              </w:rPr>
              <w:t>15.1</w:t>
            </w:r>
          </w:p>
        </w:tc>
        <w:tc>
          <w:tcPr>
            <w:tcW w:w="1560" w:type="dxa"/>
            <w:shd w:val="clear" w:color="auto" w:fill="E6B8B7"/>
          </w:tcPr>
          <w:p>
            <w:pPr>
              <w:pStyle w:val="TableParagraph"/>
              <w:spacing w:line="182" w:lineRule="exact"/>
              <w:ind w:right="22"/>
              <w:jc w:val="right"/>
              <w:rPr>
                <w:sz w:val="16"/>
              </w:rPr>
            </w:pPr>
            <w:r>
              <w:rPr>
                <w:sz w:val="16"/>
              </w:rPr>
              <w:t>4.8</w:t>
            </w:r>
          </w:p>
        </w:tc>
        <w:tc>
          <w:tcPr>
            <w:tcW w:w="1560" w:type="dxa"/>
            <w:shd w:val="clear" w:color="auto" w:fill="E6B8B7"/>
          </w:tcPr>
          <w:p>
            <w:pPr>
              <w:pStyle w:val="TableParagraph"/>
              <w:spacing w:line="182" w:lineRule="exact"/>
              <w:ind w:right="22"/>
              <w:jc w:val="right"/>
              <w:rPr>
                <w:sz w:val="16"/>
              </w:rPr>
            </w:pPr>
            <w:r>
              <w:rPr>
                <w:sz w:val="16"/>
              </w:rPr>
              <w:t>0.0</w:t>
            </w:r>
          </w:p>
        </w:tc>
        <w:tc>
          <w:tcPr>
            <w:tcW w:w="1562" w:type="dxa"/>
            <w:shd w:val="clear" w:color="auto" w:fill="E6B8B7"/>
          </w:tcPr>
          <w:p>
            <w:pPr>
              <w:pStyle w:val="TableParagraph"/>
              <w:spacing w:line="182" w:lineRule="exact"/>
              <w:ind w:right="25"/>
              <w:jc w:val="right"/>
              <w:rPr>
                <w:sz w:val="16"/>
              </w:rPr>
            </w:pPr>
            <w:r>
              <w:rPr>
                <w:sz w:val="16"/>
              </w:rPr>
              <w:t>1.9</w:t>
            </w:r>
          </w:p>
        </w:tc>
        <w:tc>
          <w:tcPr>
            <w:tcW w:w="1560" w:type="dxa"/>
            <w:shd w:val="clear" w:color="auto" w:fill="E6B8B7"/>
          </w:tcPr>
          <w:p>
            <w:pPr>
              <w:pStyle w:val="TableParagraph"/>
              <w:spacing w:line="182" w:lineRule="exact"/>
              <w:ind w:right="24"/>
              <w:jc w:val="right"/>
              <w:rPr>
                <w:sz w:val="16"/>
              </w:rPr>
            </w:pPr>
            <w:r>
              <w:rPr>
                <w:sz w:val="16"/>
              </w:rPr>
              <w:t>12.1</w:t>
            </w:r>
          </w:p>
        </w:tc>
      </w:tr>
      <w:tr>
        <w:trPr>
          <w:trHeight w:val="201" w:hRule="exact"/>
        </w:trPr>
        <w:tc>
          <w:tcPr>
            <w:tcW w:w="2932" w:type="dxa"/>
          </w:tcPr>
          <w:p>
            <w:pPr>
              <w:pStyle w:val="TableParagraph"/>
              <w:spacing w:line="182" w:lineRule="exact"/>
              <w:ind w:left="22"/>
              <w:rPr>
                <w:sz w:val="16"/>
              </w:rPr>
            </w:pPr>
            <w:r>
              <w:rPr>
                <w:sz w:val="16"/>
              </w:rPr>
              <w:t>Infraestructura básica de salud</w:t>
            </w:r>
          </w:p>
        </w:tc>
        <w:tc>
          <w:tcPr>
            <w:tcW w:w="1586" w:type="dxa"/>
          </w:tcPr>
          <w:p>
            <w:pPr>
              <w:pStyle w:val="TableParagraph"/>
              <w:spacing w:line="182" w:lineRule="exact"/>
              <w:ind w:right="22"/>
              <w:jc w:val="right"/>
              <w:rPr>
                <w:sz w:val="16"/>
              </w:rPr>
            </w:pPr>
            <w:r>
              <w:rPr>
                <w:sz w:val="16"/>
              </w:rPr>
              <w:t>0.0</w:t>
            </w:r>
          </w:p>
        </w:tc>
        <w:tc>
          <w:tcPr>
            <w:tcW w:w="1598" w:type="dxa"/>
          </w:tcPr>
          <w:p>
            <w:pPr>
              <w:pStyle w:val="TableParagraph"/>
              <w:spacing w:line="182" w:lineRule="exact"/>
              <w:ind w:right="22"/>
              <w:jc w:val="right"/>
              <w:rPr>
                <w:sz w:val="16"/>
              </w:rPr>
            </w:pPr>
            <w:r>
              <w:rPr>
                <w:sz w:val="16"/>
              </w:rPr>
              <w:t>0.0</w:t>
            </w:r>
          </w:p>
        </w:tc>
        <w:tc>
          <w:tcPr>
            <w:tcW w:w="1560" w:type="dxa"/>
          </w:tcPr>
          <w:p>
            <w:pPr>
              <w:pStyle w:val="TableParagraph"/>
              <w:spacing w:line="182" w:lineRule="exact"/>
              <w:ind w:right="22"/>
              <w:jc w:val="right"/>
              <w:rPr>
                <w:sz w:val="16"/>
              </w:rPr>
            </w:pPr>
            <w:r>
              <w:rPr>
                <w:sz w:val="16"/>
              </w:rPr>
              <w:t>2.1</w:t>
            </w:r>
          </w:p>
        </w:tc>
        <w:tc>
          <w:tcPr>
            <w:tcW w:w="1560" w:type="dxa"/>
          </w:tcPr>
          <w:p>
            <w:pPr>
              <w:pStyle w:val="TableParagraph"/>
              <w:spacing w:line="182" w:lineRule="exact"/>
              <w:ind w:right="22"/>
              <w:jc w:val="right"/>
              <w:rPr>
                <w:sz w:val="16"/>
              </w:rPr>
            </w:pPr>
            <w:r>
              <w:rPr>
                <w:sz w:val="16"/>
              </w:rPr>
              <w:t>1.2</w:t>
            </w:r>
          </w:p>
        </w:tc>
        <w:tc>
          <w:tcPr>
            <w:tcW w:w="1562" w:type="dxa"/>
          </w:tcPr>
          <w:p>
            <w:pPr>
              <w:pStyle w:val="TableParagraph"/>
              <w:spacing w:line="182" w:lineRule="exact"/>
              <w:ind w:right="25"/>
              <w:jc w:val="right"/>
              <w:rPr>
                <w:sz w:val="16"/>
              </w:rPr>
            </w:pPr>
            <w:r>
              <w:rPr>
                <w:sz w:val="16"/>
              </w:rPr>
              <w:t>0.8</w:t>
            </w:r>
          </w:p>
        </w:tc>
        <w:tc>
          <w:tcPr>
            <w:tcW w:w="1560" w:type="dxa"/>
          </w:tcPr>
          <w:p>
            <w:pPr>
              <w:pStyle w:val="TableParagraph"/>
              <w:spacing w:line="182" w:lineRule="exact"/>
              <w:ind w:right="23"/>
              <w:jc w:val="right"/>
              <w:rPr>
                <w:sz w:val="16"/>
              </w:rPr>
            </w:pPr>
            <w:r>
              <w:rPr>
                <w:sz w:val="16"/>
              </w:rPr>
              <w:t>5.0</w:t>
            </w:r>
          </w:p>
        </w:tc>
      </w:tr>
      <w:tr>
        <w:trPr>
          <w:trHeight w:val="202" w:hRule="exact"/>
        </w:trPr>
        <w:tc>
          <w:tcPr>
            <w:tcW w:w="2932" w:type="dxa"/>
            <w:shd w:val="clear" w:color="auto" w:fill="E6B8B7"/>
          </w:tcPr>
          <w:p>
            <w:pPr>
              <w:pStyle w:val="TableParagraph"/>
              <w:spacing w:line="181" w:lineRule="exact"/>
              <w:ind w:left="22"/>
              <w:rPr>
                <w:sz w:val="16"/>
              </w:rPr>
            </w:pPr>
            <w:r>
              <w:rPr>
                <w:sz w:val="16"/>
              </w:rPr>
              <w:t>Infraestructura básica de educación</w:t>
            </w:r>
          </w:p>
        </w:tc>
        <w:tc>
          <w:tcPr>
            <w:tcW w:w="1586" w:type="dxa"/>
            <w:shd w:val="clear" w:color="auto" w:fill="E6B8B7"/>
          </w:tcPr>
          <w:p>
            <w:pPr>
              <w:pStyle w:val="TableParagraph"/>
              <w:spacing w:line="181" w:lineRule="exact"/>
              <w:ind w:right="22"/>
              <w:jc w:val="right"/>
              <w:rPr>
                <w:sz w:val="16"/>
              </w:rPr>
            </w:pPr>
            <w:r>
              <w:rPr>
                <w:sz w:val="16"/>
              </w:rPr>
              <w:t>5.2</w:t>
            </w:r>
          </w:p>
        </w:tc>
        <w:tc>
          <w:tcPr>
            <w:tcW w:w="1598" w:type="dxa"/>
            <w:shd w:val="clear" w:color="auto" w:fill="E6B8B7"/>
          </w:tcPr>
          <w:p>
            <w:pPr>
              <w:pStyle w:val="TableParagraph"/>
              <w:spacing w:line="181" w:lineRule="exact"/>
              <w:ind w:right="22"/>
              <w:jc w:val="right"/>
              <w:rPr>
                <w:sz w:val="16"/>
              </w:rPr>
            </w:pPr>
            <w:r>
              <w:rPr>
                <w:sz w:val="16"/>
              </w:rPr>
              <w:t>5.7</w:t>
            </w:r>
          </w:p>
        </w:tc>
        <w:tc>
          <w:tcPr>
            <w:tcW w:w="1560" w:type="dxa"/>
            <w:shd w:val="clear" w:color="auto" w:fill="E6B8B7"/>
          </w:tcPr>
          <w:p>
            <w:pPr>
              <w:pStyle w:val="TableParagraph"/>
              <w:spacing w:line="181" w:lineRule="exact"/>
              <w:ind w:right="24"/>
              <w:jc w:val="right"/>
              <w:rPr>
                <w:sz w:val="16"/>
              </w:rPr>
            </w:pPr>
            <w:r>
              <w:rPr>
                <w:sz w:val="16"/>
              </w:rPr>
              <w:t>14.9</w:t>
            </w:r>
          </w:p>
        </w:tc>
        <w:tc>
          <w:tcPr>
            <w:tcW w:w="1560" w:type="dxa"/>
            <w:shd w:val="clear" w:color="auto" w:fill="E6B8B7"/>
          </w:tcPr>
          <w:p>
            <w:pPr>
              <w:pStyle w:val="TableParagraph"/>
              <w:spacing w:line="181" w:lineRule="exact"/>
              <w:ind w:right="22"/>
              <w:jc w:val="right"/>
              <w:rPr>
                <w:sz w:val="16"/>
              </w:rPr>
            </w:pPr>
            <w:r>
              <w:rPr>
                <w:sz w:val="16"/>
              </w:rPr>
              <w:t>0.7</w:t>
            </w:r>
          </w:p>
        </w:tc>
        <w:tc>
          <w:tcPr>
            <w:tcW w:w="1562" w:type="dxa"/>
            <w:shd w:val="clear" w:color="auto" w:fill="E6B8B7"/>
          </w:tcPr>
          <w:p>
            <w:pPr>
              <w:pStyle w:val="TableParagraph"/>
              <w:spacing w:line="181" w:lineRule="exact"/>
              <w:ind w:right="25"/>
              <w:jc w:val="right"/>
              <w:rPr>
                <w:sz w:val="16"/>
              </w:rPr>
            </w:pPr>
            <w:r>
              <w:rPr>
                <w:sz w:val="16"/>
              </w:rPr>
              <w:t>7.7</w:t>
            </w:r>
          </w:p>
        </w:tc>
        <w:tc>
          <w:tcPr>
            <w:tcW w:w="1560" w:type="dxa"/>
            <w:shd w:val="clear" w:color="auto" w:fill="E6B8B7"/>
          </w:tcPr>
          <w:p>
            <w:pPr>
              <w:pStyle w:val="TableParagraph"/>
              <w:spacing w:line="181" w:lineRule="exact"/>
              <w:ind w:right="23"/>
              <w:jc w:val="right"/>
              <w:rPr>
                <w:sz w:val="16"/>
              </w:rPr>
            </w:pPr>
            <w:r>
              <w:rPr>
                <w:sz w:val="16"/>
              </w:rPr>
              <w:t>0.2</w:t>
            </w:r>
          </w:p>
        </w:tc>
      </w:tr>
      <w:tr>
        <w:trPr>
          <w:trHeight w:val="201" w:hRule="exact"/>
        </w:trPr>
        <w:tc>
          <w:tcPr>
            <w:tcW w:w="2932" w:type="dxa"/>
          </w:tcPr>
          <w:p>
            <w:pPr>
              <w:pStyle w:val="TableParagraph"/>
              <w:spacing w:line="182" w:lineRule="exact"/>
              <w:ind w:left="22"/>
              <w:rPr>
                <w:sz w:val="16"/>
              </w:rPr>
            </w:pPr>
            <w:r>
              <w:rPr>
                <w:sz w:val="16"/>
              </w:rPr>
              <w:t>Mejoramiento de vivienda</w:t>
            </w:r>
          </w:p>
        </w:tc>
        <w:tc>
          <w:tcPr>
            <w:tcW w:w="1586" w:type="dxa"/>
          </w:tcPr>
          <w:p>
            <w:pPr>
              <w:pStyle w:val="TableParagraph"/>
              <w:spacing w:line="182" w:lineRule="exact"/>
              <w:ind w:right="25"/>
              <w:jc w:val="right"/>
              <w:rPr>
                <w:sz w:val="16"/>
              </w:rPr>
            </w:pPr>
            <w:r>
              <w:rPr>
                <w:sz w:val="16"/>
              </w:rPr>
              <w:t>12.1</w:t>
            </w:r>
          </w:p>
        </w:tc>
        <w:tc>
          <w:tcPr>
            <w:tcW w:w="1598" w:type="dxa"/>
          </w:tcPr>
          <w:p>
            <w:pPr>
              <w:pStyle w:val="TableParagraph"/>
              <w:spacing w:line="182" w:lineRule="exact"/>
              <w:ind w:right="25"/>
              <w:jc w:val="right"/>
              <w:rPr>
                <w:sz w:val="16"/>
              </w:rPr>
            </w:pPr>
            <w:r>
              <w:rPr>
                <w:sz w:val="16"/>
              </w:rPr>
              <w:t>18.8</w:t>
            </w:r>
          </w:p>
        </w:tc>
        <w:tc>
          <w:tcPr>
            <w:tcW w:w="1560" w:type="dxa"/>
          </w:tcPr>
          <w:p>
            <w:pPr>
              <w:pStyle w:val="TableParagraph"/>
              <w:spacing w:line="182" w:lineRule="exact"/>
              <w:ind w:right="22"/>
              <w:jc w:val="right"/>
              <w:rPr>
                <w:sz w:val="16"/>
              </w:rPr>
            </w:pPr>
            <w:r>
              <w:rPr>
                <w:sz w:val="16"/>
              </w:rPr>
              <w:t>0.8</w:t>
            </w:r>
          </w:p>
        </w:tc>
        <w:tc>
          <w:tcPr>
            <w:tcW w:w="1560" w:type="dxa"/>
          </w:tcPr>
          <w:p>
            <w:pPr>
              <w:pStyle w:val="TableParagraph"/>
              <w:spacing w:line="182" w:lineRule="exact"/>
              <w:ind w:right="22"/>
              <w:jc w:val="right"/>
              <w:rPr>
                <w:sz w:val="16"/>
              </w:rPr>
            </w:pPr>
            <w:r>
              <w:rPr>
                <w:sz w:val="16"/>
              </w:rPr>
              <w:t>0.0</w:t>
            </w:r>
          </w:p>
        </w:tc>
        <w:tc>
          <w:tcPr>
            <w:tcW w:w="1562" w:type="dxa"/>
          </w:tcPr>
          <w:p>
            <w:pPr>
              <w:pStyle w:val="TableParagraph"/>
              <w:spacing w:line="182" w:lineRule="exact"/>
              <w:ind w:right="26"/>
              <w:jc w:val="right"/>
              <w:rPr>
                <w:sz w:val="16"/>
              </w:rPr>
            </w:pPr>
            <w:r>
              <w:rPr>
                <w:sz w:val="16"/>
              </w:rPr>
              <w:t>10.8</w:t>
            </w:r>
          </w:p>
        </w:tc>
        <w:tc>
          <w:tcPr>
            <w:tcW w:w="1560" w:type="dxa"/>
          </w:tcPr>
          <w:p>
            <w:pPr>
              <w:pStyle w:val="TableParagraph"/>
              <w:spacing w:line="182" w:lineRule="exact"/>
              <w:ind w:right="23"/>
              <w:jc w:val="right"/>
              <w:rPr>
                <w:sz w:val="16"/>
              </w:rPr>
            </w:pPr>
            <w:r>
              <w:rPr>
                <w:sz w:val="16"/>
              </w:rPr>
              <w:t>4.6</w:t>
            </w:r>
          </w:p>
        </w:tc>
      </w:tr>
      <w:tr>
        <w:trPr>
          <w:trHeight w:val="201" w:hRule="exact"/>
        </w:trPr>
        <w:tc>
          <w:tcPr>
            <w:tcW w:w="2932" w:type="dxa"/>
            <w:shd w:val="clear" w:color="auto" w:fill="E6B8B7"/>
          </w:tcPr>
          <w:p>
            <w:pPr>
              <w:pStyle w:val="TableParagraph"/>
              <w:spacing w:line="182" w:lineRule="exact"/>
              <w:ind w:left="22"/>
              <w:rPr>
                <w:sz w:val="16"/>
              </w:rPr>
            </w:pPr>
            <w:r>
              <w:rPr>
                <w:sz w:val="16"/>
              </w:rPr>
              <w:t>Caminos rurales</w:t>
            </w:r>
          </w:p>
        </w:tc>
        <w:tc>
          <w:tcPr>
            <w:tcW w:w="1586" w:type="dxa"/>
            <w:shd w:val="clear" w:color="auto" w:fill="E6B8B7"/>
          </w:tcPr>
          <w:p>
            <w:pPr>
              <w:pStyle w:val="TableParagraph"/>
              <w:spacing w:line="182" w:lineRule="exact"/>
              <w:ind w:right="22"/>
              <w:jc w:val="right"/>
              <w:rPr>
                <w:sz w:val="16"/>
              </w:rPr>
            </w:pPr>
            <w:r>
              <w:rPr>
                <w:sz w:val="16"/>
              </w:rPr>
              <w:t>7.9</w:t>
            </w:r>
          </w:p>
        </w:tc>
        <w:tc>
          <w:tcPr>
            <w:tcW w:w="1598" w:type="dxa"/>
            <w:shd w:val="clear" w:color="auto" w:fill="E6B8B7"/>
          </w:tcPr>
          <w:p>
            <w:pPr>
              <w:pStyle w:val="TableParagraph"/>
              <w:spacing w:line="182" w:lineRule="exact"/>
              <w:ind w:right="22"/>
              <w:jc w:val="right"/>
              <w:rPr>
                <w:sz w:val="16"/>
              </w:rPr>
            </w:pPr>
            <w:r>
              <w:rPr>
                <w:sz w:val="16"/>
              </w:rPr>
              <w:t>0.0</w:t>
            </w:r>
          </w:p>
        </w:tc>
        <w:tc>
          <w:tcPr>
            <w:tcW w:w="1560" w:type="dxa"/>
            <w:shd w:val="clear" w:color="auto" w:fill="E6B8B7"/>
          </w:tcPr>
          <w:p>
            <w:pPr>
              <w:pStyle w:val="TableParagraph"/>
              <w:spacing w:line="182" w:lineRule="exact"/>
              <w:ind w:right="22"/>
              <w:jc w:val="right"/>
              <w:rPr>
                <w:sz w:val="16"/>
              </w:rPr>
            </w:pPr>
            <w:r>
              <w:rPr>
                <w:sz w:val="16"/>
              </w:rPr>
              <w:t>7.2</w:t>
            </w:r>
          </w:p>
        </w:tc>
        <w:tc>
          <w:tcPr>
            <w:tcW w:w="1560" w:type="dxa"/>
            <w:shd w:val="clear" w:color="auto" w:fill="E6B8B7"/>
          </w:tcPr>
          <w:p>
            <w:pPr>
              <w:pStyle w:val="TableParagraph"/>
              <w:spacing w:line="182" w:lineRule="exact"/>
              <w:ind w:right="22"/>
              <w:jc w:val="right"/>
              <w:rPr>
                <w:sz w:val="16"/>
              </w:rPr>
            </w:pPr>
            <w:r>
              <w:rPr>
                <w:sz w:val="16"/>
              </w:rPr>
              <w:t>0.0</w:t>
            </w:r>
          </w:p>
        </w:tc>
        <w:tc>
          <w:tcPr>
            <w:tcW w:w="1562" w:type="dxa"/>
            <w:shd w:val="clear" w:color="auto" w:fill="E6B8B7"/>
          </w:tcPr>
          <w:p>
            <w:pPr>
              <w:pStyle w:val="TableParagraph"/>
              <w:spacing w:line="182" w:lineRule="exact"/>
              <w:ind w:right="26"/>
              <w:jc w:val="right"/>
              <w:rPr>
                <w:sz w:val="16"/>
              </w:rPr>
            </w:pPr>
            <w:r>
              <w:rPr>
                <w:sz w:val="16"/>
              </w:rPr>
              <w:t>20.4</w:t>
            </w:r>
          </w:p>
        </w:tc>
        <w:tc>
          <w:tcPr>
            <w:tcW w:w="1560" w:type="dxa"/>
            <w:shd w:val="clear" w:color="auto" w:fill="E6B8B7"/>
          </w:tcPr>
          <w:p>
            <w:pPr>
              <w:pStyle w:val="TableParagraph"/>
              <w:spacing w:line="182" w:lineRule="exact"/>
              <w:ind w:right="23"/>
              <w:jc w:val="right"/>
              <w:rPr>
                <w:sz w:val="16"/>
              </w:rPr>
            </w:pPr>
            <w:r>
              <w:rPr>
                <w:sz w:val="16"/>
              </w:rPr>
              <w:t>2.5</w:t>
            </w:r>
          </w:p>
        </w:tc>
      </w:tr>
      <w:tr>
        <w:trPr>
          <w:trHeight w:val="202" w:hRule="exact"/>
        </w:trPr>
        <w:tc>
          <w:tcPr>
            <w:tcW w:w="2932" w:type="dxa"/>
          </w:tcPr>
          <w:p>
            <w:pPr>
              <w:pStyle w:val="TableParagraph"/>
              <w:spacing w:line="183" w:lineRule="exact"/>
              <w:ind w:left="22"/>
              <w:rPr>
                <w:sz w:val="16"/>
              </w:rPr>
            </w:pPr>
            <w:r>
              <w:rPr>
                <w:sz w:val="16"/>
              </w:rPr>
              <w:t>Infraestructura productiva rural</w:t>
            </w:r>
          </w:p>
        </w:tc>
        <w:tc>
          <w:tcPr>
            <w:tcW w:w="1586" w:type="dxa"/>
          </w:tcPr>
          <w:p>
            <w:pPr>
              <w:pStyle w:val="TableParagraph"/>
              <w:spacing w:line="183" w:lineRule="exact"/>
              <w:ind w:right="25"/>
              <w:jc w:val="right"/>
              <w:rPr>
                <w:sz w:val="16"/>
              </w:rPr>
            </w:pPr>
            <w:r>
              <w:rPr>
                <w:sz w:val="16"/>
              </w:rPr>
              <w:t>15.6</w:t>
            </w:r>
          </w:p>
        </w:tc>
        <w:tc>
          <w:tcPr>
            <w:tcW w:w="1598" w:type="dxa"/>
          </w:tcPr>
          <w:p>
            <w:pPr>
              <w:pStyle w:val="TableParagraph"/>
              <w:spacing w:line="183" w:lineRule="exact"/>
              <w:ind w:right="22"/>
              <w:jc w:val="right"/>
              <w:rPr>
                <w:sz w:val="16"/>
              </w:rPr>
            </w:pPr>
            <w:r>
              <w:rPr>
                <w:sz w:val="16"/>
              </w:rPr>
              <w:t>0.0</w:t>
            </w:r>
          </w:p>
        </w:tc>
        <w:tc>
          <w:tcPr>
            <w:tcW w:w="1560" w:type="dxa"/>
          </w:tcPr>
          <w:p>
            <w:pPr>
              <w:pStyle w:val="TableParagraph"/>
              <w:spacing w:line="183" w:lineRule="exact"/>
              <w:ind w:right="22"/>
              <w:jc w:val="right"/>
              <w:rPr>
                <w:sz w:val="16"/>
              </w:rPr>
            </w:pPr>
            <w:r>
              <w:rPr>
                <w:sz w:val="16"/>
              </w:rPr>
              <w:t>0.5</w:t>
            </w:r>
          </w:p>
        </w:tc>
        <w:tc>
          <w:tcPr>
            <w:tcW w:w="1560" w:type="dxa"/>
          </w:tcPr>
          <w:p>
            <w:pPr>
              <w:pStyle w:val="TableParagraph"/>
              <w:spacing w:line="183" w:lineRule="exact"/>
              <w:ind w:right="22"/>
              <w:jc w:val="right"/>
              <w:rPr>
                <w:sz w:val="16"/>
              </w:rPr>
            </w:pPr>
            <w:r>
              <w:rPr>
                <w:sz w:val="16"/>
              </w:rPr>
              <w:t>0.0</w:t>
            </w:r>
          </w:p>
        </w:tc>
        <w:tc>
          <w:tcPr>
            <w:tcW w:w="1562" w:type="dxa"/>
          </w:tcPr>
          <w:p>
            <w:pPr>
              <w:pStyle w:val="TableParagraph"/>
              <w:spacing w:line="183" w:lineRule="exact"/>
              <w:ind w:right="25"/>
              <w:jc w:val="right"/>
              <w:rPr>
                <w:sz w:val="16"/>
              </w:rPr>
            </w:pPr>
            <w:r>
              <w:rPr>
                <w:sz w:val="16"/>
              </w:rPr>
              <w:t>0.0</w:t>
            </w:r>
          </w:p>
        </w:tc>
        <w:tc>
          <w:tcPr>
            <w:tcW w:w="1560" w:type="dxa"/>
          </w:tcPr>
          <w:p>
            <w:pPr>
              <w:pStyle w:val="TableParagraph"/>
              <w:spacing w:line="183" w:lineRule="exact"/>
              <w:ind w:right="21"/>
              <w:jc w:val="right"/>
              <w:rPr>
                <w:sz w:val="16"/>
              </w:rPr>
            </w:pPr>
            <w:r>
              <w:rPr>
                <w:sz w:val="16"/>
              </w:rPr>
              <w:t>11.5</w:t>
            </w:r>
          </w:p>
        </w:tc>
      </w:tr>
      <w:tr>
        <w:trPr>
          <w:trHeight w:val="201" w:hRule="exact"/>
        </w:trPr>
        <w:tc>
          <w:tcPr>
            <w:tcW w:w="2932" w:type="dxa"/>
            <w:shd w:val="clear" w:color="auto" w:fill="E6B8B7"/>
          </w:tcPr>
          <w:p>
            <w:pPr>
              <w:pStyle w:val="TableParagraph"/>
              <w:spacing w:line="182" w:lineRule="exact"/>
              <w:ind w:left="22"/>
              <w:rPr>
                <w:sz w:val="16"/>
              </w:rPr>
            </w:pPr>
            <w:r>
              <w:rPr>
                <w:sz w:val="16"/>
              </w:rPr>
              <w:t>Desarrollo Institucional</w:t>
            </w:r>
          </w:p>
        </w:tc>
        <w:tc>
          <w:tcPr>
            <w:tcW w:w="1586" w:type="dxa"/>
            <w:shd w:val="clear" w:color="auto" w:fill="E6B8B7"/>
          </w:tcPr>
          <w:p>
            <w:pPr>
              <w:pStyle w:val="TableParagraph"/>
              <w:spacing w:line="182" w:lineRule="exact"/>
              <w:ind w:right="22"/>
              <w:jc w:val="right"/>
              <w:rPr>
                <w:sz w:val="16"/>
              </w:rPr>
            </w:pPr>
            <w:r>
              <w:rPr>
                <w:sz w:val="16"/>
              </w:rPr>
              <w:t>1.9</w:t>
            </w:r>
          </w:p>
        </w:tc>
        <w:tc>
          <w:tcPr>
            <w:tcW w:w="1598" w:type="dxa"/>
            <w:shd w:val="clear" w:color="auto" w:fill="E6B8B7"/>
          </w:tcPr>
          <w:p>
            <w:pPr>
              <w:pStyle w:val="TableParagraph"/>
              <w:spacing w:line="182" w:lineRule="exact"/>
              <w:ind w:right="22"/>
              <w:jc w:val="right"/>
              <w:rPr>
                <w:sz w:val="16"/>
              </w:rPr>
            </w:pPr>
            <w:r>
              <w:rPr>
                <w:sz w:val="16"/>
              </w:rPr>
              <w:t>0.0</w:t>
            </w:r>
          </w:p>
        </w:tc>
        <w:tc>
          <w:tcPr>
            <w:tcW w:w="1560" w:type="dxa"/>
            <w:shd w:val="clear" w:color="auto" w:fill="E6B8B7"/>
          </w:tcPr>
          <w:p>
            <w:pPr>
              <w:pStyle w:val="TableParagraph"/>
              <w:spacing w:line="182" w:lineRule="exact"/>
              <w:ind w:right="22"/>
              <w:jc w:val="right"/>
              <w:rPr>
                <w:sz w:val="16"/>
              </w:rPr>
            </w:pPr>
            <w:r>
              <w:rPr>
                <w:sz w:val="16"/>
              </w:rPr>
              <w:t>0.0</w:t>
            </w:r>
          </w:p>
        </w:tc>
        <w:tc>
          <w:tcPr>
            <w:tcW w:w="1560" w:type="dxa"/>
            <w:shd w:val="clear" w:color="auto" w:fill="E6B8B7"/>
          </w:tcPr>
          <w:p>
            <w:pPr>
              <w:pStyle w:val="TableParagraph"/>
              <w:spacing w:line="182" w:lineRule="exact"/>
              <w:ind w:right="22"/>
              <w:jc w:val="right"/>
              <w:rPr>
                <w:sz w:val="16"/>
              </w:rPr>
            </w:pPr>
            <w:r>
              <w:rPr>
                <w:sz w:val="16"/>
              </w:rPr>
              <w:t>0.0</w:t>
            </w:r>
          </w:p>
        </w:tc>
        <w:tc>
          <w:tcPr>
            <w:tcW w:w="1562" w:type="dxa"/>
            <w:shd w:val="clear" w:color="auto" w:fill="E6B8B7"/>
          </w:tcPr>
          <w:p>
            <w:pPr>
              <w:pStyle w:val="TableParagraph"/>
              <w:spacing w:line="182" w:lineRule="exact"/>
              <w:ind w:right="25"/>
              <w:jc w:val="right"/>
              <w:rPr>
                <w:sz w:val="16"/>
              </w:rPr>
            </w:pPr>
            <w:r>
              <w:rPr>
                <w:sz w:val="16"/>
              </w:rPr>
              <w:t>0.0</w:t>
            </w:r>
          </w:p>
        </w:tc>
        <w:tc>
          <w:tcPr>
            <w:tcW w:w="1560" w:type="dxa"/>
            <w:shd w:val="clear" w:color="auto" w:fill="E6B8B7"/>
          </w:tcPr>
          <w:p>
            <w:pPr>
              <w:pStyle w:val="TableParagraph"/>
              <w:spacing w:line="182" w:lineRule="exact"/>
              <w:ind w:right="23"/>
              <w:jc w:val="right"/>
              <w:rPr>
                <w:sz w:val="16"/>
              </w:rPr>
            </w:pPr>
            <w:r>
              <w:rPr>
                <w:sz w:val="16"/>
              </w:rPr>
              <w:t>0.0</w:t>
            </w:r>
          </w:p>
        </w:tc>
      </w:tr>
      <w:tr>
        <w:trPr>
          <w:trHeight w:val="202" w:hRule="exact"/>
        </w:trPr>
        <w:tc>
          <w:tcPr>
            <w:tcW w:w="2932" w:type="dxa"/>
          </w:tcPr>
          <w:p>
            <w:pPr>
              <w:pStyle w:val="TableParagraph"/>
              <w:spacing w:line="183" w:lineRule="exact"/>
              <w:ind w:left="22"/>
              <w:rPr>
                <w:sz w:val="16"/>
              </w:rPr>
            </w:pPr>
            <w:r>
              <w:rPr>
                <w:sz w:val="16"/>
              </w:rPr>
              <w:t>Gastos Indirectos</w:t>
            </w:r>
          </w:p>
        </w:tc>
        <w:tc>
          <w:tcPr>
            <w:tcW w:w="1586" w:type="dxa"/>
          </w:tcPr>
          <w:p>
            <w:pPr>
              <w:pStyle w:val="TableParagraph"/>
              <w:spacing w:line="183" w:lineRule="exact"/>
              <w:ind w:right="22"/>
              <w:jc w:val="right"/>
              <w:rPr>
                <w:sz w:val="16"/>
              </w:rPr>
            </w:pPr>
            <w:r>
              <w:rPr>
                <w:sz w:val="16"/>
              </w:rPr>
              <w:t>2.8</w:t>
            </w:r>
          </w:p>
        </w:tc>
        <w:tc>
          <w:tcPr>
            <w:tcW w:w="1598" w:type="dxa"/>
          </w:tcPr>
          <w:p>
            <w:pPr>
              <w:pStyle w:val="TableParagraph"/>
              <w:spacing w:line="183" w:lineRule="exact"/>
              <w:ind w:right="22"/>
              <w:jc w:val="right"/>
              <w:rPr>
                <w:sz w:val="16"/>
              </w:rPr>
            </w:pPr>
            <w:r>
              <w:rPr>
                <w:sz w:val="16"/>
              </w:rPr>
              <w:t>0.0</w:t>
            </w:r>
          </w:p>
        </w:tc>
        <w:tc>
          <w:tcPr>
            <w:tcW w:w="1560" w:type="dxa"/>
          </w:tcPr>
          <w:p>
            <w:pPr>
              <w:pStyle w:val="TableParagraph"/>
              <w:spacing w:line="183" w:lineRule="exact"/>
              <w:ind w:right="22"/>
              <w:jc w:val="right"/>
              <w:rPr>
                <w:sz w:val="16"/>
              </w:rPr>
            </w:pPr>
            <w:r>
              <w:rPr>
                <w:sz w:val="16"/>
              </w:rPr>
              <w:t>0.0</w:t>
            </w:r>
          </w:p>
        </w:tc>
        <w:tc>
          <w:tcPr>
            <w:tcW w:w="1560" w:type="dxa"/>
          </w:tcPr>
          <w:p>
            <w:pPr>
              <w:pStyle w:val="TableParagraph"/>
              <w:spacing w:line="183" w:lineRule="exact"/>
              <w:ind w:right="22"/>
              <w:jc w:val="right"/>
              <w:rPr>
                <w:sz w:val="16"/>
              </w:rPr>
            </w:pPr>
            <w:r>
              <w:rPr>
                <w:sz w:val="16"/>
              </w:rPr>
              <w:t>0.0</w:t>
            </w:r>
          </w:p>
        </w:tc>
        <w:tc>
          <w:tcPr>
            <w:tcW w:w="1562" w:type="dxa"/>
          </w:tcPr>
          <w:p>
            <w:pPr>
              <w:pStyle w:val="TableParagraph"/>
              <w:spacing w:line="183" w:lineRule="exact"/>
              <w:ind w:right="25"/>
              <w:jc w:val="right"/>
              <w:rPr>
                <w:sz w:val="16"/>
              </w:rPr>
            </w:pPr>
            <w:r>
              <w:rPr>
                <w:sz w:val="16"/>
              </w:rPr>
              <w:t>0.0</w:t>
            </w:r>
          </w:p>
        </w:tc>
        <w:tc>
          <w:tcPr>
            <w:tcW w:w="1560" w:type="dxa"/>
          </w:tcPr>
          <w:p>
            <w:pPr>
              <w:pStyle w:val="TableParagraph"/>
              <w:spacing w:line="183" w:lineRule="exact"/>
              <w:ind w:right="23"/>
              <w:jc w:val="right"/>
              <w:rPr>
                <w:sz w:val="16"/>
              </w:rPr>
            </w:pPr>
            <w:r>
              <w:rPr>
                <w:sz w:val="16"/>
              </w:rPr>
              <w:t>2.8</w:t>
            </w:r>
          </w:p>
        </w:tc>
      </w:tr>
      <w:tr>
        <w:trPr>
          <w:trHeight w:val="201" w:hRule="exact"/>
        </w:trPr>
        <w:tc>
          <w:tcPr>
            <w:tcW w:w="2932" w:type="dxa"/>
            <w:shd w:val="clear" w:color="auto" w:fill="E6B8B7"/>
          </w:tcPr>
          <w:p>
            <w:pPr>
              <w:pStyle w:val="TableParagraph"/>
              <w:spacing w:line="182" w:lineRule="exact"/>
              <w:ind w:left="22"/>
              <w:rPr>
                <w:sz w:val="16"/>
              </w:rPr>
            </w:pPr>
            <w:r>
              <w:rPr>
                <w:sz w:val="16"/>
              </w:rPr>
              <w:t>Otros</w:t>
            </w:r>
          </w:p>
        </w:tc>
        <w:tc>
          <w:tcPr>
            <w:tcW w:w="1586" w:type="dxa"/>
            <w:shd w:val="clear" w:color="auto" w:fill="E6B8B7"/>
          </w:tcPr>
          <w:p>
            <w:pPr>
              <w:pStyle w:val="TableParagraph"/>
              <w:spacing w:line="182" w:lineRule="exact"/>
              <w:ind w:right="25"/>
              <w:jc w:val="right"/>
              <w:rPr>
                <w:sz w:val="16"/>
              </w:rPr>
            </w:pPr>
            <w:r>
              <w:rPr>
                <w:w w:val="95"/>
                <w:sz w:val="16"/>
              </w:rPr>
              <w:t>0.00</w:t>
            </w:r>
          </w:p>
        </w:tc>
        <w:tc>
          <w:tcPr>
            <w:tcW w:w="1598" w:type="dxa"/>
            <w:shd w:val="clear" w:color="auto" w:fill="E6B8B7"/>
          </w:tcPr>
          <w:p>
            <w:pPr>
              <w:pStyle w:val="TableParagraph"/>
              <w:spacing w:line="182" w:lineRule="exact"/>
              <w:ind w:right="25"/>
              <w:jc w:val="right"/>
              <w:rPr>
                <w:sz w:val="16"/>
              </w:rPr>
            </w:pPr>
            <w:r>
              <w:rPr>
                <w:sz w:val="16"/>
              </w:rPr>
              <w:t>16.9</w:t>
            </w:r>
          </w:p>
        </w:tc>
        <w:tc>
          <w:tcPr>
            <w:tcW w:w="1560" w:type="dxa"/>
            <w:shd w:val="clear" w:color="auto" w:fill="E6B8B7"/>
          </w:tcPr>
          <w:p>
            <w:pPr>
              <w:pStyle w:val="TableParagraph"/>
              <w:spacing w:line="182" w:lineRule="exact"/>
              <w:ind w:right="22"/>
              <w:jc w:val="right"/>
              <w:rPr>
                <w:sz w:val="16"/>
              </w:rPr>
            </w:pPr>
            <w:r>
              <w:rPr>
                <w:sz w:val="16"/>
              </w:rPr>
              <w:t>0.0</w:t>
            </w:r>
          </w:p>
        </w:tc>
        <w:tc>
          <w:tcPr>
            <w:tcW w:w="1560" w:type="dxa"/>
            <w:shd w:val="clear" w:color="auto" w:fill="E6B8B7"/>
          </w:tcPr>
          <w:p>
            <w:pPr>
              <w:pStyle w:val="TableParagraph"/>
              <w:spacing w:line="182" w:lineRule="exact"/>
              <w:ind w:right="22"/>
              <w:jc w:val="right"/>
              <w:rPr>
                <w:sz w:val="16"/>
              </w:rPr>
            </w:pPr>
            <w:r>
              <w:rPr>
                <w:sz w:val="16"/>
              </w:rPr>
              <w:t>7.6</w:t>
            </w:r>
          </w:p>
        </w:tc>
        <w:tc>
          <w:tcPr>
            <w:tcW w:w="1562" w:type="dxa"/>
            <w:shd w:val="clear" w:color="auto" w:fill="E6B8B7"/>
          </w:tcPr>
          <w:p>
            <w:pPr>
              <w:pStyle w:val="TableParagraph"/>
              <w:spacing w:line="182" w:lineRule="exact"/>
              <w:ind w:right="26"/>
              <w:jc w:val="right"/>
              <w:rPr>
                <w:sz w:val="16"/>
              </w:rPr>
            </w:pPr>
            <w:r>
              <w:rPr>
                <w:sz w:val="16"/>
              </w:rPr>
              <w:t>22.0</w:t>
            </w:r>
          </w:p>
        </w:tc>
        <w:tc>
          <w:tcPr>
            <w:tcW w:w="1560" w:type="dxa"/>
            <w:shd w:val="clear" w:color="auto" w:fill="E6B8B7"/>
          </w:tcPr>
          <w:p>
            <w:pPr>
              <w:pStyle w:val="TableParagraph"/>
              <w:spacing w:line="182" w:lineRule="exact"/>
              <w:ind w:right="23"/>
              <w:jc w:val="right"/>
              <w:rPr>
                <w:sz w:val="16"/>
              </w:rPr>
            </w:pPr>
            <w:r>
              <w:rPr>
                <w:sz w:val="16"/>
              </w:rPr>
              <w:t>8.5</w:t>
            </w:r>
          </w:p>
        </w:tc>
      </w:tr>
      <w:tr>
        <w:trPr>
          <w:trHeight w:val="202" w:hRule="exact"/>
        </w:trPr>
        <w:tc>
          <w:tcPr>
            <w:tcW w:w="2932" w:type="dxa"/>
          </w:tcPr>
          <w:p>
            <w:pPr>
              <w:pStyle w:val="TableParagraph"/>
              <w:spacing w:line="183" w:lineRule="exact"/>
              <w:ind w:left="1698"/>
              <w:rPr>
                <w:b/>
                <w:sz w:val="16"/>
              </w:rPr>
            </w:pPr>
            <w:r>
              <w:rPr>
                <w:b/>
                <w:sz w:val="16"/>
              </w:rPr>
              <w:t>Porcentaje total</w:t>
            </w:r>
          </w:p>
        </w:tc>
        <w:tc>
          <w:tcPr>
            <w:tcW w:w="1586" w:type="dxa"/>
          </w:tcPr>
          <w:p>
            <w:pPr>
              <w:pStyle w:val="TableParagraph"/>
              <w:spacing w:line="183" w:lineRule="exact"/>
              <w:ind w:right="22"/>
              <w:jc w:val="right"/>
              <w:rPr>
                <w:b/>
                <w:sz w:val="16"/>
              </w:rPr>
            </w:pPr>
            <w:r>
              <w:rPr>
                <w:b/>
                <w:sz w:val="16"/>
              </w:rPr>
              <w:t>100.0</w:t>
            </w:r>
          </w:p>
        </w:tc>
        <w:tc>
          <w:tcPr>
            <w:tcW w:w="1598" w:type="dxa"/>
          </w:tcPr>
          <w:p>
            <w:pPr>
              <w:pStyle w:val="TableParagraph"/>
              <w:spacing w:line="183" w:lineRule="exact"/>
              <w:ind w:right="22"/>
              <w:jc w:val="right"/>
              <w:rPr>
                <w:b/>
                <w:sz w:val="16"/>
              </w:rPr>
            </w:pPr>
            <w:r>
              <w:rPr>
                <w:b/>
                <w:sz w:val="16"/>
              </w:rPr>
              <w:t>100.0</w:t>
            </w:r>
          </w:p>
        </w:tc>
        <w:tc>
          <w:tcPr>
            <w:tcW w:w="1560" w:type="dxa"/>
          </w:tcPr>
          <w:p>
            <w:pPr>
              <w:pStyle w:val="TableParagraph"/>
              <w:spacing w:line="183" w:lineRule="exact"/>
              <w:ind w:right="22"/>
              <w:jc w:val="right"/>
              <w:rPr>
                <w:b/>
                <w:sz w:val="16"/>
              </w:rPr>
            </w:pPr>
            <w:r>
              <w:rPr>
                <w:b/>
                <w:sz w:val="16"/>
              </w:rPr>
              <w:t>100.0</w:t>
            </w:r>
          </w:p>
        </w:tc>
        <w:tc>
          <w:tcPr>
            <w:tcW w:w="1560" w:type="dxa"/>
          </w:tcPr>
          <w:p>
            <w:pPr>
              <w:pStyle w:val="TableParagraph"/>
              <w:spacing w:line="183" w:lineRule="exact"/>
              <w:ind w:right="22"/>
              <w:jc w:val="right"/>
              <w:rPr>
                <w:b/>
                <w:sz w:val="16"/>
              </w:rPr>
            </w:pPr>
            <w:r>
              <w:rPr>
                <w:b/>
                <w:sz w:val="16"/>
              </w:rPr>
              <w:t>100.0</w:t>
            </w:r>
          </w:p>
        </w:tc>
        <w:tc>
          <w:tcPr>
            <w:tcW w:w="1562" w:type="dxa"/>
          </w:tcPr>
          <w:p>
            <w:pPr>
              <w:pStyle w:val="TableParagraph"/>
              <w:spacing w:line="183" w:lineRule="exact"/>
              <w:ind w:right="23"/>
              <w:jc w:val="right"/>
              <w:rPr>
                <w:b/>
                <w:sz w:val="16"/>
              </w:rPr>
            </w:pPr>
            <w:r>
              <w:rPr>
                <w:b/>
                <w:sz w:val="16"/>
              </w:rPr>
              <w:t>100.0</w:t>
            </w:r>
          </w:p>
        </w:tc>
        <w:tc>
          <w:tcPr>
            <w:tcW w:w="1560" w:type="dxa"/>
          </w:tcPr>
          <w:p>
            <w:pPr>
              <w:pStyle w:val="TableParagraph"/>
              <w:spacing w:line="183" w:lineRule="exact"/>
              <w:ind w:right="23"/>
              <w:jc w:val="right"/>
              <w:rPr>
                <w:b/>
                <w:sz w:val="16"/>
              </w:rPr>
            </w:pPr>
            <w:r>
              <w:rPr>
                <w:b/>
                <w:sz w:val="16"/>
              </w:rPr>
              <w:t>100.0</w:t>
            </w:r>
          </w:p>
        </w:tc>
      </w:tr>
    </w:tbl>
    <w:p>
      <w:pPr>
        <w:spacing w:before="140"/>
        <w:ind w:left="302" w:right="0" w:firstLine="0"/>
        <w:jc w:val="left"/>
        <w:rPr>
          <w:sz w:val="20"/>
        </w:rPr>
      </w:pPr>
      <w:r>
        <w:rPr>
          <w:b/>
          <w:sz w:val="20"/>
        </w:rPr>
        <w:t>Fuente</w:t>
      </w:r>
      <w:r>
        <w:rPr>
          <w:sz w:val="20"/>
        </w:rPr>
        <w:t>: Elaboración propia con base en el Informe de Resultados de la Fiscalización Superior de las cuentas públicas 2008-2014.</w:t>
      </w:r>
    </w:p>
    <w:p>
      <w:pPr>
        <w:spacing w:after="0"/>
        <w:jc w:val="left"/>
        <w:rPr>
          <w:sz w:val="20"/>
        </w:rPr>
        <w:sectPr>
          <w:pgSz w:w="15840" w:h="12240" w:orient="landscape"/>
          <w:pgMar w:header="0" w:footer="992" w:top="1140" w:bottom="1180" w:left="1620" w:right="16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pStyle w:val="BodyText"/>
        <w:spacing w:before="70"/>
        <w:ind w:left="4104" w:right="6554"/>
        <w:jc w:val="center"/>
      </w:pPr>
      <w:r>
        <w:rPr/>
        <w:t>Anexo 25.</w:t>
      </w:r>
    </w:p>
    <w:p>
      <w:pPr>
        <w:pStyle w:val="BodyText"/>
      </w:pPr>
    </w:p>
    <w:p>
      <w:pPr>
        <w:pStyle w:val="BodyText"/>
      </w:pPr>
    </w:p>
    <w:p>
      <w:pPr>
        <w:pStyle w:val="BodyText"/>
      </w:pPr>
    </w:p>
    <w:p>
      <w:pPr>
        <w:pStyle w:val="BodyText"/>
      </w:pPr>
    </w:p>
    <w:p>
      <w:pPr>
        <w:pStyle w:val="BodyText"/>
      </w:pPr>
    </w:p>
    <w:p>
      <w:pPr>
        <w:pStyle w:val="BodyText"/>
      </w:pPr>
    </w:p>
    <w:p>
      <w:pPr>
        <w:spacing w:before="163"/>
        <w:ind w:left="102" w:right="0" w:firstLine="0"/>
        <w:jc w:val="left"/>
        <w:rPr>
          <w:sz w:val="20"/>
        </w:rPr>
      </w:pPr>
      <w:r>
        <w:rPr>
          <w:b/>
          <w:sz w:val="20"/>
        </w:rPr>
        <w:t>Fuente</w:t>
      </w:r>
      <w:r>
        <w:rPr>
          <w:sz w:val="20"/>
        </w:rPr>
        <w:t>: Elaboración propia con base en el Informe de Resultados de la Fiscalización Superior de las cuentas públicas 2008-2014.</w:t>
      </w:r>
    </w:p>
    <w:p>
      <w:pPr>
        <w:pStyle w:val="BodyText"/>
        <w:spacing w:before="4"/>
        <w:rPr>
          <w:sz w:val="26"/>
        </w:rPr>
      </w:pPr>
    </w:p>
    <w:p>
      <w:pPr>
        <w:spacing w:line="271" w:lineRule="auto" w:before="82" w:after="15"/>
        <w:ind w:left="4950" w:right="0" w:hanging="4300"/>
        <w:jc w:val="left"/>
        <w:rPr>
          <w:b/>
          <w:sz w:val="19"/>
        </w:rPr>
      </w:pPr>
      <w:r>
        <w:rPr>
          <w:b/>
          <w:w w:val="90"/>
          <w:sz w:val="19"/>
        </w:rPr>
        <w:t>Destino</w:t>
      </w:r>
      <w:r>
        <w:rPr>
          <w:b/>
          <w:spacing w:val="-27"/>
          <w:w w:val="90"/>
          <w:sz w:val="19"/>
        </w:rPr>
        <w:t> </w:t>
      </w:r>
      <w:r>
        <w:rPr>
          <w:b/>
          <w:w w:val="90"/>
          <w:sz w:val="19"/>
        </w:rPr>
        <w:t>del</w:t>
      </w:r>
      <w:r>
        <w:rPr>
          <w:b/>
          <w:spacing w:val="-27"/>
          <w:w w:val="90"/>
          <w:sz w:val="19"/>
        </w:rPr>
        <w:t> </w:t>
      </w:r>
      <w:r>
        <w:rPr>
          <w:b/>
          <w:w w:val="90"/>
          <w:sz w:val="19"/>
        </w:rPr>
        <w:t>Fondo</w:t>
      </w:r>
      <w:r>
        <w:rPr>
          <w:b/>
          <w:spacing w:val="-27"/>
          <w:w w:val="90"/>
          <w:sz w:val="19"/>
        </w:rPr>
        <w:t> </w:t>
      </w:r>
      <w:r>
        <w:rPr>
          <w:b/>
          <w:w w:val="90"/>
          <w:sz w:val="19"/>
        </w:rPr>
        <w:t>de</w:t>
      </w:r>
      <w:r>
        <w:rPr>
          <w:b/>
          <w:spacing w:val="-30"/>
          <w:w w:val="90"/>
          <w:sz w:val="19"/>
        </w:rPr>
        <w:t> </w:t>
      </w:r>
      <w:r>
        <w:rPr>
          <w:b/>
          <w:w w:val="90"/>
          <w:sz w:val="19"/>
        </w:rPr>
        <w:t>Aportaciones</w:t>
      </w:r>
      <w:r>
        <w:rPr>
          <w:b/>
          <w:spacing w:val="-27"/>
          <w:w w:val="90"/>
          <w:sz w:val="19"/>
        </w:rPr>
        <w:t> </w:t>
      </w:r>
      <w:r>
        <w:rPr>
          <w:b/>
          <w:w w:val="90"/>
          <w:sz w:val="19"/>
        </w:rPr>
        <w:t>para</w:t>
      </w:r>
      <w:r>
        <w:rPr>
          <w:b/>
          <w:spacing w:val="-26"/>
          <w:w w:val="90"/>
          <w:sz w:val="19"/>
        </w:rPr>
        <w:t> </w:t>
      </w:r>
      <w:r>
        <w:rPr>
          <w:b/>
          <w:w w:val="90"/>
          <w:sz w:val="19"/>
        </w:rPr>
        <w:t>el</w:t>
      </w:r>
      <w:r>
        <w:rPr>
          <w:b/>
          <w:spacing w:val="-27"/>
          <w:w w:val="90"/>
          <w:sz w:val="19"/>
        </w:rPr>
        <w:t> </w:t>
      </w:r>
      <w:r>
        <w:rPr>
          <w:b/>
          <w:w w:val="90"/>
          <w:sz w:val="19"/>
        </w:rPr>
        <w:t>Fortalecimiento</w:t>
      </w:r>
      <w:r>
        <w:rPr>
          <w:b/>
          <w:spacing w:val="-27"/>
          <w:w w:val="90"/>
          <w:sz w:val="19"/>
        </w:rPr>
        <w:t> </w:t>
      </w:r>
      <w:r>
        <w:rPr>
          <w:b/>
          <w:w w:val="90"/>
          <w:sz w:val="19"/>
        </w:rPr>
        <w:t>de</w:t>
      </w:r>
      <w:r>
        <w:rPr>
          <w:b/>
          <w:spacing w:val="-27"/>
          <w:w w:val="90"/>
          <w:sz w:val="19"/>
        </w:rPr>
        <w:t> </w:t>
      </w:r>
      <w:r>
        <w:rPr>
          <w:b/>
          <w:w w:val="90"/>
          <w:sz w:val="19"/>
        </w:rPr>
        <w:t>los</w:t>
      </w:r>
      <w:r>
        <w:rPr>
          <w:b/>
          <w:spacing w:val="-27"/>
          <w:w w:val="90"/>
          <w:sz w:val="19"/>
        </w:rPr>
        <w:t> </w:t>
      </w:r>
      <w:r>
        <w:rPr>
          <w:b/>
          <w:w w:val="90"/>
          <w:sz w:val="19"/>
        </w:rPr>
        <w:t>Municipios</w:t>
      </w:r>
      <w:r>
        <w:rPr>
          <w:b/>
          <w:spacing w:val="-27"/>
          <w:w w:val="90"/>
          <w:sz w:val="19"/>
        </w:rPr>
        <w:t> </w:t>
      </w:r>
      <w:r>
        <w:rPr>
          <w:b/>
          <w:w w:val="90"/>
          <w:sz w:val="19"/>
        </w:rPr>
        <w:t>y</w:t>
      </w:r>
      <w:r>
        <w:rPr>
          <w:b/>
          <w:spacing w:val="-27"/>
          <w:w w:val="90"/>
          <w:sz w:val="19"/>
        </w:rPr>
        <w:t> </w:t>
      </w:r>
      <w:r>
        <w:rPr>
          <w:b/>
          <w:w w:val="90"/>
          <w:sz w:val="19"/>
        </w:rPr>
        <w:t>de</w:t>
      </w:r>
      <w:r>
        <w:rPr>
          <w:b/>
          <w:spacing w:val="-26"/>
          <w:w w:val="90"/>
          <w:sz w:val="19"/>
        </w:rPr>
        <w:t> </w:t>
      </w:r>
      <w:r>
        <w:rPr>
          <w:b/>
          <w:w w:val="90"/>
          <w:sz w:val="19"/>
        </w:rPr>
        <w:t>las</w:t>
      </w:r>
      <w:r>
        <w:rPr>
          <w:b/>
          <w:spacing w:val="-26"/>
          <w:w w:val="90"/>
          <w:sz w:val="19"/>
        </w:rPr>
        <w:t> </w:t>
      </w:r>
      <w:r>
        <w:rPr>
          <w:b/>
          <w:w w:val="90"/>
          <w:sz w:val="19"/>
        </w:rPr>
        <w:t>Demarcaciones</w:t>
      </w:r>
      <w:r>
        <w:rPr>
          <w:b/>
          <w:spacing w:val="-26"/>
          <w:w w:val="90"/>
          <w:sz w:val="19"/>
        </w:rPr>
        <w:t> </w:t>
      </w:r>
      <w:r>
        <w:rPr>
          <w:b/>
          <w:w w:val="90"/>
          <w:sz w:val="19"/>
        </w:rPr>
        <w:t>Territoriales</w:t>
      </w:r>
      <w:r>
        <w:rPr>
          <w:b/>
          <w:spacing w:val="-27"/>
          <w:w w:val="90"/>
          <w:sz w:val="19"/>
        </w:rPr>
        <w:t> </w:t>
      </w:r>
      <w:r>
        <w:rPr>
          <w:b/>
          <w:w w:val="90"/>
          <w:sz w:val="19"/>
        </w:rPr>
        <w:t>del</w:t>
      </w:r>
      <w:r>
        <w:rPr>
          <w:b/>
          <w:spacing w:val="-27"/>
          <w:w w:val="90"/>
          <w:sz w:val="19"/>
        </w:rPr>
        <w:t> </w:t>
      </w:r>
      <w:r>
        <w:rPr>
          <w:b/>
          <w:w w:val="90"/>
          <w:sz w:val="19"/>
        </w:rPr>
        <w:t>Distrito</w:t>
      </w:r>
      <w:r>
        <w:rPr>
          <w:b/>
          <w:spacing w:val="-27"/>
          <w:w w:val="90"/>
          <w:sz w:val="19"/>
        </w:rPr>
        <w:t> </w:t>
      </w:r>
      <w:r>
        <w:rPr>
          <w:b/>
          <w:w w:val="90"/>
          <w:sz w:val="19"/>
        </w:rPr>
        <w:t>Federal </w:t>
      </w:r>
      <w:r>
        <w:rPr>
          <w:b/>
          <w:w w:val="85"/>
          <w:sz w:val="19"/>
        </w:rPr>
        <w:t>(FORTAMUNDF) 2012</w:t>
      </w:r>
      <w:r>
        <w:rPr>
          <w:b/>
          <w:spacing w:val="11"/>
          <w:w w:val="85"/>
          <w:sz w:val="19"/>
        </w:rPr>
        <w:t> </w:t>
      </w:r>
      <w:r>
        <w:rPr>
          <w:b/>
          <w:w w:val="85"/>
          <w:sz w:val="19"/>
        </w:rPr>
        <w:t>%</w:t>
      </w:r>
    </w:p>
    <w:p>
      <w:pPr>
        <w:pStyle w:val="BodyText"/>
        <w:spacing w:line="20" w:lineRule="exact"/>
        <w:ind w:left="120"/>
        <w:rPr>
          <w:sz w:val="2"/>
        </w:rPr>
      </w:pPr>
      <w:r>
        <w:rPr>
          <w:sz w:val="2"/>
        </w:rPr>
        <w:pict>
          <v:group style="width:574.9pt;height:.75pt;mso-position-horizontal-relative:char;mso-position-vertical-relative:line" coordorigin="0,0" coordsize="11498,15">
            <v:shape style="position:absolute;left:8;top:8;width:11483;height:2" coordorigin="8,8" coordsize="11483,0" path="m8,7l8,7,11490,8e" filled="false" stroked="true" strokeweight=".733259pt" strokecolor="#000000">
              <v:path arrowok="t"/>
            </v:shape>
          </v:group>
        </w:pict>
      </w:r>
      <w:r>
        <w:rPr>
          <w:sz w:val="2"/>
        </w:rPr>
      </w:r>
    </w:p>
    <w:p>
      <w:pPr>
        <w:pStyle w:val="BodyText"/>
        <w:rPr>
          <w:b/>
          <w:sz w:val="20"/>
        </w:rPr>
      </w:pPr>
    </w:p>
    <w:p>
      <w:pPr>
        <w:pStyle w:val="BodyText"/>
        <w:rPr>
          <w:b/>
          <w:sz w:val="27"/>
        </w:rPr>
      </w:pPr>
    </w:p>
    <w:tbl>
      <w:tblPr>
        <w:tblW w:w="0" w:type="auto"/>
        <w:jc w:val="left"/>
        <w:tblInd w:w="1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284"/>
        <w:gridCol w:w="1684"/>
        <w:gridCol w:w="1915"/>
        <w:gridCol w:w="1533"/>
        <w:gridCol w:w="1655"/>
        <w:gridCol w:w="1409"/>
      </w:tblGrid>
      <w:tr>
        <w:trPr>
          <w:trHeight w:val="248" w:hRule="exact"/>
        </w:trPr>
        <w:tc>
          <w:tcPr>
            <w:tcW w:w="3284" w:type="dxa"/>
            <w:tcBorders>
              <w:left w:val="single" w:sz="5" w:space="0" w:color="000000"/>
              <w:right w:val="single" w:sz="5" w:space="0" w:color="000000"/>
            </w:tcBorders>
          </w:tcPr>
          <w:p>
            <w:pPr/>
          </w:p>
        </w:tc>
        <w:tc>
          <w:tcPr>
            <w:tcW w:w="1684" w:type="dxa"/>
            <w:tcBorders>
              <w:left w:val="single" w:sz="5" w:space="0" w:color="000000"/>
              <w:right w:val="single" w:sz="5" w:space="0" w:color="000000"/>
            </w:tcBorders>
          </w:tcPr>
          <w:p>
            <w:pPr>
              <w:pStyle w:val="TableParagraph"/>
              <w:spacing w:before="4"/>
              <w:ind w:right="42"/>
              <w:jc w:val="right"/>
              <w:rPr>
                <w:sz w:val="19"/>
              </w:rPr>
            </w:pPr>
            <w:r>
              <w:rPr>
                <w:w w:val="85"/>
                <w:sz w:val="19"/>
              </w:rPr>
              <w:t>Atizapán de Zaragoza</w:t>
            </w:r>
          </w:p>
        </w:tc>
        <w:tc>
          <w:tcPr>
            <w:tcW w:w="1915" w:type="dxa"/>
            <w:tcBorders>
              <w:left w:val="single" w:sz="5" w:space="0" w:color="000000"/>
              <w:right w:val="single" w:sz="5" w:space="0" w:color="000000"/>
            </w:tcBorders>
          </w:tcPr>
          <w:p>
            <w:pPr>
              <w:pStyle w:val="TableParagraph"/>
              <w:spacing w:before="4"/>
              <w:ind w:left="24"/>
              <w:rPr>
                <w:sz w:val="19"/>
              </w:rPr>
            </w:pPr>
            <w:r>
              <w:rPr>
                <w:w w:val="85"/>
                <w:sz w:val="19"/>
              </w:rPr>
              <w:t>Ecatepec de Morelos</w:t>
            </w:r>
          </w:p>
        </w:tc>
        <w:tc>
          <w:tcPr>
            <w:tcW w:w="1533" w:type="dxa"/>
            <w:tcBorders>
              <w:left w:val="single" w:sz="5" w:space="0" w:color="000000"/>
              <w:right w:val="single" w:sz="5" w:space="0" w:color="000000"/>
            </w:tcBorders>
          </w:tcPr>
          <w:p>
            <w:pPr>
              <w:pStyle w:val="TableParagraph"/>
              <w:spacing w:before="4"/>
              <w:ind w:left="23"/>
              <w:rPr>
                <w:sz w:val="19"/>
              </w:rPr>
            </w:pPr>
            <w:r>
              <w:rPr>
                <w:w w:val="95"/>
                <w:sz w:val="19"/>
              </w:rPr>
              <w:t>Huixquilucan</w:t>
            </w:r>
          </w:p>
        </w:tc>
        <w:tc>
          <w:tcPr>
            <w:tcW w:w="1655" w:type="dxa"/>
            <w:tcBorders>
              <w:left w:val="single" w:sz="5" w:space="0" w:color="000000"/>
              <w:right w:val="single" w:sz="5" w:space="0" w:color="000000"/>
            </w:tcBorders>
          </w:tcPr>
          <w:p>
            <w:pPr>
              <w:pStyle w:val="TableParagraph"/>
              <w:spacing w:before="4"/>
              <w:ind w:right="64"/>
              <w:jc w:val="right"/>
              <w:rPr>
                <w:sz w:val="19"/>
              </w:rPr>
            </w:pPr>
            <w:r>
              <w:rPr>
                <w:w w:val="85"/>
                <w:sz w:val="19"/>
              </w:rPr>
              <w:t>Naucalpan de Juárez</w:t>
            </w:r>
          </w:p>
        </w:tc>
        <w:tc>
          <w:tcPr>
            <w:tcW w:w="1409" w:type="dxa"/>
            <w:tcBorders>
              <w:left w:val="single" w:sz="5" w:space="0" w:color="000000"/>
              <w:right w:val="single" w:sz="5" w:space="0" w:color="000000"/>
            </w:tcBorders>
          </w:tcPr>
          <w:p>
            <w:pPr>
              <w:pStyle w:val="TableParagraph"/>
              <w:spacing w:before="4"/>
              <w:ind w:left="24"/>
              <w:rPr>
                <w:sz w:val="19"/>
              </w:rPr>
            </w:pPr>
            <w:r>
              <w:rPr>
                <w:w w:val="95"/>
                <w:sz w:val="19"/>
              </w:rPr>
              <w:t>Tlalnepantla</w:t>
            </w:r>
          </w:p>
        </w:tc>
      </w:tr>
      <w:tr>
        <w:trPr>
          <w:trHeight w:val="249" w:hRule="exact"/>
        </w:trPr>
        <w:tc>
          <w:tcPr>
            <w:tcW w:w="3284" w:type="dxa"/>
            <w:tcBorders>
              <w:left w:val="single" w:sz="5" w:space="0" w:color="000000"/>
              <w:right w:val="single" w:sz="5" w:space="0" w:color="000000"/>
            </w:tcBorders>
            <w:shd w:val="clear" w:color="auto" w:fill="E6B8B7"/>
          </w:tcPr>
          <w:p>
            <w:pPr>
              <w:pStyle w:val="TableParagraph"/>
              <w:spacing w:before="4"/>
              <w:ind w:left="23"/>
              <w:rPr>
                <w:sz w:val="19"/>
              </w:rPr>
            </w:pPr>
            <w:r>
              <w:rPr>
                <w:w w:val="85"/>
                <w:sz w:val="19"/>
              </w:rPr>
              <w:t>Pago de obligaciones financieras</w:t>
            </w:r>
          </w:p>
        </w:tc>
        <w:tc>
          <w:tcPr>
            <w:tcW w:w="1684" w:type="dxa"/>
            <w:tcBorders>
              <w:left w:val="single" w:sz="5" w:space="0" w:color="000000"/>
              <w:right w:val="single" w:sz="5" w:space="0" w:color="000000"/>
            </w:tcBorders>
            <w:shd w:val="clear" w:color="auto" w:fill="E6B8B7"/>
          </w:tcPr>
          <w:p>
            <w:pPr>
              <w:pStyle w:val="TableParagraph"/>
              <w:spacing w:before="4"/>
              <w:ind w:right="24"/>
              <w:jc w:val="right"/>
              <w:rPr>
                <w:sz w:val="19"/>
              </w:rPr>
            </w:pPr>
            <w:r>
              <w:rPr>
                <w:w w:val="85"/>
                <w:sz w:val="19"/>
              </w:rPr>
              <w:t>82.6</w:t>
            </w:r>
          </w:p>
        </w:tc>
        <w:tc>
          <w:tcPr>
            <w:tcW w:w="1915" w:type="dxa"/>
            <w:tcBorders>
              <w:left w:val="single" w:sz="5" w:space="0" w:color="000000"/>
              <w:right w:val="single" w:sz="5" w:space="0" w:color="000000"/>
            </w:tcBorders>
            <w:shd w:val="clear" w:color="auto" w:fill="E6B8B7"/>
          </w:tcPr>
          <w:p>
            <w:pPr>
              <w:pStyle w:val="TableParagraph"/>
              <w:spacing w:before="4"/>
              <w:ind w:right="25"/>
              <w:jc w:val="right"/>
              <w:rPr>
                <w:sz w:val="19"/>
              </w:rPr>
            </w:pPr>
            <w:r>
              <w:rPr>
                <w:w w:val="85"/>
                <w:sz w:val="19"/>
              </w:rPr>
              <w:t>49.3</w:t>
            </w:r>
          </w:p>
        </w:tc>
        <w:tc>
          <w:tcPr>
            <w:tcW w:w="1533" w:type="dxa"/>
            <w:tcBorders>
              <w:left w:val="single" w:sz="5" w:space="0" w:color="000000"/>
              <w:right w:val="single" w:sz="5" w:space="0" w:color="000000"/>
            </w:tcBorders>
            <w:shd w:val="clear" w:color="auto" w:fill="E6B8B7"/>
          </w:tcPr>
          <w:p>
            <w:pPr>
              <w:pStyle w:val="TableParagraph"/>
              <w:spacing w:before="4"/>
              <w:ind w:right="24"/>
              <w:jc w:val="right"/>
              <w:rPr>
                <w:sz w:val="19"/>
              </w:rPr>
            </w:pPr>
            <w:r>
              <w:rPr>
                <w:w w:val="85"/>
                <w:sz w:val="19"/>
              </w:rPr>
              <w:t>70.0</w:t>
            </w:r>
          </w:p>
        </w:tc>
        <w:tc>
          <w:tcPr>
            <w:tcW w:w="1655" w:type="dxa"/>
            <w:tcBorders>
              <w:left w:val="single" w:sz="5" w:space="0" w:color="000000"/>
              <w:right w:val="single" w:sz="5" w:space="0" w:color="000000"/>
            </w:tcBorders>
            <w:shd w:val="clear" w:color="auto" w:fill="E6B8B7"/>
          </w:tcPr>
          <w:p>
            <w:pPr>
              <w:pStyle w:val="TableParagraph"/>
              <w:spacing w:before="4"/>
              <w:ind w:right="25"/>
              <w:jc w:val="right"/>
              <w:rPr>
                <w:sz w:val="19"/>
              </w:rPr>
            </w:pPr>
            <w:r>
              <w:rPr>
                <w:w w:val="85"/>
                <w:sz w:val="19"/>
              </w:rPr>
              <w:t>53.6</w:t>
            </w:r>
          </w:p>
        </w:tc>
        <w:tc>
          <w:tcPr>
            <w:tcW w:w="1409" w:type="dxa"/>
            <w:tcBorders>
              <w:left w:val="single" w:sz="5" w:space="0" w:color="000000"/>
              <w:right w:val="single" w:sz="5" w:space="0" w:color="000000"/>
            </w:tcBorders>
            <w:shd w:val="clear" w:color="auto" w:fill="E6B8B7"/>
          </w:tcPr>
          <w:p>
            <w:pPr>
              <w:pStyle w:val="TableParagraph"/>
              <w:spacing w:before="4"/>
              <w:ind w:right="25"/>
              <w:jc w:val="right"/>
              <w:rPr>
                <w:sz w:val="19"/>
              </w:rPr>
            </w:pPr>
            <w:r>
              <w:rPr>
                <w:w w:val="85"/>
                <w:sz w:val="19"/>
              </w:rPr>
              <w:t>53.8</w:t>
            </w:r>
          </w:p>
        </w:tc>
      </w:tr>
      <w:tr>
        <w:trPr>
          <w:trHeight w:val="248" w:hRule="exact"/>
        </w:trPr>
        <w:tc>
          <w:tcPr>
            <w:tcW w:w="3284" w:type="dxa"/>
            <w:tcBorders>
              <w:left w:val="single" w:sz="5" w:space="0" w:color="000000"/>
              <w:right w:val="single" w:sz="5" w:space="0" w:color="000000"/>
            </w:tcBorders>
          </w:tcPr>
          <w:p>
            <w:pPr>
              <w:pStyle w:val="TableParagraph"/>
              <w:spacing w:before="4"/>
              <w:ind w:left="23"/>
              <w:rPr>
                <w:sz w:val="19"/>
              </w:rPr>
            </w:pPr>
            <w:r>
              <w:rPr>
                <w:w w:val="85"/>
                <w:sz w:val="19"/>
              </w:rPr>
              <w:t>Recursos aplicados en seguridad pública</w:t>
            </w:r>
          </w:p>
        </w:tc>
        <w:tc>
          <w:tcPr>
            <w:tcW w:w="1684" w:type="dxa"/>
            <w:tcBorders>
              <w:left w:val="single" w:sz="5" w:space="0" w:color="000000"/>
              <w:right w:val="single" w:sz="5" w:space="0" w:color="000000"/>
            </w:tcBorders>
          </w:tcPr>
          <w:p>
            <w:pPr>
              <w:pStyle w:val="TableParagraph"/>
              <w:spacing w:before="4"/>
              <w:ind w:right="23"/>
              <w:jc w:val="right"/>
              <w:rPr>
                <w:sz w:val="19"/>
              </w:rPr>
            </w:pPr>
            <w:r>
              <w:rPr>
                <w:w w:val="85"/>
                <w:sz w:val="19"/>
              </w:rPr>
              <w:t>9.6</w:t>
            </w:r>
          </w:p>
        </w:tc>
        <w:tc>
          <w:tcPr>
            <w:tcW w:w="1915" w:type="dxa"/>
            <w:tcBorders>
              <w:left w:val="single" w:sz="5" w:space="0" w:color="000000"/>
              <w:right w:val="single" w:sz="5" w:space="0" w:color="000000"/>
            </w:tcBorders>
          </w:tcPr>
          <w:p>
            <w:pPr>
              <w:pStyle w:val="TableParagraph"/>
              <w:spacing w:before="4"/>
              <w:ind w:right="25"/>
              <w:jc w:val="right"/>
              <w:rPr>
                <w:sz w:val="19"/>
              </w:rPr>
            </w:pPr>
            <w:r>
              <w:rPr>
                <w:w w:val="85"/>
                <w:sz w:val="19"/>
              </w:rPr>
              <w:t>31.3</w:t>
            </w:r>
          </w:p>
        </w:tc>
        <w:tc>
          <w:tcPr>
            <w:tcW w:w="1533" w:type="dxa"/>
            <w:tcBorders>
              <w:left w:val="single" w:sz="5" w:space="0" w:color="000000"/>
              <w:right w:val="single" w:sz="5" w:space="0" w:color="000000"/>
            </w:tcBorders>
          </w:tcPr>
          <w:p>
            <w:pPr>
              <w:pStyle w:val="TableParagraph"/>
              <w:spacing w:before="4"/>
              <w:ind w:right="24"/>
              <w:jc w:val="right"/>
              <w:rPr>
                <w:sz w:val="19"/>
              </w:rPr>
            </w:pPr>
            <w:r>
              <w:rPr>
                <w:w w:val="85"/>
                <w:sz w:val="19"/>
              </w:rPr>
              <w:t>30.0</w:t>
            </w:r>
          </w:p>
        </w:tc>
        <w:tc>
          <w:tcPr>
            <w:tcW w:w="1655" w:type="dxa"/>
            <w:tcBorders>
              <w:left w:val="single" w:sz="5" w:space="0" w:color="000000"/>
              <w:right w:val="single" w:sz="5" w:space="0" w:color="000000"/>
            </w:tcBorders>
          </w:tcPr>
          <w:p>
            <w:pPr>
              <w:pStyle w:val="TableParagraph"/>
              <w:spacing w:before="4"/>
              <w:ind w:right="25"/>
              <w:jc w:val="right"/>
              <w:rPr>
                <w:sz w:val="19"/>
              </w:rPr>
            </w:pPr>
            <w:r>
              <w:rPr>
                <w:w w:val="85"/>
                <w:sz w:val="19"/>
              </w:rPr>
              <w:t>46.4</w:t>
            </w:r>
          </w:p>
        </w:tc>
        <w:tc>
          <w:tcPr>
            <w:tcW w:w="1409" w:type="dxa"/>
            <w:tcBorders>
              <w:left w:val="single" w:sz="5" w:space="0" w:color="000000"/>
              <w:right w:val="single" w:sz="5" w:space="0" w:color="000000"/>
            </w:tcBorders>
          </w:tcPr>
          <w:p>
            <w:pPr>
              <w:pStyle w:val="TableParagraph"/>
              <w:spacing w:before="4"/>
              <w:ind w:right="25"/>
              <w:jc w:val="right"/>
              <w:rPr>
                <w:sz w:val="19"/>
              </w:rPr>
            </w:pPr>
            <w:r>
              <w:rPr>
                <w:w w:val="85"/>
                <w:sz w:val="19"/>
              </w:rPr>
              <w:t>46.2</w:t>
            </w:r>
          </w:p>
        </w:tc>
      </w:tr>
      <w:tr>
        <w:trPr>
          <w:trHeight w:val="249" w:hRule="exact"/>
        </w:trPr>
        <w:tc>
          <w:tcPr>
            <w:tcW w:w="3284" w:type="dxa"/>
            <w:tcBorders>
              <w:left w:val="single" w:sz="5" w:space="0" w:color="000000"/>
              <w:right w:val="single" w:sz="5" w:space="0" w:color="000000"/>
            </w:tcBorders>
            <w:shd w:val="clear" w:color="auto" w:fill="E6B8B7"/>
          </w:tcPr>
          <w:p>
            <w:pPr>
              <w:pStyle w:val="TableParagraph"/>
              <w:spacing w:before="5"/>
              <w:ind w:left="23"/>
              <w:rPr>
                <w:sz w:val="19"/>
              </w:rPr>
            </w:pPr>
            <w:r>
              <w:rPr>
                <w:w w:val="90"/>
                <w:sz w:val="19"/>
              </w:rPr>
              <w:t>Recursos aplicados en obra pública</w:t>
            </w:r>
          </w:p>
        </w:tc>
        <w:tc>
          <w:tcPr>
            <w:tcW w:w="1684" w:type="dxa"/>
            <w:tcBorders>
              <w:left w:val="single" w:sz="5" w:space="0" w:color="000000"/>
              <w:right w:val="single" w:sz="5" w:space="0" w:color="000000"/>
            </w:tcBorders>
            <w:shd w:val="clear" w:color="auto" w:fill="E6B8B7"/>
          </w:tcPr>
          <w:p>
            <w:pPr>
              <w:pStyle w:val="TableParagraph"/>
              <w:spacing w:before="5"/>
              <w:ind w:right="23"/>
              <w:jc w:val="right"/>
              <w:rPr>
                <w:sz w:val="19"/>
              </w:rPr>
            </w:pPr>
            <w:r>
              <w:rPr>
                <w:w w:val="85"/>
                <w:sz w:val="19"/>
              </w:rPr>
              <w:t>0.0</w:t>
            </w:r>
          </w:p>
        </w:tc>
        <w:tc>
          <w:tcPr>
            <w:tcW w:w="1915" w:type="dxa"/>
            <w:tcBorders>
              <w:left w:val="single" w:sz="5" w:space="0" w:color="000000"/>
              <w:right w:val="single" w:sz="5" w:space="0" w:color="000000"/>
            </w:tcBorders>
            <w:shd w:val="clear" w:color="auto" w:fill="E6B8B7"/>
          </w:tcPr>
          <w:p>
            <w:pPr>
              <w:pStyle w:val="TableParagraph"/>
              <w:spacing w:before="5"/>
              <w:ind w:right="23"/>
              <w:jc w:val="right"/>
              <w:rPr>
                <w:sz w:val="19"/>
              </w:rPr>
            </w:pPr>
            <w:r>
              <w:rPr>
                <w:w w:val="85"/>
                <w:sz w:val="19"/>
              </w:rPr>
              <w:t>1.7</w:t>
            </w:r>
          </w:p>
        </w:tc>
        <w:tc>
          <w:tcPr>
            <w:tcW w:w="1533" w:type="dxa"/>
            <w:tcBorders>
              <w:left w:val="single" w:sz="5" w:space="0" w:color="000000"/>
              <w:right w:val="single" w:sz="5" w:space="0" w:color="000000"/>
            </w:tcBorders>
            <w:shd w:val="clear" w:color="auto" w:fill="E6B8B7"/>
          </w:tcPr>
          <w:p>
            <w:pPr>
              <w:pStyle w:val="TableParagraph"/>
              <w:spacing w:before="5"/>
              <w:ind w:right="23"/>
              <w:jc w:val="right"/>
              <w:rPr>
                <w:sz w:val="19"/>
              </w:rPr>
            </w:pPr>
            <w:r>
              <w:rPr>
                <w:w w:val="85"/>
                <w:sz w:val="19"/>
              </w:rPr>
              <w:t>0.0</w:t>
            </w:r>
          </w:p>
        </w:tc>
        <w:tc>
          <w:tcPr>
            <w:tcW w:w="1655" w:type="dxa"/>
            <w:tcBorders>
              <w:left w:val="single" w:sz="5" w:space="0" w:color="000000"/>
              <w:right w:val="single" w:sz="5" w:space="0" w:color="000000"/>
            </w:tcBorders>
            <w:shd w:val="clear" w:color="auto" w:fill="E6B8B7"/>
          </w:tcPr>
          <w:p>
            <w:pPr>
              <w:pStyle w:val="TableParagraph"/>
              <w:spacing w:before="5"/>
              <w:ind w:right="23"/>
              <w:jc w:val="right"/>
              <w:rPr>
                <w:sz w:val="19"/>
              </w:rPr>
            </w:pPr>
            <w:r>
              <w:rPr>
                <w:w w:val="85"/>
                <w:sz w:val="19"/>
              </w:rPr>
              <w:t>0.0</w:t>
            </w:r>
          </w:p>
        </w:tc>
        <w:tc>
          <w:tcPr>
            <w:tcW w:w="1409" w:type="dxa"/>
            <w:tcBorders>
              <w:left w:val="single" w:sz="5" w:space="0" w:color="000000"/>
              <w:right w:val="single" w:sz="5" w:space="0" w:color="000000"/>
            </w:tcBorders>
            <w:shd w:val="clear" w:color="auto" w:fill="E6B8B7"/>
          </w:tcPr>
          <w:p>
            <w:pPr>
              <w:pStyle w:val="TableParagraph"/>
              <w:spacing w:before="5"/>
              <w:ind w:right="23"/>
              <w:jc w:val="right"/>
              <w:rPr>
                <w:sz w:val="19"/>
              </w:rPr>
            </w:pPr>
            <w:r>
              <w:rPr>
                <w:w w:val="85"/>
                <w:sz w:val="19"/>
              </w:rPr>
              <w:t>0.0</w:t>
            </w:r>
          </w:p>
        </w:tc>
      </w:tr>
      <w:tr>
        <w:trPr>
          <w:trHeight w:val="249" w:hRule="exact"/>
        </w:trPr>
        <w:tc>
          <w:tcPr>
            <w:tcW w:w="3284" w:type="dxa"/>
            <w:tcBorders>
              <w:left w:val="single" w:sz="5" w:space="0" w:color="000000"/>
              <w:right w:val="single" w:sz="5" w:space="0" w:color="000000"/>
            </w:tcBorders>
          </w:tcPr>
          <w:p>
            <w:pPr>
              <w:pStyle w:val="TableParagraph"/>
              <w:spacing w:before="4"/>
              <w:ind w:left="23"/>
              <w:rPr>
                <w:sz w:val="19"/>
              </w:rPr>
            </w:pPr>
            <w:r>
              <w:rPr>
                <w:w w:val="90"/>
                <w:sz w:val="19"/>
              </w:rPr>
              <w:t>Otros rubros de gasto.</w:t>
            </w:r>
          </w:p>
        </w:tc>
        <w:tc>
          <w:tcPr>
            <w:tcW w:w="1684" w:type="dxa"/>
            <w:tcBorders>
              <w:left w:val="single" w:sz="5" w:space="0" w:color="000000"/>
              <w:right w:val="single" w:sz="5" w:space="0" w:color="000000"/>
            </w:tcBorders>
          </w:tcPr>
          <w:p>
            <w:pPr>
              <w:pStyle w:val="TableParagraph"/>
              <w:spacing w:before="4"/>
              <w:ind w:right="23"/>
              <w:jc w:val="right"/>
              <w:rPr>
                <w:sz w:val="19"/>
              </w:rPr>
            </w:pPr>
            <w:r>
              <w:rPr>
                <w:w w:val="85"/>
                <w:sz w:val="19"/>
              </w:rPr>
              <w:t>7.8</w:t>
            </w:r>
          </w:p>
        </w:tc>
        <w:tc>
          <w:tcPr>
            <w:tcW w:w="1915" w:type="dxa"/>
            <w:tcBorders>
              <w:left w:val="single" w:sz="5" w:space="0" w:color="000000"/>
              <w:right w:val="single" w:sz="5" w:space="0" w:color="000000"/>
            </w:tcBorders>
          </w:tcPr>
          <w:p>
            <w:pPr>
              <w:pStyle w:val="TableParagraph"/>
              <w:spacing w:before="4"/>
              <w:ind w:right="25"/>
              <w:jc w:val="right"/>
              <w:rPr>
                <w:sz w:val="19"/>
              </w:rPr>
            </w:pPr>
            <w:r>
              <w:rPr>
                <w:w w:val="85"/>
                <w:sz w:val="19"/>
              </w:rPr>
              <w:t>17.7</w:t>
            </w:r>
          </w:p>
        </w:tc>
        <w:tc>
          <w:tcPr>
            <w:tcW w:w="1533" w:type="dxa"/>
            <w:tcBorders>
              <w:left w:val="single" w:sz="5" w:space="0" w:color="000000"/>
              <w:right w:val="single" w:sz="5" w:space="0" w:color="000000"/>
            </w:tcBorders>
          </w:tcPr>
          <w:p>
            <w:pPr>
              <w:pStyle w:val="TableParagraph"/>
              <w:spacing w:before="4"/>
              <w:ind w:right="23"/>
              <w:jc w:val="right"/>
              <w:rPr>
                <w:sz w:val="19"/>
              </w:rPr>
            </w:pPr>
            <w:r>
              <w:rPr>
                <w:w w:val="85"/>
                <w:sz w:val="19"/>
              </w:rPr>
              <w:t>0.0</w:t>
            </w:r>
          </w:p>
        </w:tc>
        <w:tc>
          <w:tcPr>
            <w:tcW w:w="1655" w:type="dxa"/>
            <w:tcBorders>
              <w:left w:val="single" w:sz="5" w:space="0" w:color="000000"/>
              <w:right w:val="single" w:sz="5" w:space="0" w:color="000000"/>
            </w:tcBorders>
          </w:tcPr>
          <w:p>
            <w:pPr>
              <w:pStyle w:val="TableParagraph"/>
              <w:spacing w:before="4"/>
              <w:ind w:right="23"/>
              <w:jc w:val="right"/>
              <w:rPr>
                <w:sz w:val="19"/>
              </w:rPr>
            </w:pPr>
            <w:r>
              <w:rPr>
                <w:w w:val="85"/>
                <w:sz w:val="19"/>
              </w:rPr>
              <w:t>0.0</w:t>
            </w:r>
          </w:p>
        </w:tc>
        <w:tc>
          <w:tcPr>
            <w:tcW w:w="1409" w:type="dxa"/>
            <w:tcBorders>
              <w:left w:val="single" w:sz="5" w:space="0" w:color="000000"/>
              <w:right w:val="single" w:sz="5" w:space="0" w:color="000000"/>
            </w:tcBorders>
          </w:tcPr>
          <w:p>
            <w:pPr>
              <w:pStyle w:val="TableParagraph"/>
              <w:spacing w:before="4"/>
              <w:ind w:right="23"/>
              <w:jc w:val="right"/>
              <w:rPr>
                <w:sz w:val="19"/>
              </w:rPr>
            </w:pPr>
            <w:r>
              <w:rPr>
                <w:w w:val="85"/>
                <w:sz w:val="19"/>
              </w:rPr>
              <w:t>0.0</w:t>
            </w:r>
          </w:p>
        </w:tc>
      </w:tr>
      <w:tr>
        <w:trPr>
          <w:trHeight w:val="248" w:hRule="exact"/>
        </w:trPr>
        <w:tc>
          <w:tcPr>
            <w:tcW w:w="3284" w:type="dxa"/>
            <w:tcBorders>
              <w:left w:val="single" w:sz="5" w:space="0" w:color="000000"/>
              <w:right w:val="single" w:sz="5" w:space="0" w:color="000000"/>
            </w:tcBorders>
          </w:tcPr>
          <w:p>
            <w:pPr>
              <w:pStyle w:val="TableParagraph"/>
              <w:spacing w:before="4"/>
              <w:ind w:left="2017"/>
              <w:rPr>
                <w:b/>
                <w:sz w:val="19"/>
              </w:rPr>
            </w:pPr>
            <w:r>
              <w:rPr>
                <w:b/>
                <w:w w:val="85"/>
                <w:sz w:val="19"/>
              </w:rPr>
              <w:t>Porcentaje total</w:t>
            </w:r>
          </w:p>
        </w:tc>
        <w:tc>
          <w:tcPr>
            <w:tcW w:w="1684" w:type="dxa"/>
            <w:tcBorders>
              <w:left w:val="single" w:sz="5" w:space="0" w:color="000000"/>
              <w:right w:val="single" w:sz="5" w:space="0" w:color="000000"/>
            </w:tcBorders>
          </w:tcPr>
          <w:p>
            <w:pPr>
              <w:pStyle w:val="TableParagraph"/>
              <w:spacing w:before="4"/>
              <w:ind w:right="23"/>
              <w:jc w:val="right"/>
              <w:rPr>
                <w:b/>
                <w:sz w:val="19"/>
              </w:rPr>
            </w:pPr>
            <w:r>
              <w:rPr>
                <w:b/>
                <w:w w:val="85"/>
                <w:sz w:val="19"/>
              </w:rPr>
              <w:t>100.0</w:t>
            </w:r>
          </w:p>
        </w:tc>
        <w:tc>
          <w:tcPr>
            <w:tcW w:w="1915" w:type="dxa"/>
            <w:tcBorders>
              <w:left w:val="single" w:sz="5" w:space="0" w:color="000000"/>
              <w:right w:val="single" w:sz="5" w:space="0" w:color="000000"/>
            </w:tcBorders>
          </w:tcPr>
          <w:p>
            <w:pPr>
              <w:pStyle w:val="TableParagraph"/>
              <w:spacing w:before="4"/>
              <w:ind w:right="23"/>
              <w:jc w:val="right"/>
              <w:rPr>
                <w:b/>
                <w:sz w:val="19"/>
              </w:rPr>
            </w:pPr>
            <w:r>
              <w:rPr>
                <w:b/>
                <w:w w:val="85"/>
                <w:sz w:val="19"/>
              </w:rPr>
              <w:t>100.0</w:t>
            </w:r>
          </w:p>
        </w:tc>
        <w:tc>
          <w:tcPr>
            <w:tcW w:w="1533" w:type="dxa"/>
            <w:tcBorders>
              <w:left w:val="single" w:sz="5" w:space="0" w:color="000000"/>
              <w:right w:val="single" w:sz="5" w:space="0" w:color="000000"/>
            </w:tcBorders>
          </w:tcPr>
          <w:p>
            <w:pPr>
              <w:pStyle w:val="TableParagraph"/>
              <w:spacing w:before="4"/>
              <w:ind w:right="23"/>
              <w:jc w:val="right"/>
              <w:rPr>
                <w:b/>
                <w:sz w:val="19"/>
              </w:rPr>
            </w:pPr>
            <w:r>
              <w:rPr>
                <w:b/>
                <w:w w:val="85"/>
                <w:sz w:val="19"/>
              </w:rPr>
              <w:t>100.0</w:t>
            </w:r>
          </w:p>
        </w:tc>
        <w:tc>
          <w:tcPr>
            <w:tcW w:w="1655" w:type="dxa"/>
            <w:tcBorders>
              <w:left w:val="single" w:sz="5" w:space="0" w:color="000000"/>
              <w:right w:val="single" w:sz="5" w:space="0" w:color="000000"/>
            </w:tcBorders>
          </w:tcPr>
          <w:p>
            <w:pPr>
              <w:pStyle w:val="TableParagraph"/>
              <w:spacing w:before="4"/>
              <w:ind w:right="23"/>
              <w:jc w:val="right"/>
              <w:rPr>
                <w:b/>
                <w:sz w:val="19"/>
              </w:rPr>
            </w:pPr>
            <w:r>
              <w:rPr>
                <w:b/>
                <w:w w:val="85"/>
                <w:sz w:val="19"/>
              </w:rPr>
              <w:t>100.0</w:t>
            </w:r>
          </w:p>
        </w:tc>
        <w:tc>
          <w:tcPr>
            <w:tcW w:w="1409" w:type="dxa"/>
            <w:tcBorders>
              <w:left w:val="single" w:sz="5" w:space="0" w:color="000000"/>
              <w:right w:val="single" w:sz="5" w:space="0" w:color="000000"/>
            </w:tcBorders>
          </w:tcPr>
          <w:p>
            <w:pPr>
              <w:pStyle w:val="TableParagraph"/>
              <w:spacing w:before="4"/>
              <w:ind w:right="23"/>
              <w:jc w:val="right"/>
              <w:rPr>
                <w:b/>
                <w:sz w:val="19"/>
              </w:rPr>
            </w:pPr>
            <w:r>
              <w:rPr>
                <w:b/>
                <w:w w:val="85"/>
                <w:sz w:val="19"/>
              </w:rPr>
              <w:t>100.0</w:t>
            </w:r>
          </w:p>
        </w:tc>
      </w:tr>
    </w:tbl>
    <w:p>
      <w:pPr>
        <w:spacing w:after="0"/>
        <w:jc w:val="right"/>
        <w:rPr>
          <w:sz w:val="19"/>
        </w:rPr>
        <w:sectPr>
          <w:pgSz w:w="15840" w:h="12240" w:orient="landscape"/>
          <w:pgMar w:header="0" w:footer="992" w:top="1140" w:bottom="1180" w:left="2060" w:right="20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0"/>
        </w:rPr>
      </w:pPr>
    </w:p>
    <w:p>
      <w:pPr>
        <w:pStyle w:val="BodyText"/>
        <w:ind w:left="3509" w:right="5419"/>
        <w:jc w:val="center"/>
      </w:pPr>
      <w:r>
        <w:rPr/>
        <w:t>Anexo 26.</w:t>
      </w:r>
    </w:p>
    <w:p>
      <w:pPr>
        <w:pStyle w:val="BodyText"/>
        <w:rPr>
          <w:sz w:val="20"/>
        </w:rPr>
      </w:pPr>
    </w:p>
    <w:p>
      <w:pPr>
        <w:pStyle w:val="BodyText"/>
        <w:rPr>
          <w:sz w:val="20"/>
        </w:rPr>
      </w:pPr>
    </w:p>
    <w:p>
      <w:pPr>
        <w:pStyle w:val="BodyText"/>
        <w:spacing w:before="9"/>
        <w:rPr>
          <w:sz w:val="15"/>
        </w:rPr>
      </w:pPr>
    </w:p>
    <w:p>
      <w:pPr>
        <w:spacing w:before="82" w:after="10"/>
        <w:ind w:left="3586" w:right="1340" w:firstLine="0"/>
        <w:jc w:val="left"/>
        <w:rPr>
          <w:b/>
          <w:sz w:val="17"/>
        </w:rPr>
      </w:pPr>
      <w:r>
        <w:rPr>
          <w:b/>
          <w:w w:val="70"/>
          <w:sz w:val="17"/>
        </w:rPr>
        <w:t>Destino del Fondo para la Infraestructura Municipal Social (FISM) 2012 %</w:t>
      </w:r>
    </w:p>
    <w:p>
      <w:pPr>
        <w:pStyle w:val="BodyText"/>
        <w:spacing w:line="20" w:lineRule="exact"/>
        <w:ind w:left="143"/>
        <w:rPr>
          <w:sz w:val="2"/>
        </w:rPr>
      </w:pPr>
      <w:r>
        <w:rPr>
          <w:sz w:val="2"/>
        </w:rPr>
        <w:pict>
          <v:group style="width:550.5pt;height:.65pt;mso-position-horizontal-relative:char;mso-position-vertical-relative:line" coordorigin="0,0" coordsize="11010,13">
            <v:shape style="position:absolute;left:6;top:6;width:10997;height:2" coordorigin="6,6" coordsize="10997,0" path="m6,6l6,6,11003,7e" filled="false" stroked="true" strokeweight=".629937pt" strokecolor="#000000">
              <v:path arrowok="t"/>
            </v:shape>
          </v:group>
        </w:pict>
      </w:r>
      <w:r>
        <w:rPr>
          <w:sz w:val="2"/>
        </w:rPr>
      </w:r>
    </w:p>
    <w:p>
      <w:pPr>
        <w:pStyle w:val="BodyText"/>
        <w:spacing w:before="3"/>
        <w:rPr>
          <w:b/>
          <w:sz w:val="17"/>
        </w:rPr>
      </w:pPr>
    </w:p>
    <w:tbl>
      <w:tblPr>
        <w:tblW w:w="0" w:type="auto"/>
        <w:jc w:val="left"/>
        <w:tblInd w:w="145"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187"/>
        <w:gridCol w:w="1183"/>
        <w:gridCol w:w="756"/>
        <w:gridCol w:w="973"/>
        <w:gridCol w:w="904"/>
        <w:gridCol w:w="1054"/>
        <w:gridCol w:w="1104"/>
        <w:gridCol w:w="1004"/>
        <w:gridCol w:w="934"/>
        <w:gridCol w:w="894"/>
      </w:tblGrid>
      <w:tr>
        <w:trPr>
          <w:trHeight w:val="438" w:hRule="exact"/>
        </w:trPr>
        <w:tc>
          <w:tcPr>
            <w:tcW w:w="2187" w:type="dxa"/>
            <w:tcBorders>
              <w:left w:val="single" w:sz="3" w:space="0" w:color="000000"/>
              <w:right w:val="single" w:sz="3" w:space="0" w:color="000000"/>
            </w:tcBorders>
          </w:tcPr>
          <w:p>
            <w:pPr/>
          </w:p>
        </w:tc>
        <w:tc>
          <w:tcPr>
            <w:tcW w:w="1183" w:type="dxa"/>
            <w:tcBorders>
              <w:left w:val="single" w:sz="3" w:space="0" w:color="000000"/>
              <w:right w:val="single" w:sz="3" w:space="0" w:color="000000"/>
            </w:tcBorders>
          </w:tcPr>
          <w:p>
            <w:pPr>
              <w:pStyle w:val="TableParagraph"/>
              <w:spacing w:line="268" w:lineRule="auto" w:before="2"/>
              <w:ind w:left="339" w:right="250" w:hanging="64"/>
              <w:rPr>
                <w:sz w:val="17"/>
              </w:rPr>
            </w:pPr>
            <w:r>
              <w:rPr>
                <w:w w:val="70"/>
                <w:sz w:val="17"/>
              </w:rPr>
              <w:t>Atizapán de </w:t>
            </w:r>
            <w:r>
              <w:rPr>
                <w:w w:val="75"/>
                <w:sz w:val="17"/>
              </w:rPr>
              <w:t>Zaragoza</w:t>
            </w:r>
          </w:p>
        </w:tc>
        <w:tc>
          <w:tcPr>
            <w:tcW w:w="756" w:type="dxa"/>
            <w:tcBorders>
              <w:left w:val="single" w:sz="3" w:space="0" w:color="000000"/>
              <w:right w:val="single" w:sz="3" w:space="0" w:color="000000"/>
            </w:tcBorders>
          </w:tcPr>
          <w:p>
            <w:pPr>
              <w:pStyle w:val="TableParagraph"/>
              <w:spacing w:line="268" w:lineRule="auto" w:before="2"/>
              <w:ind w:left="227" w:right="85" w:hanging="121"/>
              <w:rPr>
                <w:sz w:val="17"/>
              </w:rPr>
            </w:pPr>
            <w:r>
              <w:rPr>
                <w:w w:val="70"/>
                <w:sz w:val="17"/>
              </w:rPr>
              <w:t>Cuautitlán </w:t>
            </w:r>
            <w:r>
              <w:rPr>
                <w:w w:val="80"/>
                <w:sz w:val="17"/>
              </w:rPr>
              <w:t>Izcalli</w:t>
            </w:r>
          </w:p>
        </w:tc>
        <w:tc>
          <w:tcPr>
            <w:tcW w:w="973" w:type="dxa"/>
            <w:tcBorders>
              <w:left w:val="single" w:sz="3" w:space="0" w:color="000000"/>
              <w:right w:val="single" w:sz="3" w:space="0" w:color="000000"/>
            </w:tcBorders>
          </w:tcPr>
          <w:p>
            <w:pPr>
              <w:pStyle w:val="TableParagraph"/>
              <w:spacing w:line="268" w:lineRule="auto" w:before="2"/>
              <w:ind w:left="272" w:right="130" w:hanging="120"/>
              <w:rPr>
                <w:sz w:val="17"/>
              </w:rPr>
            </w:pPr>
            <w:r>
              <w:rPr>
                <w:w w:val="70"/>
                <w:sz w:val="17"/>
              </w:rPr>
              <w:t>Ecatepec de </w:t>
            </w:r>
            <w:r>
              <w:rPr>
                <w:w w:val="80"/>
                <w:sz w:val="17"/>
              </w:rPr>
              <w:t>Morelos</w:t>
            </w:r>
          </w:p>
        </w:tc>
        <w:tc>
          <w:tcPr>
            <w:tcW w:w="904" w:type="dxa"/>
            <w:tcBorders>
              <w:left w:val="single" w:sz="3" w:space="0" w:color="000000"/>
              <w:right w:val="single" w:sz="3" w:space="0" w:color="000000"/>
            </w:tcBorders>
          </w:tcPr>
          <w:p>
            <w:pPr>
              <w:pStyle w:val="TableParagraph"/>
              <w:spacing w:before="2"/>
              <w:rPr>
                <w:b/>
                <w:sz w:val="19"/>
              </w:rPr>
            </w:pPr>
          </w:p>
          <w:p>
            <w:pPr>
              <w:pStyle w:val="TableParagraph"/>
              <w:ind w:left="110"/>
              <w:rPr>
                <w:sz w:val="17"/>
              </w:rPr>
            </w:pPr>
            <w:r>
              <w:rPr>
                <w:w w:val="75"/>
                <w:sz w:val="17"/>
              </w:rPr>
              <w:t>Huixquilucan</w:t>
            </w:r>
          </w:p>
        </w:tc>
        <w:tc>
          <w:tcPr>
            <w:tcW w:w="1054" w:type="dxa"/>
            <w:tcBorders>
              <w:left w:val="single" w:sz="3" w:space="0" w:color="000000"/>
              <w:right w:val="single" w:sz="3" w:space="0" w:color="000000"/>
            </w:tcBorders>
          </w:tcPr>
          <w:p>
            <w:pPr>
              <w:pStyle w:val="TableParagraph"/>
              <w:spacing w:line="268" w:lineRule="auto" w:before="2"/>
              <w:ind w:left="347" w:right="133" w:hanging="190"/>
              <w:rPr>
                <w:sz w:val="17"/>
              </w:rPr>
            </w:pPr>
            <w:r>
              <w:rPr>
                <w:w w:val="70"/>
                <w:sz w:val="17"/>
              </w:rPr>
              <w:t>Naucalpan de </w:t>
            </w:r>
            <w:r>
              <w:rPr>
                <w:w w:val="80"/>
                <w:sz w:val="17"/>
              </w:rPr>
              <w:t>Juárez</w:t>
            </w:r>
          </w:p>
        </w:tc>
        <w:tc>
          <w:tcPr>
            <w:tcW w:w="1104" w:type="dxa"/>
            <w:tcBorders>
              <w:left w:val="single" w:sz="3" w:space="0" w:color="000000"/>
              <w:right w:val="single" w:sz="3" w:space="0" w:color="000000"/>
            </w:tcBorders>
          </w:tcPr>
          <w:p>
            <w:pPr>
              <w:pStyle w:val="TableParagraph"/>
              <w:spacing w:line="268" w:lineRule="auto" w:before="2"/>
              <w:ind w:left="310" w:right="145" w:hanging="140"/>
              <w:rPr>
                <w:sz w:val="17"/>
              </w:rPr>
            </w:pPr>
            <w:r>
              <w:rPr>
                <w:w w:val="70"/>
                <w:sz w:val="17"/>
              </w:rPr>
              <w:t>San Felipe del </w:t>
            </w:r>
            <w:r>
              <w:rPr>
                <w:w w:val="80"/>
                <w:sz w:val="17"/>
              </w:rPr>
              <w:t>Progreso</w:t>
            </w:r>
          </w:p>
        </w:tc>
        <w:tc>
          <w:tcPr>
            <w:tcW w:w="1004" w:type="dxa"/>
            <w:tcBorders>
              <w:left w:val="single" w:sz="3" w:space="0" w:color="000000"/>
              <w:right w:val="single" w:sz="3" w:space="0" w:color="000000"/>
            </w:tcBorders>
          </w:tcPr>
          <w:p>
            <w:pPr>
              <w:pStyle w:val="TableParagraph"/>
              <w:spacing w:line="268" w:lineRule="auto" w:before="2"/>
              <w:ind w:left="315" w:right="83" w:hanging="160"/>
              <w:rPr>
                <w:sz w:val="17"/>
              </w:rPr>
            </w:pPr>
            <w:r>
              <w:rPr>
                <w:w w:val="75"/>
                <w:sz w:val="17"/>
              </w:rPr>
              <w:t>San José del </w:t>
            </w:r>
            <w:r>
              <w:rPr>
                <w:w w:val="80"/>
                <w:sz w:val="17"/>
              </w:rPr>
              <w:t>Rincón</w:t>
            </w:r>
          </w:p>
        </w:tc>
        <w:tc>
          <w:tcPr>
            <w:tcW w:w="934" w:type="dxa"/>
            <w:tcBorders>
              <w:left w:val="single" w:sz="3" w:space="0" w:color="000000"/>
              <w:right w:val="single" w:sz="3" w:space="0" w:color="000000"/>
            </w:tcBorders>
          </w:tcPr>
          <w:p>
            <w:pPr>
              <w:pStyle w:val="TableParagraph"/>
              <w:spacing w:before="2"/>
              <w:rPr>
                <w:b/>
                <w:sz w:val="19"/>
              </w:rPr>
            </w:pPr>
          </w:p>
          <w:p>
            <w:pPr>
              <w:pStyle w:val="TableParagraph"/>
              <w:ind w:left="233"/>
              <w:rPr>
                <w:sz w:val="17"/>
              </w:rPr>
            </w:pPr>
            <w:r>
              <w:rPr>
                <w:w w:val="80"/>
                <w:sz w:val="17"/>
              </w:rPr>
              <w:t>Tejupilco</w:t>
            </w:r>
          </w:p>
        </w:tc>
        <w:tc>
          <w:tcPr>
            <w:tcW w:w="894" w:type="dxa"/>
            <w:tcBorders>
              <w:left w:val="single" w:sz="3" w:space="0" w:color="000000"/>
              <w:right w:val="single" w:sz="3" w:space="0" w:color="000000"/>
            </w:tcBorders>
          </w:tcPr>
          <w:p>
            <w:pPr>
              <w:pStyle w:val="TableParagraph"/>
              <w:spacing w:line="268" w:lineRule="auto" w:before="2"/>
              <w:ind w:left="343" w:right="13" w:hanging="305"/>
              <w:rPr>
                <w:sz w:val="17"/>
              </w:rPr>
            </w:pPr>
            <w:r>
              <w:rPr>
                <w:w w:val="70"/>
                <w:sz w:val="17"/>
              </w:rPr>
              <w:t>Tlalnepantla de </w:t>
            </w:r>
            <w:r>
              <w:rPr>
                <w:w w:val="80"/>
                <w:sz w:val="17"/>
              </w:rPr>
              <w:t>Baz</w:t>
            </w:r>
          </w:p>
        </w:tc>
      </w:tr>
      <w:tr>
        <w:trPr>
          <w:trHeight w:val="220" w:hRule="exact"/>
        </w:trPr>
        <w:tc>
          <w:tcPr>
            <w:tcW w:w="2187" w:type="dxa"/>
            <w:tcBorders>
              <w:left w:val="single" w:sz="3" w:space="0" w:color="000000"/>
              <w:right w:val="single" w:sz="3" w:space="0" w:color="000000"/>
            </w:tcBorders>
            <w:shd w:val="clear" w:color="auto" w:fill="E6B8B7"/>
          </w:tcPr>
          <w:p>
            <w:pPr>
              <w:pStyle w:val="TableParagraph"/>
              <w:spacing w:before="2"/>
              <w:ind w:left="18" w:right="-1"/>
              <w:rPr>
                <w:sz w:val="17"/>
              </w:rPr>
            </w:pPr>
            <w:r>
              <w:rPr>
                <w:w w:val="70"/>
                <w:sz w:val="17"/>
              </w:rPr>
              <w:t>Agua Potable</w:t>
            </w:r>
          </w:p>
        </w:tc>
        <w:tc>
          <w:tcPr>
            <w:tcW w:w="118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756"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97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9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05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1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3.0</w:t>
            </w:r>
          </w:p>
        </w:tc>
        <w:tc>
          <w:tcPr>
            <w:tcW w:w="1004" w:type="dxa"/>
            <w:tcBorders>
              <w:left w:val="single" w:sz="3" w:space="0" w:color="000000"/>
              <w:right w:val="single" w:sz="3" w:space="0" w:color="000000"/>
            </w:tcBorders>
            <w:shd w:val="clear" w:color="auto" w:fill="E6B8B7"/>
          </w:tcPr>
          <w:p>
            <w:pPr>
              <w:pStyle w:val="TableParagraph"/>
              <w:spacing w:before="2"/>
              <w:ind w:right="17"/>
              <w:jc w:val="right"/>
              <w:rPr>
                <w:sz w:val="17"/>
              </w:rPr>
            </w:pPr>
            <w:r>
              <w:rPr>
                <w:w w:val="70"/>
                <w:sz w:val="17"/>
              </w:rPr>
              <w:t>0.0</w:t>
            </w:r>
          </w:p>
        </w:tc>
        <w:tc>
          <w:tcPr>
            <w:tcW w:w="93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0.7</w:t>
            </w:r>
          </w:p>
        </w:tc>
        <w:tc>
          <w:tcPr>
            <w:tcW w:w="89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r>
      <w:tr>
        <w:trPr>
          <w:trHeight w:val="219" w:hRule="exact"/>
        </w:trPr>
        <w:tc>
          <w:tcPr>
            <w:tcW w:w="2187" w:type="dxa"/>
            <w:tcBorders>
              <w:left w:val="single" w:sz="3" w:space="0" w:color="000000"/>
              <w:right w:val="single" w:sz="3" w:space="0" w:color="000000"/>
            </w:tcBorders>
          </w:tcPr>
          <w:p>
            <w:pPr>
              <w:pStyle w:val="TableParagraph"/>
              <w:ind w:left="18" w:right="-1"/>
              <w:rPr>
                <w:sz w:val="17"/>
              </w:rPr>
            </w:pPr>
            <w:r>
              <w:rPr>
                <w:w w:val="80"/>
                <w:sz w:val="17"/>
              </w:rPr>
              <w:t>Alcantarillado</w:t>
            </w:r>
          </w:p>
        </w:tc>
        <w:tc>
          <w:tcPr>
            <w:tcW w:w="1183" w:type="dxa"/>
            <w:tcBorders>
              <w:left w:val="single" w:sz="3" w:space="0" w:color="000000"/>
              <w:right w:val="single" w:sz="3" w:space="0" w:color="000000"/>
            </w:tcBorders>
          </w:tcPr>
          <w:p>
            <w:pPr>
              <w:pStyle w:val="TableParagraph"/>
              <w:ind w:right="16"/>
              <w:jc w:val="right"/>
              <w:rPr>
                <w:sz w:val="17"/>
              </w:rPr>
            </w:pPr>
            <w:r>
              <w:rPr>
                <w:w w:val="70"/>
                <w:sz w:val="17"/>
              </w:rPr>
              <w:t>0.0</w:t>
            </w:r>
          </w:p>
        </w:tc>
        <w:tc>
          <w:tcPr>
            <w:tcW w:w="756" w:type="dxa"/>
            <w:tcBorders>
              <w:left w:val="single" w:sz="3" w:space="0" w:color="000000"/>
              <w:right w:val="single" w:sz="3" w:space="0" w:color="000000"/>
            </w:tcBorders>
          </w:tcPr>
          <w:p>
            <w:pPr>
              <w:pStyle w:val="TableParagraph"/>
              <w:ind w:right="16"/>
              <w:jc w:val="right"/>
              <w:rPr>
                <w:sz w:val="17"/>
              </w:rPr>
            </w:pPr>
            <w:r>
              <w:rPr>
                <w:w w:val="70"/>
                <w:sz w:val="17"/>
              </w:rPr>
              <w:t>0.0</w:t>
            </w:r>
          </w:p>
        </w:tc>
        <w:tc>
          <w:tcPr>
            <w:tcW w:w="973" w:type="dxa"/>
            <w:tcBorders>
              <w:left w:val="single" w:sz="3" w:space="0" w:color="000000"/>
              <w:right w:val="single" w:sz="3" w:space="0" w:color="000000"/>
            </w:tcBorders>
          </w:tcPr>
          <w:p>
            <w:pPr>
              <w:pStyle w:val="TableParagraph"/>
              <w:ind w:right="16"/>
              <w:jc w:val="right"/>
              <w:rPr>
                <w:sz w:val="17"/>
              </w:rPr>
            </w:pPr>
            <w:r>
              <w:rPr>
                <w:w w:val="70"/>
                <w:sz w:val="17"/>
              </w:rPr>
              <w:t>0.0</w:t>
            </w:r>
          </w:p>
        </w:tc>
        <w:tc>
          <w:tcPr>
            <w:tcW w:w="904" w:type="dxa"/>
            <w:tcBorders>
              <w:left w:val="single" w:sz="3" w:space="0" w:color="000000"/>
              <w:right w:val="single" w:sz="3" w:space="0" w:color="000000"/>
            </w:tcBorders>
          </w:tcPr>
          <w:p>
            <w:pPr>
              <w:pStyle w:val="TableParagraph"/>
              <w:ind w:right="16"/>
              <w:jc w:val="right"/>
              <w:rPr>
                <w:sz w:val="17"/>
              </w:rPr>
            </w:pPr>
            <w:r>
              <w:rPr>
                <w:w w:val="70"/>
                <w:sz w:val="17"/>
              </w:rPr>
              <w:t>0.0</w:t>
            </w:r>
          </w:p>
        </w:tc>
        <w:tc>
          <w:tcPr>
            <w:tcW w:w="1054" w:type="dxa"/>
            <w:tcBorders>
              <w:left w:val="single" w:sz="3" w:space="0" w:color="000000"/>
              <w:right w:val="single" w:sz="3" w:space="0" w:color="000000"/>
            </w:tcBorders>
          </w:tcPr>
          <w:p>
            <w:pPr>
              <w:pStyle w:val="TableParagraph"/>
              <w:ind w:right="16"/>
              <w:jc w:val="right"/>
              <w:rPr>
                <w:sz w:val="17"/>
              </w:rPr>
            </w:pPr>
            <w:r>
              <w:rPr>
                <w:w w:val="70"/>
                <w:sz w:val="17"/>
              </w:rPr>
              <w:t>0.0</w:t>
            </w:r>
          </w:p>
        </w:tc>
        <w:tc>
          <w:tcPr>
            <w:tcW w:w="1104" w:type="dxa"/>
            <w:tcBorders>
              <w:left w:val="single" w:sz="3" w:space="0" w:color="000000"/>
              <w:right w:val="single" w:sz="3" w:space="0" w:color="000000"/>
            </w:tcBorders>
          </w:tcPr>
          <w:p>
            <w:pPr>
              <w:pStyle w:val="TableParagraph"/>
              <w:ind w:right="16"/>
              <w:jc w:val="right"/>
              <w:rPr>
                <w:sz w:val="17"/>
              </w:rPr>
            </w:pPr>
            <w:r>
              <w:rPr>
                <w:w w:val="70"/>
                <w:sz w:val="17"/>
              </w:rPr>
              <w:t>0.0</w:t>
            </w:r>
          </w:p>
        </w:tc>
        <w:tc>
          <w:tcPr>
            <w:tcW w:w="1004" w:type="dxa"/>
            <w:tcBorders>
              <w:left w:val="single" w:sz="3" w:space="0" w:color="000000"/>
              <w:right w:val="single" w:sz="3" w:space="0" w:color="000000"/>
            </w:tcBorders>
          </w:tcPr>
          <w:p>
            <w:pPr>
              <w:pStyle w:val="TableParagraph"/>
              <w:ind w:right="17"/>
              <w:jc w:val="right"/>
              <w:rPr>
                <w:sz w:val="17"/>
              </w:rPr>
            </w:pPr>
            <w:r>
              <w:rPr>
                <w:w w:val="70"/>
                <w:sz w:val="17"/>
              </w:rPr>
              <w:t>0.0</w:t>
            </w:r>
          </w:p>
        </w:tc>
        <w:tc>
          <w:tcPr>
            <w:tcW w:w="934" w:type="dxa"/>
            <w:vMerge w:val="restart"/>
            <w:tcBorders>
              <w:left w:val="single" w:sz="3" w:space="0" w:color="000000"/>
              <w:right w:val="single" w:sz="3" w:space="0" w:color="000000"/>
            </w:tcBorders>
          </w:tcPr>
          <w:p>
            <w:pPr>
              <w:pStyle w:val="TableParagraph"/>
              <w:spacing w:before="2"/>
              <w:rPr>
                <w:b/>
                <w:sz w:val="19"/>
              </w:rPr>
            </w:pPr>
          </w:p>
          <w:p>
            <w:pPr>
              <w:pStyle w:val="TableParagraph"/>
              <w:ind w:right="8"/>
              <w:jc w:val="right"/>
              <w:rPr>
                <w:sz w:val="17"/>
              </w:rPr>
            </w:pPr>
            <w:r>
              <w:rPr>
                <w:w w:val="70"/>
                <w:sz w:val="17"/>
              </w:rPr>
              <w:t>0.3</w:t>
            </w:r>
          </w:p>
        </w:tc>
        <w:tc>
          <w:tcPr>
            <w:tcW w:w="894" w:type="dxa"/>
            <w:tcBorders>
              <w:left w:val="single" w:sz="3" w:space="0" w:color="000000"/>
              <w:right w:val="single" w:sz="3" w:space="0" w:color="000000"/>
            </w:tcBorders>
          </w:tcPr>
          <w:p>
            <w:pPr>
              <w:pStyle w:val="TableParagraph"/>
              <w:ind w:right="16"/>
              <w:jc w:val="right"/>
              <w:rPr>
                <w:sz w:val="17"/>
              </w:rPr>
            </w:pPr>
            <w:r>
              <w:rPr>
                <w:w w:val="70"/>
                <w:sz w:val="17"/>
              </w:rPr>
              <w:t>0.0</w:t>
            </w:r>
          </w:p>
        </w:tc>
      </w:tr>
      <w:tr>
        <w:trPr>
          <w:trHeight w:val="219" w:hRule="exact"/>
        </w:trPr>
        <w:tc>
          <w:tcPr>
            <w:tcW w:w="2187" w:type="dxa"/>
            <w:tcBorders>
              <w:left w:val="single" w:sz="3" w:space="0" w:color="000000"/>
              <w:right w:val="single" w:sz="3" w:space="0" w:color="000000"/>
            </w:tcBorders>
            <w:shd w:val="clear" w:color="auto" w:fill="E6B8B7"/>
          </w:tcPr>
          <w:p>
            <w:pPr>
              <w:pStyle w:val="TableParagraph"/>
              <w:spacing w:before="2"/>
              <w:ind w:left="18" w:right="-1"/>
              <w:rPr>
                <w:sz w:val="17"/>
              </w:rPr>
            </w:pPr>
            <w:r>
              <w:rPr>
                <w:w w:val="70"/>
                <w:sz w:val="17"/>
              </w:rPr>
              <w:t>Drenaje y letrinas</w:t>
            </w:r>
          </w:p>
        </w:tc>
        <w:tc>
          <w:tcPr>
            <w:tcW w:w="118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13.4</w:t>
            </w:r>
          </w:p>
        </w:tc>
        <w:tc>
          <w:tcPr>
            <w:tcW w:w="756"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97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9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05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1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7.2</w:t>
            </w:r>
          </w:p>
        </w:tc>
        <w:tc>
          <w:tcPr>
            <w:tcW w:w="1004" w:type="dxa"/>
            <w:tcBorders>
              <w:left w:val="single" w:sz="3" w:space="0" w:color="000000"/>
              <w:right w:val="single" w:sz="3" w:space="0" w:color="000000"/>
            </w:tcBorders>
            <w:shd w:val="clear" w:color="auto" w:fill="E6B8B7"/>
          </w:tcPr>
          <w:p>
            <w:pPr>
              <w:pStyle w:val="TableParagraph"/>
              <w:spacing w:before="2"/>
              <w:ind w:right="17"/>
              <w:jc w:val="right"/>
              <w:rPr>
                <w:sz w:val="17"/>
              </w:rPr>
            </w:pPr>
            <w:r>
              <w:rPr>
                <w:w w:val="70"/>
                <w:sz w:val="17"/>
              </w:rPr>
              <w:t>0.0</w:t>
            </w:r>
          </w:p>
        </w:tc>
        <w:tc>
          <w:tcPr>
            <w:tcW w:w="934" w:type="dxa"/>
            <w:vMerge/>
            <w:tcBorders>
              <w:left w:val="single" w:sz="3" w:space="0" w:color="000000"/>
              <w:right w:val="single" w:sz="3" w:space="0" w:color="000000"/>
            </w:tcBorders>
          </w:tcPr>
          <w:p>
            <w:pPr/>
          </w:p>
        </w:tc>
        <w:tc>
          <w:tcPr>
            <w:tcW w:w="89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r>
      <w:tr>
        <w:trPr>
          <w:trHeight w:val="219" w:hRule="exact"/>
        </w:trPr>
        <w:tc>
          <w:tcPr>
            <w:tcW w:w="2187" w:type="dxa"/>
            <w:tcBorders>
              <w:left w:val="single" w:sz="3" w:space="0" w:color="000000"/>
              <w:right w:val="single" w:sz="3" w:space="0" w:color="000000"/>
            </w:tcBorders>
          </w:tcPr>
          <w:p>
            <w:pPr>
              <w:pStyle w:val="TableParagraph"/>
              <w:spacing w:before="2"/>
              <w:ind w:left="18" w:right="-1"/>
              <w:rPr>
                <w:sz w:val="17"/>
              </w:rPr>
            </w:pPr>
            <w:r>
              <w:rPr>
                <w:w w:val="70"/>
                <w:sz w:val="17"/>
              </w:rPr>
              <w:t>Urbanización Municipal</w:t>
            </w:r>
          </w:p>
        </w:tc>
        <w:tc>
          <w:tcPr>
            <w:tcW w:w="1183" w:type="dxa"/>
            <w:tcBorders>
              <w:left w:val="single" w:sz="3" w:space="0" w:color="000000"/>
              <w:right w:val="single" w:sz="3" w:space="0" w:color="000000"/>
            </w:tcBorders>
          </w:tcPr>
          <w:p>
            <w:pPr>
              <w:pStyle w:val="TableParagraph"/>
              <w:spacing w:before="2"/>
              <w:ind w:right="16"/>
              <w:jc w:val="right"/>
              <w:rPr>
                <w:sz w:val="17"/>
              </w:rPr>
            </w:pPr>
            <w:r>
              <w:rPr>
                <w:w w:val="70"/>
                <w:sz w:val="17"/>
              </w:rPr>
              <w:t>81.9</w:t>
            </w:r>
          </w:p>
        </w:tc>
        <w:tc>
          <w:tcPr>
            <w:tcW w:w="756" w:type="dxa"/>
            <w:tcBorders>
              <w:left w:val="single" w:sz="3" w:space="0" w:color="000000"/>
              <w:right w:val="single" w:sz="3" w:space="0" w:color="000000"/>
            </w:tcBorders>
          </w:tcPr>
          <w:p>
            <w:pPr>
              <w:pStyle w:val="TableParagraph"/>
              <w:spacing w:before="2"/>
              <w:ind w:right="16"/>
              <w:jc w:val="right"/>
              <w:rPr>
                <w:sz w:val="17"/>
              </w:rPr>
            </w:pPr>
            <w:r>
              <w:rPr>
                <w:w w:val="70"/>
                <w:sz w:val="17"/>
              </w:rPr>
              <w:t>61.9</w:t>
            </w:r>
          </w:p>
        </w:tc>
        <w:tc>
          <w:tcPr>
            <w:tcW w:w="973" w:type="dxa"/>
            <w:tcBorders>
              <w:left w:val="single" w:sz="3" w:space="0" w:color="000000"/>
              <w:right w:val="single" w:sz="3" w:space="0" w:color="000000"/>
            </w:tcBorders>
          </w:tcPr>
          <w:p>
            <w:pPr>
              <w:pStyle w:val="TableParagraph"/>
              <w:spacing w:before="2"/>
              <w:ind w:right="17"/>
              <w:jc w:val="right"/>
              <w:rPr>
                <w:sz w:val="17"/>
              </w:rPr>
            </w:pPr>
            <w:r>
              <w:rPr>
                <w:w w:val="70"/>
                <w:sz w:val="17"/>
              </w:rPr>
              <w:t>35.8</w:t>
            </w:r>
          </w:p>
        </w:tc>
        <w:tc>
          <w:tcPr>
            <w:tcW w:w="904" w:type="dxa"/>
            <w:tcBorders>
              <w:left w:val="single" w:sz="3" w:space="0" w:color="000000"/>
              <w:right w:val="single" w:sz="3" w:space="0" w:color="000000"/>
            </w:tcBorders>
          </w:tcPr>
          <w:p>
            <w:pPr>
              <w:pStyle w:val="TableParagraph"/>
              <w:spacing w:before="2"/>
              <w:ind w:right="17"/>
              <w:jc w:val="right"/>
              <w:rPr>
                <w:sz w:val="17"/>
              </w:rPr>
            </w:pPr>
            <w:r>
              <w:rPr>
                <w:w w:val="70"/>
                <w:sz w:val="17"/>
              </w:rPr>
              <w:t>72.7</w:t>
            </w:r>
          </w:p>
        </w:tc>
        <w:tc>
          <w:tcPr>
            <w:tcW w:w="1054" w:type="dxa"/>
            <w:tcBorders>
              <w:left w:val="single" w:sz="3" w:space="0" w:color="000000"/>
              <w:right w:val="single" w:sz="3" w:space="0" w:color="000000"/>
            </w:tcBorders>
          </w:tcPr>
          <w:p>
            <w:pPr>
              <w:pStyle w:val="TableParagraph"/>
              <w:spacing w:before="2"/>
              <w:ind w:right="16"/>
              <w:jc w:val="right"/>
              <w:rPr>
                <w:sz w:val="17"/>
              </w:rPr>
            </w:pPr>
            <w:r>
              <w:rPr>
                <w:w w:val="70"/>
                <w:sz w:val="17"/>
              </w:rPr>
              <w:t>99.6</w:t>
            </w:r>
          </w:p>
        </w:tc>
        <w:tc>
          <w:tcPr>
            <w:tcW w:w="1104" w:type="dxa"/>
            <w:tcBorders>
              <w:left w:val="single" w:sz="3" w:space="0" w:color="000000"/>
              <w:right w:val="single" w:sz="3" w:space="0" w:color="000000"/>
            </w:tcBorders>
          </w:tcPr>
          <w:p>
            <w:pPr>
              <w:pStyle w:val="TableParagraph"/>
              <w:spacing w:before="2"/>
              <w:ind w:right="16"/>
              <w:jc w:val="right"/>
              <w:rPr>
                <w:sz w:val="17"/>
              </w:rPr>
            </w:pPr>
            <w:r>
              <w:rPr>
                <w:w w:val="70"/>
                <w:sz w:val="17"/>
              </w:rPr>
              <w:t>57.6</w:t>
            </w:r>
          </w:p>
        </w:tc>
        <w:tc>
          <w:tcPr>
            <w:tcW w:w="1004" w:type="dxa"/>
            <w:tcBorders>
              <w:left w:val="single" w:sz="3" w:space="0" w:color="000000"/>
              <w:right w:val="single" w:sz="3" w:space="0" w:color="000000"/>
            </w:tcBorders>
          </w:tcPr>
          <w:p>
            <w:pPr>
              <w:pStyle w:val="TableParagraph"/>
              <w:spacing w:before="2"/>
              <w:ind w:right="17"/>
              <w:jc w:val="right"/>
              <w:rPr>
                <w:sz w:val="17"/>
              </w:rPr>
            </w:pPr>
            <w:r>
              <w:rPr>
                <w:w w:val="70"/>
                <w:sz w:val="17"/>
              </w:rPr>
              <w:t>68.4</w:t>
            </w:r>
          </w:p>
        </w:tc>
        <w:tc>
          <w:tcPr>
            <w:tcW w:w="934" w:type="dxa"/>
            <w:tcBorders>
              <w:left w:val="single" w:sz="3" w:space="0" w:color="000000"/>
              <w:right w:val="single" w:sz="3" w:space="0" w:color="000000"/>
            </w:tcBorders>
          </w:tcPr>
          <w:p>
            <w:pPr>
              <w:pStyle w:val="TableParagraph"/>
              <w:spacing w:before="2"/>
              <w:ind w:right="16"/>
              <w:jc w:val="right"/>
              <w:rPr>
                <w:sz w:val="17"/>
              </w:rPr>
            </w:pPr>
            <w:r>
              <w:rPr>
                <w:w w:val="70"/>
                <w:sz w:val="17"/>
              </w:rPr>
              <w:t>57.0</w:t>
            </w:r>
          </w:p>
        </w:tc>
        <w:tc>
          <w:tcPr>
            <w:tcW w:w="894" w:type="dxa"/>
            <w:tcBorders>
              <w:left w:val="single" w:sz="3" w:space="0" w:color="000000"/>
              <w:right w:val="single" w:sz="3" w:space="0" w:color="000000"/>
            </w:tcBorders>
          </w:tcPr>
          <w:p>
            <w:pPr>
              <w:pStyle w:val="TableParagraph"/>
              <w:spacing w:before="2"/>
              <w:ind w:right="16"/>
              <w:jc w:val="right"/>
              <w:rPr>
                <w:sz w:val="17"/>
              </w:rPr>
            </w:pPr>
            <w:r>
              <w:rPr>
                <w:w w:val="70"/>
                <w:sz w:val="17"/>
              </w:rPr>
              <w:t>99.4</w:t>
            </w:r>
          </w:p>
        </w:tc>
      </w:tr>
      <w:tr>
        <w:trPr>
          <w:trHeight w:val="219" w:hRule="exact"/>
        </w:trPr>
        <w:tc>
          <w:tcPr>
            <w:tcW w:w="2187" w:type="dxa"/>
            <w:tcBorders>
              <w:left w:val="single" w:sz="3" w:space="0" w:color="000000"/>
              <w:right w:val="single" w:sz="3" w:space="0" w:color="000000"/>
            </w:tcBorders>
            <w:shd w:val="clear" w:color="auto" w:fill="E6B8B7"/>
          </w:tcPr>
          <w:p>
            <w:pPr>
              <w:pStyle w:val="TableParagraph"/>
              <w:spacing w:before="2"/>
              <w:ind w:left="18" w:right="-1"/>
              <w:rPr>
                <w:sz w:val="17"/>
              </w:rPr>
            </w:pPr>
            <w:r>
              <w:rPr>
                <w:w w:val="70"/>
                <w:sz w:val="17"/>
              </w:rPr>
              <w:t>Electrificación rural</w:t>
            </w:r>
          </w:p>
        </w:tc>
        <w:tc>
          <w:tcPr>
            <w:tcW w:w="118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756"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97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9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05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1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3.9</w:t>
            </w:r>
          </w:p>
        </w:tc>
        <w:tc>
          <w:tcPr>
            <w:tcW w:w="1004" w:type="dxa"/>
            <w:tcBorders>
              <w:left w:val="single" w:sz="3" w:space="0" w:color="000000"/>
              <w:right w:val="single" w:sz="3" w:space="0" w:color="000000"/>
            </w:tcBorders>
            <w:shd w:val="clear" w:color="auto" w:fill="E6B8B7"/>
          </w:tcPr>
          <w:p>
            <w:pPr>
              <w:pStyle w:val="TableParagraph"/>
              <w:spacing w:before="2"/>
              <w:ind w:right="17"/>
              <w:jc w:val="right"/>
              <w:rPr>
                <w:sz w:val="17"/>
              </w:rPr>
            </w:pPr>
            <w:r>
              <w:rPr>
                <w:w w:val="70"/>
                <w:sz w:val="17"/>
              </w:rPr>
              <w:t>1.3</w:t>
            </w:r>
          </w:p>
        </w:tc>
        <w:tc>
          <w:tcPr>
            <w:tcW w:w="93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89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r>
      <w:tr>
        <w:trPr>
          <w:trHeight w:val="220" w:hRule="exact"/>
        </w:trPr>
        <w:tc>
          <w:tcPr>
            <w:tcW w:w="2187" w:type="dxa"/>
            <w:tcBorders>
              <w:left w:val="single" w:sz="3" w:space="0" w:color="000000"/>
              <w:right w:val="single" w:sz="3" w:space="0" w:color="000000"/>
            </w:tcBorders>
          </w:tcPr>
          <w:p>
            <w:pPr>
              <w:pStyle w:val="TableParagraph"/>
              <w:spacing w:before="2"/>
              <w:ind w:left="18" w:right="-1"/>
              <w:rPr>
                <w:sz w:val="17"/>
              </w:rPr>
            </w:pPr>
            <w:r>
              <w:rPr>
                <w:w w:val="70"/>
                <w:sz w:val="17"/>
              </w:rPr>
              <w:t>Infraestructura básica de salud</w:t>
            </w:r>
          </w:p>
        </w:tc>
        <w:tc>
          <w:tcPr>
            <w:tcW w:w="1183"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756" w:type="dxa"/>
            <w:tcBorders>
              <w:left w:val="single" w:sz="3" w:space="0" w:color="000000"/>
              <w:right w:val="single" w:sz="3" w:space="0" w:color="000000"/>
            </w:tcBorders>
          </w:tcPr>
          <w:p>
            <w:pPr>
              <w:pStyle w:val="TableParagraph"/>
              <w:spacing w:before="2"/>
              <w:ind w:right="16"/>
              <w:jc w:val="right"/>
              <w:rPr>
                <w:sz w:val="17"/>
              </w:rPr>
            </w:pPr>
            <w:r>
              <w:rPr>
                <w:w w:val="70"/>
                <w:sz w:val="17"/>
              </w:rPr>
              <w:t>25.0</w:t>
            </w:r>
          </w:p>
        </w:tc>
        <w:tc>
          <w:tcPr>
            <w:tcW w:w="973" w:type="dxa"/>
            <w:tcBorders>
              <w:left w:val="single" w:sz="3" w:space="0" w:color="000000"/>
              <w:right w:val="single" w:sz="3" w:space="0" w:color="000000"/>
            </w:tcBorders>
          </w:tcPr>
          <w:p>
            <w:pPr>
              <w:pStyle w:val="TableParagraph"/>
              <w:spacing w:before="2"/>
              <w:ind w:right="16"/>
              <w:jc w:val="right"/>
              <w:rPr>
                <w:sz w:val="17"/>
              </w:rPr>
            </w:pPr>
            <w:r>
              <w:rPr>
                <w:w w:val="70"/>
                <w:sz w:val="17"/>
              </w:rPr>
              <w:t>6.2</w:t>
            </w:r>
          </w:p>
        </w:tc>
        <w:tc>
          <w:tcPr>
            <w:tcW w:w="904" w:type="dxa"/>
            <w:tcBorders>
              <w:left w:val="single" w:sz="3" w:space="0" w:color="000000"/>
              <w:right w:val="single" w:sz="3" w:space="0" w:color="000000"/>
            </w:tcBorders>
          </w:tcPr>
          <w:p>
            <w:pPr>
              <w:pStyle w:val="TableParagraph"/>
              <w:spacing w:before="2"/>
              <w:ind w:right="16"/>
              <w:jc w:val="right"/>
              <w:rPr>
                <w:sz w:val="17"/>
              </w:rPr>
            </w:pPr>
            <w:r>
              <w:rPr>
                <w:w w:val="70"/>
                <w:sz w:val="17"/>
              </w:rPr>
              <w:t>7.4</w:t>
            </w:r>
          </w:p>
        </w:tc>
        <w:tc>
          <w:tcPr>
            <w:tcW w:w="105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1104" w:type="dxa"/>
            <w:tcBorders>
              <w:left w:val="single" w:sz="3" w:space="0" w:color="000000"/>
              <w:right w:val="single" w:sz="3" w:space="0" w:color="000000"/>
            </w:tcBorders>
          </w:tcPr>
          <w:p>
            <w:pPr>
              <w:pStyle w:val="TableParagraph"/>
              <w:spacing w:before="2"/>
              <w:ind w:right="16"/>
              <w:jc w:val="right"/>
              <w:rPr>
                <w:sz w:val="17"/>
              </w:rPr>
            </w:pPr>
            <w:r>
              <w:rPr>
                <w:w w:val="70"/>
                <w:sz w:val="17"/>
              </w:rPr>
              <w:t>4.5</w:t>
            </w:r>
          </w:p>
        </w:tc>
        <w:tc>
          <w:tcPr>
            <w:tcW w:w="1004" w:type="dxa"/>
            <w:tcBorders>
              <w:left w:val="single" w:sz="3" w:space="0" w:color="000000"/>
              <w:right w:val="single" w:sz="3" w:space="0" w:color="000000"/>
            </w:tcBorders>
          </w:tcPr>
          <w:p>
            <w:pPr>
              <w:pStyle w:val="TableParagraph"/>
              <w:spacing w:before="2"/>
              <w:ind w:right="17"/>
              <w:jc w:val="right"/>
              <w:rPr>
                <w:sz w:val="17"/>
              </w:rPr>
            </w:pPr>
            <w:r>
              <w:rPr>
                <w:w w:val="70"/>
                <w:sz w:val="17"/>
              </w:rPr>
              <w:t>0.0</w:t>
            </w:r>
          </w:p>
        </w:tc>
        <w:tc>
          <w:tcPr>
            <w:tcW w:w="93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89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r>
      <w:tr>
        <w:trPr>
          <w:trHeight w:val="218" w:hRule="exact"/>
        </w:trPr>
        <w:tc>
          <w:tcPr>
            <w:tcW w:w="2187" w:type="dxa"/>
            <w:tcBorders>
              <w:left w:val="single" w:sz="3" w:space="0" w:color="000000"/>
              <w:right w:val="single" w:sz="3" w:space="0" w:color="000000"/>
            </w:tcBorders>
            <w:shd w:val="clear" w:color="auto" w:fill="E6B8B7"/>
          </w:tcPr>
          <w:p>
            <w:pPr>
              <w:pStyle w:val="TableParagraph"/>
              <w:ind w:left="18" w:right="-1"/>
              <w:rPr>
                <w:sz w:val="17"/>
              </w:rPr>
            </w:pPr>
            <w:r>
              <w:rPr>
                <w:w w:val="70"/>
                <w:sz w:val="17"/>
              </w:rPr>
              <w:t>Infraestructura básica de educación</w:t>
            </w:r>
          </w:p>
        </w:tc>
        <w:tc>
          <w:tcPr>
            <w:tcW w:w="1183" w:type="dxa"/>
            <w:tcBorders>
              <w:left w:val="single" w:sz="3" w:space="0" w:color="000000"/>
              <w:right w:val="single" w:sz="3" w:space="0" w:color="000000"/>
            </w:tcBorders>
            <w:shd w:val="clear" w:color="auto" w:fill="E6B8B7"/>
          </w:tcPr>
          <w:p>
            <w:pPr>
              <w:pStyle w:val="TableParagraph"/>
              <w:ind w:right="16"/>
              <w:jc w:val="right"/>
              <w:rPr>
                <w:sz w:val="17"/>
              </w:rPr>
            </w:pPr>
            <w:r>
              <w:rPr>
                <w:w w:val="70"/>
                <w:sz w:val="17"/>
              </w:rPr>
              <w:t>0.0</w:t>
            </w:r>
          </w:p>
        </w:tc>
        <w:tc>
          <w:tcPr>
            <w:tcW w:w="756" w:type="dxa"/>
            <w:tcBorders>
              <w:left w:val="single" w:sz="3" w:space="0" w:color="000000"/>
              <w:right w:val="single" w:sz="3" w:space="0" w:color="000000"/>
            </w:tcBorders>
            <w:shd w:val="clear" w:color="auto" w:fill="E6B8B7"/>
          </w:tcPr>
          <w:p>
            <w:pPr>
              <w:pStyle w:val="TableParagraph"/>
              <w:ind w:right="16"/>
              <w:jc w:val="right"/>
              <w:rPr>
                <w:sz w:val="17"/>
              </w:rPr>
            </w:pPr>
            <w:r>
              <w:rPr>
                <w:w w:val="70"/>
                <w:sz w:val="17"/>
              </w:rPr>
              <w:t>0.0</w:t>
            </w:r>
          </w:p>
        </w:tc>
        <w:tc>
          <w:tcPr>
            <w:tcW w:w="973" w:type="dxa"/>
            <w:tcBorders>
              <w:left w:val="single" w:sz="3" w:space="0" w:color="000000"/>
              <w:right w:val="single" w:sz="3" w:space="0" w:color="000000"/>
            </w:tcBorders>
            <w:shd w:val="clear" w:color="auto" w:fill="E6B8B7"/>
          </w:tcPr>
          <w:p>
            <w:pPr>
              <w:pStyle w:val="TableParagraph"/>
              <w:ind w:right="17"/>
              <w:jc w:val="right"/>
              <w:rPr>
                <w:sz w:val="17"/>
              </w:rPr>
            </w:pPr>
            <w:r>
              <w:rPr>
                <w:w w:val="70"/>
                <w:sz w:val="17"/>
              </w:rPr>
              <w:t>43.1</w:t>
            </w:r>
          </w:p>
        </w:tc>
        <w:tc>
          <w:tcPr>
            <w:tcW w:w="904" w:type="dxa"/>
            <w:tcBorders>
              <w:left w:val="single" w:sz="3" w:space="0" w:color="000000"/>
              <w:right w:val="single" w:sz="3" w:space="0" w:color="000000"/>
            </w:tcBorders>
            <w:shd w:val="clear" w:color="auto" w:fill="E6B8B7"/>
          </w:tcPr>
          <w:p>
            <w:pPr>
              <w:pStyle w:val="TableParagraph"/>
              <w:ind w:right="16"/>
              <w:jc w:val="right"/>
              <w:rPr>
                <w:sz w:val="17"/>
              </w:rPr>
            </w:pPr>
            <w:r>
              <w:rPr>
                <w:w w:val="70"/>
                <w:sz w:val="17"/>
              </w:rPr>
              <w:t>2.6</w:t>
            </w:r>
          </w:p>
        </w:tc>
        <w:tc>
          <w:tcPr>
            <w:tcW w:w="1054" w:type="dxa"/>
            <w:tcBorders>
              <w:left w:val="single" w:sz="3" w:space="0" w:color="000000"/>
              <w:right w:val="single" w:sz="3" w:space="0" w:color="000000"/>
            </w:tcBorders>
            <w:shd w:val="clear" w:color="auto" w:fill="E6B8B7"/>
          </w:tcPr>
          <w:p>
            <w:pPr>
              <w:pStyle w:val="TableParagraph"/>
              <w:ind w:right="16"/>
              <w:jc w:val="right"/>
              <w:rPr>
                <w:sz w:val="17"/>
              </w:rPr>
            </w:pPr>
            <w:r>
              <w:rPr>
                <w:w w:val="70"/>
                <w:sz w:val="17"/>
              </w:rPr>
              <w:t>0.4</w:t>
            </w:r>
          </w:p>
        </w:tc>
        <w:tc>
          <w:tcPr>
            <w:tcW w:w="1104" w:type="dxa"/>
            <w:tcBorders>
              <w:left w:val="single" w:sz="3" w:space="0" w:color="000000"/>
              <w:right w:val="single" w:sz="3" w:space="0" w:color="000000"/>
            </w:tcBorders>
            <w:shd w:val="clear" w:color="auto" w:fill="E6B8B7"/>
          </w:tcPr>
          <w:p>
            <w:pPr>
              <w:pStyle w:val="TableParagraph"/>
              <w:ind w:right="16"/>
              <w:jc w:val="right"/>
              <w:rPr>
                <w:sz w:val="17"/>
              </w:rPr>
            </w:pPr>
            <w:r>
              <w:rPr>
                <w:w w:val="70"/>
                <w:sz w:val="17"/>
              </w:rPr>
              <w:t>15.0</w:t>
            </w:r>
          </w:p>
        </w:tc>
        <w:tc>
          <w:tcPr>
            <w:tcW w:w="1004" w:type="dxa"/>
            <w:tcBorders>
              <w:left w:val="single" w:sz="3" w:space="0" w:color="000000"/>
              <w:right w:val="single" w:sz="3" w:space="0" w:color="000000"/>
            </w:tcBorders>
            <w:shd w:val="clear" w:color="auto" w:fill="E6B8B7"/>
          </w:tcPr>
          <w:p>
            <w:pPr>
              <w:pStyle w:val="TableParagraph"/>
              <w:ind w:right="17"/>
              <w:jc w:val="right"/>
              <w:rPr>
                <w:sz w:val="17"/>
              </w:rPr>
            </w:pPr>
            <w:r>
              <w:rPr>
                <w:w w:val="70"/>
                <w:sz w:val="17"/>
              </w:rPr>
              <w:t>0.0</w:t>
            </w:r>
          </w:p>
        </w:tc>
        <w:tc>
          <w:tcPr>
            <w:tcW w:w="934" w:type="dxa"/>
            <w:tcBorders>
              <w:left w:val="single" w:sz="3" w:space="0" w:color="000000"/>
              <w:right w:val="single" w:sz="3" w:space="0" w:color="000000"/>
            </w:tcBorders>
            <w:shd w:val="clear" w:color="auto" w:fill="E6B8B7"/>
          </w:tcPr>
          <w:p>
            <w:pPr>
              <w:pStyle w:val="TableParagraph"/>
              <w:ind w:right="16"/>
              <w:jc w:val="right"/>
              <w:rPr>
                <w:sz w:val="17"/>
              </w:rPr>
            </w:pPr>
            <w:r>
              <w:rPr>
                <w:w w:val="70"/>
                <w:sz w:val="17"/>
              </w:rPr>
              <w:t>7.7</w:t>
            </w:r>
          </w:p>
        </w:tc>
        <w:tc>
          <w:tcPr>
            <w:tcW w:w="894" w:type="dxa"/>
            <w:tcBorders>
              <w:left w:val="single" w:sz="3" w:space="0" w:color="000000"/>
              <w:right w:val="single" w:sz="3" w:space="0" w:color="000000"/>
            </w:tcBorders>
            <w:shd w:val="clear" w:color="auto" w:fill="E6B8B7"/>
          </w:tcPr>
          <w:p>
            <w:pPr>
              <w:pStyle w:val="TableParagraph"/>
              <w:ind w:right="16"/>
              <w:jc w:val="right"/>
              <w:rPr>
                <w:sz w:val="17"/>
              </w:rPr>
            </w:pPr>
            <w:r>
              <w:rPr>
                <w:w w:val="70"/>
                <w:sz w:val="17"/>
              </w:rPr>
              <w:t>0.0</w:t>
            </w:r>
          </w:p>
        </w:tc>
      </w:tr>
      <w:tr>
        <w:trPr>
          <w:trHeight w:val="219" w:hRule="exact"/>
        </w:trPr>
        <w:tc>
          <w:tcPr>
            <w:tcW w:w="2187" w:type="dxa"/>
            <w:tcBorders>
              <w:left w:val="single" w:sz="3" w:space="0" w:color="000000"/>
              <w:right w:val="single" w:sz="3" w:space="0" w:color="000000"/>
            </w:tcBorders>
          </w:tcPr>
          <w:p>
            <w:pPr>
              <w:pStyle w:val="TableParagraph"/>
              <w:spacing w:before="2"/>
              <w:ind w:left="18" w:right="-1"/>
              <w:rPr>
                <w:sz w:val="17"/>
              </w:rPr>
            </w:pPr>
            <w:r>
              <w:rPr>
                <w:w w:val="70"/>
                <w:sz w:val="17"/>
              </w:rPr>
              <w:t>Mejoramiento de vivienda</w:t>
            </w:r>
          </w:p>
        </w:tc>
        <w:tc>
          <w:tcPr>
            <w:tcW w:w="1183"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756"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973" w:type="dxa"/>
            <w:tcBorders>
              <w:left w:val="single" w:sz="3" w:space="0" w:color="000000"/>
              <w:right w:val="single" w:sz="3" w:space="0" w:color="000000"/>
            </w:tcBorders>
          </w:tcPr>
          <w:p>
            <w:pPr>
              <w:pStyle w:val="TableParagraph"/>
              <w:spacing w:before="2"/>
              <w:ind w:right="17"/>
              <w:jc w:val="right"/>
              <w:rPr>
                <w:sz w:val="17"/>
              </w:rPr>
            </w:pPr>
            <w:r>
              <w:rPr>
                <w:w w:val="70"/>
                <w:sz w:val="17"/>
              </w:rPr>
              <w:t>12.7</w:t>
            </w:r>
          </w:p>
        </w:tc>
        <w:tc>
          <w:tcPr>
            <w:tcW w:w="904" w:type="dxa"/>
            <w:tcBorders>
              <w:left w:val="single" w:sz="3" w:space="0" w:color="000000"/>
              <w:right w:val="single" w:sz="3" w:space="0" w:color="000000"/>
            </w:tcBorders>
          </w:tcPr>
          <w:p>
            <w:pPr>
              <w:pStyle w:val="TableParagraph"/>
              <w:spacing w:before="2"/>
              <w:ind w:right="17"/>
              <w:jc w:val="right"/>
              <w:rPr>
                <w:sz w:val="17"/>
              </w:rPr>
            </w:pPr>
            <w:r>
              <w:rPr>
                <w:w w:val="70"/>
                <w:sz w:val="17"/>
              </w:rPr>
              <w:t>17.3</w:t>
            </w:r>
          </w:p>
        </w:tc>
        <w:tc>
          <w:tcPr>
            <w:tcW w:w="105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1104" w:type="dxa"/>
            <w:tcBorders>
              <w:left w:val="single" w:sz="3" w:space="0" w:color="000000"/>
              <w:right w:val="single" w:sz="3" w:space="0" w:color="000000"/>
            </w:tcBorders>
          </w:tcPr>
          <w:p>
            <w:pPr>
              <w:pStyle w:val="TableParagraph"/>
              <w:spacing w:before="2"/>
              <w:ind w:right="16"/>
              <w:jc w:val="right"/>
              <w:rPr>
                <w:sz w:val="17"/>
              </w:rPr>
            </w:pPr>
            <w:r>
              <w:rPr>
                <w:w w:val="70"/>
                <w:sz w:val="17"/>
              </w:rPr>
              <w:t>3.0</w:t>
            </w:r>
          </w:p>
        </w:tc>
        <w:tc>
          <w:tcPr>
            <w:tcW w:w="1004" w:type="dxa"/>
            <w:tcBorders>
              <w:left w:val="single" w:sz="3" w:space="0" w:color="000000"/>
              <w:right w:val="single" w:sz="3" w:space="0" w:color="000000"/>
            </w:tcBorders>
          </w:tcPr>
          <w:p>
            <w:pPr>
              <w:pStyle w:val="TableParagraph"/>
              <w:spacing w:before="2"/>
              <w:ind w:right="17"/>
              <w:jc w:val="right"/>
              <w:rPr>
                <w:sz w:val="17"/>
              </w:rPr>
            </w:pPr>
            <w:r>
              <w:rPr>
                <w:w w:val="70"/>
                <w:sz w:val="17"/>
              </w:rPr>
              <w:t>2.5</w:t>
            </w:r>
          </w:p>
        </w:tc>
        <w:tc>
          <w:tcPr>
            <w:tcW w:w="934" w:type="dxa"/>
            <w:tcBorders>
              <w:left w:val="single" w:sz="3" w:space="0" w:color="000000"/>
              <w:right w:val="single" w:sz="3" w:space="0" w:color="000000"/>
            </w:tcBorders>
          </w:tcPr>
          <w:p>
            <w:pPr>
              <w:pStyle w:val="TableParagraph"/>
              <w:spacing w:before="2"/>
              <w:ind w:right="16"/>
              <w:jc w:val="right"/>
              <w:rPr>
                <w:sz w:val="17"/>
              </w:rPr>
            </w:pPr>
            <w:r>
              <w:rPr>
                <w:w w:val="70"/>
                <w:sz w:val="17"/>
              </w:rPr>
              <w:t>0.3</w:t>
            </w:r>
          </w:p>
        </w:tc>
        <w:tc>
          <w:tcPr>
            <w:tcW w:w="89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r>
      <w:tr>
        <w:trPr>
          <w:trHeight w:val="219" w:hRule="exact"/>
        </w:trPr>
        <w:tc>
          <w:tcPr>
            <w:tcW w:w="2187" w:type="dxa"/>
            <w:tcBorders>
              <w:left w:val="single" w:sz="3" w:space="0" w:color="000000"/>
              <w:right w:val="single" w:sz="3" w:space="0" w:color="000000"/>
            </w:tcBorders>
            <w:shd w:val="clear" w:color="auto" w:fill="E6B8B7"/>
          </w:tcPr>
          <w:p>
            <w:pPr>
              <w:pStyle w:val="TableParagraph"/>
              <w:spacing w:before="2"/>
              <w:ind w:left="18" w:right="-1"/>
              <w:rPr>
                <w:sz w:val="17"/>
              </w:rPr>
            </w:pPr>
            <w:r>
              <w:rPr>
                <w:w w:val="70"/>
                <w:sz w:val="17"/>
              </w:rPr>
              <w:t>Caminos rurales</w:t>
            </w:r>
          </w:p>
        </w:tc>
        <w:tc>
          <w:tcPr>
            <w:tcW w:w="118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756"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97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9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05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1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5.3</w:t>
            </w:r>
          </w:p>
        </w:tc>
        <w:tc>
          <w:tcPr>
            <w:tcW w:w="1004" w:type="dxa"/>
            <w:tcBorders>
              <w:left w:val="single" w:sz="3" w:space="0" w:color="000000"/>
              <w:right w:val="single" w:sz="3" w:space="0" w:color="000000"/>
            </w:tcBorders>
            <w:shd w:val="clear" w:color="auto" w:fill="E6B8B7"/>
          </w:tcPr>
          <w:p>
            <w:pPr>
              <w:pStyle w:val="TableParagraph"/>
              <w:spacing w:before="2"/>
              <w:ind w:right="17"/>
              <w:jc w:val="right"/>
              <w:rPr>
                <w:sz w:val="17"/>
              </w:rPr>
            </w:pPr>
            <w:r>
              <w:rPr>
                <w:w w:val="70"/>
                <w:sz w:val="17"/>
              </w:rPr>
              <w:t>7.2</w:t>
            </w:r>
          </w:p>
        </w:tc>
        <w:tc>
          <w:tcPr>
            <w:tcW w:w="93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89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r>
      <w:tr>
        <w:trPr>
          <w:trHeight w:val="220" w:hRule="exact"/>
        </w:trPr>
        <w:tc>
          <w:tcPr>
            <w:tcW w:w="2187" w:type="dxa"/>
            <w:tcBorders>
              <w:left w:val="single" w:sz="3" w:space="0" w:color="000000"/>
              <w:right w:val="single" w:sz="3" w:space="0" w:color="000000"/>
            </w:tcBorders>
          </w:tcPr>
          <w:p>
            <w:pPr>
              <w:pStyle w:val="TableParagraph"/>
              <w:spacing w:before="2"/>
              <w:ind w:left="18" w:right="-1"/>
              <w:rPr>
                <w:sz w:val="17"/>
              </w:rPr>
            </w:pPr>
            <w:r>
              <w:rPr>
                <w:w w:val="70"/>
                <w:sz w:val="17"/>
              </w:rPr>
              <w:t>Infraestructura productiva rural</w:t>
            </w:r>
          </w:p>
        </w:tc>
        <w:tc>
          <w:tcPr>
            <w:tcW w:w="1183"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756"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973"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90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105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110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1004" w:type="dxa"/>
            <w:tcBorders>
              <w:left w:val="single" w:sz="3" w:space="0" w:color="000000"/>
              <w:right w:val="single" w:sz="3" w:space="0" w:color="000000"/>
            </w:tcBorders>
          </w:tcPr>
          <w:p>
            <w:pPr>
              <w:pStyle w:val="TableParagraph"/>
              <w:spacing w:before="2"/>
              <w:ind w:right="17"/>
              <w:jc w:val="right"/>
              <w:rPr>
                <w:sz w:val="17"/>
              </w:rPr>
            </w:pPr>
            <w:r>
              <w:rPr>
                <w:w w:val="70"/>
                <w:sz w:val="17"/>
              </w:rPr>
              <w:t>0.0</w:t>
            </w:r>
          </w:p>
        </w:tc>
        <w:tc>
          <w:tcPr>
            <w:tcW w:w="934" w:type="dxa"/>
            <w:tcBorders>
              <w:left w:val="single" w:sz="3" w:space="0" w:color="000000"/>
              <w:right w:val="single" w:sz="3" w:space="0" w:color="000000"/>
            </w:tcBorders>
          </w:tcPr>
          <w:p>
            <w:pPr>
              <w:pStyle w:val="TableParagraph"/>
              <w:spacing w:before="2"/>
              <w:ind w:right="16"/>
              <w:jc w:val="right"/>
              <w:rPr>
                <w:sz w:val="17"/>
              </w:rPr>
            </w:pPr>
            <w:r>
              <w:rPr>
                <w:w w:val="70"/>
                <w:sz w:val="17"/>
              </w:rPr>
              <w:t>5.4</w:t>
            </w:r>
          </w:p>
        </w:tc>
        <w:tc>
          <w:tcPr>
            <w:tcW w:w="89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r>
      <w:tr>
        <w:trPr>
          <w:trHeight w:val="219" w:hRule="exact"/>
        </w:trPr>
        <w:tc>
          <w:tcPr>
            <w:tcW w:w="2187" w:type="dxa"/>
            <w:tcBorders>
              <w:left w:val="single" w:sz="3" w:space="0" w:color="000000"/>
              <w:right w:val="single" w:sz="3" w:space="0" w:color="000000"/>
            </w:tcBorders>
            <w:shd w:val="clear" w:color="auto" w:fill="E6B8B7"/>
          </w:tcPr>
          <w:p>
            <w:pPr>
              <w:pStyle w:val="TableParagraph"/>
              <w:spacing w:before="1"/>
              <w:ind w:left="18" w:right="-1"/>
              <w:rPr>
                <w:sz w:val="17"/>
              </w:rPr>
            </w:pPr>
            <w:r>
              <w:rPr>
                <w:w w:val="70"/>
                <w:sz w:val="17"/>
              </w:rPr>
              <w:t>Desarrollo Institucional</w:t>
            </w:r>
          </w:p>
        </w:tc>
        <w:tc>
          <w:tcPr>
            <w:tcW w:w="1183" w:type="dxa"/>
            <w:tcBorders>
              <w:left w:val="single" w:sz="3" w:space="0" w:color="000000"/>
              <w:right w:val="single" w:sz="3" w:space="0" w:color="000000"/>
            </w:tcBorders>
            <w:shd w:val="clear" w:color="auto" w:fill="E6B8B7"/>
          </w:tcPr>
          <w:p>
            <w:pPr>
              <w:pStyle w:val="TableParagraph"/>
              <w:spacing w:before="1"/>
              <w:ind w:right="16"/>
              <w:jc w:val="right"/>
              <w:rPr>
                <w:sz w:val="17"/>
              </w:rPr>
            </w:pPr>
            <w:r>
              <w:rPr>
                <w:w w:val="70"/>
                <w:sz w:val="17"/>
              </w:rPr>
              <w:t>4.7</w:t>
            </w:r>
          </w:p>
        </w:tc>
        <w:tc>
          <w:tcPr>
            <w:tcW w:w="756" w:type="dxa"/>
            <w:tcBorders>
              <w:left w:val="single" w:sz="3" w:space="0" w:color="000000"/>
              <w:right w:val="single" w:sz="3" w:space="0" w:color="000000"/>
            </w:tcBorders>
            <w:shd w:val="clear" w:color="auto" w:fill="E6B8B7"/>
          </w:tcPr>
          <w:p>
            <w:pPr>
              <w:pStyle w:val="TableParagraph"/>
              <w:spacing w:before="1"/>
              <w:ind w:right="16"/>
              <w:jc w:val="right"/>
              <w:rPr>
                <w:sz w:val="17"/>
              </w:rPr>
            </w:pPr>
            <w:r>
              <w:rPr>
                <w:w w:val="70"/>
                <w:sz w:val="17"/>
              </w:rPr>
              <w:t>0.0</w:t>
            </w:r>
          </w:p>
        </w:tc>
        <w:tc>
          <w:tcPr>
            <w:tcW w:w="973" w:type="dxa"/>
            <w:tcBorders>
              <w:left w:val="single" w:sz="3" w:space="0" w:color="000000"/>
              <w:right w:val="single" w:sz="3" w:space="0" w:color="000000"/>
            </w:tcBorders>
            <w:shd w:val="clear" w:color="auto" w:fill="E6B8B7"/>
          </w:tcPr>
          <w:p>
            <w:pPr>
              <w:pStyle w:val="TableParagraph"/>
              <w:spacing w:before="1"/>
              <w:ind w:right="16"/>
              <w:jc w:val="right"/>
              <w:rPr>
                <w:sz w:val="17"/>
              </w:rPr>
            </w:pPr>
            <w:r>
              <w:rPr>
                <w:w w:val="70"/>
                <w:sz w:val="17"/>
              </w:rPr>
              <w:t>0.0</w:t>
            </w:r>
          </w:p>
        </w:tc>
        <w:tc>
          <w:tcPr>
            <w:tcW w:w="904" w:type="dxa"/>
            <w:tcBorders>
              <w:left w:val="single" w:sz="3" w:space="0" w:color="000000"/>
              <w:right w:val="single" w:sz="3" w:space="0" w:color="000000"/>
            </w:tcBorders>
            <w:shd w:val="clear" w:color="auto" w:fill="E6B8B7"/>
          </w:tcPr>
          <w:p>
            <w:pPr>
              <w:pStyle w:val="TableParagraph"/>
              <w:spacing w:before="1"/>
              <w:ind w:right="16"/>
              <w:jc w:val="right"/>
              <w:rPr>
                <w:sz w:val="17"/>
              </w:rPr>
            </w:pPr>
            <w:r>
              <w:rPr>
                <w:w w:val="70"/>
                <w:sz w:val="17"/>
              </w:rPr>
              <w:t>0.0</w:t>
            </w:r>
          </w:p>
        </w:tc>
        <w:tc>
          <w:tcPr>
            <w:tcW w:w="1054" w:type="dxa"/>
            <w:tcBorders>
              <w:left w:val="single" w:sz="3" w:space="0" w:color="000000"/>
              <w:right w:val="single" w:sz="3" w:space="0" w:color="000000"/>
            </w:tcBorders>
            <w:shd w:val="clear" w:color="auto" w:fill="E6B8B7"/>
          </w:tcPr>
          <w:p>
            <w:pPr>
              <w:pStyle w:val="TableParagraph"/>
              <w:spacing w:before="1"/>
              <w:ind w:right="16"/>
              <w:jc w:val="right"/>
              <w:rPr>
                <w:sz w:val="17"/>
              </w:rPr>
            </w:pPr>
            <w:r>
              <w:rPr>
                <w:w w:val="70"/>
                <w:sz w:val="17"/>
              </w:rPr>
              <w:t>0.0</w:t>
            </w:r>
          </w:p>
        </w:tc>
        <w:tc>
          <w:tcPr>
            <w:tcW w:w="1104" w:type="dxa"/>
            <w:tcBorders>
              <w:left w:val="single" w:sz="3" w:space="0" w:color="000000"/>
              <w:right w:val="single" w:sz="3" w:space="0" w:color="000000"/>
            </w:tcBorders>
            <w:shd w:val="clear" w:color="auto" w:fill="E6B8B7"/>
          </w:tcPr>
          <w:p>
            <w:pPr>
              <w:pStyle w:val="TableParagraph"/>
              <w:spacing w:before="1"/>
              <w:ind w:right="16"/>
              <w:jc w:val="right"/>
              <w:rPr>
                <w:sz w:val="17"/>
              </w:rPr>
            </w:pPr>
            <w:r>
              <w:rPr>
                <w:w w:val="70"/>
                <w:sz w:val="17"/>
              </w:rPr>
              <w:t>0.5</w:t>
            </w:r>
          </w:p>
        </w:tc>
        <w:tc>
          <w:tcPr>
            <w:tcW w:w="1004" w:type="dxa"/>
            <w:tcBorders>
              <w:left w:val="single" w:sz="3" w:space="0" w:color="000000"/>
              <w:right w:val="single" w:sz="3" w:space="0" w:color="000000"/>
            </w:tcBorders>
            <w:shd w:val="clear" w:color="auto" w:fill="E6B8B7"/>
          </w:tcPr>
          <w:p>
            <w:pPr>
              <w:pStyle w:val="TableParagraph"/>
              <w:spacing w:before="1"/>
              <w:ind w:right="17"/>
              <w:jc w:val="right"/>
              <w:rPr>
                <w:sz w:val="17"/>
              </w:rPr>
            </w:pPr>
            <w:r>
              <w:rPr>
                <w:w w:val="70"/>
                <w:sz w:val="17"/>
              </w:rPr>
              <w:t>0.0</w:t>
            </w:r>
          </w:p>
        </w:tc>
        <w:tc>
          <w:tcPr>
            <w:tcW w:w="934" w:type="dxa"/>
            <w:tcBorders>
              <w:left w:val="single" w:sz="3" w:space="0" w:color="000000"/>
              <w:right w:val="single" w:sz="3" w:space="0" w:color="000000"/>
            </w:tcBorders>
            <w:shd w:val="clear" w:color="auto" w:fill="E6B8B7"/>
          </w:tcPr>
          <w:p>
            <w:pPr>
              <w:pStyle w:val="TableParagraph"/>
              <w:spacing w:before="1"/>
              <w:ind w:right="16"/>
              <w:jc w:val="right"/>
              <w:rPr>
                <w:sz w:val="17"/>
              </w:rPr>
            </w:pPr>
            <w:r>
              <w:rPr>
                <w:w w:val="70"/>
                <w:sz w:val="17"/>
              </w:rPr>
              <w:t>0.0</w:t>
            </w:r>
          </w:p>
        </w:tc>
        <w:tc>
          <w:tcPr>
            <w:tcW w:w="894" w:type="dxa"/>
            <w:tcBorders>
              <w:left w:val="single" w:sz="3" w:space="0" w:color="000000"/>
              <w:right w:val="single" w:sz="3" w:space="0" w:color="000000"/>
            </w:tcBorders>
            <w:shd w:val="clear" w:color="auto" w:fill="E6B8B7"/>
          </w:tcPr>
          <w:p>
            <w:pPr>
              <w:pStyle w:val="TableParagraph"/>
              <w:spacing w:before="1"/>
              <w:ind w:right="16"/>
              <w:jc w:val="right"/>
              <w:rPr>
                <w:sz w:val="17"/>
              </w:rPr>
            </w:pPr>
            <w:r>
              <w:rPr>
                <w:w w:val="70"/>
                <w:sz w:val="17"/>
              </w:rPr>
              <w:t>0.0</w:t>
            </w:r>
          </w:p>
        </w:tc>
      </w:tr>
      <w:tr>
        <w:trPr>
          <w:trHeight w:val="219" w:hRule="exact"/>
        </w:trPr>
        <w:tc>
          <w:tcPr>
            <w:tcW w:w="2187" w:type="dxa"/>
            <w:tcBorders>
              <w:left w:val="single" w:sz="3" w:space="0" w:color="000000"/>
              <w:right w:val="single" w:sz="3" w:space="0" w:color="000000"/>
            </w:tcBorders>
          </w:tcPr>
          <w:p>
            <w:pPr>
              <w:pStyle w:val="TableParagraph"/>
              <w:spacing w:before="2"/>
              <w:ind w:left="18" w:right="-1"/>
              <w:rPr>
                <w:sz w:val="17"/>
              </w:rPr>
            </w:pPr>
            <w:r>
              <w:rPr>
                <w:w w:val="70"/>
                <w:sz w:val="17"/>
              </w:rPr>
              <w:t>Gastos Indirectos</w:t>
            </w:r>
          </w:p>
        </w:tc>
        <w:tc>
          <w:tcPr>
            <w:tcW w:w="1183"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756"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973"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90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105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1104" w:type="dxa"/>
            <w:tcBorders>
              <w:left w:val="single" w:sz="3" w:space="0" w:color="000000"/>
              <w:right w:val="single" w:sz="3" w:space="0" w:color="000000"/>
            </w:tcBorders>
          </w:tcPr>
          <w:p>
            <w:pPr>
              <w:pStyle w:val="TableParagraph"/>
              <w:spacing w:before="2"/>
              <w:ind w:right="16"/>
              <w:jc w:val="right"/>
              <w:rPr>
                <w:sz w:val="17"/>
              </w:rPr>
            </w:pPr>
            <w:r>
              <w:rPr>
                <w:w w:val="70"/>
                <w:sz w:val="17"/>
              </w:rPr>
              <w:t>0.0</w:t>
            </w:r>
          </w:p>
        </w:tc>
        <w:tc>
          <w:tcPr>
            <w:tcW w:w="1004" w:type="dxa"/>
            <w:tcBorders>
              <w:left w:val="single" w:sz="3" w:space="0" w:color="000000"/>
              <w:right w:val="single" w:sz="3" w:space="0" w:color="000000"/>
            </w:tcBorders>
          </w:tcPr>
          <w:p>
            <w:pPr>
              <w:pStyle w:val="TableParagraph"/>
              <w:spacing w:before="2"/>
              <w:ind w:right="17"/>
              <w:jc w:val="right"/>
              <w:rPr>
                <w:sz w:val="17"/>
              </w:rPr>
            </w:pPr>
            <w:r>
              <w:rPr>
                <w:w w:val="70"/>
                <w:sz w:val="17"/>
              </w:rPr>
              <w:t>0.0</w:t>
            </w:r>
          </w:p>
        </w:tc>
        <w:tc>
          <w:tcPr>
            <w:tcW w:w="934" w:type="dxa"/>
            <w:tcBorders>
              <w:left w:val="single" w:sz="3" w:space="0" w:color="000000"/>
              <w:right w:val="single" w:sz="3" w:space="0" w:color="000000"/>
            </w:tcBorders>
          </w:tcPr>
          <w:p>
            <w:pPr>
              <w:pStyle w:val="TableParagraph"/>
              <w:spacing w:before="2"/>
              <w:ind w:right="16"/>
              <w:jc w:val="right"/>
              <w:rPr>
                <w:sz w:val="17"/>
              </w:rPr>
            </w:pPr>
            <w:r>
              <w:rPr>
                <w:w w:val="70"/>
                <w:sz w:val="17"/>
              </w:rPr>
              <w:t>2.1</w:t>
            </w:r>
          </w:p>
        </w:tc>
        <w:tc>
          <w:tcPr>
            <w:tcW w:w="894" w:type="dxa"/>
            <w:tcBorders>
              <w:left w:val="single" w:sz="3" w:space="0" w:color="000000"/>
              <w:right w:val="single" w:sz="3" w:space="0" w:color="000000"/>
            </w:tcBorders>
          </w:tcPr>
          <w:p>
            <w:pPr>
              <w:pStyle w:val="TableParagraph"/>
              <w:spacing w:before="2"/>
              <w:ind w:right="16"/>
              <w:jc w:val="right"/>
              <w:rPr>
                <w:sz w:val="17"/>
              </w:rPr>
            </w:pPr>
            <w:r>
              <w:rPr>
                <w:w w:val="70"/>
                <w:sz w:val="17"/>
              </w:rPr>
              <w:t>0.6</w:t>
            </w:r>
          </w:p>
        </w:tc>
      </w:tr>
      <w:tr>
        <w:trPr>
          <w:trHeight w:val="219" w:hRule="exact"/>
        </w:trPr>
        <w:tc>
          <w:tcPr>
            <w:tcW w:w="2187" w:type="dxa"/>
            <w:tcBorders>
              <w:left w:val="single" w:sz="3" w:space="0" w:color="000000"/>
              <w:right w:val="single" w:sz="3" w:space="0" w:color="000000"/>
            </w:tcBorders>
            <w:shd w:val="clear" w:color="auto" w:fill="E6B8B7"/>
          </w:tcPr>
          <w:p>
            <w:pPr>
              <w:pStyle w:val="TableParagraph"/>
              <w:spacing w:before="2"/>
              <w:ind w:left="18" w:right="-1"/>
              <w:rPr>
                <w:sz w:val="17"/>
              </w:rPr>
            </w:pPr>
            <w:r>
              <w:rPr>
                <w:w w:val="80"/>
                <w:sz w:val="17"/>
              </w:rPr>
              <w:t>Otros</w:t>
            </w:r>
          </w:p>
        </w:tc>
        <w:tc>
          <w:tcPr>
            <w:tcW w:w="118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0.00</w:t>
            </w:r>
          </w:p>
        </w:tc>
        <w:tc>
          <w:tcPr>
            <w:tcW w:w="756"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13.1</w:t>
            </w:r>
          </w:p>
        </w:tc>
        <w:tc>
          <w:tcPr>
            <w:tcW w:w="973"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2.2</w:t>
            </w:r>
          </w:p>
        </w:tc>
        <w:tc>
          <w:tcPr>
            <w:tcW w:w="9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05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10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c>
          <w:tcPr>
            <w:tcW w:w="1004" w:type="dxa"/>
            <w:tcBorders>
              <w:left w:val="single" w:sz="3" w:space="0" w:color="000000"/>
              <w:right w:val="single" w:sz="3" w:space="0" w:color="000000"/>
            </w:tcBorders>
            <w:shd w:val="clear" w:color="auto" w:fill="E6B8B7"/>
          </w:tcPr>
          <w:p>
            <w:pPr>
              <w:pStyle w:val="TableParagraph"/>
              <w:spacing w:before="2"/>
              <w:ind w:right="17"/>
              <w:jc w:val="right"/>
              <w:rPr>
                <w:sz w:val="17"/>
              </w:rPr>
            </w:pPr>
            <w:r>
              <w:rPr>
                <w:w w:val="70"/>
                <w:sz w:val="17"/>
              </w:rPr>
              <w:t>20.6</w:t>
            </w:r>
          </w:p>
        </w:tc>
        <w:tc>
          <w:tcPr>
            <w:tcW w:w="93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26.5</w:t>
            </w:r>
          </w:p>
        </w:tc>
        <w:tc>
          <w:tcPr>
            <w:tcW w:w="894" w:type="dxa"/>
            <w:tcBorders>
              <w:left w:val="single" w:sz="3" w:space="0" w:color="000000"/>
              <w:right w:val="single" w:sz="3" w:space="0" w:color="000000"/>
            </w:tcBorders>
            <w:shd w:val="clear" w:color="auto" w:fill="E6B8B7"/>
          </w:tcPr>
          <w:p>
            <w:pPr>
              <w:pStyle w:val="TableParagraph"/>
              <w:spacing w:before="2"/>
              <w:ind w:right="16"/>
              <w:jc w:val="right"/>
              <w:rPr>
                <w:sz w:val="17"/>
              </w:rPr>
            </w:pPr>
            <w:r>
              <w:rPr>
                <w:w w:val="70"/>
                <w:sz w:val="17"/>
              </w:rPr>
              <w:t>0.0</w:t>
            </w:r>
          </w:p>
        </w:tc>
      </w:tr>
      <w:tr>
        <w:trPr>
          <w:trHeight w:val="220" w:hRule="exact"/>
        </w:trPr>
        <w:tc>
          <w:tcPr>
            <w:tcW w:w="2187" w:type="dxa"/>
            <w:tcBorders>
              <w:left w:val="single" w:sz="3" w:space="0" w:color="000000"/>
              <w:right w:val="single" w:sz="3" w:space="0" w:color="000000"/>
            </w:tcBorders>
          </w:tcPr>
          <w:p>
            <w:pPr>
              <w:pStyle w:val="TableParagraph"/>
              <w:spacing w:before="2"/>
              <w:ind w:left="1267" w:right="-1"/>
              <w:rPr>
                <w:b/>
                <w:sz w:val="17"/>
              </w:rPr>
            </w:pPr>
            <w:r>
              <w:rPr>
                <w:b/>
                <w:w w:val="70"/>
                <w:sz w:val="17"/>
              </w:rPr>
              <w:t>Porcentaje total</w:t>
            </w:r>
          </w:p>
        </w:tc>
        <w:tc>
          <w:tcPr>
            <w:tcW w:w="1183" w:type="dxa"/>
            <w:tcBorders>
              <w:left w:val="single" w:sz="3" w:space="0" w:color="000000"/>
              <w:right w:val="single" w:sz="3" w:space="0" w:color="000000"/>
            </w:tcBorders>
          </w:tcPr>
          <w:p>
            <w:pPr>
              <w:pStyle w:val="TableParagraph"/>
              <w:spacing w:before="2"/>
              <w:ind w:right="15"/>
              <w:jc w:val="right"/>
              <w:rPr>
                <w:b/>
                <w:sz w:val="17"/>
              </w:rPr>
            </w:pPr>
            <w:r>
              <w:rPr>
                <w:b/>
                <w:w w:val="70"/>
                <w:sz w:val="17"/>
              </w:rPr>
              <w:t>100.0</w:t>
            </w:r>
          </w:p>
        </w:tc>
        <w:tc>
          <w:tcPr>
            <w:tcW w:w="756" w:type="dxa"/>
            <w:tcBorders>
              <w:left w:val="single" w:sz="3" w:space="0" w:color="000000"/>
              <w:right w:val="single" w:sz="3" w:space="0" w:color="000000"/>
            </w:tcBorders>
          </w:tcPr>
          <w:p>
            <w:pPr>
              <w:pStyle w:val="TableParagraph"/>
              <w:spacing w:before="2"/>
              <w:ind w:right="15"/>
              <w:jc w:val="right"/>
              <w:rPr>
                <w:b/>
                <w:sz w:val="17"/>
              </w:rPr>
            </w:pPr>
            <w:r>
              <w:rPr>
                <w:b/>
                <w:w w:val="70"/>
                <w:sz w:val="17"/>
              </w:rPr>
              <w:t>100.0</w:t>
            </w:r>
          </w:p>
        </w:tc>
        <w:tc>
          <w:tcPr>
            <w:tcW w:w="973" w:type="dxa"/>
            <w:tcBorders>
              <w:left w:val="single" w:sz="3" w:space="0" w:color="000000"/>
              <w:right w:val="single" w:sz="3" w:space="0" w:color="000000"/>
            </w:tcBorders>
          </w:tcPr>
          <w:p>
            <w:pPr>
              <w:pStyle w:val="TableParagraph"/>
              <w:spacing w:before="2"/>
              <w:ind w:right="15"/>
              <w:jc w:val="right"/>
              <w:rPr>
                <w:b/>
                <w:sz w:val="17"/>
              </w:rPr>
            </w:pPr>
            <w:r>
              <w:rPr>
                <w:b/>
                <w:w w:val="70"/>
                <w:sz w:val="17"/>
              </w:rPr>
              <w:t>100.0</w:t>
            </w:r>
          </w:p>
        </w:tc>
        <w:tc>
          <w:tcPr>
            <w:tcW w:w="904" w:type="dxa"/>
            <w:tcBorders>
              <w:left w:val="single" w:sz="3" w:space="0" w:color="000000"/>
              <w:right w:val="single" w:sz="3" w:space="0" w:color="000000"/>
            </w:tcBorders>
          </w:tcPr>
          <w:p>
            <w:pPr>
              <w:pStyle w:val="TableParagraph"/>
              <w:spacing w:before="2"/>
              <w:ind w:right="15"/>
              <w:jc w:val="right"/>
              <w:rPr>
                <w:b/>
                <w:sz w:val="17"/>
              </w:rPr>
            </w:pPr>
            <w:r>
              <w:rPr>
                <w:b/>
                <w:w w:val="70"/>
                <w:sz w:val="17"/>
              </w:rPr>
              <w:t>100.0</w:t>
            </w:r>
          </w:p>
        </w:tc>
        <w:tc>
          <w:tcPr>
            <w:tcW w:w="1054" w:type="dxa"/>
            <w:tcBorders>
              <w:left w:val="single" w:sz="3" w:space="0" w:color="000000"/>
              <w:right w:val="single" w:sz="3" w:space="0" w:color="000000"/>
            </w:tcBorders>
          </w:tcPr>
          <w:p>
            <w:pPr>
              <w:pStyle w:val="TableParagraph"/>
              <w:spacing w:before="2"/>
              <w:ind w:right="15"/>
              <w:jc w:val="right"/>
              <w:rPr>
                <w:b/>
                <w:sz w:val="17"/>
              </w:rPr>
            </w:pPr>
            <w:r>
              <w:rPr>
                <w:b/>
                <w:w w:val="70"/>
                <w:sz w:val="17"/>
              </w:rPr>
              <w:t>100.0</w:t>
            </w:r>
          </w:p>
        </w:tc>
        <w:tc>
          <w:tcPr>
            <w:tcW w:w="1104" w:type="dxa"/>
            <w:tcBorders>
              <w:left w:val="single" w:sz="3" w:space="0" w:color="000000"/>
              <w:right w:val="single" w:sz="3" w:space="0" w:color="000000"/>
            </w:tcBorders>
          </w:tcPr>
          <w:p>
            <w:pPr>
              <w:pStyle w:val="TableParagraph"/>
              <w:spacing w:before="2"/>
              <w:ind w:right="15"/>
              <w:jc w:val="right"/>
              <w:rPr>
                <w:b/>
                <w:sz w:val="17"/>
              </w:rPr>
            </w:pPr>
            <w:r>
              <w:rPr>
                <w:b/>
                <w:w w:val="70"/>
                <w:sz w:val="17"/>
              </w:rPr>
              <w:t>100.0</w:t>
            </w:r>
          </w:p>
        </w:tc>
        <w:tc>
          <w:tcPr>
            <w:tcW w:w="1004" w:type="dxa"/>
            <w:tcBorders>
              <w:left w:val="single" w:sz="3" w:space="0" w:color="000000"/>
              <w:right w:val="single" w:sz="3" w:space="0" w:color="000000"/>
            </w:tcBorders>
          </w:tcPr>
          <w:p>
            <w:pPr>
              <w:pStyle w:val="TableParagraph"/>
              <w:spacing w:before="2"/>
              <w:ind w:right="15"/>
              <w:jc w:val="right"/>
              <w:rPr>
                <w:b/>
                <w:sz w:val="17"/>
              </w:rPr>
            </w:pPr>
            <w:r>
              <w:rPr>
                <w:b/>
                <w:w w:val="70"/>
                <w:sz w:val="17"/>
              </w:rPr>
              <w:t>100.0</w:t>
            </w:r>
          </w:p>
        </w:tc>
        <w:tc>
          <w:tcPr>
            <w:tcW w:w="934" w:type="dxa"/>
            <w:tcBorders>
              <w:left w:val="single" w:sz="3" w:space="0" w:color="000000"/>
              <w:right w:val="single" w:sz="3" w:space="0" w:color="000000"/>
            </w:tcBorders>
          </w:tcPr>
          <w:p>
            <w:pPr>
              <w:pStyle w:val="TableParagraph"/>
              <w:spacing w:before="2"/>
              <w:ind w:right="15"/>
              <w:jc w:val="right"/>
              <w:rPr>
                <w:b/>
                <w:sz w:val="17"/>
              </w:rPr>
            </w:pPr>
            <w:r>
              <w:rPr>
                <w:b/>
                <w:w w:val="70"/>
                <w:sz w:val="17"/>
              </w:rPr>
              <w:t>100.0</w:t>
            </w:r>
          </w:p>
        </w:tc>
        <w:tc>
          <w:tcPr>
            <w:tcW w:w="894" w:type="dxa"/>
            <w:tcBorders>
              <w:left w:val="single" w:sz="3" w:space="0" w:color="000000"/>
              <w:right w:val="single" w:sz="3" w:space="0" w:color="000000"/>
            </w:tcBorders>
          </w:tcPr>
          <w:p>
            <w:pPr>
              <w:pStyle w:val="TableParagraph"/>
              <w:spacing w:before="2"/>
              <w:ind w:right="14"/>
              <w:jc w:val="right"/>
              <w:rPr>
                <w:b/>
                <w:sz w:val="17"/>
              </w:rPr>
            </w:pPr>
            <w:r>
              <w:rPr>
                <w:b/>
                <w:w w:val="70"/>
                <w:sz w:val="17"/>
              </w:rPr>
              <w:t>100.0</w:t>
            </w:r>
          </w:p>
        </w:tc>
      </w:tr>
    </w:tbl>
    <w:p>
      <w:pPr>
        <w:spacing w:line="242" w:lineRule="auto" w:before="95"/>
        <w:ind w:left="142" w:right="0" w:firstLine="0"/>
        <w:jc w:val="left"/>
        <w:rPr>
          <w:sz w:val="20"/>
        </w:rPr>
      </w:pPr>
      <w:r>
        <w:rPr>
          <w:b/>
          <w:sz w:val="20"/>
        </w:rPr>
        <w:t>Fuente</w:t>
      </w:r>
      <w:r>
        <w:rPr>
          <w:sz w:val="20"/>
        </w:rPr>
        <w:t>:</w:t>
      </w:r>
      <w:r>
        <w:rPr>
          <w:spacing w:val="-9"/>
          <w:sz w:val="20"/>
        </w:rPr>
        <w:t> </w:t>
      </w:r>
      <w:r>
        <w:rPr>
          <w:sz w:val="20"/>
        </w:rPr>
        <w:t>Elaboración</w:t>
      </w:r>
      <w:r>
        <w:rPr>
          <w:spacing w:val="-9"/>
          <w:sz w:val="20"/>
        </w:rPr>
        <w:t> </w:t>
      </w:r>
      <w:r>
        <w:rPr>
          <w:sz w:val="20"/>
        </w:rPr>
        <w:t>propia</w:t>
      </w:r>
      <w:r>
        <w:rPr>
          <w:spacing w:val="-8"/>
          <w:sz w:val="20"/>
        </w:rPr>
        <w:t> </w:t>
      </w:r>
      <w:r>
        <w:rPr>
          <w:sz w:val="20"/>
        </w:rPr>
        <w:t>con</w:t>
      </w:r>
      <w:r>
        <w:rPr>
          <w:spacing w:val="-10"/>
          <w:sz w:val="20"/>
        </w:rPr>
        <w:t> </w:t>
      </w:r>
      <w:r>
        <w:rPr>
          <w:sz w:val="20"/>
        </w:rPr>
        <w:t>base</w:t>
      </w:r>
      <w:r>
        <w:rPr>
          <w:spacing w:val="-8"/>
          <w:sz w:val="20"/>
        </w:rPr>
        <w:t> </w:t>
      </w:r>
      <w:r>
        <w:rPr>
          <w:sz w:val="20"/>
        </w:rPr>
        <w:t>en</w:t>
      </w:r>
      <w:r>
        <w:rPr>
          <w:spacing w:val="-8"/>
          <w:sz w:val="20"/>
        </w:rPr>
        <w:t> </w:t>
      </w:r>
      <w:r>
        <w:rPr>
          <w:sz w:val="20"/>
        </w:rPr>
        <w:t>el</w:t>
      </w:r>
      <w:r>
        <w:rPr>
          <w:spacing w:val="-9"/>
          <w:sz w:val="20"/>
        </w:rPr>
        <w:t> </w:t>
      </w:r>
      <w:r>
        <w:rPr>
          <w:sz w:val="20"/>
        </w:rPr>
        <w:t>Informe</w:t>
      </w:r>
      <w:r>
        <w:rPr>
          <w:spacing w:val="-9"/>
          <w:sz w:val="20"/>
        </w:rPr>
        <w:t> </w:t>
      </w:r>
      <w:r>
        <w:rPr>
          <w:sz w:val="20"/>
        </w:rPr>
        <w:t>de</w:t>
      </w:r>
      <w:r>
        <w:rPr>
          <w:spacing w:val="-10"/>
          <w:sz w:val="20"/>
        </w:rPr>
        <w:t> </w:t>
      </w:r>
      <w:r>
        <w:rPr>
          <w:sz w:val="20"/>
        </w:rPr>
        <w:t>Resultados</w:t>
      </w:r>
      <w:r>
        <w:rPr>
          <w:spacing w:val="-9"/>
          <w:sz w:val="20"/>
        </w:rPr>
        <w:t> </w:t>
      </w:r>
      <w:r>
        <w:rPr>
          <w:sz w:val="20"/>
        </w:rPr>
        <w:t>de</w:t>
      </w:r>
      <w:r>
        <w:rPr>
          <w:spacing w:val="-9"/>
          <w:sz w:val="20"/>
        </w:rPr>
        <w:t> </w:t>
      </w:r>
      <w:r>
        <w:rPr>
          <w:sz w:val="20"/>
        </w:rPr>
        <w:t>la</w:t>
      </w:r>
      <w:r>
        <w:rPr>
          <w:spacing w:val="-9"/>
          <w:sz w:val="20"/>
        </w:rPr>
        <w:t> </w:t>
      </w:r>
      <w:r>
        <w:rPr>
          <w:sz w:val="20"/>
        </w:rPr>
        <w:t>Fiscalización</w:t>
      </w:r>
      <w:r>
        <w:rPr>
          <w:spacing w:val="-10"/>
          <w:sz w:val="20"/>
        </w:rPr>
        <w:t> </w:t>
      </w:r>
      <w:r>
        <w:rPr>
          <w:sz w:val="20"/>
        </w:rPr>
        <w:t>Superior</w:t>
      </w:r>
      <w:r>
        <w:rPr>
          <w:spacing w:val="-9"/>
          <w:sz w:val="20"/>
        </w:rPr>
        <w:t> </w:t>
      </w:r>
      <w:r>
        <w:rPr>
          <w:sz w:val="20"/>
        </w:rPr>
        <w:t>de</w:t>
      </w:r>
      <w:r>
        <w:rPr>
          <w:spacing w:val="-9"/>
          <w:sz w:val="20"/>
        </w:rPr>
        <w:t> </w:t>
      </w:r>
      <w:r>
        <w:rPr>
          <w:sz w:val="20"/>
        </w:rPr>
        <w:t>las</w:t>
      </w:r>
      <w:r>
        <w:rPr>
          <w:spacing w:val="-9"/>
          <w:sz w:val="20"/>
        </w:rPr>
        <w:t> </w:t>
      </w:r>
      <w:r>
        <w:rPr>
          <w:sz w:val="20"/>
        </w:rPr>
        <w:t>cuentas</w:t>
      </w:r>
      <w:r>
        <w:rPr>
          <w:spacing w:val="-7"/>
          <w:sz w:val="20"/>
        </w:rPr>
        <w:t> </w:t>
      </w:r>
      <w:r>
        <w:rPr>
          <w:sz w:val="20"/>
        </w:rPr>
        <w:t>públicas</w:t>
      </w:r>
      <w:r>
        <w:rPr>
          <w:spacing w:val="-9"/>
          <w:sz w:val="20"/>
        </w:rPr>
        <w:t> </w:t>
      </w:r>
      <w:r>
        <w:rPr>
          <w:sz w:val="20"/>
        </w:rPr>
        <w:t>2008- 2014.</w:t>
      </w:r>
    </w:p>
    <w:p>
      <w:pPr>
        <w:spacing w:after="0" w:line="242" w:lineRule="auto"/>
        <w:jc w:val="left"/>
        <w:rPr>
          <w:sz w:val="20"/>
        </w:rPr>
        <w:sectPr>
          <w:pgSz w:w="15840" w:h="12240" w:orient="landscape"/>
          <w:pgMar w:header="0" w:footer="992" w:top="1140" w:bottom="1180" w:left="2260" w:right="2260"/>
        </w:sectPr>
      </w:pPr>
    </w:p>
    <w:p>
      <w:pPr>
        <w:pStyle w:val="BodyText"/>
        <w:rPr>
          <w:sz w:val="20"/>
        </w:rPr>
      </w:pPr>
    </w:p>
    <w:p>
      <w:pPr>
        <w:pStyle w:val="BodyText"/>
        <w:spacing w:before="10"/>
        <w:rPr>
          <w:sz w:val="28"/>
        </w:rPr>
      </w:pPr>
    </w:p>
    <w:p>
      <w:pPr>
        <w:pStyle w:val="BodyText"/>
        <w:spacing w:before="70"/>
        <w:ind w:left="1742"/>
      </w:pPr>
      <w:r>
        <w:rPr/>
        <w:t>Anexo 27.</w:t>
      </w:r>
    </w:p>
    <w:p>
      <w:pPr>
        <w:pStyle w:val="BodyText"/>
        <w:spacing w:before="10"/>
        <w:rPr>
          <w:sz w:val="12"/>
        </w:rPr>
      </w:pPr>
    </w:p>
    <w:p>
      <w:pPr>
        <w:pStyle w:val="BodyText"/>
        <w:spacing w:before="6"/>
        <w:rPr>
          <w:sz w:val="7"/>
        </w:rPr>
      </w:pPr>
    </w:p>
    <w:p>
      <w:pPr>
        <w:spacing w:line="256" w:lineRule="auto" w:before="0"/>
        <w:ind w:left="4627" w:right="4726" w:firstLine="2"/>
        <w:jc w:val="center"/>
        <w:rPr>
          <w:b/>
          <w:sz w:val="9"/>
        </w:rPr>
      </w:pPr>
      <w:r>
        <w:rPr/>
        <w:pict>
          <v:group style="position:absolute;margin-left:95.526642pt;margin-top:27.341141pt;width:605.75pt;height:350.85pt;mso-position-horizontal-relative:page;mso-position-vertical-relative:paragraph;z-index:-678352" coordorigin="1911,547" coordsize="12115,7017">
            <v:shape style="position:absolute;left:1920;top:2466;width:12093;height:854" coordorigin="1920,2466" coordsize="12093,854" path="m8400,3030l1920,3030,1920,3319,8400,3319,8400,3030m14012,2466l1920,2466,1920,2753,14012,2753,14012,2466e" filled="true" fillcolor="#e6b8b7" stroked="false">
              <v:path arrowok="t"/>
              <v:fill type="solid"/>
            </v:shape>
            <v:shape style="position:absolute;left:1926;top:3030;width:6478;height:2" coordorigin="1926,3030" coordsize="6478,0" path="m1926,3030l1926,3030,8403,3030e" filled="false" stroked="true" strokeweight=".879535pt" strokecolor="#000000">
              <v:path arrowok="t"/>
            </v:shape>
            <v:shape style="position:absolute;left:1920;top:3596;width:12093;height:2552" coordorigin="1920,3596" coordsize="12093,2552" path="m4226,4162l1920,4162,1920,4450,4226,4450,4226,4162m14012,5859l1920,5859,1920,6147,14012,6147,14012,5859m14012,5295l1920,5295,1920,5581,14012,5581,14012,5295m14012,4728l1920,4728,1920,5015,14012,5015,14012,4728m14012,3596l1920,3596,1920,3884,14012,3884,14012,3596e" filled="true" fillcolor="#e6b8b7" stroked="false">
              <v:path arrowok="t"/>
              <v:fill type="solid"/>
            </v:shape>
            <v:shape style="position:absolute;left:449;top:5477;width:5559;height:4234" coordorigin="449,5477" coordsize="5559,4234" path="m1920,1890l1920,1890,1920,6435m4639,2318l4639,3765m4639,4881l4639,6105m5865,2318l5865,3765m5865,4881l5865,6105e" filled="false" stroked="true" strokeweight=".730469pt" strokecolor="#000000">
              <v:path arrowok="t"/>
            </v:shape>
            <v:rect style="position:absolute;left:6187;top:4162;width:7825;height:287" filled="true" fillcolor="#e6b8b7" stroked="false">
              <v:fill type="solid"/>
            </v:rect>
            <v:shape style="position:absolute;left:7680;top:5494;width:1898;height:4217" coordorigin="7680,5494" coordsize="1898,4217" path="m7051,1908l7051,1908,7051,6435m8398,1908l8398,1908,8398,6435e" filled="false" stroked="true" strokeweight=".730469pt" strokecolor="#000000">
              <v:path arrowok="t"/>
            </v:shape>
            <v:rect style="position:absolute;left:9868;top:3030;width:4144;height:289" filled="true" fillcolor="#e6b8b7" stroked="false">
              <v:fill type="solid"/>
            </v:rect>
            <v:shape style="position:absolute;left:449;top:5222;width:17044;height:4489" coordorigin="449,5222" coordsize="17044,4489" path="m9868,1908l9868,1908,9868,6435m11180,1908l11180,1908,11180,6435m12662,1908l12662,1908,12662,6435m14009,1908l14009,1908,14009,6435m6187,1900l14016,1900m1926,1900l4226,1900m1926,2466l1926,2466,14016,2466m1926,2748l1926,2748,14016,2748m9875,3030l9875,3030,14016,3030m1926,3314l1926,3314,14016,3314m1926,3596l1926,3596,14016,3596m6187,3880l14016,3880m1926,3880l4226,3880m6187,4162l14016,4162m1926,4162l4226,4162m6187,4444l14016,4444m1926,4444l4226,4444m6187,4728l14016,4728m1926,4728l4226,4728m1926,5010l1926,5010,14016,5010m1926,5295l1926,5295,14016,5295m1926,5577l1926,5577,14016,5577m1926,5859l1926,5859,14016,5859m6187,6143l14016,6143m1926,6143l4226,6143m6187,6425l14016,6425m1926,6425l4226,6425m6187,1616l14012,1616m1920,1616l4226,1616e" filled="false" stroked="true" strokeweight=".730469pt" strokecolor="#000000">
              <v:path arrowok="t"/>
            </v:shape>
            <v:rect style="position:absolute;left:4226;top:556;width:7382;height:425" filled="true" fillcolor="#e6b8b7" stroked="false">
              <v:fill type="solid"/>
            </v:rect>
            <v:rect style="position:absolute;left:4226;top:979;width:7382;height:225" filled="true" fillcolor="#f1dcdb" stroked="false">
              <v:fill type="solid"/>
            </v:rect>
            <v:shape style="position:absolute;left:4226;top:1202;width:1962;height:6355" coordorigin="4226,1202" coordsize="1962,6355" path="m6187,6105l4226,6105,4226,7556,6187,7556,6187,6105m6187,3765l4226,3765,4226,4881,6187,4881,6187,3765m6187,1202l4226,1202,4226,2318,6187,2318,6187,1202e" filled="true" fillcolor="#ffffff" stroked="false">
              <v:path arrowok="t"/>
              <v:fill type="solid"/>
            </v:shape>
            <v:shape style="position:absolute;left:289;top:-6309;width:9836;height:15978" coordorigin="289,-6309" coordsize="9836,15978" path="m4226,553l4226,553,4226,7558m6184,560l6184,560,6184,7558m7689,560l7689,560,7689,7558m9850,560l9850,560,9850,7558m11606,560l11606,560,11606,7558m4232,556l4232,556,11611,556m4232,979l4232,979,11611,979m4232,1202l4232,1202,11611,1202m4232,2317l4232,2317,11611,2317m4232,3765l4232,3765,11611,3765m4232,4879l4232,4879,11611,4879m4232,6105l4232,6105,11611,6105m4232,7555l4232,7555,11611,7555e" filled="false" stroked="true" strokeweight=".442862pt" strokecolor="#000000">
              <v:path arrowok="t"/>
            </v:shape>
            <w10:wrap type="none"/>
          </v:group>
        </w:pict>
      </w:r>
      <w:r>
        <w:rPr>
          <w:b/>
          <w:w w:val="170"/>
          <w:sz w:val="9"/>
        </w:rPr>
        <w:t>Calidad de la Gestión Gubernamental Controles Internos (Manejo y Aplicación) Almoloya de Juárez Ejercicio fiscal 2008</w:t>
      </w:r>
    </w:p>
    <w:p>
      <w:pPr>
        <w:pStyle w:val="BodyText"/>
        <w:spacing w:line="20" w:lineRule="exact"/>
        <w:ind w:left="2422"/>
        <w:rPr>
          <w:sz w:val="2"/>
        </w:rPr>
      </w:pPr>
      <w:r>
        <w:rPr>
          <w:sz w:val="2"/>
        </w:rPr>
        <w:pict>
          <v:group style="width:369.5pt;height:.35pt;mso-position-horizontal-relative:char;mso-position-vertical-relative:line" coordorigin="0,0" coordsize="7390,7">
            <v:shape style="position:absolute;left:3;top:3;width:7383;height:2" coordorigin="3,3" coordsize="7383,0" path="m3,3l3,3,7386,4e" filled="false" stroked="true" strokeweight=".326502pt" strokecolor="#000000">
              <v:path arrowok="t"/>
            </v:shape>
          </v:group>
        </w:pict>
      </w:r>
      <w:r>
        <w:rPr>
          <w:sz w:val="2"/>
        </w:rPr>
      </w:r>
    </w:p>
    <w:p>
      <w:pPr>
        <w:pStyle w:val="BodyText"/>
        <w:spacing w:before="2"/>
        <w:rPr>
          <w:b/>
          <w:sz w:val="10"/>
        </w:rPr>
      </w:pPr>
    </w:p>
    <w:p>
      <w:pPr>
        <w:spacing w:after="0"/>
        <w:rPr>
          <w:sz w:val="10"/>
        </w:rPr>
        <w:sectPr>
          <w:pgSz w:w="15840" w:h="12240" w:orient="landscape"/>
          <w:pgMar w:header="0" w:footer="992" w:top="1140" w:bottom="1180" w:left="1800" w:right="1700"/>
        </w:sectPr>
      </w:pPr>
    </w:p>
    <w:p>
      <w:pPr>
        <w:pStyle w:val="BodyText"/>
        <w:rPr>
          <w:b/>
          <w:sz w:val="8"/>
        </w:rPr>
      </w:pPr>
    </w:p>
    <w:p>
      <w:pPr>
        <w:pStyle w:val="BodyText"/>
        <w:rPr>
          <w:b/>
          <w:sz w:val="8"/>
        </w:rPr>
      </w:pPr>
    </w:p>
    <w:p>
      <w:pPr>
        <w:spacing w:before="58"/>
        <w:ind w:left="2666" w:right="-13" w:firstLine="0"/>
        <w:jc w:val="left"/>
        <w:rPr>
          <w:b/>
          <w:sz w:val="9"/>
        </w:rPr>
      </w:pPr>
      <w:r>
        <w:rPr>
          <w:b/>
          <w:w w:val="170"/>
          <w:sz w:val="9"/>
        </w:rPr>
        <w:t>Ambiente de</w:t>
      </w:r>
      <w:r>
        <w:rPr>
          <w:b/>
          <w:spacing w:val="-21"/>
          <w:w w:val="170"/>
          <w:sz w:val="9"/>
        </w:rPr>
        <w:t> </w:t>
      </w:r>
      <w:r>
        <w:rPr>
          <w:b/>
          <w:w w:val="170"/>
          <w:sz w:val="9"/>
        </w:rPr>
        <w:t>Control</w:t>
      </w:r>
    </w:p>
    <w:p>
      <w:pPr>
        <w:pStyle w:val="BodyText"/>
        <w:spacing w:before="6"/>
        <w:rPr>
          <w:b/>
          <w:sz w:val="7"/>
        </w:rPr>
      </w:pPr>
      <w:r>
        <w:rPr/>
        <w:br w:type="column"/>
      </w:r>
      <w:r>
        <w:rPr>
          <w:b/>
          <w:sz w:val="7"/>
        </w:rPr>
      </w:r>
    </w:p>
    <w:p>
      <w:pPr>
        <w:spacing w:line="256" w:lineRule="auto" w:before="1"/>
        <w:ind w:left="650" w:right="-16" w:hanging="368"/>
        <w:jc w:val="left"/>
        <w:rPr>
          <w:b/>
          <w:sz w:val="9"/>
        </w:rPr>
      </w:pPr>
      <w:r>
        <w:rPr>
          <w:b/>
          <w:w w:val="170"/>
          <w:sz w:val="9"/>
        </w:rPr>
        <w:t>Administración</w:t>
      </w:r>
      <w:r>
        <w:rPr>
          <w:b/>
          <w:spacing w:val="-16"/>
          <w:w w:val="170"/>
          <w:sz w:val="9"/>
        </w:rPr>
        <w:t> </w:t>
      </w:r>
      <w:r>
        <w:rPr>
          <w:b/>
          <w:w w:val="170"/>
          <w:sz w:val="9"/>
        </w:rPr>
        <w:t>de Riesgos</w:t>
      </w:r>
    </w:p>
    <w:p>
      <w:pPr>
        <w:pStyle w:val="BodyText"/>
        <w:spacing w:before="6"/>
        <w:rPr>
          <w:b/>
          <w:sz w:val="7"/>
        </w:rPr>
      </w:pPr>
      <w:r>
        <w:rPr/>
        <w:br w:type="column"/>
      </w:r>
      <w:r>
        <w:rPr>
          <w:b/>
          <w:sz w:val="7"/>
        </w:rPr>
      </w:r>
    </w:p>
    <w:p>
      <w:pPr>
        <w:spacing w:line="256" w:lineRule="auto" w:before="1"/>
        <w:ind w:left="106" w:right="0" w:hanging="1"/>
        <w:jc w:val="center"/>
        <w:rPr>
          <w:b/>
          <w:sz w:val="9"/>
        </w:rPr>
      </w:pPr>
      <w:r>
        <w:rPr>
          <w:b/>
          <w:w w:val="170"/>
          <w:sz w:val="9"/>
        </w:rPr>
        <w:t>Supervisión de la</w:t>
      </w:r>
      <w:r>
        <w:rPr>
          <w:b/>
          <w:spacing w:val="-28"/>
          <w:w w:val="170"/>
          <w:sz w:val="9"/>
        </w:rPr>
        <w:t> </w:t>
      </w:r>
      <w:r>
        <w:rPr>
          <w:b/>
          <w:w w:val="170"/>
          <w:sz w:val="9"/>
        </w:rPr>
        <w:t>aplicación eficiente de los</w:t>
      </w:r>
      <w:r>
        <w:rPr>
          <w:b/>
          <w:spacing w:val="-29"/>
          <w:w w:val="170"/>
          <w:sz w:val="9"/>
        </w:rPr>
        <w:t> </w:t>
      </w:r>
      <w:r>
        <w:rPr>
          <w:b/>
          <w:w w:val="170"/>
          <w:sz w:val="9"/>
        </w:rPr>
        <w:t>mecanismos de</w:t>
      </w:r>
      <w:r>
        <w:rPr>
          <w:b/>
          <w:spacing w:val="-11"/>
          <w:w w:val="170"/>
          <w:sz w:val="9"/>
        </w:rPr>
        <w:t> </w:t>
      </w:r>
      <w:r>
        <w:rPr>
          <w:b/>
          <w:w w:val="170"/>
          <w:sz w:val="9"/>
        </w:rPr>
        <w:t>control</w:t>
      </w:r>
    </w:p>
    <w:p>
      <w:pPr>
        <w:pStyle w:val="BodyText"/>
        <w:spacing w:before="6"/>
        <w:rPr>
          <w:b/>
          <w:sz w:val="7"/>
        </w:rPr>
      </w:pPr>
      <w:r>
        <w:rPr/>
        <w:br w:type="column"/>
      </w:r>
      <w:r>
        <w:rPr>
          <w:b/>
          <w:sz w:val="7"/>
        </w:rPr>
      </w:r>
    </w:p>
    <w:p>
      <w:pPr>
        <w:spacing w:line="256" w:lineRule="auto" w:before="1"/>
        <w:ind w:left="367" w:right="2881" w:firstLine="24"/>
        <w:jc w:val="left"/>
        <w:rPr>
          <w:b/>
          <w:sz w:val="9"/>
        </w:rPr>
      </w:pPr>
      <w:r>
        <w:rPr>
          <w:b/>
          <w:w w:val="170"/>
          <w:sz w:val="9"/>
        </w:rPr>
        <w:t>Información y </w:t>
      </w:r>
      <w:r>
        <w:rPr>
          <w:b/>
          <w:w w:val="165"/>
          <w:sz w:val="9"/>
        </w:rPr>
        <w:t>Comunicación</w:t>
      </w:r>
    </w:p>
    <w:p>
      <w:pPr>
        <w:spacing w:after="0" w:line="256" w:lineRule="auto"/>
        <w:jc w:val="left"/>
        <w:rPr>
          <w:sz w:val="9"/>
        </w:rPr>
        <w:sectPr>
          <w:type w:val="continuous"/>
          <w:pgSz w:w="15840" w:h="12240" w:orient="landscape"/>
          <w:pgMar w:top="0" w:bottom="280" w:left="1800" w:right="1700"/>
          <w:cols w:num="4" w:equalWidth="0">
            <w:col w:w="4157" w:space="40"/>
            <w:col w:w="1605" w:space="40"/>
            <w:col w:w="2162" w:space="40"/>
            <w:col w:w="4296"/>
          </w:cols>
        </w:sectPr>
      </w:pPr>
    </w:p>
    <w:p>
      <w:pPr>
        <w:pStyle w:val="BodyText"/>
        <w:spacing w:before="10"/>
        <w:rPr>
          <w:b/>
          <w:sz w:val="9"/>
        </w:rPr>
      </w:pPr>
    </w:p>
    <w:p>
      <w:pPr>
        <w:pStyle w:val="BodyText"/>
        <w:spacing w:before="6"/>
        <w:rPr>
          <w:b/>
          <w:sz w:val="7"/>
        </w:rPr>
      </w:pPr>
    </w:p>
    <w:p>
      <w:pPr>
        <w:tabs>
          <w:tab w:pos="4961" w:val="left" w:leader="none"/>
          <w:tab w:pos="6795" w:val="left" w:leader="none"/>
          <w:tab w:pos="8753" w:val="left" w:leader="none"/>
        </w:tabs>
        <w:spacing w:before="1"/>
        <w:ind w:left="3230" w:right="0" w:firstLine="0"/>
        <w:jc w:val="left"/>
        <w:rPr>
          <w:b/>
          <w:sz w:val="9"/>
        </w:rPr>
      </w:pPr>
      <w:r>
        <w:rPr/>
        <w:pict>
          <v:shape style="position:absolute;margin-left:211.299072pt;margin-top:-26.703196pt;width:369.15pt;height:21.25pt;mso-position-horizontal-relative:page;mso-position-vertical-relative:paragraph;z-index:-678448" type="#_x0000_t202" filled="false" stroked="false">
            <v:textbox inset="0,0,0,0">
              <w:txbxContent>
                <w:p>
                  <w:pPr>
                    <w:pStyle w:val="BodyText"/>
                    <w:spacing w:before="77"/>
                    <w:ind w:left="1056"/>
                  </w:pPr>
                  <w:r>
                    <w:rPr/>
                    <w:t>Anexo 28.</w:t>
                  </w:r>
                </w:p>
              </w:txbxContent>
            </v:textbox>
            <w10:wrap type="none"/>
          </v:shape>
        </w:pict>
      </w:r>
      <w:r>
        <w:rPr>
          <w:b/>
          <w:w w:val="170"/>
          <w:sz w:val="9"/>
        </w:rPr>
        <w:t>FISM</w:t>
        <w:tab/>
        <w:t>FISM</w:t>
        <w:tab/>
        <w:t>FISM</w:t>
        <w:tab/>
        <w:t>FISM</w:t>
      </w:r>
    </w:p>
    <w:p>
      <w:pPr>
        <w:spacing w:after="0"/>
        <w:jc w:val="left"/>
        <w:rPr>
          <w:sz w:val="9"/>
        </w:rPr>
        <w:sectPr>
          <w:type w:val="continuous"/>
          <w:pgSz w:w="15840" w:h="12240" w:orient="landscape"/>
          <w:pgMar w:top="0" w:bottom="280" w:left="1800" w:right="1700"/>
        </w:sectPr>
      </w:pPr>
    </w:p>
    <w:p>
      <w:pPr>
        <w:spacing w:before="8"/>
        <w:ind w:left="2454" w:right="-5" w:firstLine="0"/>
        <w:jc w:val="left"/>
        <w:rPr>
          <w:sz w:val="9"/>
        </w:rPr>
      </w:pPr>
      <w:r>
        <w:rPr/>
        <w:pict>
          <v:shape style="position:absolute;margin-left:211.299072pt;margin-top:.333229pt;width:101.35pt;height:55.85pt;mso-position-horizontal-relative:page;mso-position-vertical-relative:paragraph;z-index:-678424" type="#_x0000_t202" filled="false" stroked="false">
            <v:textbox inset="0,0,0,0">
              <w:txbxContent>
                <w:p>
                  <w:pPr>
                    <w:spacing w:before="141"/>
                    <w:ind w:left="0" w:right="48" w:firstLine="0"/>
                    <w:jc w:val="right"/>
                    <w:rPr>
                      <w:b/>
                      <w:sz w:val="22"/>
                    </w:rPr>
                  </w:pPr>
                  <w:r>
                    <w:rPr>
                      <w:b/>
                      <w:w w:val="65"/>
                      <w:sz w:val="22"/>
                    </w:rPr>
                    <w:t>Destino del</w:t>
                  </w:r>
                </w:p>
                <w:p>
                  <w:pPr>
                    <w:pStyle w:val="BodyText"/>
                    <w:spacing w:before="2"/>
                    <w:rPr>
                      <w:sz w:val="27"/>
                    </w:rPr>
                  </w:pPr>
                </w:p>
                <w:p>
                  <w:pPr>
                    <w:spacing w:before="0"/>
                    <w:ind w:left="0" w:right="0" w:firstLine="0"/>
                    <w:jc w:val="right"/>
                    <w:rPr>
                      <w:sz w:val="22"/>
                    </w:rPr>
                  </w:pPr>
                  <w:r>
                    <w:rPr>
                      <w:w w:val="67"/>
                      <w:sz w:val="22"/>
                    </w:rPr>
                    <w:t>E</w:t>
                  </w:r>
                </w:p>
              </w:txbxContent>
            </v:textbox>
            <w10:wrap type="none"/>
          </v:shape>
        </w:pict>
      </w:r>
      <w:r>
        <w:rPr>
          <w:w w:val="170"/>
          <w:sz w:val="9"/>
        </w:rPr>
        <w:t>El municipio cuenta con una No se</w:t>
      </w:r>
      <w:r>
        <w:rPr>
          <w:spacing w:val="-21"/>
          <w:w w:val="170"/>
          <w:sz w:val="9"/>
        </w:rPr>
        <w:t> </w:t>
      </w:r>
      <w:r>
        <w:rPr>
          <w:w w:val="170"/>
          <w:sz w:val="9"/>
        </w:rPr>
        <w:t>tienen</w:t>
      </w:r>
    </w:p>
    <w:p>
      <w:pPr>
        <w:spacing w:before="8"/>
        <w:ind w:left="612" w:right="-9" w:firstLine="0"/>
        <w:jc w:val="left"/>
        <w:rPr>
          <w:sz w:val="9"/>
        </w:rPr>
      </w:pPr>
      <w:r>
        <w:rPr/>
        <w:br w:type="column"/>
      </w:r>
      <w:r>
        <w:rPr>
          <w:w w:val="170"/>
          <w:sz w:val="9"/>
        </w:rPr>
        <w:t>El municipio no cuenta con</w:t>
      </w:r>
      <w:r>
        <w:rPr>
          <w:spacing w:val="-29"/>
          <w:w w:val="170"/>
          <w:sz w:val="9"/>
        </w:rPr>
        <w:t> </w:t>
      </w:r>
      <w:r>
        <w:rPr>
          <w:w w:val="170"/>
          <w:sz w:val="9"/>
        </w:rPr>
        <w:t>un</w:t>
      </w:r>
    </w:p>
    <w:p>
      <w:pPr>
        <w:spacing w:before="8"/>
        <w:ind w:left="99" w:right="0" w:firstLine="0"/>
        <w:jc w:val="left"/>
        <w:rPr>
          <w:sz w:val="9"/>
        </w:rPr>
      </w:pPr>
      <w:r>
        <w:rPr/>
        <w:br w:type="column"/>
      </w:r>
      <w:r>
        <w:rPr>
          <w:w w:val="170"/>
          <w:sz w:val="9"/>
        </w:rPr>
        <w:t>El municipio cuenta con</w:t>
      </w:r>
    </w:p>
    <w:p>
      <w:pPr>
        <w:spacing w:after="0"/>
        <w:jc w:val="left"/>
        <w:rPr>
          <w:sz w:val="9"/>
        </w:rPr>
        <w:sectPr>
          <w:type w:val="continuous"/>
          <w:pgSz w:w="15840" w:h="12240" w:orient="landscape"/>
          <w:pgMar w:top="0" w:bottom="280" w:left="1800" w:right="1700"/>
          <w:cols w:num="3" w:equalWidth="0">
            <w:col w:w="5264" w:space="40"/>
            <w:col w:w="2636" w:space="40"/>
            <w:col w:w="4360"/>
          </w:cols>
        </w:sectPr>
      </w:pPr>
    </w:p>
    <w:p>
      <w:pPr>
        <w:spacing w:line="54" w:lineRule="exact" w:before="7"/>
        <w:ind w:left="2454" w:right="-10" w:firstLine="0"/>
        <w:jc w:val="left"/>
        <w:rPr>
          <w:sz w:val="9"/>
        </w:rPr>
      </w:pPr>
      <w:r>
        <w:rPr>
          <w:w w:val="170"/>
          <w:sz w:val="9"/>
        </w:rPr>
        <w:t>descripción de puestos</w:t>
      </w:r>
      <w:r>
        <w:rPr>
          <w:spacing w:val="-24"/>
          <w:w w:val="170"/>
          <w:sz w:val="9"/>
        </w:rPr>
        <w:t> </w:t>
      </w:r>
      <w:r>
        <w:rPr>
          <w:w w:val="170"/>
          <w:sz w:val="9"/>
        </w:rPr>
        <w:t>y</w:t>
      </w:r>
    </w:p>
    <w:p>
      <w:pPr>
        <w:spacing w:line="54" w:lineRule="exact" w:before="7"/>
        <w:ind w:left="247" w:right="-13" w:firstLine="0"/>
        <w:jc w:val="left"/>
        <w:rPr>
          <w:sz w:val="9"/>
        </w:rPr>
      </w:pPr>
      <w:r>
        <w:rPr/>
        <w:br w:type="column"/>
      </w:r>
      <w:r>
        <w:rPr>
          <w:w w:val="170"/>
          <w:sz w:val="9"/>
        </w:rPr>
        <w:t>controles que</w:t>
      </w:r>
      <w:r>
        <w:rPr>
          <w:spacing w:val="-17"/>
          <w:w w:val="170"/>
          <w:sz w:val="9"/>
        </w:rPr>
        <w:t> </w:t>
      </w:r>
      <w:r>
        <w:rPr>
          <w:w w:val="170"/>
          <w:sz w:val="9"/>
        </w:rPr>
        <w:t>le</w:t>
      </w:r>
    </w:p>
    <w:p>
      <w:pPr>
        <w:spacing w:line="54" w:lineRule="exact" w:before="7"/>
        <w:ind w:left="394" w:right="-10" w:firstLine="0"/>
        <w:jc w:val="left"/>
        <w:rPr>
          <w:sz w:val="9"/>
        </w:rPr>
      </w:pPr>
      <w:r>
        <w:rPr/>
        <w:br w:type="column"/>
      </w:r>
      <w:r>
        <w:rPr>
          <w:w w:val="170"/>
          <w:sz w:val="9"/>
        </w:rPr>
        <w:t>programa formal</w:t>
      </w:r>
      <w:r>
        <w:rPr>
          <w:spacing w:val="-22"/>
          <w:w w:val="170"/>
          <w:sz w:val="9"/>
        </w:rPr>
        <w:t> </w:t>
      </w:r>
      <w:r>
        <w:rPr>
          <w:w w:val="170"/>
          <w:sz w:val="9"/>
        </w:rPr>
        <w:t>de</w:t>
      </w:r>
    </w:p>
    <w:p>
      <w:pPr>
        <w:spacing w:line="54" w:lineRule="exact" w:before="7"/>
        <w:ind w:left="799" w:right="0" w:firstLine="0"/>
        <w:jc w:val="left"/>
        <w:rPr>
          <w:sz w:val="9"/>
        </w:rPr>
      </w:pPr>
      <w:r>
        <w:rPr/>
        <w:br w:type="column"/>
      </w:r>
      <w:r>
        <w:rPr>
          <w:w w:val="170"/>
          <w:sz w:val="9"/>
        </w:rPr>
        <w:t>sistemas de archivo</w:t>
      </w:r>
    </w:p>
    <w:p>
      <w:pPr>
        <w:spacing w:after="0" w:line="54" w:lineRule="exact"/>
        <w:jc w:val="left"/>
        <w:rPr>
          <w:sz w:val="9"/>
        </w:rPr>
        <w:sectPr>
          <w:type w:val="continuous"/>
          <w:pgSz w:w="15840" w:h="12240" w:orient="landscape"/>
          <w:pgMar w:top="0" w:bottom="280" w:left="1800" w:right="1700"/>
          <w:cols w:num="4" w:equalWidth="0">
            <w:col w:w="4124" w:space="40"/>
            <w:col w:w="1318" w:space="40"/>
            <w:col w:w="1718" w:space="40"/>
            <w:col w:w="5060"/>
          </w:cols>
        </w:sectPr>
      </w:pPr>
    </w:p>
    <w:p>
      <w:pPr>
        <w:spacing w:before="57"/>
        <w:ind w:left="2455" w:right="-9" w:firstLine="0"/>
        <w:jc w:val="left"/>
        <w:rPr>
          <w:sz w:val="9"/>
        </w:rPr>
      </w:pPr>
      <w:r>
        <w:rPr>
          <w:w w:val="170"/>
          <w:sz w:val="9"/>
        </w:rPr>
        <w:t>funciones del personal</w:t>
      </w:r>
      <w:r>
        <w:rPr>
          <w:spacing w:val="-26"/>
          <w:w w:val="170"/>
          <w:sz w:val="9"/>
        </w:rPr>
        <w:t> </w:t>
      </w:r>
      <w:r>
        <w:rPr>
          <w:w w:val="170"/>
          <w:sz w:val="9"/>
        </w:rPr>
        <w:t>a</w:t>
      </w:r>
    </w:p>
    <w:p>
      <w:pPr>
        <w:spacing w:line="182" w:lineRule="exact" w:before="0"/>
        <w:ind w:left="273" w:right="0" w:firstLine="0"/>
        <w:jc w:val="left"/>
        <w:rPr>
          <w:sz w:val="9"/>
        </w:rPr>
      </w:pPr>
      <w:r>
        <w:rPr/>
        <w:br w:type="column"/>
      </w:r>
      <w:r>
        <w:rPr>
          <w:spacing w:val="-53"/>
          <w:w w:val="167"/>
          <w:sz w:val="9"/>
        </w:rPr>
        <w:t>p</w:t>
      </w:r>
      <w:r>
        <w:rPr>
          <w:b/>
          <w:spacing w:val="-38"/>
          <w:w w:val="67"/>
          <w:position w:val="-3"/>
          <w:sz w:val="22"/>
        </w:rPr>
        <w:t>F</w:t>
      </w:r>
      <w:r>
        <w:rPr>
          <w:spacing w:val="-47"/>
          <w:w w:val="167"/>
          <w:sz w:val="9"/>
        </w:rPr>
        <w:t>e</w:t>
      </w:r>
      <w:r>
        <w:rPr>
          <w:b/>
          <w:spacing w:val="-45"/>
          <w:w w:val="67"/>
          <w:position w:val="-3"/>
          <w:sz w:val="22"/>
        </w:rPr>
        <w:t>o</w:t>
      </w:r>
      <w:r>
        <w:rPr>
          <w:spacing w:val="-6"/>
          <w:w w:val="167"/>
          <w:sz w:val="9"/>
        </w:rPr>
        <w:t>r</w:t>
      </w:r>
      <w:r>
        <w:rPr>
          <w:b/>
          <w:spacing w:val="-86"/>
          <w:w w:val="67"/>
          <w:position w:val="-3"/>
          <w:sz w:val="22"/>
        </w:rPr>
        <w:t>n</w:t>
      </w:r>
      <w:r>
        <w:rPr>
          <w:spacing w:val="-41"/>
          <w:w w:val="167"/>
          <w:sz w:val="9"/>
        </w:rPr>
        <w:t>m</w:t>
      </w:r>
      <w:r>
        <w:rPr>
          <w:b/>
          <w:spacing w:val="-51"/>
          <w:w w:val="67"/>
          <w:position w:val="-3"/>
          <w:sz w:val="22"/>
        </w:rPr>
        <w:t>d</w:t>
      </w:r>
      <w:r>
        <w:rPr>
          <w:spacing w:val="2"/>
          <w:w w:val="167"/>
          <w:sz w:val="9"/>
        </w:rPr>
        <w:t>i</w:t>
      </w:r>
      <w:r>
        <w:rPr>
          <w:spacing w:val="-28"/>
          <w:w w:val="167"/>
          <w:sz w:val="9"/>
        </w:rPr>
        <w:t>t</w:t>
      </w:r>
      <w:r>
        <w:rPr>
          <w:b/>
          <w:spacing w:val="-64"/>
          <w:w w:val="67"/>
          <w:position w:val="-3"/>
          <w:sz w:val="22"/>
        </w:rPr>
        <w:t>o</w:t>
      </w:r>
      <w:r>
        <w:rPr>
          <w:w w:val="167"/>
          <w:sz w:val="9"/>
        </w:rPr>
        <w:t>a</w:t>
      </w:r>
      <w:r>
        <w:rPr>
          <w:spacing w:val="-64"/>
          <w:w w:val="167"/>
          <w:sz w:val="9"/>
        </w:rPr>
        <w:t>n</w:t>
      </w:r>
      <w:r>
        <w:rPr>
          <w:b/>
          <w:spacing w:val="-1"/>
          <w:w w:val="67"/>
          <w:position w:val="-3"/>
          <w:sz w:val="22"/>
        </w:rPr>
        <w:t>p</w:t>
      </w:r>
      <w:r>
        <w:rPr>
          <w:b/>
          <w:spacing w:val="-68"/>
          <w:w w:val="67"/>
          <w:position w:val="-3"/>
          <w:sz w:val="22"/>
        </w:rPr>
        <w:t>a</w:t>
      </w:r>
      <w:r>
        <w:rPr>
          <w:spacing w:val="-9"/>
          <w:w w:val="167"/>
          <w:sz w:val="9"/>
        </w:rPr>
        <w:t>c</w:t>
      </w:r>
      <w:r>
        <w:rPr>
          <w:b/>
          <w:spacing w:val="-50"/>
          <w:w w:val="67"/>
          <w:position w:val="-3"/>
          <w:sz w:val="22"/>
        </w:rPr>
        <w:t>r</w:t>
      </w:r>
      <w:r>
        <w:rPr>
          <w:spacing w:val="-35"/>
          <w:w w:val="167"/>
          <w:sz w:val="9"/>
        </w:rPr>
        <w:t>o</w:t>
      </w:r>
      <w:r>
        <w:rPr>
          <w:b/>
          <w:spacing w:val="-48"/>
          <w:w w:val="67"/>
          <w:position w:val="-3"/>
          <w:sz w:val="22"/>
        </w:rPr>
        <w:t>a</w:t>
      </w:r>
      <w:r>
        <w:rPr>
          <w:w w:val="167"/>
          <w:sz w:val="9"/>
        </w:rPr>
        <w:t>n</w:t>
      </w:r>
      <w:r>
        <w:rPr>
          <w:spacing w:val="-80"/>
          <w:w w:val="167"/>
          <w:sz w:val="9"/>
        </w:rPr>
        <w:t>o</w:t>
      </w:r>
      <w:r>
        <w:rPr>
          <w:b/>
          <w:spacing w:val="-1"/>
          <w:w w:val="67"/>
          <w:position w:val="-3"/>
          <w:sz w:val="22"/>
        </w:rPr>
        <w:t>l</w:t>
      </w:r>
      <w:r>
        <w:rPr>
          <w:b/>
          <w:spacing w:val="-43"/>
          <w:w w:val="67"/>
          <w:position w:val="-3"/>
          <w:sz w:val="22"/>
        </w:rPr>
        <w:t>a</w:t>
      </w:r>
      <w:r>
        <w:rPr>
          <w:w w:val="167"/>
          <w:sz w:val="9"/>
        </w:rPr>
        <w:t>c</w:t>
      </w:r>
      <w:r>
        <w:rPr>
          <w:spacing w:val="-76"/>
          <w:w w:val="167"/>
          <w:sz w:val="9"/>
        </w:rPr>
        <w:t>e</w:t>
      </w:r>
      <w:r>
        <w:rPr>
          <w:b/>
          <w:w w:val="67"/>
          <w:position w:val="-3"/>
          <w:sz w:val="22"/>
        </w:rPr>
        <w:t>I</w:t>
      </w:r>
      <w:r>
        <w:rPr>
          <w:b/>
          <w:spacing w:val="-56"/>
          <w:w w:val="67"/>
          <w:position w:val="-3"/>
          <w:sz w:val="22"/>
        </w:rPr>
        <w:t>n</w:t>
      </w:r>
      <w:r>
        <w:rPr>
          <w:spacing w:val="5"/>
          <w:w w:val="167"/>
          <w:sz w:val="9"/>
        </w:rPr>
        <w:t>r</w:t>
      </w:r>
      <w:r>
        <w:rPr>
          <w:b/>
          <w:spacing w:val="-13"/>
          <w:w w:val="67"/>
          <w:position w:val="-3"/>
          <w:sz w:val="22"/>
        </w:rPr>
        <w:t>f</w:t>
      </w:r>
      <w:r>
        <w:rPr>
          <w:spacing w:val="-72"/>
          <w:w w:val="167"/>
          <w:sz w:val="9"/>
        </w:rPr>
        <w:t>e</w:t>
      </w:r>
      <w:r>
        <w:rPr>
          <w:b/>
          <w:spacing w:val="1"/>
          <w:w w:val="67"/>
          <w:position w:val="-3"/>
          <w:sz w:val="22"/>
        </w:rPr>
        <w:t>r</w:t>
      </w:r>
      <w:r>
        <w:rPr>
          <w:b/>
          <w:spacing w:val="-70"/>
          <w:w w:val="67"/>
          <w:position w:val="-3"/>
          <w:sz w:val="22"/>
        </w:rPr>
        <w:t>a</w:t>
      </w:r>
      <w:r>
        <w:rPr>
          <w:w w:val="167"/>
          <w:sz w:val="9"/>
        </w:rPr>
        <w:t>l</w:t>
      </w:r>
      <w:r>
        <w:rPr>
          <w:spacing w:val="11"/>
          <w:sz w:val="9"/>
        </w:rPr>
        <w:t> </w:t>
      </w:r>
      <w:r>
        <w:rPr>
          <w:b/>
          <w:w w:val="67"/>
          <w:position w:val="-3"/>
          <w:sz w:val="22"/>
        </w:rPr>
        <w:t>e</w:t>
      </w:r>
      <w:r>
        <w:rPr>
          <w:b/>
          <w:spacing w:val="-27"/>
          <w:w w:val="67"/>
          <w:position w:val="-3"/>
          <w:sz w:val="22"/>
        </w:rPr>
        <w:t>s</w:t>
      </w:r>
      <w:r>
        <w:rPr>
          <w:spacing w:val="-50"/>
          <w:w w:val="167"/>
          <w:sz w:val="9"/>
        </w:rPr>
        <w:t>s</w:t>
      </w:r>
      <w:r>
        <w:rPr>
          <w:b/>
          <w:spacing w:val="-1"/>
          <w:w w:val="67"/>
          <w:position w:val="-3"/>
          <w:sz w:val="22"/>
        </w:rPr>
        <w:t>t</w:t>
      </w:r>
      <w:r>
        <w:rPr>
          <w:b/>
          <w:spacing w:val="-57"/>
          <w:w w:val="67"/>
          <w:position w:val="-3"/>
          <w:sz w:val="22"/>
        </w:rPr>
        <w:t>r</w:t>
      </w:r>
      <w:r>
        <w:rPr>
          <w:spacing w:val="-28"/>
          <w:w w:val="167"/>
          <w:sz w:val="9"/>
        </w:rPr>
        <w:t>u</w:t>
      </w:r>
      <w:r>
        <w:rPr>
          <w:b/>
          <w:spacing w:val="-63"/>
          <w:w w:val="67"/>
          <w:position w:val="-3"/>
          <w:sz w:val="22"/>
        </w:rPr>
        <w:t>u</w:t>
      </w:r>
      <w:r>
        <w:rPr>
          <w:spacing w:val="-20"/>
          <w:w w:val="167"/>
          <w:sz w:val="9"/>
        </w:rPr>
        <w:t>p</w:t>
      </w:r>
      <w:r>
        <w:rPr>
          <w:b/>
          <w:spacing w:val="-62"/>
          <w:w w:val="67"/>
          <w:position w:val="-3"/>
          <w:sz w:val="22"/>
        </w:rPr>
        <w:t>c</w:t>
      </w:r>
      <w:r>
        <w:rPr>
          <w:spacing w:val="-23"/>
          <w:w w:val="167"/>
          <w:sz w:val="9"/>
        </w:rPr>
        <w:t>e</w:t>
      </w:r>
      <w:r>
        <w:rPr>
          <w:b/>
          <w:spacing w:val="-28"/>
          <w:w w:val="67"/>
          <w:position w:val="-3"/>
          <w:sz w:val="22"/>
        </w:rPr>
        <w:t>t</w:t>
      </w:r>
      <w:r>
        <w:rPr>
          <w:spacing w:val="-24"/>
          <w:w w:val="167"/>
          <w:sz w:val="9"/>
        </w:rPr>
        <w:t>r</w:t>
      </w:r>
      <w:r>
        <w:rPr>
          <w:b/>
          <w:spacing w:val="-68"/>
          <w:w w:val="67"/>
          <w:position w:val="-3"/>
          <w:sz w:val="22"/>
        </w:rPr>
        <w:t>u</w:t>
      </w:r>
      <w:r>
        <w:rPr>
          <w:spacing w:val="-8"/>
          <w:w w:val="167"/>
          <w:sz w:val="9"/>
        </w:rPr>
        <w:t>v</w:t>
      </w:r>
      <w:r>
        <w:rPr>
          <w:b/>
          <w:spacing w:val="-50"/>
          <w:w w:val="67"/>
          <w:position w:val="-3"/>
          <w:sz w:val="22"/>
        </w:rPr>
        <w:t>r</w:t>
      </w:r>
      <w:r>
        <w:rPr>
          <w:spacing w:val="1"/>
          <w:w w:val="167"/>
          <w:sz w:val="9"/>
        </w:rPr>
        <w:t>i</w:t>
      </w:r>
      <w:r>
        <w:rPr>
          <w:spacing w:val="-61"/>
          <w:w w:val="167"/>
          <w:sz w:val="9"/>
        </w:rPr>
        <w:t>s</w:t>
      </w:r>
      <w:r>
        <w:rPr>
          <w:b/>
          <w:spacing w:val="-22"/>
          <w:w w:val="67"/>
          <w:position w:val="-3"/>
          <w:sz w:val="22"/>
        </w:rPr>
        <w:t>a</w:t>
      </w:r>
      <w:r>
        <w:rPr>
          <w:w w:val="167"/>
          <w:sz w:val="9"/>
        </w:rPr>
        <w:t>i</w:t>
      </w:r>
      <w:r>
        <w:rPr>
          <w:spacing w:val="-55"/>
          <w:w w:val="167"/>
          <w:sz w:val="9"/>
        </w:rPr>
        <w:t>ó</w:t>
      </w:r>
      <w:r>
        <w:rPr>
          <w:b/>
          <w:spacing w:val="-69"/>
          <w:w w:val="67"/>
          <w:position w:val="-3"/>
          <w:sz w:val="22"/>
        </w:rPr>
        <w:t>M</w:t>
      </w:r>
      <w:r>
        <w:rPr>
          <w:spacing w:val="-17"/>
          <w:w w:val="167"/>
          <w:sz w:val="9"/>
        </w:rPr>
        <w:t>n</w:t>
      </w:r>
      <w:r>
        <w:rPr>
          <w:b/>
          <w:spacing w:val="-33"/>
          <w:w w:val="67"/>
          <w:position w:val="-3"/>
          <w:sz w:val="22"/>
        </w:rPr>
        <w:t>u</w:t>
      </w:r>
      <w:r>
        <w:rPr>
          <w:spacing w:val="-51"/>
          <w:w w:val="167"/>
          <w:sz w:val="9"/>
        </w:rPr>
        <w:t>q</w:t>
      </w:r>
      <w:r>
        <w:rPr>
          <w:b/>
          <w:spacing w:val="-40"/>
          <w:w w:val="67"/>
          <w:position w:val="-3"/>
          <w:sz w:val="22"/>
        </w:rPr>
        <w:t>n</w:t>
      </w:r>
      <w:r>
        <w:rPr>
          <w:spacing w:val="-45"/>
          <w:w w:val="167"/>
          <w:sz w:val="9"/>
        </w:rPr>
        <w:t>u</w:t>
      </w:r>
      <w:r>
        <w:rPr>
          <w:b/>
          <w:spacing w:val="-1"/>
          <w:w w:val="67"/>
          <w:position w:val="-3"/>
          <w:sz w:val="22"/>
        </w:rPr>
        <w:t>i</w:t>
      </w:r>
      <w:r>
        <w:rPr>
          <w:b/>
          <w:spacing w:val="-78"/>
          <w:w w:val="67"/>
          <w:position w:val="-3"/>
          <w:sz w:val="22"/>
        </w:rPr>
        <w:t>c</w:t>
      </w:r>
      <w:r>
        <w:rPr>
          <w:spacing w:val="-6"/>
          <w:w w:val="167"/>
          <w:sz w:val="9"/>
        </w:rPr>
        <w:t>e</w:t>
      </w:r>
      <w:r>
        <w:rPr>
          <w:b/>
          <w:spacing w:val="-1"/>
          <w:w w:val="67"/>
          <w:position w:val="-3"/>
          <w:sz w:val="22"/>
        </w:rPr>
        <w:t>i</w:t>
      </w:r>
      <w:r>
        <w:rPr>
          <w:b/>
          <w:spacing w:val="-84"/>
          <w:w w:val="67"/>
          <w:position w:val="-3"/>
          <w:sz w:val="22"/>
        </w:rPr>
        <w:t>p</w:t>
      </w:r>
      <w:r>
        <w:rPr>
          <w:w w:val="167"/>
          <w:sz w:val="9"/>
        </w:rPr>
        <w:t>c</w:t>
      </w:r>
      <w:r>
        <w:rPr>
          <w:spacing w:val="-77"/>
          <w:w w:val="167"/>
          <w:sz w:val="9"/>
        </w:rPr>
        <w:t>o</w:t>
      </w:r>
      <w:r>
        <w:rPr>
          <w:b/>
          <w:spacing w:val="-6"/>
          <w:w w:val="67"/>
          <w:position w:val="-3"/>
          <w:sz w:val="22"/>
        </w:rPr>
        <w:t>a</w:t>
      </w:r>
      <w:r>
        <w:rPr>
          <w:spacing w:val="-78"/>
          <w:w w:val="167"/>
          <w:sz w:val="9"/>
        </w:rPr>
        <w:t>a</w:t>
      </w:r>
      <w:r>
        <w:rPr>
          <w:b/>
          <w:w w:val="67"/>
          <w:position w:val="-3"/>
          <w:sz w:val="22"/>
        </w:rPr>
        <w:t>l</w:t>
      </w:r>
      <w:r>
        <w:rPr>
          <w:b/>
          <w:spacing w:val="-25"/>
          <w:position w:val="-3"/>
          <w:sz w:val="22"/>
        </w:rPr>
        <w:t> </w:t>
      </w:r>
      <w:r>
        <w:rPr>
          <w:spacing w:val="-80"/>
          <w:w w:val="167"/>
          <w:sz w:val="9"/>
        </w:rPr>
        <w:t>d</w:t>
      </w:r>
      <w:r>
        <w:rPr>
          <w:b/>
          <w:spacing w:val="-19"/>
          <w:w w:val="67"/>
          <w:position w:val="-3"/>
          <w:sz w:val="22"/>
        </w:rPr>
        <w:t>S</w:t>
      </w:r>
      <w:r>
        <w:rPr>
          <w:spacing w:val="-58"/>
          <w:w w:val="167"/>
          <w:sz w:val="9"/>
        </w:rPr>
        <w:t>y</w:t>
      </w:r>
      <w:r>
        <w:rPr>
          <w:b/>
          <w:spacing w:val="-33"/>
          <w:w w:val="67"/>
          <w:position w:val="-3"/>
          <w:sz w:val="22"/>
        </w:rPr>
        <w:t>o</w:t>
      </w:r>
      <w:r>
        <w:rPr>
          <w:spacing w:val="-51"/>
          <w:w w:val="167"/>
          <w:sz w:val="9"/>
        </w:rPr>
        <w:t>u</w:t>
      </w:r>
      <w:r>
        <w:rPr>
          <w:b/>
          <w:spacing w:val="-33"/>
          <w:w w:val="67"/>
          <w:position w:val="-3"/>
          <w:sz w:val="22"/>
        </w:rPr>
        <w:t>c</w:t>
      </w:r>
      <w:r>
        <w:rPr>
          <w:spacing w:val="-45"/>
          <w:w w:val="167"/>
          <w:sz w:val="9"/>
        </w:rPr>
        <w:t>v</w:t>
      </w:r>
      <w:r>
        <w:rPr>
          <w:b/>
          <w:w w:val="67"/>
          <w:position w:val="-3"/>
          <w:sz w:val="22"/>
        </w:rPr>
        <w:t>i</w:t>
      </w:r>
      <w:r>
        <w:rPr>
          <w:b/>
          <w:spacing w:val="-80"/>
          <w:w w:val="67"/>
          <w:position w:val="-3"/>
          <w:sz w:val="22"/>
        </w:rPr>
        <w:t>a</w:t>
      </w:r>
      <w:r>
        <w:rPr>
          <w:spacing w:val="-4"/>
          <w:w w:val="167"/>
          <w:sz w:val="9"/>
        </w:rPr>
        <w:t>e</w:t>
      </w:r>
      <w:r>
        <w:rPr>
          <w:b/>
          <w:spacing w:val="4"/>
          <w:w w:val="67"/>
          <w:position w:val="-3"/>
          <w:sz w:val="22"/>
        </w:rPr>
        <w:t>l</w:t>
      </w:r>
      <w:r>
        <w:rPr>
          <w:spacing w:val="-48"/>
          <w:w w:val="167"/>
          <w:sz w:val="9"/>
        </w:rPr>
        <w:t>a</w:t>
      </w:r>
      <w:r>
        <w:rPr>
          <w:b/>
          <w:spacing w:val="-1"/>
          <w:w w:val="67"/>
          <w:position w:val="-3"/>
          <w:sz w:val="22"/>
        </w:rPr>
        <w:t>(F</w:t>
      </w:r>
      <w:r>
        <w:rPr>
          <w:b/>
          <w:w w:val="67"/>
          <w:position w:val="-3"/>
          <w:sz w:val="22"/>
        </w:rPr>
        <w:t>I</w:t>
      </w:r>
      <w:r>
        <w:rPr>
          <w:b/>
          <w:spacing w:val="-2"/>
          <w:w w:val="67"/>
          <w:position w:val="-3"/>
          <w:sz w:val="22"/>
        </w:rPr>
        <w:t>S</w:t>
      </w:r>
      <w:r>
        <w:rPr>
          <w:b/>
          <w:spacing w:val="-74"/>
          <w:w w:val="67"/>
          <w:position w:val="-3"/>
          <w:sz w:val="22"/>
        </w:rPr>
        <w:t>M</w:t>
      </w:r>
      <w:r>
        <w:rPr>
          <w:spacing w:val="-12"/>
          <w:w w:val="167"/>
          <w:sz w:val="9"/>
        </w:rPr>
        <w:t>e</w:t>
      </w:r>
      <w:r>
        <w:rPr>
          <w:b/>
          <w:spacing w:val="-38"/>
          <w:w w:val="67"/>
          <w:position w:val="-3"/>
          <w:sz w:val="22"/>
        </w:rPr>
        <w:t>)</w:t>
      </w:r>
      <w:r>
        <w:rPr>
          <w:spacing w:val="-1"/>
          <w:w w:val="167"/>
          <w:sz w:val="9"/>
        </w:rPr>
        <w:t>f</w:t>
      </w:r>
      <w:r>
        <w:rPr>
          <w:spacing w:val="-1"/>
          <w:w w:val="167"/>
          <w:sz w:val="9"/>
        </w:rPr>
        <w:t>i</w:t>
      </w:r>
      <w:r>
        <w:rPr>
          <w:spacing w:val="-71"/>
          <w:w w:val="167"/>
          <w:sz w:val="9"/>
        </w:rPr>
        <w:t>c</w:t>
      </w:r>
      <w:r>
        <w:rPr>
          <w:b/>
          <w:spacing w:val="-12"/>
          <w:w w:val="67"/>
          <w:position w:val="-3"/>
          <w:sz w:val="22"/>
        </w:rPr>
        <w:t>2</w:t>
      </w:r>
      <w:r>
        <w:rPr>
          <w:spacing w:val="-22"/>
          <w:w w:val="167"/>
          <w:sz w:val="9"/>
        </w:rPr>
        <w:t>i</w:t>
      </w:r>
      <w:r>
        <w:rPr>
          <w:b/>
          <w:spacing w:val="-61"/>
          <w:w w:val="67"/>
          <w:position w:val="-3"/>
          <w:sz w:val="22"/>
        </w:rPr>
        <w:t>0</w:t>
      </w:r>
      <w:r>
        <w:rPr>
          <w:spacing w:val="-24"/>
          <w:w w:val="167"/>
          <w:sz w:val="9"/>
        </w:rPr>
        <w:t>e</w:t>
      </w:r>
      <w:r>
        <w:rPr>
          <w:b/>
          <w:spacing w:val="-59"/>
          <w:w w:val="67"/>
          <w:position w:val="-3"/>
          <w:sz w:val="22"/>
        </w:rPr>
        <w:t>1</w:t>
      </w:r>
      <w:r>
        <w:rPr>
          <w:spacing w:val="-27"/>
          <w:w w:val="167"/>
          <w:sz w:val="9"/>
        </w:rPr>
        <w:t>n</w:t>
      </w:r>
      <w:r>
        <w:rPr>
          <w:b/>
          <w:spacing w:val="-56"/>
          <w:w w:val="67"/>
          <w:position w:val="-3"/>
          <w:sz w:val="22"/>
        </w:rPr>
        <w:t>3</w:t>
      </w:r>
      <w:r>
        <w:rPr>
          <w:spacing w:val="-1"/>
          <w:w w:val="167"/>
          <w:sz w:val="9"/>
        </w:rPr>
        <w:t>t</w:t>
      </w:r>
      <w:r>
        <w:rPr>
          <w:spacing w:val="-29"/>
          <w:w w:val="167"/>
          <w:sz w:val="9"/>
        </w:rPr>
        <w:t>e</w:t>
      </w:r>
      <w:r>
        <w:rPr>
          <w:b/>
          <w:spacing w:val="-103"/>
          <w:w w:val="67"/>
          <w:position w:val="-3"/>
          <w:sz w:val="22"/>
        </w:rPr>
        <w:t>%</w:t>
      </w:r>
      <w:r>
        <w:rPr>
          <w:w w:val="167"/>
          <w:sz w:val="9"/>
        </w:rPr>
        <w:t>s,</w:t>
      </w:r>
      <w:r>
        <w:rPr>
          <w:sz w:val="9"/>
        </w:rPr>
        <w:t> </w:t>
      </w:r>
      <w:r>
        <w:rPr>
          <w:spacing w:val="-8"/>
          <w:sz w:val="9"/>
        </w:rPr>
        <w:t> </w:t>
      </w:r>
      <w:r>
        <w:rPr>
          <w:spacing w:val="-1"/>
          <w:w w:val="167"/>
          <w:sz w:val="9"/>
        </w:rPr>
        <w:t>q</w:t>
      </w:r>
      <w:r>
        <w:rPr>
          <w:w w:val="167"/>
          <w:sz w:val="9"/>
        </w:rPr>
        <w:t>ue</w:t>
      </w:r>
    </w:p>
    <w:p>
      <w:pPr>
        <w:spacing w:after="0" w:line="182" w:lineRule="exact"/>
        <w:jc w:val="left"/>
        <w:rPr>
          <w:sz w:val="9"/>
        </w:rPr>
        <w:sectPr>
          <w:type w:val="continuous"/>
          <w:pgSz w:w="15840" w:h="12240" w:orient="landscape"/>
          <w:pgMar w:top="0" w:bottom="280" w:left="1800" w:right="1700"/>
          <w:cols w:num="2" w:equalWidth="0">
            <w:col w:w="4099" w:space="40"/>
            <w:col w:w="8201"/>
          </w:cols>
        </w:sectPr>
      </w:pPr>
    </w:p>
    <w:p>
      <w:pPr>
        <w:spacing w:line="91" w:lineRule="exact" w:before="0"/>
        <w:ind w:left="2452" w:right="-10" w:firstLine="3"/>
        <w:jc w:val="left"/>
        <w:rPr>
          <w:sz w:val="9"/>
        </w:rPr>
      </w:pPr>
      <w:r>
        <w:rPr>
          <w:w w:val="170"/>
          <w:sz w:val="9"/>
        </w:rPr>
        <w:t>cargo del FISM, que</w:t>
      </w:r>
    </w:p>
    <w:p>
      <w:pPr>
        <w:spacing w:line="259" w:lineRule="auto" w:before="7"/>
        <w:ind w:left="2452" w:right="-10" w:firstLine="0"/>
        <w:jc w:val="left"/>
        <w:rPr>
          <w:sz w:val="9"/>
        </w:rPr>
      </w:pPr>
      <w:r>
        <w:rPr>
          <w:w w:val="170"/>
          <w:sz w:val="9"/>
        </w:rPr>
        <w:t>establece el nivel de discrecionalidad y supervisión con que</w:t>
      </w:r>
      <w:r>
        <w:rPr>
          <w:spacing w:val="-25"/>
          <w:w w:val="170"/>
          <w:sz w:val="9"/>
        </w:rPr>
        <w:t> </w:t>
      </w:r>
      <w:r>
        <w:rPr>
          <w:w w:val="170"/>
          <w:sz w:val="9"/>
        </w:rPr>
        <w:t>deben desempeñarse los servidores</w:t>
      </w:r>
      <w:r>
        <w:rPr>
          <w:spacing w:val="-19"/>
          <w:w w:val="170"/>
          <w:sz w:val="9"/>
        </w:rPr>
        <w:t> </w:t>
      </w:r>
      <w:r>
        <w:rPr>
          <w:w w:val="170"/>
          <w:sz w:val="9"/>
        </w:rPr>
        <w:t>públicos</w:t>
      </w:r>
    </w:p>
    <w:p>
      <w:pPr>
        <w:spacing w:line="91" w:lineRule="exact" w:before="0"/>
        <w:ind w:left="107" w:right="-11" w:hanging="2"/>
        <w:jc w:val="left"/>
        <w:rPr>
          <w:sz w:val="9"/>
        </w:rPr>
      </w:pPr>
      <w:r>
        <w:rPr/>
        <w:br w:type="column"/>
      </w:r>
      <w:r>
        <w:rPr>
          <w:w w:val="170"/>
          <w:sz w:val="9"/>
        </w:rPr>
        <w:t>déficit de servicios</w:t>
      </w:r>
    </w:p>
    <w:p>
      <w:pPr>
        <w:spacing w:line="259" w:lineRule="auto" w:before="7"/>
        <w:ind w:left="106" w:right="-11" w:firstLine="1"/>
        <w:jc w:val="left"/>
        <w:rPr>
          <w:sz w:val="9"/>
        </w:rPr>
      </w:pPr>
      <w:r>
        <w:rPr/>
        <w:pict>
          <v:shape style="position:absolute;margin-left:312.55719pt;margin-top:14.64225pt;width:22.6pt;height:11.25pt;mso-position-horizontal-relative:page;mso-position-vertical-relative:paragraph;z-index:-678328" type="#_x0000_t202" filled="false" stroked="false">
            <v:textbox inset="0,0,0,0">
              <w:txbxContent>
                <w:p>
                  <w:pPr>
                    <w:spacing w:line="224" w:lineRule="exact" w:before="0"/>
                    <w:ind w:left="0" w:right="0" w:firstLine="0"/>
                    <w:jc w:val="left"/>
                    <w:rPr>
                      <w:sz w:val="22"/>
                    </w:rPr>
                  </w:pPr>
                  <w:r>
                    <w:rPr>
                      <w:spacing w:val="-11"/>
                      <w:w w:val="65"/>
                      <w:sz w:val="22"/>
                    </w:rPr>
                    <w:t>catepec</w:t>
                  </w:r>
                </w:p>
              </w:txbxContent>
            </v:textbox>
            <w10:wrap type="none"/>
          </v:shape>
        </w:pict>
      </w:r>
      <w:r>
        <w:rPr>
          <w:w w:val="170"/>
          <w:sz w:val="9"/>
        </w:rPr>
        <w:t>básicos y, de esta manera, hacer congruente la</w:t>
      </w:r>
    </w:p>
    <w:p>
      <w:pPr>
        <w:spacing w:line="259" w:lineRule="auto" w:before="0"/>
        <w:ind w:left="108" w:right="-11" w:firstLine="0"/>
        <w:jc w:val="left"/>
        <w:rPr>
          <w:sz w:val="9"/>
        </w:rPr>
      </w:pPr>
      <w:r>
        <w:rPr/>
        <w:pict>
          <v:shape style="position:absolute;margin-left:309.89743pt;margin-top:11.672317pt;width:24.75pt;height:11.25pt;mso-position-horizontal-relative:page;mso-position-vertical-relative:paragraph;z-index:-678304" type="#_x0000_t202" filled="false" stroked="false">
            <v:textbox inset="0,0,0,0">
              <w:txbxContent>
                <w:p>
                  <w:pPr>
                    <w:spacing w:line="224" w:lineRule="exact" w:before="0"/>
                    <w:ind w:left="0" w:right="0" w:firstLine="0"/>
                    <w:jc w:val="left"/>
                    <w:rPr>
                      <w:sz w:val="22"/>
                    </w:rPr>
                  </w:pPr>
                  <w:r>
                    <w:rPr>
                      <w:spacing w:val="-6"/>
                      <w:w w:val="65"/>
                      <w:sz w:val="22"/>
                    </w:rPr>
                    <w:t>Morelos</w:t>
                  </w:r>
                </w:p>
              </w:txbxContent>
            </v:textbox>
            <w10:wrap type="none"/>
          </v:shape>
        </w:pict>
      </w:r>
      <w:r>
        <w:rPr>
          <w:w w:val="170"/>
          <w:sz w:val="9"/>
        </w:rPr>
        <w:t>distribución programática de</w:t>
      </w:r>
      <w:r>
        <w:rPr>
          <w:spacing w:val="-21"/>
          <w:w w:val="170"/>
          <w:sz w:val="9"/>
        </w:rPr>
        <w:t> </w:t>
      </w:r>
      <w:r>
        <w:rPr>
          <w:w w:val="170"/>
          <w:sz w:val="9"/>
        </w:rPr>
        <w:t>los</w:t>
      </w:r>
    </w:p>
    <w:p>
      <w:pPr>
        <w:spacing w:line="91" w:lineRule="exact" w:before="0"/>
        <w:ind w:left="131" w:right="-5" w:firstLine="0"/>
        <w:jc w:val="left"/>
        <w:rPr>
          <w:sz w:val="9"/>
        </w:rPr>
      </w:pPr>
      <w:r>
        <w:rPr/>
        <w:br w:type="column"/>
      </w:r>
      <w:r>
        <w:rPr>
          <w:w w:val="170"/>
          <w:sz w:val="9"/>
        </w:rPr>
        <w:t>evaluar</w:t>
      </w:r>
      <w:r>
        <w:rPr>
          <w:spacing w:val="-7"/>
          <w:w w:val="170"/>
          <w:sz w:val="9"/>
        </w:rPr>
        <w:t> </w:t>
      </w:r>
      <w:r>
        <w:rPr>
          <w:w w:val="170"/>
          <w:sz w:val="9"/>
        </w:rPr>
        <w:t>si</w:t>
      </w:r>
      <w:r>
        <w:rPr>
          <w:spacing w:val="-7"/>
          <w:w w:val="170"/>
          <w:sz w:val="9"/>
        </w:rPr>
        <w:t> </w:t>
      </w:r>
      <w:r>
        <w:rPr>
          <w:w w:val="170"/>
          <w:sz w:val="9"/>
        </w:rPr>
        <w:t>los</w:t>
      </w:r>
      <w:r>
        <w:rPr>
          <w:spacing w:val="-7"/>
          <w:w w:val="170"/>
          <w:sz w:val="9"/>
        </w:rPr>
        <w:t> </w:t>
      </w:r>
      <w:r>
        <w:rPr>
          <w:w w:val="170"/>
          <w:sz w:val="9"/>
        </w:rPr>
        <w:t>controles</w:t>
      </w:r>
      <w:r>
        <w:rPr>
          <w:spacing w:val="-6"/>
          <w:w w:val="170"/>
          <w:sz w:val="9"/>
        </w:rPr>
        <w:t> </w:t>
      </w:r>
      <w:r>
        <w:rPr>
          <w:w w:val="170"/>
          <w:sz w:val="9"/>
        </w:rPr>
        <w:t>que</w:t>
      </w:r>
      <w:r>
        <w:rPr>
          <w:spacing w:val="-7"/>
          <w:w w:val="170"/>
          <w:sz w:val="9"/>
        </w:rPr>
        <w:t> </w:t>
      </w:r>
      <w:r>
        <w:rPr>
          <w:w w:val="170"/>
          <w:sz w:val="9"/>
        </w:rPr>
        <w:t>se</w:t>
      </w:r>
    </w:p>
    <w:p>
      <w:pPr>
        <w:spacing w:line="259" w:lineRule="auto" w:before="7"/>
        <w:ind w:left="131" w:right="-5" w:firstLine="1"/>
        <w:jc w:val="left"/>
        <w:rPr>
          <w:sz w:val="9"/>
        </w:rPr>
      </w:pPr>
      <w:r>
        <w:rPr>
          <w:w w:val="170"/>
          <w:sz w:val="9"/>
        </w:rPr>
        <w:t>tienen establecidos son adecuados y suficientes para</w:t>
      </w:r>
    </w:p>
    <w:p>
      <w:pPr>
        <w:spacing w:line="91" w:lineRule="auto" w:before="52"/>
        <w:ind w:left="132" w:right="-5" w:firstLine="0"/>
        <w:jc w:val="left"/>
        <w:rPr>
          <w:sz w:val="22"/>
        </w:rPr>
      </w:pPr>
      <w:r>
        <w:rPr>
          <w:w w:val="150"/>
          <w:sz w:val="9"/>
        </w:rPr>
        <w:t>la correcta aplicación de los </w:t>
      </w:r>
      <w:r>
        <w:rPr>
          <w:spacing w:val="-1"/>
          <w:w w:val="167"/>
          <w:sz w:val="9"/>
        </w:rPr>
        <w:t>r</w:t>
      </w:r>
      <w:r>
        <w:rPr>
          <w:spacing w:val="1"/>
          <w:w w:val="167"/>
          <w:sz w:val="9"/>
        </w:rPr>
        <w:t>e</w:t>
      </w:r>
      <w:r>
        <w:rPr>
          <w:w w:val="167"/>
          <w:sz w:val="9"/>
        </w:rPr>
        <w:t>cu</w:t>
      </w:r>
      <w:r>
        <w:rPr>
          <w:spacing w:val="-1"/>
          <w:w w:val="167"/>
          <w:sz w:val="9"/>
        </w:rPr>
        <w:t>r</w:t>
      </w:r>
      <w:r>
        <w:rPr>
          <w:w w:val="167"/>
          <w:sz w:val="9"/>
        </w:rPr>
        <w:t>so</w:t>
      </w:r>
      <w:r>
        <w:rPr>
          <w:w w:val="167"/>
          <w:sz w:val="9"/>
        </w:rPr>
        <w:t>s</w:t>
      </w:r>
      <w:r>
        <w:rPr>
          <w:sz w:val="9"/>
        </w:rPr>
        <w:t>  </w:t>
      </w:r>
      <w:r>
        <w:rPr>
          <w:w w:val="167"/>
          <w:sz w:val="9"/>
        </w:rPr>
        <w:t>d</w:t>
      </w:r>
      <w:r>
        <w:rPr>
          <w:spacing w:val="-1"/>
          <w:w w:val="167"/>
          <w:sz w:val="9"/>
        </w:rPr>
        <w:t>e</w:t>
      </w:r>
      <w:r>
        <w:rPr>
          <w:w w:val="167"/>
          <w:sz w:val="9"/>
        </w:rPr>
        <w:t>l</w:t>
      </w:r>
      <w:r>
        <w:rPr>
          <w:sz w:val="9"/>
        </w:rPr>
        <w:t>  </w:t>
      </w:r>
      <w:r>
        <w:rPr>
          <w:spacing w:val="-1"/>
          <w:w w:val="167"/>
          <w:sz w:val="9"/>
        </w:rPr>
        <w:t>f</w:t>
      </w:r>
      <w:r>
        <w:rPr>
          <w:spacing w:val="-49"/>
          <w:w w:val="167"/>
          <w:sz w:val="9"/>
        </w:rPr>
        <w:t>o</w:t>
      </w:r>
      <w:r>
        <w:rPr>
          <w:spacing w:val="-50"/>
          <w:w w:val="67"/>
          <w:position w:val="-4"/>
          <w:sz w:val="22"/>
        </w:rPr>
        <w:t>S</w:t>
      </w:r>
      <w:r>
        <w:rPr>
          <w:spacing w:val="-36"/>
          <w:w w:val="167"/>
          <w:sz w:val="9"/>
        </w:rPr>
        <w:t>n</w:t>
      </w:r>
      <w:r>
        <w:rPr>
          <w:spacing w:val="-48"/>
          <w:w w:val="67"/>
          <w:position w:val="-4"/>
          <w:sz w:val="22"/>
        </w:rPr>
        <w:t>a</w:t>
      </w:r>
      <w:r>
        <w:rPr>
          <w:spacing w:val="-37"/>
          <w:w w:val="167"/>
          <w:sz w:val="9"/>
        </w:rPr>
        <w:t>d</w:t>
      </w:r>
      <w:r>
        <w:rPr>
          <w:spacing w:val="-46"/>
          <w:w w:val="67"/>
          <w:position w:val="-4"/>
          <w:sz w:val="22"/>
        </w:rPr>
        <w:t>n</w:t>
      </w:r>
      <w:r>
        <w:rPr>
          <w:w w:val="167"/>
          <w:sz w:val="9"/>
        </w:rPr>
        <w:t>o</w:t>
      </w:r>
      <w:r>
        <w:rPr>
          <w:spacing w:val="-40"/>
          <w:w w:val="167"/>
          <w:sz w:val="9"/>
        </w:rPr>
        <w:t>.</w:t>
      </w:r>
      <w:r>
        <w:rPr>
          <w:spacing w:val="-1"/>
          <w:w w:val="67"/>
          <w:position w:val="-4"/>
          <w:sz w:val="22"/>
        </w:rPr>
        <w:t>F</w:t>
      </w:r>
      <w:r>
        <w:rPr>
          <w:w w:val="67"/>
          <w:position w:val="-4"/>
          <w:sz w:val="22"/>
        </w:rPr>
        <w:t>e</w:t>
      </w:r>
      <w:r>
        <w:rPr>
          <w:w w:val="67"/>
          <w:position w:val="-4"/>
          <w:sz w:val="22"/>
        </w:rPr>
        <w:t>l</w:t>
      </w:r>
      <w:r>
        <w:rPr>
          <w:spacing w:val="-1"/>
          <w:w w:val="67"/>
          <w:position w:val="-4"/>
          <w:sz w:val="22"/>
        </w:rPr>
        <w:t>i</w:t>
      </w:r>
      <w:r>
        <w:rPr>
          <w:spacing w:val="-1"/>
          <w:w w:val="67"/>
          <w:position w:val="-4"/>
          <w:sz w:val="22"/>
        </w:rPr>
        <w:t>p</w:t>
      </w:r>
      <w:r>
        <w:rPr>
          <w:w w:val="67"/>
          <w:position w:val="-4"/>
          <w:sz w:val="22"/>
        </w:rPr>
        <w:t>e</w:t>
      </w:r>
      <w:r>
        <w:rPr>
          <w:position w:val="-4"/>
          <w:sz w:val="22"/>
        </w:rPr>
        <w:t> </w:t>
      </w:r>
      <w:r>
        <w:rPr>
          <w:w w:val="67"/>
          <w:position w:val="-4"/>
          <w:sz w:val="22"/>
        </w:rPr>
        <w:t>d</w:t>
      </w:r>
      <w:r>
        <w:rPr>
          <w:spacing w:val="-1"/>
          <w:w w:val="67"/>
          <w:position w:val="-4"/>
          <w:sz w:val="22"/>
        </w:rPr>
        <w:t>e</w:t>
      </w:r>
      <w:r>
        <w:rPr>
          <w:w w:val="67"/>
          <w:position w:val="-4"/>
          <w:sz w:val="22"/>
        </w:rPr>
        <w:t>l</w:t>
      </w:r>
    </w:p>
    <w:p>
      <w:pPr>
        <w:spacing w:line="91" w:lineRule="exact" w:before="0"/>
        <w:ind w:left="81" w:right="2572" w:firstLine="1"/>
        <w:jc w:val="left"/>
        <w:rPr>
          <w:sz w:val="9"/>
        </w:rPr>
      </w:pPr>
      <w:r>
        <w:rPr/>
        <w:br w:type="column"/>
      </w:r>
      <w:r>
        <w:rPr>
          <w:w w:val="170"/>
          <w:sz w:val="9"/>
        </w:rPr>
        <w:t>garantizan la adecuada</w:t>
      </w:r>
    </w:p>
    <w:p>
      <w:pPr>
        <w:spacing w:line="259" w:lineRule="auto" w:before="7"/>
        <w:ind w:left="81" w:right="2572" w:firstLine="0"/>
        <w:jc w:val="left"/>
        <w:rPr>
          <w:sz w:val="9"/>
        </w:rPr>
      </w:pPr>
      <w:r>
        <w:rPr>
          <w:w w:val="170"/>
          <w:sz w:val="9"/>
        </w:rPr>
        <w:t>guarda y custodia de la documentación del fondo.</w:t>
      </w:r>
    </w:p>
    <w:p>
      <w:pPr>
        <w:spacing w:line="180" w:lineRule="exact" w:before="0"/>
        <w:ind w:left="305" w:right="2572" w:firstLine="0"/>
        <w:jc w:val="left"/>
        <w:rPr>
          <w:sz w:val="22"/>
        </w:rPr>
      </w:pPr>
      <w:r>
        <w:rPr>
          <w:w w:val="70"/>
          <w:sz w:val="22"/>
        </w:rPr>
        <w:t>San José del</w:t>
      </w:r>
    </w:p>
    <w:p>
      <w:pPr>
        <w:spacing w:after="0" w:line="180" w:lineRule="exact"/>
        <w:jc w:val="left"/>
        <w:rPr>
          <w:sz w:val="22"/>
        </w:rPr>
        <w:sectPr>
          <w:type w:val="continuous"/>
          <w:pgSz w:w="15840" w:h="12240" w:orient="landscape"/>
          <w:pgMar w:top="0" w:bottom="280" w:left="1800" w:right="1700"/>
          <w:cols w:num="4" w:equalWidth="0">
            <w:col w:w="4266" w:space="40"/>
            <w:col w:w="1440" w:space="40"/>
            <w:col w:w="2171" w:space="40"/>
            <w:col w:w="4343"/>
          </w:cols>
        </w:sectPr>
      </w:pPr>
    </w:p>
    <w:p>
      <w:pPr>
        <w:spacing w:line="236" w:lineRule="exact" w:before="0"/>
        <w:ind w:left="2454" w:right="-4" w:firstLine="0"/>
        <w:jc w:val="left"/>
        <w:rPr>
          <w:sz w:val="9"/>
        </w:rPr>
      </w:pPr>
      <w:r>
        <w:rPr>
          <w:spacing w:val="-1"/>
          <w:w w:val="167"/>
          <w:sz w:val="9"/>
        </w:rPr>
        <w:t>S</w:t>
      </w:r>
      <w:r>
        <w:rPr>
          <w:w w:val="167"/>
          <w:sz w:val="9"/>
        </w:rPr>
        <w:t>e</w:t>
      </w:r>
      <w:r>
        <w:rPr>
          <w:sz w:val="9"/>
        </w:rPr>
        <w:t> </w:t>
      </w:r>
      <w:r>
        <w:rPr>
          <w:spacing w:val="-8"/>
          <w:sz w:val="9"/>
        </w:rPr>
        <w:t> </w:t>
      </w:r>
      <w:r>
        <w:rPr>
          <w:w w:val="167"/>
          <w:sz w:val="9"/>
        </w:rPr>
        <w:t>cu</w:t>
      </w:r>
      <w:r>
        <w:rPr>
          <w:w w:val="167"/>
          <w:sz w:val="9"/>
        </w:rPr>
        <w:t>e</w:t>
      </w:r>
      <w:r>
        <w:rPr>
          <w:spacing w:val="-28"/>
          <w:w w:val="167"/>
          <w:sz w:val="9"/>
        </w:rPr>
        <w:t>n</w:t>
      </w:r>
      <w:r>
        <w:rPr>
          <w:spacing w:val="-80"/>
          <w:w w:val="67"/>
          <w:sz w:val="22"/>
        </w:rPr>
        <w:t>C</w:t>
      </w:r>
      <w:r>
        <w:rPr>
          <w:spacing w:val="-1"/>
          <w:w w:val="167"/>
          <w:sz w:val="9"/>
        </w:rPr>
        <w:t>t</w:t>
      </w:r>
      <w:r>
        <w:rPr>
          <w:spacing w:val="-47"/>
          <w:w w:val="167"/>
          <w:sz w:val="9"/>
        </w:rPr>
        <w:t>a</w:t>
      </w:r>
      <w:r>
        <w:rPr>
          <w:spacing w:val="-1"/>
          <w:w w:val="67"/>
          <w:sz w:val="22"/>
        </w:rPr>
        <w:t>h</w:t>
      </w:r>
      <w:r>
        <w:rPr>
          <w:spacing w:val="-27"/>
          <w:w w:val="67"/>
          <w:sz w:val="22"/>
        </w:rPr>
        <w:t>i</w:t>
      </w:r>
      <w:r>
        <w:rPr>
          <w:spacing w:val="-50"/>
          <w:w w:val="167"/>
          <w:sz w:val="9"/>
        </w:rPr>
        <w:t>c</w:t>
      </w:r>
      <w:r>
        <w:rPr>
          <w:spacing w:val="-75"/>
          <w:w w:val="67"/>
          <w:sz w:val="22"/>
        </w:rPr>
        <w:t>m</w:t>
      </w:r>
      <w:r>
        <w:rPr>
          <w:spacing w:val="-11"/>
          <w:w w:val="167"/>
          <w:sz w:val="9"/>
        </w:rPr>
        <w:t>o</w:t>
      </w:r>
      <w:r>
        <w:rPr>
          <w:spacing w:val="-72"/>
          <w:w w:val="67"/>
          <w:sz w:val="22"/>
        </w:rPr>
        <w:t>a</w:t>
      </w:r>
      <w:r>
        <w:rPr>
          <w:spacing w:val="-12"/>
          <w:w w:val="167"/>
          <w:sz w:val="9"/>
        </w:rPr>
        <w:t>n</w:t>
      </w:r>
      <w:r>
        <w:rPr>
          <w:w w:val="67"/>
          <w:sz w:val="22"/>
        </w:rPr>
        <w:t>l</w:t>
      </w:r>
      <w:r>
        <w:rPr>
          <w:spacing w:val="-62"/>
          <w:w w:val="67"/>
          <w:sz w:val="22"/>
        </w:rPr>
        <w:t>h</w:t>
      </w:r>
      <w:r>
        <w:rPr>
          <w:spacing w:val="-23"/>
          <w:w w:val="167"/>
          <w:sz w:val="9"/>
        </w:rPr>
        <w:t>p</w:t>
      </w:r>
      <w:r>
        <w:rPr>
          <w:spacing w:val="-60"/>
          <w:w w:val="67"/>
          <w:sz w:val="22"/>
        </w:rPr>
        <w:t>u</w:t>
      </w:r>
      <w:r>
        <w:rPr>
          <w:spacing w:val="-1"/>
          <w:w w:val="167"/>
          <w:sz w:val="9"/>
        </w:rPr>
        <w:t>r</w:t>
      </w:r>
      <w:r>
        <w:rPr>
          <w:spacing w:val="-75"/>
          <w:w w:val="167"/>
          <w:sz w:val="9"/>
        </w:rPr>
        <w:t>o</w:t>
      </w:r>
      <w:r>
        <w:rPr>
          <w:spacing w:val="-7"/>
          <w:w w:val="67"/>
          <w:sz w:val="22"/>
        </w:rPr>
        <w:t>a</w:t>
      </w:r>
      <w:r>
        <w:rPr>
          <w:spacing w:val="-78"/>
          <w:w w:val="167"/>
          <w:sz w:val="9"/>
        </w:rPr>
        <w:t>g</w:t>
      </w:r>
      <w:r>
        <w:rPr>
          <w:spacing w:val="-1"/>
          <w:w w:val="67"/>
          <w:sz w:val="22"/>
        </w:rPr>
        <w:t>c</w:t>
      </w:r>
      <w:r>
        <w:rPr>
          <w:spacing w:val="-80"/>
          <w:w w:val="67"/>
          <w:sz w:val="22"/>
        </w:rPr>
        <w:t>á</w:t>
      </w:r>
      <w:r>
        <w:rPr>
          <w:spacing w:val="-1"/>
          <w:w w:val="167"/>
          <w:sz w:val="9"/>
        </w:rPr>
        <w:t>r</w:t>
      </w:r>
      <w:r>
        <w:rPr>
          <w:spacing w:val="-54"/>
          <w:w w:val="167"/>
          <w:sz w:val="9"/>
        </w:rPr>
        <w:t>a</w:t>
      </w:r>
      <w:r>
        <w:rPr>
          <w:spacing w:val="-28"/>
          <w:w w:val="67"/>
          <w:sz w:val="22"/>
        </w:rPr>
        <w:t>n</w:t>
      </w:r>
      <w:r>
        <w:rPr>
          <w:w w:val="167"/>
          <w:sz w:val="9"/>
        </w:rPr>
        <w:t>m</w:t>
      </w:r>
      <w:r>
        <w:rPr>
          <w:spacing w:val="1"/>
          <w:w w:val="167"/>
          <w:sz w:val="9"/>
        </w:rPr>
        <w:t>a</w:t>
      </w:r>
      <w:r>
        <w:rPr>
          <w:w w:val="167"/>
          <w:sz w:val="9"/>
        </w:rPr>
        <w:t>s</w:t>
      </w:r>
    </w:p>
    <w:p>
      <w:pPr>
        <w:spacing w:line="256" w:lineRule="auto" w:before="0"/>
        <w:ind w:left="182" w:right="0" w:firstLine="1"/>
        <w:jc w:val="left"/>
        <w:rPr>
          <w:sz w:val="9"/>
        </w:rPr>
      </w:pPr>
      <w:r>
        <w:rPr/>
        <w:br w:type="column"/>
      </w:r>
      <w:r>
        <w:rPr>
          <w:w w:val="170"/>
          <w:sz w:val="9"/>
        </w:rPr>
        <w:t>recursos. No se</w:t>
      </w:r>
      <w:r>
        <w:rPr>
          <w:spacing w:val="-13"/>
          <w:w w:val="170"/>
          <w:sz w:val="9"/>
        </w:rPr>
        <w:t> </w:t>
      </w:r>
      <w:r>
        <w:rPr>
          <w:w w:val="170"/>
          <w:sz w:val="9"/>
        </w:rPr>
        <w:t>tienen</w:t>
      </w:r>
    </w:p>
    <w:p>
      <w:pPr>
        <w:spacing w:line="236" w:lineRule="exact" w:before="0"/>
        <w:ind w:left="117" w:right="-18" w:firstLine="0"/>
        <w:jc w:val="left"/>
        <w:rPr>
          <w:sz w:val="9"/>
        </w:rPr>
      </w:pPr>
      <w:r>
        <w:rPr/>
        <w:br w:type="column"/>
      </w:r>
      <w:r>
        <w:rPr>
          <w:spacing w:val="-1"/>
          <w:w w:val="67"/>
          <w:sz w:val="22"/>
        </w:rPr>
        <w:t>N</w:t>
      </w:r>
      <w:r>
        <w:rPr>
          <w:w w:val="67"/>
          <w:sz w:val="22"/>
        </w:rPr>
        <w:t>e</w:t>
      </w:r>
      <w:r>
        <w:rPr>
          <w:spacing w:val="-1"/>
          <w:w w:val="67"/>
          <w:sz w:val="22"/>
        </w:rPr>
        <w:t>z</w:t>
      </w:r>
      <w:r>
        <w:rPr>
          <w:w w:val="67"/>
          <w:sz w:val="22"/>
        </w:rPr>
        <w:t>a</w:t>
      </w:r>
      <w:r>
        <w:rPr>
          <w:spacing w:val="-1"/>
          <w:w w:val="67"/>
          <w:sz w:val="22"/>
        </w:rPr>
        <w:t>h</w:t>
      </w:r>
      <w:r>
        <w:rPr>
          <w:spacing w:val="-16"/>
          <w:w w:val="67"/>
          <w:sz w:val="22"/>
        </w:rPr>
        <w:t>u</w:t>
      </w:r>
      <w:r>
        <w:rPr>
          <w:spacing w:val="-85"/>
          <w:w w:val="167"/>
          <w:sz w:val="9"/>
        </w:rPr>
        <w:t>S</w:t>
      </w:r>
      <w:r>
        <w:rPr>
          <w:spacing w:val="-1"/>
          <w:w w:val="67"/>
          <w:sz w:val="22"/>
        </w:rPr>
        <w:t>a</w:t>
      </w:r>
      <w:r>
        <w:rPr>
          <w:spacing w:val="-32"/>
          <w:w w:val="67"/>
          <w:sz w:val="22"/>
        </w:rPr>
        <w:t>l</w:t>
      </w:r>
      <w:r>
        <w:rPr>
          <w:spacing w:val="-53"/>
          <w:w w:val="167"/>
          <w:sz w:val="9"/>
        </w:rPr>
        <w:t>e</w:t>
      </w:r>
      <w:r>
        <w:rPr>
          <w:spacing w:val="-1"/>
          <w:w w:val="67"/>
          <w:sz w:val="22"/>
        </w:rPr>
        <w:t>c</w:t>
      </w:r>
      <w:r>
        <w:rPr>
          <w:spacing w:val="-60"/>
          <w:w w:val="67"/>
          <w:sz w:val="22"/>
        </w:rPr>
        <w:t>ó</w:t>
      </w:r>
      <w:r>
        <w:rPr>
          <w:spacing w:val="-16"/>
          <w:w w:val="167"/>
          <w:sz w:val="9"/>
        </w:rPr>
        <w:t>c</w:t>
      </w:r>
      <w:r>
        <w:rPr>
          <w:spacing w:val="-59"/>
          <w:w w:val="67"/>
          <w:sz w:val="22"/>
        </w:rPr>
        <w:t>y</w:t>
      </w:r>
      <w:r>
        <w:rPr>
          <w:spacing w:val="-26"/>
          <w:w w:val="167"/>
          <w:sz w:val="9"/>
        </w:rPr>
        <w:t>u</w:t>
      </w:r>
      <w:r>
        <w:rPr>
          <w:spacing w:val="-57"/>
          <w:w w:val="67"/>
          <w:sz w:val="22"/>
        </w:rPr>
        <w:t>o</w:t>
      </w:r>
      <w:r>
        <w:rPr>
          <w:spacing w:val="-28"/>
          <w:w w:val="167"/>
          <w:sz w:val="9"/>
        </w:rPr>
        <w:t>e</w:t>
      </w:r>
      <w:r>
        <w:rPr>
          <w:spacing w:val="-14"/>
          <w:w w:val="67"/>
          <w:sz w:val="22"/>
        </w:rPr>
        <w:t>t</w:t>
      </w:r>
      <w:r>
        <w:rPr>
          <w:spacing w:val="-71"/>
          <w:w w:val="167"/>
          <w:sz w:val="9"/>
        </w:rPr>
        <w:t>n</w:t>
      </w:r>
      <w:r>
        <w:rPr>
          <w:w w:val="67"/>
          <w:sz w:val="22"/>
        </w:rPr>
        <w:t>l</w:t>
      </w:r>
      <w:r>
        <w:rPr>
          <w:spacing w:val="-23"/>
          <w:sz w:val="22"/>
        </w:rPr>
        <w:t> </w:t>
      </w:r>
      <w:r>
        <w:rPr>
          <w:spacing w:val="-1"/>
          <w:w w:val="167"/>
          <w:sz w:val="9"/>
        </w:rPr>
        <w:t>t</w:t>
      </w:r>
      <w:r>
        <w:rPr>
          <w:w w:val="167"/>
          <w:sz w:val="9"/>
        </w:rPr>
        <w:t>a</w:t>
      </w:r>
      <w:r>
        <w:rPr>
          <w:sz w:val="9"/>
        </w:rPr>
        <w:t> </w:t>
      </w:r>
      <w:r>
        <w:rPr>
          <w:spacing w:val="-8"/>
          <w:sz w:val="9"/>
        </w:rPr>
        <w:t> </w:t>
      </w:r>
      <w:r>
        <w:rPr>
          <w:w w:val="167"/>
          <w:sz w:val="9"/>
        </w:rPr>
        <w:t>co</w:t>
      </w:r>
      <w:r>
        <w:rPr>
          <w:w w:val="167"/>
          <w:sz w:val="9"/>
        </w:rPr>
        <w:t>n</w:t>
      </w:r>
      <w:r>
        <w:rPr>
          <w:sz w:val="9"/>
        </w:rPr>
        <w:t> </w:t>
      </w:r>
      <w:r>
        <w:rPr>
          <w:spacing w:val="-8"/>
          <w:sz w:val="9"/>
        </w:rPr>
        <w:t> </w:t>
      </w:r>
      <w:r>
        <w:rPr>
          <w:w w:val="167"/>
          <w:sz w:val="9"/>
        </w:rPr>
        <w:t>u</w:t>
      </w:r>
      <w:r>
        <w:rPr>
          <w:spacing w:val="-61"/>
          <w:w w:val="167"/>
          <w:sz w:val="9"/>
        </w:rPr>
        <w:t>n</w:t>
      </w:r>
      <w:r>
        <w:rPr>
          <w:spacing w:val="-39"/>
          <w:w w:val="67"/>
          <w:sz w:val="22"/>
        </w:rPr>
        <w:t>P</w:t>
      </w:r>
      <w:r>
        <w:rPr>
          <w:spacing w:val="-47"/>
          <w:w w:val="167"/>
          <w:sz w:val="9"/>
        </w:rPr>
        <w:t>a</w:t>
      </w:r>
      <w:r>
        <w:rPr>
          <w:w w:val="67"/>
          <w:sz w:val="22"/>
        </w:rPr>
        <w:t>r</w:t>
      </w:r>
      <w:r>
        <w:rPr>
          <w:spacing w:val="-43"/>
          <w:w w:val="67"/>
          <w:sz w:val="22"/>
        </w:rPr>
        <w:t>o</w:t>
      </w:r>
      <w:r>
        <w:rPr>
          <w:spacing w:val="-40"/>
          <w:w w:val="167"/>
          <w:sz w:val="9"/>
        </w:rPr>
        <w:t>e</w:t>
      </w:r>
      <w:r>
        <w:rPr>
          <w:spacing w:val="-43"/>
          <w:w w:val="67"/>
          <w:sz w:val="22"/>
        </w:rPr>
        <w:t>g</w:t>
      </w:r>
      <w:r>
        <w:rPr>
          <w:spacing w:val="-34"/>
          <w:w w:val="167"/>
          <w:sz w:val="9"/>
        </w:rPr>
        <w:t>s</w:t>
      </w:r>
      <w:r>
        <w:rPr>
          <w:spacing w:val="-17"/>
          <w:w w:val="67"/>
          <w:sz w:val="22"/>
        </w:rPr>
        <w:t>r</w:t>
      </w:r>
      <w:r>
        <w:rPr>
          <w:spacing w:val="-27"/>
          <w:w w:val="167"/>
          <w:sz w:val="9"/>
        </w:rPr>
        <w:t>t</w:t>
      </w:r>
      <w:r>
        <w:rPr>
          <w:spacing w:val="-56"/>
          <w:w w:val="67"/>
          <w:sz w:val="22"/>
        </w:rPr>
        <w:t>e</w:t>
      </w:r>
      <w:r>
        <w:rPr>
          <w:spacing w:val="-1"/>
          <w:w w:val="167"/>
          <w:sz w:val="9"/>
        </w:rPr>
        <w:t>r</w:t>
      </w:r>
      <w:r>
        <w:rPr>
          <w:spacing w:val="-78"/>
          <w:w w:val="167"/>
          <w:sz w:val="9"/>
        </w:rPr>
        <w:t>u</w:t>
      </w:r>
      <w:r>
        <w:rPr>
          <w:spacing w:val="-1"/>
          <w:w w:val="67"/>
          <w:sz w:val="22"/>
        </w:rPr>
        <w:t>s</w:t>
      </w:r>
      <w:r>
        <w:rPr>
          <w:spacing w:val="-79"/>
          <w:w w:val="67"/>
          <w:sz w:val="22"/>
        </w:rPr>
        <w:t>o</w:t>
      </w:r>
      <w:r>
        <w:rPr>
          <w:w w:val="167"/>
          <w:sz w:val="9"/>
        </w:rPr>
        <w:t>c</w:t>
      </w:r>
      <w:r>
        <w:rPr>
          <w:spacing w:val="1"/>
          <w:w w:val="167"/>
          <w:sz w:val="9"/>
        </w:rPr>
        <w:t>t</w:t>
      </w:r>
      <w:r>
        <w:rPr>
          <w:w w:val="167"/>
          <w:sz w:val="9"/>
        </w:rPr>
        <w:t>u</w:t>
      </w:r>
      <w:r>
        <w:rPr>
          <w:spacing w:val="-1"/>
          <w:w w:val="167"/>
          <w:sz w:val="9"/>
        </w:rPr>
        <w:t>ra</w:t>
      </w:r>
    </w:p>
    <w:p>
      <w:pPr>
        <w:spacing w:line="236" w:lineRule="exact" w:before="0"/>
        <w:ind w:left="142" w:right="-11" w:firstLine="0"/>
        <w:jc w:val="left"/>
        <w:rPr>
          <w:sz w:val="9"/>
        </w:rPr>
      </w:pPr>
      <w:r>
        <w:rPr/>
        <w:br w:type="column"/>
      </w:r>
      <w:r>
        <w:rPr>
          <w:w w:val="167"/>
          <w:sz w:val="9"/>
        </w:rPr>
        <w:t>L</w:t>
      </w:r>
      <w:r>
        <w:rPr>
          <w:spacing w:val="-1"/>
          <w:w w:val="167"/>
          <w:sz w:val="9"/>
        </w:rPr>
        <w:t>o</w:t>
      </w:r>
      <w:r>
        <w:rPr>
          <w:w w:val="167"/>
          <w:sz w:val="9"/>
        </w:rPr>
        <w:t>s</w:t>
      </w:r>
      <w:r>
        <w:rPr>
          <w:sz w:val="9"/>
        </w:rPr>
        <w:t> </w:t>
      </w:r>
      <w:r>
        <w:rPr>
          <w:spacing w:val="-8"/>
          <w:sz w:val="9"/>
        </w:rPr>
        <w:t> </w:t>
      </w:r>
      <w:r>
        <w:rPr>
          <w:w w:val="167"/>
          <w:sz w:val="9"/>
        </w:rPr>
        <w:t>si</w:t>
      </w:r>
      <w:r>
        <w:rPr>
          <w:spacing w:val="-50"/>
          <w:w w:val="167"/>
          <w:sz w:val="9"/>
        </w:rPr>
        <w:t>s</w:t>
      </w:r>
      <w:r>
        <w:rPr>
          <w:spacing w:val="-58"/>
          <w:w w:val="67"/>
          <w:sz w:val="22"/>
        </w:rPr>
        <w:t>R</w:t>
      </w:r>
      <w:r>
        <w:rPr>
          <w:w w:val="167"/>
          <w:sz w:val="9"/>
        </w:rPr>
        <w:t>t</w:t>
      </w:r>
      <w:r>
        <w:rPr>
          <w:spacing w:val="-70"/>
          <w:w w:val="167"/>
          <w:sz w:val="9"/>
        </w:rPr>
        <w:t>e</w:t>
      </w:r>
      <w:r>
        <w:rPr>
          <w:w w:val="67"/>
          <w:sz w:val="22"/>
        </w:rPr>
        <w:t>i</w:t>
      </w:r>
      <w:r>
        <w:rPr>
          <w:spacing w:val="-47"/>
          <w:w w:val="67"/>
          <w:sz w:val="22"/>
        </w:rPr>
        <w:t>n</w:t>
      </w:r>
      <w:r>
        <w:rPr>
          <w:spacing w:val="-81"/>
          <w:w w:val="167"/>
          <w:sz w:val="9"/>
        </w:rPr>
        <w:t>m</w:t>
      </w:r>
      <w:r>
        <w:rPr>
          <w:spacing w:val="-1"/>
          <w:w w:val="67"/>
          <w:sz w:val="22"/>
        </w:rPr>
        <w:t>c</w:t>
      </w:r>
      <w:r>
        <w:rPr>
          <w:spacing w:val="-77"/>
          <w:w w:val="67"/>
          <w:sz w:val="22"/>
        </w:rPr>
        <w:t>ó</w:t>
      </w:r>
      <w:r>
        <w:rPr>
          <w:spacing w:val="-6"/>
          <w:w w:val="167"/>
          <w:sz w:val="9"/>
        </w:rPr>
        <w:t>a</w:t>
      </w:r>
      <w:r>
        <w:rPr>
          <w:spacing w:val="-75"/>
          <w:w w:val="67"/>
          <w:sz w:val="22"/>
        </w:rPr>
        <w:t>n</w:t>
      </w:r>
      <w:r>
        <w:rPr>
          <w:w w:val="167"/>
          <w:sz w:val="9"/>
        </w:rPr>
        <w:t>s</w:t>
      </w:r>
      <w:r>
        <w:rPr>
          <w:sz w:val="9"/>
        </w:rPr>
        <w:t> </w:t>
      </w:r>
      <w:r>
        <w:rPr>
          <w:spacing w:val="-7"/>
          <w:sz w:val="9"/>
        </w:rPr>
        <w:t> </w:t>
      </w:r>
      <w:r>
        <w:rPr>
          <w:spacing w:val="-1"/>
          <w:w w:val="167"/>
          <w:sz w:val="9"/>
        </w:rPr>
        <w:t>d</w:t>
      </w:r>
      <w:r>
        <w:rPr>
          <w:w w:val="167"/>
          <w:sz w:val="9"/>
        </w:rPr>
        <w:t>e</w:t>
      </w:r>
    </w:p>
    <w:p>
      <w:pPr>
        <w:tabs>
          <w:tab w:pos="1923" w:val="left" w:leader="none"/>
        </w:tabs>
        <w:spacing w:line="236" w:lineRule="exact" w:before="0"/>
        <w:ind w:left="698" w:right="0" w:firstLine="0"/>
        <w:jc w:val="left"/>
        <w:rPr>
          <w:sz w:val="22"/>
        </w:rPr>
      </w:pPr>
      <w:r>
        <w:rPr/>
        <w:br w:type="column"/>
      </w:r>
      <w:r>
        <w:rPr>
          <w:spacing w:val="-4"/>
          <w:w w:val="75"/>
          <w:sz w:val="22"/>
        </w:rPr>
        <w:t>Toluca</w:t>
        <w:tab/>
      </w:r>
      <w:r>
        <w:rPr>
          <w:w w:val="65"/>
          <w:sz w:val="22"/>
        </w:rPr>
        <w:t>Villa</w:t>
      </w:r>
      <w:r>
        <w:rPr>
          <w:spacing w:val="18"/>
          <w:w w:val="65"/>
          <w:sz w:val="22"/>
        </w:rPr>
        <w:t> </w:t>
      </w:r>
      <w:r>
        <w:rPr>
          <w:w w:val="65"/>
          <w:sz w:val="22"/>
        </w:rPr>
        <w:t>Victoria</w:t>
      </w:r>
    </w:p>
    <w:p>
      <w:pPr>
        <w:spacing w:after="0" w:line="236" w:lineRule="exact"/>
        <w:jc w:val="left"/>
        <w:rPr>
          <w:sz w:val="22"/>
        </w:rPr>
        <w:sectPr>
          <w:type w:val="continuous"/>
          <w:pgSz w:w="15840" w:h="12240" w:orient="landscape"/>
          <w:pgMar w:top="0" w:bottom="280" w:left="1800" w:right="1700"/>
          <w:cols w:num="5" w:equalWidth="0">
            <w:col w:w="4190" w:space="40"/>
            <w:col w:w="1034" w:space="40"/>
            <w:col w:w="2592" w:space="40"/>
            <w:col w:w="1238" w:space="40"/>
            <w:col w:w="3126"/>
          </w:cols>
        </w:sectPr>
      </w:pPr>
    </w:p>
    <w:p>
      <w:pPr>
        <w:spacing w:line="59" w:lineRule="exact" w:before="0"/>
        <w:ind w:left="2455" w:right="-11" w:firstLine="0"/>
        <w:jc w:val="left"/>
        <w:rPr>
          <w:sz w:val="9"/>
        </w:rPr>
      </w:pPr>
      <w:r>
        <w:rPr>
          <w:w w:val="170"/>
          <w:sz w:val="9"/>
        </w:rPr>
        <w:t>de capacitación para</w:t>
      </w:r>
      <w:r>
        <w:rPr>
          <w:spacing w:val="-24"/>
          <w:w w:val="170"/>
          <w:sz w:val="9"/>
        </w:rPr>
        <w:t> </w:t>
      </w:r>
      <w:r>
        <w:rPr>
          <w:w w:val="170"/>
          <w:sz w:val="9"/>
        </w:rPr>
        <w:t>el</w:t>
      </w:r>
    </w:p>
    <w:p>
      <w:pPr>
        <w:spacing w:line="59" w:lineRule="exact" w:before="0"/>
        <w:ind w:left="357" w:right="-16" w:firstLine="0"/>
        <w:jc w:val="left"/>
        <w:rPr>
          <w:sz w:val="9"/>
        </w:rPr>
      </w:pPr>
      <w:r>
        <w:rPr/>
        <w:br w:type="column"/>
      </w:r>
      <w:r>
        <w:rPr>
          <w:w w:val="170"/>
          <w:sz w:val="9"/>
        </w:rPr>
        <w:t>implantadas medidas formal que define las</w:t>
      </w:r>
    </w:p>
    <w:p>
      <w:pPr>
        <w:spacing w:line="59" w:lineRule="exact" w:before="0"/>
        <w:ind w:left="714" w:right="0" w:firstLine="0"/>
        <w:jc w:val="left"/>
        <w:rPr>
          <w:sz w:val="9"/>
        </w:rPr>
      </w:pPr>
      <w:r>
        <w:rPr/>
        <w:br w:type="column"/>
      </w:r>
      <w:r>
        <w:rPr>
          <w:w w:val="170"/>
          <w:sz w:val="9"/>
        </w:rPr>
        <w:t>información que operan</w:t>
      </w:r>
    </w:p>
    <w:p>
      <w:pPr>
        <w:spacing w:after="0" w:line="59" w:lineRule="exact"/>
        <w:jc w:val="left"/>
        <w:rPr>
          <w:sz w:val="9"/>
        </w:rPr>
        <w:sectPr>
          <w:type w:val="continuous"/>
          <w:pgSz w:w="15840" w:h="12240" w:orient="landscape"/>
          <w:pgMar w:top="0" w:bottom="280" w:left="1800" w:right="1700"/>
          <w:cols w:num="3" w:equalWidth="0">
            <w:col w:w="4014" w:space="40"/>
            <w:col w:w="3270" w:space="40"/>
            <w:col w:w="4976"/>
          </w:cols>
        </w:sectPr>
      </w:pPr>
    </w:p>
    <w:p>
      <w:pPr>
        <w:spacing w:line="228" w:lineRule="exact" w:before="0"/>
        <w:ind w:left="147" w:right="0" w:firstLine="0"/>
        <w:jc w:val="left"/>
        <w:rPr>
          <w:sz w:val="22"/>
        </w:rPr>
      </w:pPr>
      <w:r>
        <w:rPr>
          <w:w w:val="65"/>
          <w:sz w:val="22"/>
        </w:rPr>
        <w:t>Agua Potable</w:t>
      </w:r>
    </w:p>
    <w:p>
      <w:pPr>
        <w:spacing w:before="40"/>
        <w:ind w:left="147" w:right="-9" w:firstLine="0"/>
        <w:jc w:val="left"/>
        <w:rPr>
          <w:sz w:val="9"/>
        </w:rPr>
      </w:pPr>
      <w:r>
        <w:rPr/>
        <w:br w:type="column"/>
      </w:r>
      <w:r>
        <w:rPr>
          <w:w w:val="165"/>
          <w:sz w:val="9"/>
        </w:rPr>
        <w:t>personal</w:t>
      </w:r>
    </w:p>
    <w:p>
      <w:pPr>
        <w:spacing w:line="228" w:lineRule="exact" w:before="0"/>
        <w:ind w:left="147" w:right="-13" w:firstLine="0"/>
        <w:jc w:val="left"/>
        <w:rPr>
          <w:sz w:val="22"/>
        </w:rPr>
      </w:pPr>
      <w:r>
        <w:rPr/>
        <w:br w:type="column"/>
      </w:r>
      <w:r>
        <w:rPr>
          <w:w w:val="65"/>
          <w:sz w:val="22"/>
        </w:rPr>
        <w:t>3.4</w:t>
      </w:r>
    </w:p>
    <w:p>
      <w:pPr>
        <w:spacing w:line="256" w:lineRule="auto" w:before="40"/>
        <w:ind w:left="148" w:right="-12" w:hanging="2"/>
        <w:jc w:val="left"/>
        <w:rPr>
          <w:sz w:val="9"/>
        </w:rPr>
      </w:pPr>
      <w:r>
        <w:rPr/>
        <w:br w:type="column"/>
      </w:r>
      <w:r>
        <w:rPr>
          <w:w w:val="170"/>
          <w:sz w:val="9"/>
        </w:rPr>
        <w:t>de control para asegurar que</w:t>
      </w:r>
      <w:r>
        <w:rPr>
          <w:spacing w:val="-18"/>
          <w:w w:val="170"/>
          <w:sz w:val="9"/>
        </w:rPr>
        <w:t> </w:t>
      </w:r>
      <w:r>
        <w:rPr>
          <w:w w:val="170"/>
          <w:sz w:val="9"/>
        </w:rPr>
        <w:t>los</w:t>
      </w:r>
    </w:p>
    <w:p>
      <w:pPr>
        <w:spacing w:line="256" w:lineRule="auto" w:before="40"/>
        <w:ind w:left="147" w:right="-9" w:firstLine="2"/>
        <w:jc w:val="left"/>
        <w:rPr>
          <w:sz w:val="9"/>
        </w:rPr>
      </w:pPr>
      <w:r>
        <w:rPr/>
        <w:br w:type="column"/>
      </w:r>
      <w:r>
        <w:rPr>
          <w:w w:val="170"/>
          <w:sz w:val="9"/>
        </w:rPr>
        <w:t>atribuciones y responsabilidades de</w:t>
      </w:r>
      <w:r>
        <w:rPr>
          <w:spacing w:val="-27"/>
          <w:w w:val="170"/>
          <w:sz w:val="9"/>
        </w:rPr>
        <w:t> </w:t>
      </w:r>
      <w:r>
        <w:rPr>
          <w:w w:val="170"/>
          <w:sz w:val="9"/>
        </w:rPr>
        <w:t>las</w:t>
      </w:r>
    </w:p>
    <w:p>
      <w:pPr>
        <w:spacing w:line="256" w:lineRule="auto" w:before="40"/>
        <w:ind w:left="389" w:right="2589" w:firstLine="2"/>
        <w:jc w:val="left"/>
        <w:rPr>
          <w:sz w:val="9"/>
        </w:rPr>
      </w:pPr>
      <w:r>
        <w:rPr/>
        <w:br w:type="column"/>
      </w:r>
      <w:r>
        <w:rPr>
          <w:w w:val="170"/>
          <w:sz w:val="9"/>
        </w:rPr>
        <w:t>en el municipio le permite cumplir con sus</w:t>
      </w:r>
    </w:p>
    <w:p>
      <w:pPr>
        <w:spacing w:after="0" w:line="256" w:lineRule="auto"/>
        <w:jc w:val="left"/>
        <w:rPr>
          <w:sz w:val="9"/>
        </w:rPr>
        <w:sectPr>
          <w:type w:val="continuous"/>
          <w:pgSz w:w="15840" w:h="12240" w:orient="landscape"/>
          <w:pgMar w:top="0" w:bottom="280" w:left="1800" w:right="1700"/>
          <w:cols w:num="6" w:equalWidth="0">
            <w:col w:w="1038" w:space="1268"/>
            <w:col w:w="728" w:space="650"/>
            <w:col w:w="353" w:space="228"/>
            <w:col w:w="1278" w:space="224"/>
            <w:col w:w="1816" w:space="104"/>
            <w:col w:w="4653"/>
          </w:cols>
        </w:sectPr>
      </w:pPr>
    </w:p>
    <w:p>
      <w:pPr>
        <w:tabs>
          <w:tab w:pos="4036" w:val="right" w:leader="none"/>
        </w:tabs>
        <w:spacing w:line="20" w:lineRule="exact" w:before="0"/>
        <w:ind w:left="147" w:right="0" w:firstLine="0"/>
        <w:jc w:val="left"/>
        <w:rPr>
          <w:sz w:val="22"/>
        </w:rPr>
      </w:pPr>
      <w:r>
        <w:rPr>
          <w:w w:val="75"/>
          <w:sz w:val="22"/>
        </w:rPr>
        <w:t>Alcantarillado</w:t>
        <w:tab/>
        <w:t>4.6</w:t>
      </w:r>
    </w:p>
    <w:p>
      <w:pPr>
        <w:spacing w:line="20" w:lineRule="exact" w:before="0"/>
        <w:ind w:left="147" w:right="0" w:firstLine="0"/>
        <w:jc w:val="left"/>
        <w:rPr>
          <w:sz w:val="9"/>
        </w:rPr>
      </w:pPr>
      <w:r>
        <w:rPr/>
        <w:br w:type="column"/>
      </w:r>
      <w:r>
        <w:rPr>
          <w:spacing w:val="-1"/>
          <w:w w:val="167"/>
          <w:sz w:val="9"/>
        </w:rPr>
        <w:t>r</w:t>
      </w:r>
      <w:r>
        <w:rPr>
          <w:w w:val="167"/>
          <w:sz w:val="9"/>
        </w:rPr>
        <w:t>ecu</w:t>
      </w:r>
      <w:r>
        <w:rPr>
          <w:spacing w:val="-1"/>
          <w:w w:val="167"/>
          <w:sz w:val="9"/>
        </w:rPr>
        <w:t>r</w:t>
      </w:r>
      <w:r>
        <w:rPr>
          <w:w w:val="167"/>
          <w:sz w:val="9"/>
        </w:rPr>
        <w:t>s</w:t>
      </w:r>
      <w:r>
        <w:rPr>
          <w:spacing w:val="2"/>
          <w:w w:val="167"/>
          <w:sz w:val="9"/>
        </w:rPr>
        <w:t>o</w:t>
      </w:r>
      <w:r>
        <w:rPr>
          <w:w w:val="167"/>
          <w:sz w:val="9"/>
        </w:rPr>
        <w:t>s</w:t>
      </w:r>
      <w:r>
        <w:rPr>
          <w:spacing w:val="-1"/>
          <w:sz w:val="9"/>
        </w:rPr>
        <w:t> </w:t>
      </w:r>
      <w:r>
        <w:rPr>
          <w:spacing w:val="-65"/>
          <w:w w:val="67"/>
          <w:position w:val="-11"/>
          <w:sz w:val="22"/>
        </w:rPr>
        <w:t>6</w:t>
      </w:r>
      <w:r>
        <w:rPr>
          <w:spacing w:val="-20"/>
          <w:w w:val="167"/>
          <w:sz w:val="9"/>
        </w:rPr>
        <w:t>d</w:t>
      </w:r>
      <w:r>
        <w:rPr>
          <w:spacing w:val="-22"/>
          <w:w w:val="67"/>
          <w:position w:val="-11"/>
          <w:sz w:val="22"/>
        </w:rPr>
        <w:t>.</w:t>
      </w:r>
      <w:r>
        <w:rPr>
          <w:spacing w:val="-64"/>
          <w:w w:val="167"/>
          <w:sz w:val="9"/>
        </w:rPr>
        <w:t>e</w:t>
      </w:r>
      <w:r>
        <w:rPr>
          <w:spacing w:val="-19"/>
          <w:w w:val="67"/>
          <w:position w:val="-11"/>
          <w:sz w:val="22"/>
        </w:rPr>
        <w:t>3</w:t>
      </w:r>
      <w:r>
        <w:rPr>
          <w:w w:val="167"/>
          <w:sz w:val="9"/>
        </w:rPr>
        <w:t>l</w:t>
      </w:r>
      <w:r>
        <w:rPr>
          <w:sz w:val="9"/>
        </w:rPr>
        <w:t> </w:t>
      </w:r>
      <w:r>
        <w:rPr>
          <w:spacing w:val="-9"/>
          <w:sz w:val="9"/>
        </w:rPr>
        <w:t> </w:t>
      </w:r>
      <w:r>
        <w:rPr>
          <w:spacing w:val="-1"/>
          <w:w w:val="167"/>
          <w:sz w:val="9"/>
        </w:rPr>
        <w:t>f</w:t>
      </w:r>
      <w:r>
        <w:rPr>
          <w:w w:val="167"/>
          <w:sz w:val="9"/>
        </w:rPr>
        <w:t>ondo</w:t>
      </w:r>
      <w:r>
        <w:rPr>
          <w:sz w:val="9"/>
        </w:rPr>
        <w:t> </w:t>
      </w:r>
      <w:r>
        <w:rPr>
          <w:spacing w:val="-8"/>
          <w:sz w:val="9"/>
        </w:rPr>
        <w:t> </w:t>
      </w:r>
      <w:r>
        <w:rPr>
          <w:w w:val="167"/>
          <w:sz w:val="9"/>
        </w:rPr>
        <w:t>se</w:t>
      </w:r>
      <w:r>
        <w:rPr>
          <w:sz w:val="9"/>
        </w:rPr>
        <w:t> </w:t>
      </w:r>
      <w:r>
        <w:rPr>
          <w:spacing w:val="4"/>
          <w:sz w:val="9"/>
        </w:rPr>
        <w:t> </w:t>
      </w:r>
      <w:r>
        <w:rPr>
          <w:w w:val="167"/>
          <w:sz w:val="9"/>
        </w:rPr>
        <w:t>u</w:t>
      </w:r>
      <w:r>
        <w:rPr>
          <w:spacing w:val="-1"/>
          <w:w w:val="167"/>
          <w:sz w:val="9"/>
        </w:rPr>
        <w:t>n</w:t>
      </w:r>
      <w:r>
        <w:rPr>
          <w:w w:val="167"/>
          <w:sz w:val="9"/>
        </w:rPr>
        <w:t>i</w:t>
      </w:r>
      <w:r>
        <w:rPr>
          <w:w w:val="167"/>
          <w:sz w:val="9"/>
        </w:rPr>
        <w:t>da</w:t>
      </w:r>
      <w:r>
        <w:rPr>
          <w:spacing w:val="-1"/>
          <w:w w:val="167"/>
          <w:sz w:val="9"/>
        </w:rPr>
        <w:t>d</w:t>
      </w:r>
      <w:r>
        <w:rPr>
          <w:w w:val="167"/>
          <w:sz w:val="9"/>
        </w:rPr>
        <w:t>e</w:t>
      </w:r>
      <w:r>
        <w:rPr>
          <w:w w:val="167"/>
          <w:sz w:val="9"/>
        </w:rPr>
        <w:t>s</w:t>
      </w:r>
      <w:r>
        <w:rPr>
          <w:sz w:val="9"/>
        </w:rPr>
        <w:t> </w:t>
      </w:r>
      <w:r>
        <w:rPr>
          <w:spacing w:val="-8"/>
          <w:sz w:val="9"/>
        </w:rPr>
        <w:t> </w:t>
      </w:r>
      <w:r>
        <w:rPr>
          <w:w w:val="167"/>
          <w:sz w:val="9"/>
        </w:rPr>
        <w:t>a</w:t>
      </w:r>
      <w:r>
        <w:rPr>
          <w:spacing w:val="-1"/>
          <w:w w:val="167"/>
          <w:sz w:val="9"/>
        </w:rPr>
        <w:t>d</w:t>
      </w:r>
      <w:r>
        <w:rPr>
          <w:spacing w:val="-1"/>
          <w:w w:val="167"/>
          <w:sz w:val="9"/>
        </w:rPr>
        <w:t>m</w:t>
      </w:r>
      <w:r>
        <w:rPr>
          <w:spacing w:val="1"/>
          <w:w w:val="167"/>
          <w:sz w:val="9"/>
        </w:rPr>
        <w:t>i</w:t>
      </w:r>
      <w:r>
        <w:rPr>
          <w:w w:val="167"/>
          <w:sz w:val="9"/>
        </w:rPr>
        <w:t>n</w:t>
      </w:r>
      <w:r>
        <w:rPr>
          <w:w w:val="167"/>
          <w:sz w:val="9"/>
        </w:rPr>
        <w:t>i</w:t>
      </w:r>
      <w:r>
        <w:rPr>
          <w:w w:val="167"/>
          <w:sz w:val="9"/>
        </w:rPr>
        <w:t>s</w:t>
      </w:r>
      <w:r>
        <w:rPr>
          <w:spacing w:val="-1"/>
          <w:w w:val="167"/>
          <w:sz w:val="9"/>
        </w:rPr>
        <w:t>t</w:t>
      </w:r>
      <w:r>
        <w:rPr>
          <w:spacing w:val="-1"/>
          <w:w w:val="167"/>
          <w:sz w:val="9"/>
        </w:rPr>
        <w:t>r</w:t>
      </w:r>
      <w:r>
        <w:rPr>
          <w:spacing w:val="1"/>
          <w:w w:val="167"/>
          <w:sz w:val="9"/>
        </w:rPr>
        <w:t>a</w:t>
      </w:r>
      <w:r>
        <w:rPr>
          <w:spacing w:val="-1"/>
          <w:w w:val="167"/>
          <w:sz w:val="9"/>
        </w:rPr>
        <w:t>t</w:t>
      </w:r>
      <w:r>
        <w:rPr>
          <w:w w:val="167"/>
          <w:sz w:val="9"/>
        </w:rPr>
        <w:t>i</w:t>
      </w:r>
      <w:r>
        <w:rPr>
          <w:w w:val="167"/>
          <w:sz w:val="9"/>
        </w:rPr>
        <w:t>va</w:t>
      </w:r>
      <w:r>
        <w:rPr>
          <w:w w:val="167"/>
          <w:sz w:val="9"/>
        </w:rPr>
        <w:t>s</w:t>
      </w:r>
      <w:r>
        <w:rPr>
          <w:sz w:val="9"/>
        </w:rPr>
        <w:t> </w:t>
      </w:r>
      <w:r>
        <w:rPr>
          <w:spacing w:val="-9"/>
          <w:sz w:val="9"/>
        </w:rPr>
        <w:t> </w:t>
      </w:r>
      <w:r>
        <w:rPr>
          <w:w w:val="167"/>
          <w:sz w:val="9"/>
        </w:rPr>
        <w:t>que</w:t>
      </w:r>
    </w:p>
    <w:p>
      <w:pPr>
        <w:spacing w:line="20" w:lineRule="exact" w:before="0"/>
        <w:ind w:left="147" w:right="0" w:firstLine="0"/>
        <w:jc w:val="left"/>
        <w:rPr>
          <w:sz w:val="9"/>
        </w:rPr>
      </w:pPr>
      <w:r>
        <w:rPr/>
        <w:br w:type="column"/>
      </w:r>
      <w:r>
        <w:rPr>
          <w:w w:val="170"/>
          <w:sz w:val="9"/>
        </w:rPr>
        <w:t>responsabilidades de</w:t>
      </w:r>
    </w:p>
    <w:p>
      <w:pPr>
        <w:spacing w:after="0" w:line="20" w:lineRule="exact"/>
        <w:jc w:val="left"/>
        <w:rPr>
          <w:sz w:val="9"/>
        </w:rPr>
        <w:sectPr>
          <w:type w:val="continuous"/>
          <w:pgSz w:w="15840" w:h="12240" w:orient="landscape"/>
          <w:pgMar w:top="0" w:bottom="280" w:left="1800" w:right="1700"/>
          <w:cols w:num="3" w:equalWidth="0">
            <w:col w:w="4037" w:space="228"/>
            <w:col w:w="3615" w:space="52"/>
            <w:col w:w="4408"/>
          </w:cols>
        </w:sectPr>
      </w:pPr>
    </w:p>
    <w:p>
      <w:pPr>
        <w:tabs>
          <w:tab w:pos="5916" w:val="left" w:leader="none"/>
        </w:tabs>
        <w:spacing w:line="228" w:lineRule="exact" w:before="0"/>
        <w:ind w:left="4411" w:right="0" w:firstLine="0"/>
        <w:jc w:val="left"/>
        <w:rPr>
          <w:sz w:val="9"/>
        </w:rPr>
      </w:pPr>
      <w:r>
        <w:rPr/>
        <w:pict>
          <v:shape style="position:absolute;margin-left:340.855103pt;margin-top:-14.096865pt;width:10.3pt;height:11.25pt;mso-position-horizontal-relative:page;mso-position-vertical-relative:paragraph;z-index:-678280" type="#_x0000_t202" filled="false" stroked="false">
            <v:textbox inset="0,0,0,0">
              <w:txbxContent>
                <w:p>
                  <w:pPr>
                    <w:spacing w:line="224" w:lineRule="exact" w:before="0"/>
                    <w:ind w:left="0" w:right="-13" w:firstLine="0"/>
                    <w:jc w:val="left"/>
                    <w:rPr>
                      <w:sz w:val="22"/>
                    </w:rPr>
                  </w:pPr>
                  <w:r>
                    <w:rPr>
                      <w:w w:val="65"/>
                      <w:sz w:val="22"/>
                    </w:rPr>
                    <w:t>0.0</w:t>
                  </w:r>
                </w:p>
              </w:txbxContent>
            </v:textbox>
            <w10:wrap type="none"/>
          </v:shape>
        </w:pict>
      </w:r>
      <w:r>
        <w:rPr/>
        <w:pict>
          <v:shape style="position:absolute;margin-left:408.171326pt;margin-top:-14.096864pt;width:6.35pt;height:11.25pt;mso-position-horizontal-relative:page;mso-position-vertical-relative:paragraph;z-index:-678256" type="#_x0000_t202" filled="false" stroked="false">
            <v:textbox inset="0,0,0,0">
              <w:txbxContent>
                <w:p>
                  <w:pPr>
                    <w:spacing w:line="224" w:lineRule="exact" w:before="0"/>
                    <w:ind w:left="0" w:right="-11" w:firstLine="0"/>
                    <w:jc w:val="left"/>
                    <w:rPr>
                      <w:sz w:val="22"/>
                    </w:rPr>
                  </w:pPr>
                  <w:r>
                    <w:rPr>
                      <w:spacing w:val="-27"/>
                      <w:w w:val="65"/>
                      <w:sz w:val="22"/>
                    </w:rPr>
                    <w:t>0.0</w:t>
                  </w:r>
                </w:p>
              </w:txbxContent>
            </v:textbox>
            <w10:wrap type="none"/>
          </v:shape>
        </w:pict>
      </w:r>
      <w:r>
        <w:rPr/>
        <w:pict>
          <v:shape style="position:absolute;margin-left:481.747192pt;margin-top:-14.096862pt;width:217.35pt;height:11.25pt;mso-position-horizontal-relative:page;mso-position-vertical-relative:paragraph;z-index:-678232" type="#_x0000_t202" filled="false" stroked="false">
            <v:textbox inset="0,0,0,0">
              <w:txbxContent>
                <w:p>
                  <w:pPr>
                    <w:tabs>
                      <w:tab w:pos="1311" w:val="left" w:leader="none"/>
                      <w:tab w:pos="2794" w:val="left" w:leader="none"/>
                      <w:tab w:pos="4140" w:val="left" w:leader="none"/>
                    </w:tabs>
                    <w:spacing w:line="224" w:lineRule="exact" w:before="0"/>
                    <w:ind w:left="0" w:right="0" w:firstLine="0"/>
                    <w:jc w:val="left"/>
                    <w:rPr>
                      <w:sz w:val="22"/>
                    </w:rPr>
                  </w:pPr>
                  <w:r>
                    <w:rPr>
                      <w:w w:val="75"/>
                      <w:sz w:val="22"/>
                    </w:rPr>
                    <w:t>2.6</w:t>
                    <w:tab/>
                    <w:t>0.5</w:t>
                    <w:tab/>
                    <w:t>0.0</w:t>
                    <w:tab/>
                  </w:r>
                  <w:r>
                    <w:rPr>
                      <w:spacing w:val="-1"/>
                      <w:w w:val="65"/>
                      <w:sz w:val="22"/>
                    </w:rPr>
                    <w:t>2.5</w:t>
                  </w:r>
                </w:p>
              </w:txbxContent>
            </v:textbox>
            <w10:wrap type="none"/>
          </v:shape>
        </w:pict>
      </w:r>
      <w:r>
        <w:rPr>
          <w:w w:val="167"/>
          <w:position w:val="1"/>
          <w:sz w:val="9"/>
        </w:rPr>
        <w:t>o</w:t>
      </w:r>
      <w:r>
        <w:rPr>
          <w:spacing w:val="-1"/>
          <w:w w:val="167"/>
          <w:position w:val="1"/>
          <w:sz w:val="9"/>
        </w:rPr>
        <w:t>r</w:t>
      </w:r>
      <w:r>
        <w:rPr>
          <w:spacing w:val="1"/>
          <w:w w:val="167"/>
          <w:position w:val="1"/>
          <w:sz w:val="9"/>
        </w:rPr>
        <w:t>i</w:t>
      </w:r>
      <w:r>
        <w:rPr>
          <w:w w:val="167"/>
          <w:position w:val="1"/>
          <w:sz w:val="9"/>
        </w:rPr>
        <w:t>e</w:t>
      </w:r>
      <w:r>
        <w:rPr>
          <w:spacing w:val="-1"/>
          <w:w w:val="167"/>
          <w:position w:val="1"/>
          <w:sz w:val="9"/>
        </w:rPr>
        <w:t>n</w:t>
      </w:r>
      <w:r>
        <w:rPr>
          <w:w w:val="167"/>
          <w:position w:val="1"/>
          <w:sz w:val="9"/>
        </w:rPr>
        <w:t>t</w:t>
      </w:r>
      <w:r>
        <w:rPr>
          <w:spacing w:val="-1"/>
          <w:w w:val="167"/>
          <w:position w:val="1"/>
          <w:sz w:val="9"/>
        </w:rPr>
        <w:t>e</w:t>
      </w:r>
      <w:r>
        <w:rPr>
          <w:w w:val="167"/>
          <w:position w:val="1"/>
          <w:sz w:val="9"/>
        </w:rPr>
        <w:t>n</w:t>
      </w:r>
      <w:r>
        <w:rPr>
          <w:position w:val="1"/>
          <w:sz w:val="9"/>
        </w:rPr>
        <w:t> </w:t>
      </w:r>
      <w:r>
        <w:rPr>
          <w:spacing w:val="-7"/>
          <w:position w:val="1"/>
          <w:sz w:val="9"/>
        </w:rPr>
        <w:t> </w:t>
      </w:r>
      <w:r>
        <w:rPr>
          <w:w w:val="167"/>
          <w:position w:val="1"/>
          <w:sz w:val="9"/>
        </w:rPr>
        <w:t>a</w:t>
      </w:r>
      <w:r>
        <w:rPr>
          <w:position w:val="1"/>
          <w:sz w:val="9"/>
        </w:rPr>
        <w:t> </w:t>
      </w:r>
      <w:r>
        <w:rPr>
          <w:spacing w:val="-8"/>
          <w:position w:val="1"/>
          <w:sz w:val="9"/>
        </w:rPr>
        <w:t> </w:t>
      </w:r>
      <w:r>
        <w:rPr>
          <w:spacing w:val="-1"/>
          <w:w w:val="167"/>
          <w:position w:val="1"/>
          <w:sz w:val="9"/>
        </w:rPr>
        <w:t>o</w:t>
      </w:r>
      <w:r>
        <w:rPr>
          <w:w w:val="167"/>
          <w:position w:val="1"/>
          <w:sz w:val="9"/>
        </w:rPr>
        <w:t>b</w:t>
      </w:r>
      <w:r>
        <w:rPr>
          <w:spacing w:val="-1"/>
          <w:w w:val="167"/>
          <w:position w:val="1"/>
          <w:sz w:val="9"/>
        </w:rPr>
        <w:t>r</w:t>
      </w:r>
      <w:r>
        <w:rPr>
          <w:spacing w:val="1"/>
          <w:w w:val="167"/>
          <w:position w:val="1"/>
          <w:sz w:val="9"/>
        </w:rPr>
        <w:t>a</w:t>
      </w:r>
      <w:r>
        <w:rPr>
          <w:w w:val="167"/>
          <w:position w:val="1"/>
          <w:sz w:val="9"/>
        </w:rPr>
        <w:t>s</w:t>
      </w:r>
      <w:r>
        <w:rPr>
          <w:position w:val="1"/>
          <w:sz w:val="9"/>
        </w:rPr>
        <w:t> </w:t>
      </w:r>
      <w:r>
        <w:rPr>
          <w:spacing w:val="-9"/>
          <w:position w:val="1"/>
          <w:sz w:val="9"/>
        </w:rPr>
        <w:t> </w:t>
      </w:r>
      <w:r>
        <w:rPr>
          <w:w w:val="167"/>
          <w:position w:val="1"/>
          <w:sz w:val="9"/>
        </w:rPr>
        <w:t>y</w:t>
      </w:r>
      <w:r>
        <w:rPr>
          <w:position w:val="1"/>
          <w:sz w:val="9"/>
        </w:rPr>
        <w:tab/>
      </w:r>
      <w:r>
        <w:rPr>
          <w:w w:val="167"/>
          <w:position w:val="1"/>
          <w:sz w:val="9"/>
        </w:rPr>
        <w:t>i</w:t>
      </w:r>
      <w:r>
        <w:rPr>
          <w:w w:val="167"/>
          <w:position w:val="1"/>
          <w:sz w:val="9"/>
        </w:rPr>
        <w:t>n</w:t>
      </w:r>
      <w:r>
        <w:rPr>
          <w:spacing w:val="-1"/>
          <w:w w:val="167"/>
          <w:position w:val="1"/>
          <w:sz w:val="9"/>
        </w:rPr>
        <w:t>t</w:t>
      </w:r>
      <w:r>
        <w:rPr>
          <w:w w:val="167"/>
          <w:position w:val="1"/>
          <w:sz w:val="9"/>
        </w:rPr>
        <w:t>e</w:t>
      </w:r>
      <w:r>
        <w:rPr>
          <w:spacing w:val="-1"/>
          <w:w w:val="167"/>
          <w:position w:val="1"/>
          <w:sz w:val="9"/>
        </w:rPr>
        <w:t>r</w:t>
      </w:r>
      <w:r>
        <w:rPr>
          <w:w w:val="167"/>
          <w:position w:val="1"/>
          <w:sz w:val="9"/>
        </w:rPr>
        <w:t>v</w:t>
      </w:r>
      <w:r>
        <w:rPr>
          <w:spacing w:val="1"/>
          <w:w w:val="167"/>
          <w:position w:val="1"/>
          <w:sz w:val="9"/>
        </w:rPr>
        <w:t>i</w:t>
      </w:r>
      <w:r>
        <w:rPr>
          <w:spacing w:val="-43"/>
          <w:w w:val="167"/>
          <w:position w:val="1"/>
          <w:sz w:val="9"/>
        </w:rPr>
        <w:t>e</w:t>
      </w:r>
      <w:r>
        <w:rPr>
          <w:spacing w:val="-41"/>
          <w:w w:val="67"/>
          <w:sz w:val="22"/>
        </w:rPr>
        <w:t>0</w:t>
      </w:r>
      <w:r>
        <w:rPr>
          <w:spacing w:val="-44"/>
          <w:w w:val="167"/>
          <w:position w:val="1"/>
          <w:sz w:val="9"/>
        </w:rPr>
        <w:t>n</w:t>
      </w:r>
      <w:r>
        <w:rPr>
          <w:spacing w:val="-2"/>
          <w:w w:val="67"/>
          <w:sz w:val="22"/>
        </w:rPr>
        <w:t>.</w:t>
      </w:r>
      <w:r>
        <w:rPr>
          <w:spacing w:val="-79"/>
          <w:w w:val="67"/>
          <w:sz w:val="22"/>
        </w:rPr>
        <w:t>0</w:t>
      </w:r>
      <w:r>
        <w:rPr>
          <w:w w:val="167"/>
          <w:position w:val="1"/>
          <w:sz w:val="9"/>
        </w:rPr>
        <w:t>en</w:t>
      </w:r>
      <w:r>
        <w:rPr>
          <w:position w:val="1"/>
          <w:sz w:val="9"/>
        </w:rPr>
        <w:t> </w:t>
      </w:r>
      <w:r>
        <w:rPr>
          <w:spacing w:val="-8"/>
          <w:position w:val="1"/>
          <w:sz w:val="9"/>
        </w:rPr>
        <w:t> </w:t>
      </w:r>
      <w:r>
        <w:rPr>
          <w:w w:val="167"/>
          <w:position w:val="1"/>
          <w:sz w:val="9"/>
        </w:rPr>
        <w:t>en</w:t>
      </w:r>
      <w:r>
        <w:rPr>
          <w:position w:val="1"/>
          <w:sz w:val="9"/>
        </w:rPr>
        <w:t> </w:t>
      </w:r>
      <w:r>
        <w:rPr>
          <w:spacing w:val="-8"/>
          <w:position w:val="1"/>
          <w:sz w:val="9"/>
        </w:rPr>
        <w:t> </w:t>
      </w:r>
      <w:r>
        <w:rPr>
          <w:w w:val="167"/>
          <w:position w:val="1"/>
          <w:sz w:val="9"/>
        </w:rPr>
        <w:t>e</w:t>
      </w:r>
      <w:r>
        <w:rPr>
          <w:w w:val="167"/>
          <w:position w:val="1"/>
          <w:sz w:val="9"/>
        </w:rPr>
        <w:t>l</w:t>
      </w:r>
      <w:r>
        <w:rPr>
          <w:position w:val="1"/>
          <w:sz w:val="9"/>
        </w:rPr>
        <w:t> </w:t>
      </w:r>
      <w:r>
        <w:rPr>
          <w:spacing w:val="-9"/>
          <w:position w:val="1"/>
          <w:sz w:val="9"/>
        </w:rPr>
        <w:t> </w:t>
      </w:r>
      <w:r>
        <w:rPr>
          <w:w w:val="167"/>
          <w:position w:val="1"/>
          <w:sz w:val="9"/>
        </w:rPr>
        <w:t>d</w:t>
      </w:r>
      <w:r>
        <w:rPr>
          <w:spacing w:val="-1"/>
          <w:w w:val="167"/>
          <w:position w:val="1"/>
          <w:sz w:val="9"/>
        </w:rPr>
        <w:t>e</w:t>
      </w:r>
      <w:r>
        <w:rPr>
          <w:w w:val="167"/>
          <w:position w:val="1"/>
          <w:sz w:val="9"/>
        </w:rPr>
        <w:t>sa</w:t>
      </w:r>
      <w:r>
        <w:rPr>
          <w:spacing w:val="-1"/>
          <w:w w:val="167"/>
          <w:position w:val="1"/>
          <w:sz w:val="9"/>
        </w:rPr>
        <w:t>rr</w:t>
      </w:r>
      <w:r>
        <w:rPr>
          <w:spacing w:val="2"/>
          <w:w w:val="167"/>
          <w:position w:val="1"/>
          <w:sz w:val="9"/>
        </w:rPr>
        <w:t>o</w:t>
      </w:r>
      <w:r>
        <w:rPr>
          <w:spacing w:val="-1"/>
          <w:w w:val="167"/>
          <w:position w:val="1"/>
          <w:sz w:val="9"/>
        </w:rPr>
        <w:t>ll</w:t>
      </w:r>
      <w:r>
        <w:rPr>
          <w:w w:val="167"/>
          <w:position w:val="1"/>
          <w:sz w:val="9"/>
        </w:rPr>
        <w:t>o</w:t>
      </w:r>
      <w:r>
        <w:rPr>
          <w:position w:val="1"/>
          <w:sz w:val="9"/>
        </w:rPr>
        <w:t> </w:t>
      </w:r>
      <w:r>
        <w:rPr>
          <w:spacing w:val="-8"/>
          <w:position w:val="1"/>
          <w:sz w:val="9"/>
        </w:rPr>
        <w:t> </w:t>
      </w:r>
      <w:r>
        <w:rPr>
          <w:w w:val="167"/>
          <w:position w:val="1"/>
          <w:sz w:val="9"/>
        </w:rPr>
        <w:t>de</w:t>
      </w:r>
    </w:p>
    <w:p>
      <w:pPr>
        <w:spacing w:line="228" w:lineRule="exact" w:before="0"/>
        <w:ind w:left="90" w:right="-10" w:firstLine="0"/>
        <w:jc w:val="left"/>
        <w:rPr>
          <w:sz w:val="9"/>
        </w:rPr>
      </w:pPr>
      <w:r>
        <w:rPr/>
        <w:br w:type="column"/>
      </w:r>
      <w:r>
        <w:rPr>
          <w:w w:val="167"/>
          <w:position w:val="1"/>
          <w:sz w:val="9"/>
        </w:rPr>
        <w:t>i</w:t>
      </w:r>
      <w:r>
        <w:rPr>
          <w:spacing w:val="-1"/>
          <w:w w:val="167"/>
          <w:position w:val="1"/>
          <w:sz w:val="9"/>
        </w:rPr>
        <w:t>n</w:t>
      </w:r>
      <w:r>
        <w:rPr>
          <w:w w:val="167"/>
          <w:position w:val="1"/>
          <w:sz w:val="9"/>
        </w:rPr>
        <w:t>t</w:t>
      </w:r>
      <w:r>
        <w:rPr>
          <w:spacing w:val="-1"/>
          <w:w w:val="167"/>
          <w:position w:val="1"/>
          <w:sz w:val="9"/>
        </w:rPr>
        <w:t>e</w:t>
      </w:r>
      <w:r>
        <w:rPr>
          <w:w w:val="167"/>
          <w:position w:val="1"/>
          <w:sz w:val="9"/>
        </w:rPr>
        <w:t>g</w:t>
      </w:r>
      <w:r>
        <w:rPr>
          <w:spacing w:val="-1"/>
          <w:w w:val="167"/>
          <w:position w:val="1"/>
          <w:sz w:val="9"/>
        </w:rPr>
        <w:t>r</w:t>
      </w:r>
      <w:r>
        <w:rPr>
          <w:spacing w:val="1"/>
          <w:w w:val="167"/>
          <w:position w:val="1"/>
          <w:sz w:val="9"/>
        </w:rPr>
        <w:t>a</w:t>
      </w:r>
      <w:r>
        <w:rPr>
          <w:w w:val="167"/>
          <w:position w:val="1"/>
          <w:sz w:val="9"/>
        </w:rPr>
        <w:t>r</w:t>
      </w:r>
      <w:r>
        <w:rPr>
          <w:position w:val="1"/>
          <w:sz w:val="9"/>
        </w:rPr>
        <w:t> </w:t>
      </w:r>
      <w:r>
        <w:rPr>
          <w:spacing w:val="-8"/>
          <w:position w:val="1"/>
          <w:sz w:val="9"/>
        </w:rPr>
        <w:t> </w:t>
      </w:r>
      <w:r>
        <w:rPr>
          <w:w w:val="167"/>
          <w:position w:val="1"/>
          <w:sz w:val="9"/>
        </w:rPr>
        <w:t>y</w:t>
      </w:r>
      <w:r>
        <w:rPr>
          <w:position w:val="1"/>
          <w:sz w:val="9"/>
        </w:rPr>
        <w:t> </w:t>
      </w:r>
      <w:r>
        <w:rPr>
          <w:spacing w:val="-9"/>
          <w:position w:val="1"/>
          <w:sz w:val="9"/>
        </w:rPr>
        <w:t> </w:t>
      </w:r>
      <w:r>
        <w:rPr>
          <w:w w:val="167"/>
          <w:position w:val="1"/>
          <w:sz w:val="9"/>
        </w:rPr>
        <w:t>co</w:t>
      </w:r>
      <w:r>
        <w:rPr>
          <w:w w:val="167"/>
          <w:position w:val="1"/>
          <w:sz w:val="9"/>
        </w:rPr>
        <w:t>n</w:t>
      </w:r>
      <w:r>
        <w:rPr>
          <w:w w:val="167"/>
          <w:position w:val="1"/>
          <w:sz w:val="9"/>
        </w:rPr>
        <w:t>s</w:t>
      </w:r>
      <w:r>
        <w:rPr>
          <w:spacing w:val="-9"/>
          <w:w w:val="167"/>
          <w:position w:val="1"/>
          <w:sz w:val="9"/>
        </w:rPr>
        <w:t>o</w:t>
      </w:r>
      <w:r>
        <w:rPr>
          <w:spacing w:val="-73"/>
          <w:w w:val="67"/>
          <w:sz w:val="22"/>
        </w:rPr>
        <w:t>0</w:t>
      </w:r>
      <w:r>
        <w:rPr>
          <w:w w:val="167"/>
          <w:position w:val="1"/>
          <w:sz w:val="9"/>
        </w:rPr>
        <w:t>li</w:t>
      </w:r>
      <w:r>
        <w:rPr>
          <w:spacing w:val="-79"/>
          <w:w w:val="167"/>
          <w:position w:val="1"/>
          <w:sz w:val="9"/>
        </w:rPr>
        <w:t>d</w:t>
      </w:r>
      <w:r>
        <w:rPr>
          <w:spacing w:val="-2"/>
          <w:w w:val="67"/>
          <w:sz w:val="22"/>
        </w:rPr>
        <w:t>.</w:t>
      </w:r>
      <w:r>
        <w:rPr>
          <w:spacing w:val="-45"/>
          <w:w w:val="67"/>
          <w:sz w:val="22"/>
        </w:rPr>
        <w:t>0</w:t>
      </w:r>
      <w:r>
        <w:rPr>
          <w:w w:val="167"/>
          <w:position w:val="1"/>
          <w:sz w:val="9"/>
        </w:rPr>
        <w:t>a</w:t>
      </w:r>
      <w:r>
        <w:rPr>
          <w:w w:val="167"/>
          <w:position w:val="1"/>
          <w:sz w:val="9"/>
        </w:rPr>
        <w:t>r</w:t>
      </w:r>
      <w:r>
        <w:rPr>
          <w:position w:val="1"/>
          <w:sz w:val="9"/>
        </w:rPr>
        <w:t> </w:t>
      </w:r>
      <w:r>
        <w:rPr>
          <w:spacing w:val="-8"/>
          <w:position w:val="1"/>
          <w:sz w:val="9"/>
        </w:rPr>
        <w:t> </w:t>
      </w:r>
      <w:r>
        <w:rPr>
          <w:w w:val="167"/>
          <w:position w:val="1"/>
          <w:sz w:val="9"/>
        </w:rPr>
        <w:t>l</w:t>
      </w:r>
      <w:r>
        <w:rPr>
          <w:w w:val="167"/>
          <w:position w:val="1"/>
          <w:sz w:val="9"/>
        </w:rPr>
        <w:t>a</w:t>
      </w:r>
    </w:p>
    <w:p>
      <w:pPr>
        <w:tabs>
          <w:tab w:pos="2333" w:val="left" w:leader="none"/>
        </w:tabs>
        <w:spacing w:line="228" w:lineRule="exact" w:before="0"/>
        <w:ind w:left="987" w:right="0" w:firstLine="0"/>
        <w:jc w:val="left"/>
        <w:rPr>
          <w:sz w:val="22"/>
        </w:rPr>
      </w:pPr>
      <w:r>
        <w:rPr/>
        <w:br w:type="column"/>
      </w:r>
      <w:r>
        <w:rPr>
          <w:w w:val="75"/>
          <w:sz w:val="22"/>
        </w:rPr>
        <w:t>0.0</w:t>
        <w:tab/>
        <w:t>0.0</w:t>
      </w:r>
    </w:p>
    <w:p>
      <w:pPr>
        <w:spacing w:after="0" w:line="228" w:lineRule="exact"/>
        <w:jc w:val="left"/>
        <w:rPr>
          <w:sz w:val="22"/>
        </w:rPr>
        <w:sectPr>
          <w:type w:val="continuous"/>
          <w:pgSz w:w="15840" w:h="12240" w:orient="landscape"/>
          <w:pgMar w:top="0" w:bottom="280" w:left="1800" w:right="1700"/>
          <w:cols w:num="3" w:equalWidth="0">
            <w:col w:w="7948" w:space="40"/>
            <w:col w:w="1615" w:space="40"/>
            <w:col w:w="2697"/>
          </w:cols>
        </w:sectPr>
      </w:pPr>
    </w:p>
    <w:p>
      <w:pPr>
        <w:tabs>
          <w:tab w:pos="8076" w:val="left" w:leader="none"/>
        </w:tabs>
        <w:spacing w:before="198"/>
        <w:ind w:left="4412" w:right="0" w:firstLine="0"/>
        <w:jc w:val="left"/>
        <w:rPr>
          <w:sz w:val="9"/>
        </w:rPr>
      </w:pPr>
      <w:r>
        <w:rPr/>
        <w:pict>
          <v:shape style="position:absolute;margin-left:95.976654pt;margin-top:.964258pt;width:604.5pt;height:42.55pt;mso-position-horizontal-relative:page;mso-position-vertical-relative:paragraph;z-index:51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8"/>
                    <w:gridCol w:w="2138"/>
                    <w:gridCol w:w="1824"/>
                    <w:gridCol w:w="3491"/>
                    <w:gridCol w:w="1483"/>
                    <w:gridCol w:w="1347"/>
                  </w:tblGrid>
                  <w:tr>
                    <w:trPr>
                      <w:trHeight w:val="284" w:hRule="exact"/>
                    </w:trPr>
                    <w:tc>
                      <w:tcPr>
                        <w:tcW w:w="1808" w:type="dxa"/>
                        <w:shd w:val="clear" w:color="auto" w:fill="E6B8B7"/>
                      </w:tcPr>
                      <w:p>
                        <w:pPr>
                          <w:pStyle w:val="TableParagraph"/>
                          <w:spacing w:before="12"/>
                          <w:ind w:left="27"/>
                          <w:rPr>
                            <w:sz w:val="22"/>
                          </w:rPr>
                        </w:pPr>
                        <w:r>
                          <w:rPr>
                            <w:w w:val="70"/>
                            <w:sz w:val="22"/>
                          </w:rPr>
                          <w:t>Drenaje y letrinas</w:t>
                        </w:r>
                      </w:p>
                    </w:tc>
                    <w:tc>
                      <w:tcPr>
                        <w:tcW w:w="2138" w:type="dxa"/>
                        <w:shd w:val="clear" w:color="auto" w:fill="E6B8B7"/>
                      </w:tcPr>
                      <w:p>
                        <w:pPr>
                          <w:pStyle w:val="TableParagraph"/>
                          <w:spacing w:before="12"/>
                          <w:ind w:right="26"/>
                          <w:jc w:val="right"/>
                          <w:rPr>
                            <w:sz w:val="22"/>
                          </w:rPr>
                        </w:pPr>
                        <w:r>
                          <w:rPr>
                            <w:w w:val="65"/>
                            <w:sz w:val="22"/>
                          </w:rPr>
                          <w:t>0.0</w:t>
                        </w:r>
                      </w:p>
                    </w:tc>
                    <w:tc>
                      <w:tcPr>
                        <w:tcW w:w="1824" w:type="dxa"/>
                        <w:shd w:val="clear" w:color="auto" w:fill="E6B8B7"/>
                      </w:tcPr>
                      <w:p>
                        <w:pPr>
                          <w:pStyle w:val="TableParagraph"/>
                          <w:spacing w:line="37" w:lineRule="exact"/>
                          <w:ind w:left="347" w:right="6"/>
                          <w:rPr>
                            <w:sz w:val="9"/>
                          </w:rPr>
                        </w:pPr>
                        <w:r>
                          <w:rPr>
                            <w:w w:val="170"/>
                            <w:sz w:val="9"/>
                          </w:rPr>
                          <w:t>acciones</w:t>
                        </w:r>
                      </w:p>
                      <w:p>
                        <w:pPr>
                          <w:pStyle w:val="TableParagraph"/>
                          <w:spacing w:line="231" w:lineRule="exact"/>
                          <w:ind w:left="347" w:right="6"/>
                          <w:rPr>
                            <w:sz w:val="9"/>
                          </w:rPr>
                        </w:pPr>
                        <w:r>
                          <w:rPr>
                            <w:w w:val="167"/>
                            <w:sz w:val="9"/>
                          </w:rPr>
                          <w:t>co</w:t>
                        </w:r>
                        <w:r>
                          <w:rPr>
                            <w:w w:val="167"/>
                            <w:sz w:val="9"/>
                          </w:rPr>
                          <w:t>n</w:t>
                        </w:r>
                        <w:r>
                          <w:rPr>
                            <w:spacing w:val="-1"/>
                            <w:w w:val="167"/>
                            <w:sz w:val="9"/>
                          </w:rPr>
                          <w:t>t</w:t>
                        </w:r>
                        <w:r>
                          <w:rPr>
                            <w:w w:val="167"/>
                            <w:sz w:val="9"/>
                          </w:rPr>
                          <w:t>e</w:t>
                        </w:r>
                        <w:r>
                          <w:rPr>
                            <w:spacing w:val="-1"/>
                            <w:w w:val="167"/>
                            <w:sz w:val="9"/>
                          </w:rPr>
                          <w:t>m</w:t>
                        </w:r>
                        <w:r>
                          <w:rPr>
                            <w:spacing w:val="1"/>
                            <w:w w:val="167"/>
                            <w:sz w:val="9"/>
                          </w:rPr>
                          <w:t>p</w:t>
                        </w:r>
                        <w:r>
                          <w:rPr>
                            <w:spacing w:val="-11"/>
                            <w:w w:val="167"/>
                            <w:sz w:val="9"/>
                          </w:rPr>
                          <w:t>l</w:t>
                        </w:r>
                        <w:r>
                          <w:rPr>
                            <w:spacing w:val="-72"/>
                            <w:w w:val="67"/>
                            <w:position w:val="-6"/>
                            <w:sz w:val="22"/>
                          </w:rPr>
                          <w:t>0</w:t>
                        </w:r>
                        <w:r>
                          <w:rPr>
                            <w:spacing w:val="-13"/>
                            <w:w w:val="167"/>
                            <w:sz w:val="9"/>
                          </w:rPr>
                          <w:t>a</w:t>
                        </w:r>
                        <w:r>
                          <w:rPr>
                            <w:spacing w:val="-28"/>
                            <w:w w:val="67"/>
                            <w:position w:val="-6"/>
                            <w:sz w:val="22"/>
                          </w:rPr>
                          <w:t>.</w:t>
                        </w:r>
                        <w:r>
                          <w:rPr>
                            <w:spacing w:val="-58"/>
                            <w:w w:val="167"/>
                            <w:sz w:val="9"/>
                          </w:rPr>
                          <w:t>d</w:t>
                        </w:r>
                        <w:r>
                          <w:rPr>
                            <w:spacing w:val="-27"/>
                            <w:w w:val="67"/>
                            <w:position w:val="-6"/>
                            <w:sz w:val="22"/>
                          </w:rPr>
                          <w:t>0</w:t>
                        </w:r>
                        <w:r>
                          <w:rPr>
                            <w:w w:val="167"/>
                            <w:sz w:val="9"/>
                          </w:rPr>
                          <w:t>a</w:t>
                        </w:r>
                        <w:r>
                          <w:rPr>
                            <w:w w:val="167"/>
                            <w:sz w:val="9"/>
                          </w:rPr>
                          <w:t>s</w:t>
                        </w:r>
                        <w:r>
                          <w:rPr>
                            <w:sz w:val="9"/>
                          </w:rPr>
                          <w:t> </w:t>
                        </w:r>
                        <w:r>
                          <w:rPr>
                            <w:spacing w:val="-7"/>
                            <w:sz w:val="9"/>
                          </w:rPr>
                          <w:t> </w:t>
                        </w:r>
                        <w:r>
                          <w:rPr>
                            <w:spacing w:val="-1"/>
                            <w:w w:val="167"/>
                            <w:sz w:val="9"/>
                          </w:rPr>
                          <w:t>d</w:t>
                        </w:r>
                        <w:r>
                          <w:rPr>
                            <w:w w:val="167"/>
                            <w:sz w:val="9"/>
                          </w:rPr>
                          <w:t>en</w:t>
                        </w:r>
                        <w:r>
                          <w:rPr>
                            <w:spacing w:val="-1"/>
                            <w:w w:val="167"/>
                            <w:sz w:val="9"/>
                          </w:rPr>
                          <w:t>t</w:t>
                        </w:r>
                        <w:r>
                          <w:rPr>
                            <w:spacing w:val="-1"/>
                            <w:w w:val="167"/>
                            <w:sz w:val="9"/>
                          </w:rPr>
                          <w:t>ro</w:t>
                        </w:r>
                      </w:p>
                    </w:tc>
                    <w:tc>
                      <w:tcPr>
                        <w:tcW w:w="4974" w:type="dxa"/>
                        <w:gridSpan w:val="2"/>
                      </w:tcPr>
                      <w:p>
                        <w:pPr>
                          <w:pStyle w:val="TableParagraph"/>
                          <w:tabs>
                            <w:tab w:pos="2189" w:val="left" w:leader="none"/>
                          </w:tabs>
                          <w:spacing w:line="37" w:lineRule="exact"/>
                          <w:ind w:left="28"/>
                          <w:rPr>
                            <w:sz w:val="9"/>
                          </w:rPr>
                        </w:pPr>
                        <w:r>
                          <w:rPr>
                            <w:w w:val="170"/>
                            <w:sz w:val="9"/>
                          </w:rPr>
                          <w:t>las</w:t>
                        </w:r>
                        <w:r>
                          <w:rPr>
                            <w:spacing w:val="-8"/>
                            <w:w w:val="170"/>
                            <w:sz w:val="9"/>
                          </w:rPr>
                          <w:t> </w:t>
                        </w:r>
                        <w:r>
                          <w:rPr>
                            <w:w w:val="170"/>
                            <w:sz w:val="9"/>
                          </w:rPr>
                          <w:t>operaciones.</w:t>
                          <w:tab/>
                          <w:t>información financiera</w:t>
                        </w:r>
                        <w:r>
                          <w:rPr>
                            <w:spacing w:val="-27"/>
                            <w:w w:val="170"/>
                            <w:sz w:val="9"/>
                          </w:rPr>
                          <w:t> </w:t>
                        </w:r>
                        <w:r>
                          <w:rPr>
                            <w:w w:val="170"/>
                            <w:sz w:val="9"/>
                          </w:rPr>
                          <w:t>y</w:t>
                        </w:r>
                      </w:p>
                      <w:p>
                        <w:pPr>
                          <w:pStyle w:val="TableParagraph"/>
                          <w:tabs>
                            <w:tab w:pos="1946" w:val="left" w:leader="none"/>
                            <w:tab w:pos="4945" w:val="right" w:leader="none"/>
                          </w:tabs>
                          <w:spacing w:line="231" w:lineRule="exact"/>
                          <w:ind w:left="474"/>
                          <w:rPr>
                            <w:sz w:val="22"/>
                          </w:rPr>
                        </w:pPr>
                        <w:r>
                          <w:rPr>
                            <w:w w:val="67"/>
                            <w:sz w:val="22"/>
                          </w:rPr>
                          <w:t>0</w:t>
                        </w:r>
                        <w:r>
                          <w:rPr>
                            <w:spacing w:val="-2"/>
                            <w:w w:val="67"/>
                            <w:sz w:val="22"/>
                          </w:rPr>
                          <w:t>.</w:t>
                        </w:r>
                        <w:r>
                          <w:rPr>
                            <w:w w:val="67"/>
                            <w:sz w:val="22"/>
                          </w:rPr>
                          <w:t>0</w:t>
                        </w:r>
                        <w:r>
                          <w:rPr>
                            <w:sz w:val="22"/>
                          </w:rPr>
                          <w:tab/>
                        </w:r>
                        <w:r>
                          <w:rPr>
                            <w:w w:val="67"/>
                            <w:sz w:val="22"/>
                          </w:rPr>
                          <w:t>7</w:t>
                        </w:r>
                        <w:r>
                          <w:rPr>
                            <w:spacing w:val="-2"/>
                            <w:w w:val="67"/>
                            <w:sz w:val="22"/>
                          </w:rPr>
                          <w:t>.</w:t>
                        </w:r>
                        <w:r>
                          <w:rPr>
                            <w:w w:val="67"/>
                            <w:sz w:val="22"/>
                          </w:rPr>
                          <w:t>6</w:t>
                        </w:r>
                        <w:r>
                          <w:rPr>
                            <w:spacing w:val="-25"/>
                            <w:sz w:val="22"/>
                          </w:rPr>
                          <w:t> </w:t>
                        </w:r>
                        <w:r>
                          <w:rPr>
                            <w:w w:val="167"/>
                            <w:position w:val="7"/>
                            <w:sz w:val="9"/>
                          </w:rPr>
                          <w:t>se</w:t>
                        </w:r>
                        <w:r>
                          <w:rPr>
                            <w:position w:val="7"/>
                            <w:sz w:val="9"/>
                          </w:rPr>
                          <w:t> </w:t>
                        </w:r>
                        <w:r>
                          <w:rPr>
                            <w:spacing w:val="-7"/>
                            <w:position w:val="7"/>
                            <w:sz w:val="9"/>
                          </w:rPr>
                          <w:t> </w:t>
                        </w:r>
                        <w:r>
                          <w:rPr>
                            <w:spacing w:val="-1"/>
                            <w:w w:val="167"/>
                            <w:position w:val="7"/>
                            <w:sz w:val="9"/>
                          </w:rPr>
                          <w:t>a</w:t>
                        </w:r>
                        <w:r>
                          <w:rPr>
                            <w:w w:val="167"/>
                            <w:position w:val="7"/>
                            <w:sz w:val="9"/>
                          </w:rPr>
                          <w:t>po</w:t>
                        </w:r>
                        <w:r>
                          <w:rPr>
                            <w:w w:val="167"/>
                            <w:position w:val="7"/>
                            <w:sz w:val="9"/>
                          </w:rPr>
                          <w:t>ya</w:t>
                        </w:r>
                        <w:r>
                          <w:rPr>
                            <w:position w:val="7"/>
                            <w:sz w:val="9"/>
                          </w:rPr>
                          <w:t> </w:t>
                        </w:r>
                        <w:r>
                          <w:rPr>
                            <w:spacing w:val="-8"/>
                            <w:position w:val="7"/>
                            <w:sz w:val="9"/>
                          </w:rPr>
                          <w:t> </w:t>
                        </w:r>
                        <w:r>
                          <w:rPr>
                            <w:w w:val="167"/>
                            <w:position w:val="7"/>
                            <w:sz w:val="9"/>
                          </w:rPr>
                          <w:t>co</w:t>
                        </w:r>
                        <w:r>
                          <w:rPr>
                            <w:w w:val="167"/>
                            <w:position w:val="7"/>
                            <w:sz w:val="9"/>
                          </w:rPr>
                          <w:t>n</w:t>
                        </w:r>
                        <w:r>
                          <w:rPr>
                            <w:position w:val="7"/>
                            <w:sz w:val="9"/>
                          </w:rPr>
                          <w:t> </w:t>
                        </w:r>
                        <w:r>
                          <w:rPr>
                            <w:spacing w:val="-8"/>
                            <w:position w:val="7"/>
                            <w:sz w:val="9"/>
                          </w:rPr>
                          <w:t> </w:t>
                        </w:r>
                        <w:r>
                          <w:rPr>
                            <w:w w:val="167"/>
                            <w:position w:val="7"/>
                            <w:sz w:val="9"/>
                          </w:rPr>
                          <w:t>u</w:t>
                        </w:r>
                        <w:r>
                          <w:rPr>
                            <w:spacing w:val="-43"/>
                            <w:w w:val="167"/>
                            <w:position w:val="7"/>
                            <w:sz w:val="9"/>
                          </w:rPr>
                          <w:t>n</w:t>
                        </w:r>
                        <w:r>
                          <w:rPr>
                            <w:w w:val="67"/>
                            <w:sz w:val="22"/>
                          </w:rPr>
                          <w:t>0</w:t>
                        </w:r>
                        <w:r>
                          <w:rPr>
                            <w:spacing w:val="-2"/>
                            <w:w w:val="67"/>
                            <w:sz w:val="22"/>
                          </w:rPr>
                          <w:t>.</w:t>
                        </w:r>
                        <w:r>
                          <w:rPr>
                            <w:w w:val="67"/>
                            <w:sz w:val="22"/>
                          </w:rPr>
                          <w:t>0</w:t>
                        </w:r>
                        <w:r>
                          <w:rPr>
                            <w:w w:val="67"/>
                            <w:sz w:val="22"/>
                          </w:rPr>
                          <w:t> </w:t>
                        </w:r>
                        <w:r>
                          <w:rPr>
                            <w:sz w:val="22"/>
                          </w:rPr>
                          <w:tab/>
                        </w:r>
                        <w:r>
                          <w:rPr>
                            <w:w w:val="67"/>
                            <w:sz w:val="22"/>
                          </w:rPr>
                          <w:t>5</w:t>
                        </w:r>
                        <w:r>
                          <w:rPr>
                            <w:spacing w:val="-2"/>
                            <w:w w:val="67"/>
                            <w:sz w:val="22"/>
                          </w:rPr>
                          <w:t>.</w:t>
                        </w:r>
                        <w:r>
                          <w:rPr>
                            <w:w w:val="67"/>
                            <w:sz w:val="22"/>
                          </w:rPr>
                          <w:t>9</w:t>
                        </w:r>
                      </w:p>
                    </w:tc>
                    <w:tc>
                      <w:tcPr>
                        <w:tcW w:w="1347" w:type="dxa"/>
                        <w:shd w:val="clear" w:color="auto" w:fill="E6B8B7"/>
                      </w:tcPr>
                      <w:p>
                        <w:pPr>
                          <w:pStyle w:val="TableParagraph"/>
                          <w:spacing w:before="12"/>
                          <w:ind w:right="26"/>
                          <w:jc w:val="right"/>
                          <w:rPr>
                            <w:sz w:val="22"/>
                          </w:rPr>
                        </w:pPr>
                        <w:r>
                          <w:rPr>
                            <w:w w:val="65"/>
                            <w:sz w:val="22"/>
                          </w:rPr>
                          <w:t>0.8</w:t>
                        </w:r>
                      </w:p>
                    </w:tc>
                  </w:tr>
                  <w:tr>
                    <w:trPr>
                      <w:trHeight w:val="282" w:hRule="exact"/>
                    </w:trPr>
                    <w:tc>
                      <w:tcPr>
                        <w:tcW w:w="1808" w:type="dxa"/>
                      </w:tcPr>
                      <w:p>
                        <w:pPr>
                          <w:pStyle w:val="TableParagraph"/>
                          <w:spacing w:before="9"/>
                          <w:ind w:left="27"/>
                          <w:rPr>
                            <w:sz w:val="22"/>
                          </w:rPr>
                        </w:pPr>
                        <w:r>
                          <w:rPr>
                            <w:w w:val="65"/>
                            <w:sz w:val="22"/>
                          </w:rPr>
                          <w:t>Urbanización  Municipal</w:t>
                        </w:r>
                      </w:p>
                    </w:tc>
                    <w:tc>
                      <w:tcPr>
                        <w:tcW w:w="2138" w:type="dxa"/>
                      </w:tcPr>
                      <w:p>
                        <w:pPr>
                          <w:pStyle w:val="TableParagraph"/>
                          <w:spacing w:before="9"/>
                          <w:ind w:right="27"/>
                          <w:jc w:val="right"/>
                          <w:rPr>
                            <w:sz w:val="22"/>
                          </w:rPr>
                        </w:pPr>
                        <w:r>
                          <w:rPr>
                            <w:w w:val="65"/>
                            <w:sz w:val="22"/>
                          </w:rPr>
                          <w:t>35.7</w:t>
                        </w:r>
                      </w:p>
                    </w:tc>
                    <w:tc>
                      <w:tcPr>
                        <w:tcW w:w="1824" w:type="dxa"/>
                      </w:tcPr>
                      <w:p>
                        <w:pPr>
                          <w:pStyle w:val="TableParagraph"/>
                          <w:spacing w:line="9" w:lineRule="auto" w:before="87"/>
                          <w:ind w:left="347" w:right="6" w:firstLine="1"/>
                          <w:rPr>
                            <w:sz w:val="9"/>
                          </w:rPr>
                        </w:pPr>
                        <w:r>
                          <w:rPr>
                            <w:w w:val="160"/>
                            <w:sz w:val="9"/>
                          </w:rPr>
                          <w:t>establece el artículo </w:t>
                        </w:r>
                        <w:r>
                          <w:rPr>
                            <w:spacing w:val="-1"/>
                            <w:w w:val="167"/>
                            <w:position w:val="1"/>
                            <w:sz w:val="9"/>
                          </w:rPr>
                          <w:t>3</w:t>
                        </w:r>
                        <w:r>
                          <w:rPr>
                            <w:w w:val="167"/>
                            <w:position w:val="1"/>
                            <w:sz w:val="9"/>
                          </w:rPr>
                          <w:t>3</w:t>
                        </w:r>
                        <w:r>
                          <w:rPr>
                            <w:w w:val="167"/>
                            <w:position w:val="1"/>
                            <w:sz w:val="9"/>
                          </w:rPr>
                          <w:t>,</w:t>
                        </w:r>
                        <w:r>
                          <w:rPr>
                            <w:position w:val="1"/>
                            <w:sz w:val="9"/>
                          </w:rPr>
                          <w:t>  </w:t>
                        </w:r>
                        <w:r>
                          <w:rPr>
                            <w:w w:val="167"/>
                            <w:position w:val="1"/>
                            <w:sz w:val="9"/>
                          </w:rPr>
                          <w:t>de</w:t>
                        </w:r>
                        <w:r>
                          <w:rPr>
                            <w:position w:val="1"/>
                            <w:sz w:val="9"/>
                          </w:rPr>
                          <w:t>  </w:t>
                        </w:r>
                        <w:r>
                          <w:rPr>
                            <w:w w:val="167"/>
                            <w:position w:val="1"/>
                            <w:sz w:val="9"/>
                          </w:rPr>
                          <w:t>l</w:t>
                        </w:r>
                        <w:r>
                          <w:rPr>
                            <w:spacing w:val="-60"/>
                            <w:w w:val="167"/>
                            <w:position w:val="1"/>
                            <w:sz w:val="9"/>
                          </w:rPr>
                          <w:t>a</w:t>
                        </w:r>
                        <w:r>
                          <w:rPr>
                            <w:w w:val="67"/>
                            <w:sz w:val="22"/>
                          </w:rPr>
                          <w:t>1</w:t>
                        </w:r>
                        <w:r>
                          <w:rPr>
                            <w:spacing w:val="-63"/>
                            <w:w w:val="67"/>
                            <w:sz w:val="22"/>
                          </w:rPr>
                          <w:t>6</w:t>
                        </w:r>
                        <w:r>
                          <w:rPr>
                            <w:spacing w:val="-22"/>
                            <w:w w:val="167"/>
                            <w:position w:val="1"/>
                            <w:sz w:val="9"/>
                          </w:rPr>
                          <w:t>L</w:t>
                        </w:r>
                        <w:r>
                          <w:rPr>
                            <w:spacing w:val="-20"/>
                            <w:w w:val="67"/>
                            <w:sz w:val="22"/>
                          </w:rPr>
                          <w:t>.</w:t>
                        </w:r>
                        <w:r>
                          <w:rPr>
                            <w:spacing w:val="-65"/>
                            <w:w w:val="167"/>
                            <w:position w:val="1"/>
                            <w:sz w:val="9"/>
                          </w:rPr>
                          <w:t>e</w:t>
                        </w:r>
                        <w:r>
                          <w:rPr>
                            <w:spacing w:val="-17"/>
                            <w:w w:val="67"/>
                            <w:sz w:val="22"/>
                          </w:rPr>
                          <w:t>4</w:t>
                        </w:r>
                        <w:r>
                          <w:rPr>
                            <w:w w:val="167"/>
                            <w:position w:val="1"/>
                            <w:sz w:val="9"/>
                          </w:rPr>
                          <w:t>y</w:t>
                        </w:r>
                        <w:r>
                          <w:rPr>
                            <w:position w:val="1"/>
                            <w:sz w:val="9"/>
                          </w:rPr>
                          <w:t>  </w:t>
                        </w:r>
                        <w:r>
                          <w:rPr>
                            <w:spacing w:val="-1"/>
                            <w:w w:val="167"/>
                            <w:position w:val="1"/>
                            <w:sz w:val="9"/>
                          </w:rPr>
                          <w:t>d</w:t>
                        </w:r>
                        <w:r>
                          <w:rPr>
                            <w:w w:val="167"/>
                            <w:position w:val="1"/>
                            <w:sz w:val="9"/>
                          </w:rPr>
                          <w:t>e</w:t>
                        </w:r>
                      </w:p>
                    </w:tc>
                    <w:tc>
                      <w:tcPr>
                        <w:tcW w:w="3491" w:type="dxa"/>
                      </w:tcPr>
                      <w:p>
                        <w:pPr>
                          <w:pStyle w:val="TableParagraph"/>
                          <w:spacing w:line="54" w:lineRule="exact" w:before="6"/>
                          <w:ind w:left="2189"/>
                          <w:rPr>
                            <w:sz w:val="9"/>
                          </w:rPr>
                        </w:pPr>
                        <w:r>
                          <w:rPr>
                            <w:w w:val="170"/>
                            <w:sz w:val="9"/>
                          </w:rPr>
                          <w:t>específico</w:t>
                        </w:r>
                      </w:p>
                      <w:p>
                        <w:pPr>
                          <w:pStyle w:val="TableParagraph"/>
                          <w:tabs>
                            <w:tab w:pos="1946" w:val="left" w:leader="none"/>
                            <w:tab w:pos="3174" w:val="left" w:leader="none"/>
                          </w:tabs>
                          <w:spacing w:line="203" w:lineRule="exact"/>
                          <w:ind w:left="391"/>
                          <w:rPr>
                            <w:sz w:val="22"/>
                          </w:rPr>
                        </w:pPr>
                        <w:r>
                          <w:rPr>
                            <w:w w:val="75"/>
                            <w:sz w:val="22"/>
                          </w:rPr>
                          <w:t>77.4</w:t>
                          <w:tab/>
                          <w:t>2.9</w:t>
                          <w:tab/>
                        </w:r>
                        <w:r>
                          <w:rPr>
                            <w:w w:val="70"/>
                            <w:sz w:val="22"/>
                          </w:rPr>
                          <w:t>81.3</w:t>
                        </w:r>
                      </w:p>
                    </w:tc>
                    <w:tc>
                      <w:tcPr>
                        <w:tcW w:w="1483" w:type="dxa"/>
                      </w:tcPr>
                      <w:p>
                        <w:pPr>
                          <w:pStyle w:val="TableParagraph"/>
                          <w:spacing w:before="9"/>
                          <w:ind w:right="27"/>
                          <w:jc w:val="right"/>
                          <w:rPr>
                            <w:sz w:val="22"/>
                          </w:rPr>
                        </w:pPr>
                        <w:r>
                          <w:rPr>
                            <w:w w:val="65"/>
                            <w:sz w:val="22"/>
                          </w:rPr>
                          <w:t>65.4</w:t>
                        </w:r>
                      </w:p>
                    </w:tc>
                    <w:tc>
                      <w:tcPr>
                        <w:tcW w:w="1347" w:type="dxa"/>
                      </w:tcPr>
                      <w:p>
                        <w:pPr>
                          <w:pStyle w:val="TableParagraph"/>
                          <w:spacing w:before="9"/>
                          <w:ind w:right="27"/>
                          <w:jc w:val="right"/>
                          <w:rPr>
                            <w:sz w:val="22"/>
                          </w:rPr>
                        </w:pPr>
                        <w:r>
                          <w:rPr>
                            <w:w w:val="65"/>
                            <w:sz w:val="22"/>
                          </w:rPr>
                          <w:t>65.1</w:t>
                        </w:r>
                      </w:p>
                    </w:tc>
                  </w:tr>
                  <w:tr>
                    <w:trPr>
                      <w:trHeight w:val="284" w:hRule="exact"/>
                    </w:trPr>
                    <w:tc>
                      <w:tcPr>
                        <w:tcW w:w="1808" w:type="dxa"/>
                        <w:shd w:val="clear" w:color="auto" w:fill="E6B8B7"/>
                      </w:tcPr>
                      <w:p>
                        <w:pPr>
                          <w:pStyle w:val="TableParagraph"/>
                          <w:spacing w:before="10"/>
                          <w:ind w:left="27"/>
                          <w:rPr>
                            <w:sz w:val="22"/>
                          </w:rPr>
                        </w:pPr>
                        <w:r>
                          <w:rPr>
                            <w:w w:val="65"/>
                            <w:sz w:val="22"/>
                          </w:rPr>
                          <w:t>Electrificación rural</w:t>
                        </w:r>
                      </w:p>
                    </w:tc>
                    <w:tc>
                      <w:tcPr>
                        <w:tcW w:w="2138" w:type="dxa"/>
                        <w:shd w:val="clear" w:color="auto" w:fill="E6B8B7"/>
                      </w:tcPr>
                      <w:p>
                        <w:pPr>
                          <w:pStyle w:val="TableParagraph"/>
                          <w:spacing w:before="8"/>
                          <w:ind w:right="8"/>
                          <w:jc w:val="right"/>
                          <w:rPr>
                            <w:sz w:val="9"/>
                          </w:rPr>
                        </w:pPr>
                        <w:r>
                          <w:rPr>
                            <w:spacing w:val="-1"/>
                            <w:w w:val="167"/>
                            <w:sz w:val="9"/>
                          </w:rPr>
                          <w:t>E</w:t>
                        </w:r>
                        <w:r>
                          <w:rPr>
                            <w:w w:val="167"/>
                            <w:sz w:val="9"/>
                          </w:rPr>
                          <w:t>l</w:t>
                        </w:r>
                        <w:r>
                          <w:rPr>
                            <w:sz w:val="9"/>
                          </w:rPr>
                          <w:t> </w:t>
                        </w:r>
                        <w:r>
                          <w:rPr>
                            <w:spacing w:val="-7"/>
                            <w:sz w:val="9"/>
                          </w:rPr>
                          <w:t> </w:t>
                        </w:r>
                        <w:r>
                          <w:rPr>
                            <w:spacing w:val="-1"/>
                            <w:w w:val="167"/>
                            <w:sz w:val="9"/>
                          </w:rPr>
                          <w:t>m</w:t>
                        </w:r>
                        <w:r>
                          <w:rPr>
                            <w:w w:val="167"/>
                            <w:sz w:val="9"/>
                          </w:rPr>
                          <w:t>u</w:t>
                        </w:r>
                        <w:r>
                          <w:rPr>
                            <w:w w:val="167"/>
                            <w:sz w:val="9"/>
                          </w:rPr>
                          <w:t>n</w:t>
                        </w:r>
                        <w:r>
                          <w:rPr>
                            <w:w w:val="167"/>
                            <w:sz w:val="9"/>
                          </w:rPr>
                          <w:t>i</w:t>
                        </w:r>
                        <w:r>
                          <w:rPr>
                            <w:w w:val="167"/>
                            <w:sz w:val="9"/>
                          </w:rPr>
                          <w:t>cip</w:t>
                        </w:r>
                        <w:r>
                          <w:rPr>
                            <w:w w:val="167"/>
                            <w:sz w:val="9"/>
                          </w:rPr>
                          <w:t>i</w:t>
                        </w:r>
                        <w:r>
                          <w:rPr>
                            <w:w w:val="167"/>
                            <w:sz w:val="9"/>
                          </w:rPr>
                          <w:t>o</w:t>
                        </w:r>
                        <w:r>
                          <w:rPr>
                            <w:sz w:val="9"/>
                          </w:rPr>
                          <w:t> </w:t>
                        </w:r>
                        <w:r>
                          <w:rPr>
                            <w:spacing w:val="-8"/>
                            <w:sz w:val="9"/>
                          </w:rPr>
                          <w:t> </w:t>
                        </w:r>
                        <w:r>
                          <w:rPr>
                            <w:w w:val="167"/>
                            <w:sz w:val="9"/>
                          </w:rPr>
                          <w:t>cu</w:t>
                        </w:r>
                        <w:r>
                          <w:rPr>
                            <w:spacing w:val="-1"/>
                            <w:w w:val="167"/>
                            <w:sz w:val="9"/>
                          </w:rPr>
                          <w:t>e</w:t>
                        </w:r>
                        <w:r>
                          <w:rPr>
                            <w:w w:val="167"/>
                            <w:sz w:val="9"/>
                          </w:rPr>
                          <w:t>n</w:t>
                        </w:r>
                        <w:r>
                          <w:rPr>
                            <w:spacing w:val="-1"/>
                            <w:w w:val="167"/>
                            <w:sz w:val="9"/>
                          </w:rPr>
                          <w:t>t</w:t>
                        </w:r>
                        <w:r>
                          <w:rPr>
                            <w:w w:val="167"/>
                            <w:sz w:val="9"/>
                          </w:rPr>
                          <w:t>a</w:t>
                        </w:r>
                        <w:r>
                          <w:rPr>
                            <w:sz w:val="9"/>
                          </w:rPr>
                          <w:t> </w:t>
                        </w:r>
                        <w:r>
                          <w:rPr>
                            <w:spacing w:val="-7"/>
                            <w:sz w:val="9"/>
                          </w:rPr>
                          <w:t> </w:t>
                        </w:r>
                        <w:r>
                          <w:rPr>
                            <w:spacing w:val="-56"/>
                            <w:w w:val="167"/>
                            <w:sz w:val="9"/>
                          </w:rPr>
                          <w:t>c</w:t>
                        </w:r>
                        <w:r>
                          <w:rPr>
                            <w:spacing w:val="-28"/>
                            <w:w w:val="67"/>
                            <w:position w:val="4"/>
                            <w:sz w:val="22"/>
                          </w:rPr>
                          <w:t>9</w:t>
                        </w:r>
                        <w:r>
                          <w:rPr>
                            <w:spacing w:val="-57"/>
                            <w:w w:val="167"/>
                            <w:sz w:val="9"/>
                          </w:rPr>
                          <w:t>o</w:t>
                        </w:r>
                        <w:r>
                          <w:rPr>
                            <w:spacing w:val="-2"/>
                            <w:w w:val="67"/>
                            <w:position w:val="4"/>
                            <w:sz w:val="22"/>
                          </w:rPr>
                          <w:t>.</w:t>
                        </w:r>
                        <w:r>
                          <w:rPr>
                            <w:spacing w:val="-67"/>
                            <w:w w:val="67"/>
                            <w:position w:val="4"/>
                            <w:sz w:val="22"/>
                          </w:rPr>
                          <w:t>6</w:t>
                        </w:r>
                        <w:r>
                          <w:rPr>
                            <w:w w:val="167"/>
                            <w:sz w:val="9"/>
                          </w:rPr>
                          <w:t>n</w:t>
                        </w:r>
                      </w:p>
                    </w:tc>
                    <w:tc>
                      <w:tcPr>
                        <w:tcW w:w="1824" w:type="dxa"/>
                        <w:shd w:val="clear" w:color="auto" w:fill="E6B8B7"/>
                      </w:tcPr>
                      <w:p>
                        <w:pPr>
                          <w:pStyle w:val="TableParagraph"/>
                          <w:spacing w:before="8"/>
                          <w:ind w:left="347" w:right="6"/>
                          <w:rPr>
                            <w:sz w:val="9"/>
                          </w:rPr>
                        </w:pPr>
                        <w:r>
                          <w:rPr>
                            <w:spacing w:val="-1"/>
                            <w:w w:val="167"/>
                            <w:sz w:val="9"/>
                          </w:rPr>
                          <w:t>E</w:t>
                        </w:r>
                        <w:r>
                          <w:rPr>
                            <w:w w:val="167"/>
                            <w:sz w:val="9"/>
                          </w:rPr>
                          <w:t>l</w:t>
                        </w:r>
                        <w:r>
                          <w:rPr>
                            <w:sz w:val="9"/>
                          </w:rPr>
                          <w:t> </w:t>
                        </w:r>
                        <w:r>
                          <w:rPr>
                            <w:spacing w:val="-7"/>
                            <w:sz w:val="9"/>
                          </w:rPr>
                          <w:t> </w:t>
                        </w:r>
                        <w:r>
                          <w:rPr>
                            <w:w w:val="167"/>
                            <w:sz w:val="9"/>
                          </w:rPr>
                          <w:t>co</w:t>
                        </w:r>
                        <w:r>
                          <w:rPr>
                            <w:w w:val="167"/>
                            <w:sz w:val="9"/>
                          </w:rPr>
                          <w:t>n</w:t>
                        </w:r>
                        <w:r>
                          <w:rPr>
                            <w:spacing w:val="-1"/>
                            <w:w w:val="167"/>
                            <w:sz w:val="9"/>
                          </w:rPr>
                          <w:t>t</w:t>
                        </w:r>
                        <w:r>
                          <w:rPr>
                            <w:spacing w:val="-1"/>
                            <w:w w:val="167"/>
                            <w:sz w:val="9"/>
                          </w:rPr>
                          <w:t>r</w:t>
                        </w:r>
                        <w:r>
                          <w:rPr>
                            <w:spacing w:val="1"/>
                            <w:w w:val="167"/>
                            <w:sz w:val="9"/>
                          </w:rPr>
                          <w:t>o</w:t>
                        </w:r>
                        <w:r>
                          <w:rPr>
                            <w:spacing w:val="-28"/>
                            <w:w w:val="167"/>
                            <w:sz w:val="9"/>
                          </w:rPr>
                          <w:t>l</w:t>
                        </w:r>
                        <w:r>
                          <w:rPr>
                            <w:spacing w:val="-13"/>
                            <w:w w:val="67"/>
                            <w:position w:val="4"/>
                            <w:sz w:val="22"/>
                          </w:rPr>
                          <w:t>0</w:t>
                        </w:r>
                        <w:r>
                          <w:rPr>
                            <w:spacing w:val="-72"/>
                            <w:w w:val="167"/>
                            <w:sz w:val="9"/>
                          </w:rPr>
                          <w:t>d</w:t>
                        </w:r>
                        <w:r>
                          <w:rPr>
                            <w:spacing w:val="-2"/>
                            <w:w w:val="67"/>
                            <w:position w:val="4"/>
                            <w:sz w:val="22"/>
                          </w:rPr>
                          <w:t>.</w:t>
                        </w:r>
                        <w:r>
                          <w:rPr>
                            <w:spacing w:val="-51"/>
                            <w:w w:val="67"/>
                            <w:position w:val="4"/>
                            <w:sz w:val="22"/>
                          </w:rPr>
                          <w:t>0</w:t>
                        </w:r>
                        <w:r>
                          <w:rPr>
                            <w:w w:val="167"/>
                            <w:sz w:val="9"/>
                          </w:rPr>
                          <w:t>e</w:t>
                        </w:r>
                        <w:r>
                          <w:rPr>
                            <w:sz w:val="9"/>
                          </w:rPr>
                          <w:t> </w:t>
                        </w:r>
                        <w:r>
                          <w:rPr>
                            <w:spacing w:val="-8"/>
                            <w:sz w:val="9"/>
                          </w:rPr>
                          <w:t> </w:t>
                        </w:r>
                        <w:r>
                          <w:rPr>
                            <w:spacing w:val="-2"/>
                            <w:w w:val="167"/>
                            <w:sz w:val="9"/>
                          </w:rPr>
                          <w:t>l</w:t>
                        </w:r>
                        <w:r>
                          <w:rPr>
                            <w:w w:val="167"/>
                            <w:sz w:val="9"/>
                          </w:rPr>
                          <w:t>o</w:t>
                        </w:r>
                        <w:r>
                          <w:rPr>
                            <w:w w:val="167"/>
                            <w:sz w:val="9"/>
                          </w:rPr>
                          <w:t>s</w:t>
                        </w:r>
                      </w:p>
                    </w:tc>
                    <w:tc>
                      <w:tcPr>
                        <w:tcW w:w="3491" w:type="dxa"/>
                        <w:shd w:val="clear" w:color="auto" w:fill="E6B8B7"/>
                      </w:tcPr>
                      <w:p>
                        <w:pPr>
                          <w:pStyle w:val="TableParagraph"/>
                          <w:spacing w:before="8"/>
                          <w:ind w:left="26"/>
                          <w:rPr>
                            <w:sz w:val="22"/>
                          </w:rPr>
                        </w:pPr>
                        <w:r>
                          <w:rPr>
                            <w:w w:val="167"/>
                            <w:sz w:val="9"/>
                          </w:rPr>
                          <w:t>La</w:t>
                        </w:r>
                        <w:r>
                          <w:rPr>
                            <w:w w:val="167"/>
                            <w:sz w:val="9"/>
                          </w:rPr>
                          <w:t>s</w:t>
                        </w:r>
                        <w:r>
                          <w:rPr>
                            <w:sz w:val="9"/>
                          </w:rPr>
                          <w:t> </w:t>
                        </w:r>
                        <w:r>
                          <w:rPr>
                            <w:spacing w:val="-9"/>
                            <w:sz w:val="9"/>
                          </w:rPr>
                          <w:t> </w:t>
                        </w:r>
                        <w:r>
                          <w:rPr>
                            <w:w w:val="167"/>
                            <w:sz w:val="9"/>
                          </w:rPr>
                          <w:t>a</w:t>
                        </w:r>
                        <w:r>
                          <w:rPr>
                            <w:w w:val="167"/>
                            <w:sz w:val="9"/>
                          </w:rPr>
                          <w:t>c</w:t>
                        </w:r>
                        <w:r>
                          <w:rPr>
                            <w:spacing w:val="-75"/>
                            <w:w w:val="167"/>
                            <w:sz w:val="9"/>
                          </w:rPr>
                          <w:t>c</w:t>
                        </w:r>
                        <w:r>
                          <w:rPr>
                            <w:spacing w:val="-8"/>
                            <w:w w:val="67"/>
                            <w:position w:val="4"/>
                            <w:sz w:val="22"/>
                          </w:rPr>
                          <w:t>0</w:t>
                        </w:r>
                        <w:r>
                          <w:rPr>
                            <w:spacing w:val="-26"/>
                            <w:w w:val="167"/>
                            <w:sz w:val="9"/>
                          </w:rPr>
                          <w:t>i</w:t>
                        </w:r>
                        <w:r>
                          <w:rPr>
                            <w:spacing w:val="-16"/>
                            <w:w w:val="67"/>
                            <w:position w:val="4"/>
                            <w:sz w:val="22"/>
                          </w:rPr>
                          <w:t>.</w:t>
                        </w:r>
                        <w:r>
                          <w:rPr>
                            <w:spacing w:val="-70"/>
                            <w:w w:val="167"/>
                            <w:sz w:val="9"/>
                          </w:rPr>
                          <w:t>o</w:t>
                        </w:r>
                        <w:r>
                          <w:rPr>
                            <w:spacing w:val="-13"/>
                            <w:w w:val="67"/>
                            <w:position w:val="4"/>
                            <w:sz w:val="22"/>
                          </w:rPr>
                          <w:t>0</w:t>
                        </w:r>
                        <w:r>
                          <w:rPr>
                            <w:w w:val="167"/>
                            <w:sz w:val="9"/>
                          </w:rPr>
                          <w:t>ne</w:t>
                        </w:r>
                        <w:r>
                          <w:rPr>
                            <w:w w:val="167"/>
                            <w:sz w:val="9"/>
                          </w:rPr>
                          <w:t>s</w:t>
                        </w:r>
                        <w:r>
                          <w:rPr>
                            <w:sz w:val="9"/>
                          </w:rPr>
                          <w:t> </w:t>
                        </w:r>
                        <w:r>
                          <w:rPr>
                            <w:spacing w:val="-9"/>
                            <w:sz w:val="9"/>
                          </w:rPr>
                          <w:t> </w:t>
                        </w:r>
                        <w:r>
                          <w:rPr>
                            <w:w w:val="167"/>
                            <w:sz w:val="9"/>
                          </w:rPr>
                          <w:t>p</w:t>
                        </w:r>
                        <w:r>
                          <w:rPr>
                            <w:spacing w:val="-1"/>
                            <w:w w:val="167"/>
                            <w:sz w:val="9"/>
                          </w:rPr>
                          <w:t>r</w:t>
                        </w:r>
                        <w:r>
                          <w:rPr>
                            <w:spacing w:val="1"/>
                            <w:w w:val="167"/>
                            <w:sz w:val="9"/>
                          </w:rPr>
                          <w:t>o</w:t>
                        </w:r>
                        <w:r>
                          <w:rPr>
                            <w:spacing w:val="-1"/>
                            <w:w w:val="167"/>
                            <w:sz w:val="9"/>
                          </w:rPr>
                          <w:t>m</w:t>
                        </w:r>
                        <w:r>
                          <w:rPr>
                            <w:w w:val="167"/>
                            <w:sz w:val="9"/>
                          </w:rPr>
                          <w:t>o</w:t>
                        </w:r>
                        <w:r>
                          <w:rPr>
                            <w:w w:val="167"/>
                            <w:sz w:val="9"/>
                          </w:rPr>
                          <w:t>v</w:t>
                        </w:r>
                        <w:r>
                          <w:rPr>
                            <w:spacing w:val="-1"/>
                            <w:w w:val="167"/>
                            <w:sz w:val="9"/>
                          </w:rPr>
                          <w:t>i</w:t>
                        </w:r>
                        <w:r>
                          <w:rPr>
                            <w:w w:val="167"/>
                            <w:sz w:val="9"/>
                          </w:rPr>
                          <w:t>da</w:t>
                        </w:r>
                        <w:r>
                          <w:rPr>
                            <w:w w:val="167"/>
                            <w:sz w:val="9"/>
                          </w:rPr>
                          <w:t>s</w:t>
                        </w:r>
                        <w:r>
                          <w:rPr>
                            <w:sz w:val="9"/>
                          </w:rPr>
                          <w:t> </w:t>
                        </w:r>
                        <w:r>
                          <w:rPr>
                            <w:spacing w:val="-9"/>
                            <w:sz w:val="9"/>
                          </w:rPr>
                          <w:t> </w:t>
                        </w:r>
                        <w:r>
                          <w:rPr>
                            <w:w w:val="167"/>
                            <w:sz w:val="9"/>
                          </w:rPr>
                          <w:t>p</w:t>
                        </w:r>
                        <w:r>
                          <w:rPr>
                            <w:spacing w:val="-3"/>
                            <w:w w:val="167"/>
                            <w:sz w:val="9"/>
                          </w:rPr>
                          <w:t>o</w:t>
                        </w:r>
                        <w:r>
                          <w:rPr>
                            <w:spacing w:val="-80"/>
                            <w:w w:val="67"/>
                            <w:position w:val="4"/>
                            <w:sz w:val="22"/>
                          </w:rPr>
                          <w:t>3</w:t>
                        </w:r>
                        <w:r>
                          <w:rPr>
                            <w:w w:val="167"/>
                            <w:sz w:val="9"/>
                          </w:rPr>
                          <w:t>r</w:t>
                        </w:r>
                        <w:r>
                          <w:rPr>
                            <w:spacing w:val="4"/>
                            <w:sz w:val="9"/>
                          </w:rPr>
                          <w:t> </w:t>
                        </w:r>
                        <w:r>
                          <w:rPr>
                            <w:spacing w:val="-2"/>
                            <w:w w:val="67"/>
                            <w:position w:val="4"/>
                            <w:sz w:val="22"/>
                          </w:rPr>
                          <w:t>.</w:t>
                        </w:r>
                        <w:r>
                          <w:rPr>
                            <w:w w:val="67"/>
                            <w:position w:val="4"/>
                            <w:sz w:val="22"/>
                          </w:rPr>
                          <w:t>1</w:t>
                        </w:r>
                        <w:r>
                          <w:rPr>
                            <w:spacing w:val="-24"/>
                            <w:position w:val="4"/>
                            <w:sz w:val="22"/>
                          </w:rPr>
                          <w:t> </w:t>
                        </w:r>
                        <w:r>
                          <w:rPr>
                            <w:w w:val="167"/>
                            <w:sz w:val="9"/>
                          </w:rPr>
                          <w:t>L</w:t>
                        </w:r>
                        <w:r>
                          <w:rPr>
                            <w:spacing w:val="-1"/>
                            <w:w w:val="167"/>
                            <w:sz w:val="9"/>
                          </w:rPr>
                          <w:t>o</w:t>
                        </w:r>
                        <w:r>
                          <w:rPr>
                            <w:w w:val="167"/>
                            <w:sz w:val="9"/>
                          </w:rPr>
                          <w:t>s</w:t>
                        </w:r>
                        <w:r>
                          <w:rPr>
                            <w:sz w:val="9"/>
                          </w:rPr>
                          <w:t> </w:t>
                        </w:r>
                        <w:r>
                          <w:rPr>
                            <w:spacing w:val="-8"/>
                            <w:sz w:val="9"/>
                          </w:rPr>
                          <w:t> </w:t>
                        </w:r>
                        <w:r>
                          <w:rPr>
                            <w:spacing w:val="-1"/>
                            <w:w w:val="167"/>
                            <w:sz w:val="9"/>
                          </w:rPr>
                          <w:t>m</w:t>
                        </w:r>
                        <w:r>
                          <w:rPr>
                            <w:spacing w:val="1"/>
                            <w:w w:val="167"/>
                            <w:sz w:val="9"/>
                          </w:rPr>
                          <w:t>e</w:t>
                        </w:r>
                        <w:r>
                          <w:rPr>
                            <w:w w:val="167"/>
                            <w:sz w:val="9"/>
                          </w:rPr>
                          <w:t>ca</w:t>
                        </w:r>
                        <w:r>
                          <w:rPr>
                            <w:spacing w:val="-1"/>
                            <w:w w:val="167"/>
                            <w:sz w:val="9"/>
                          </w:rPr>
                          <w:t>n</w:t>
                        </w:r>
                        <w:r>
                          <w:rPr>
                            <w:spacing w:val="-1"/>
                            <w:w w:val="167"/>
                            <w:sz w:val="9"/>
                          </w:rPr>
                          <w:t>i</w:t>
                        </w:r>
                        <w:r>
                          <w:rPr>
                            <w:w w:val="167"/>
                            <w:sz w:val="9"/>
                          </w:rPr>
                          <w:t>sm</w:t>
                        </w:r>
                        <w:r>
                          <w:rPr>
                            <w:spacing w:val="1"/>
                            <w:w w:val="167"/>
                            <w:sz w:val="9"/>
                          </w:rPr>
                          <w:t>o</w:t>
                        </w:r>
                        <w:r>
                          <w:rPr>
                            <w:spacing w:val="-69"/>
                            <w:w w:val="167"/>
                            <w:sz w:val="9"/>
                          </w:rPr>
                          <w:t>s</w:t>
                        </w:r>
                        <w:r>
                          <w:rPr>
                            <w:w w:val="67"/>
                            <w:position w:val="4"/>
                            <w:sz w:val="22"/>
                          </w:rPr>
                          <w:t>2</w:t>
                        </w:r>
                        <w:r>
                          <w:rPr>
                            <w:spacing w:val="-2"/>
                            <w:w w:val="67"/>
                            <w:position w:val="4"/>
                            <w:sz w:val="22"/>
                          </w:rPr>
                          <w:t>.</w:t>
                        </w:r>
                        <w:r>
                          <w:rPr>
                            <w:w w:val="67"/>
                            <w:position w:val="4"/>
                            <w:sz w:val="22"/>
                          </w:rPr>
                          <w:t>0</w:t>
                        </w:r>
                      </w:p>
                    </w:tc>
                    <w:tc>
                      <w:tcPr>
                        <w:tcW w:w="1483" w:type="dxa"/>
                        <w:shd w:val="clear" w:color="auto" w:fill="E6B8B7"/>
                      </w:tcPr>
                      <w:p>
                        <w:pPr>
                          <w:pStyle w:val="TableParagraph"/>
                          <w:spacing w:before="10"/>
                          <w:ind w:right="26"/>
                          <w:jc w:val="right"/>
                          <w:rPr>
                            <w:sz w:val="22"/>
                          </w:rPr>
                        </w:pPr>
                        <w:r>
                          <w:rPr>
                            <w:w w:val="65"/>
                            <w:sz w:val="22"/>
                          </w:rPr>
                          <w:t>0.0</w:t>
                        </w:r>
                      </w:p>
                    </w:tc>
                    <w:tc>
                      <w:tcPr>
                        <w:tcW w:w="1347" w:type="dxa"/>
                        <w:shd w:val="clear" w:color="auto" w:fill="E6B8B7"/>
                      </w:tcPr>
                      <w:p>
                        <w:pPr>
                          <w:pStyle w:val="TableParagraph"/>
                          <w:spacing w:before="10"/>
                          <w:ind w:right="26"/>
                          <w:jc w:val="right"/>
                          <w:rPr>
                            <w:sz w:val="22"/>
                          </w:rPr>
                        </w:pPr>
                        <w:r>
                          <w:rPr>
                            <w:w w:val="65"/>
                            <w:sz w:val="22"/>
                          </w:rPr>
                          <w:t>3.7</w:t>
                        </w:r>
                      </w:p>
                    </w:tc>
                  </w:tr>
                </w:tbl>
                <w:p>
                  <w:pPr>
                    <w:pStyle w:val="BodyText"/>
                  </w:pPr>
                </w:p>
              </w:txbxContent>
            </v:textbox>
            <w10:wrap type="none"/>
          </v:shape>
        </w:pict>
      </w:r>
      <w:r>
        <w:rPr>
          <w:w w:val="170"/>
          <w:sz w:val="9"/>
        </w:rPr>
        <w:t>de los</w:t>
      </w:r>
      <w:r>
        <w:rPr>
          <w:spacing w:val="-10"/>
          <w:w w:val="170"/>
          <w:sz w:val="9"/>
        </w:rPr>
        <w:t> </w:t>
      </w:r>
      <w:r>
        <w:rPr>
          <w:w w:val="170"/>
          <w:sz w:val="9"/>
        </w:rPr>
        <w:t>rubros</w:t>
      </w:r>
      <w:r>
        <w:rPr>
          <w:spacing w:val="-5"/>
          <w:w w:val="170"/>
          <w:sz w:val="9"/>
        </w:rPr>
        <w:t> </w:t>
      </w:r>
      <w:r>
        <w:rPr>
          <w:w w:val="170"/>
          <w:sz w:val="9"/>
        </w:rPr>
        <w:t>que</w:t>
        <w:tab/>
        <w:t>catálogo de</w:t>
      </w:r>
      <w:r>
        <w:rPr>
          <w:spacing w:val="-22"/>
          <w:w w:val="170"/>
          <w:sz w:val="9"/>
        </w:rPr>
        <w:t> </w:t>
      </w:r>
      <w:r>
        <w:rPr>
          <w:w w:val="170"/>
          <w:sz w:val="9"/>
        </w:rPr>
        <w:t>cuentas</w:t>
      </w:r>
    </w:p>
    <w:p>
      <w:pPr>
        <w:spacing w:before="231"/>
        <w:ind w:left="4385" w:right="6527" w:firstLine="0"/>
        <w:jc w:val="center"/>
        <w:rPr>
          <w:sz w:val="9"/>
        </w:rPr>
      </w:pPr>
      <w:r>
        <w:rPr>
          <w:w w:val="170"/>
          <w:sz w:val="9"/>
        </w:rPr>
        <w:t>Coordinación Fiscal.</w:t>
      </w:r>
    </w:p>
    <w:p>
      <w:pPr>
        <w:spacing w:after="0"/>
        <w:jc w:val="center"/>
        <w:rPr>
          <w:sz w:val="9"/>
        </w:rPr>
        <w:sectPr>
          <w:type w:val="continuous"/>
          <w:pgSz w:w="15840" w:h="12240" w:orient="landscape"/>
          <w:pgMar w:top="0" w:bottom="280" w:left="1800" w:right="1700"/>
        </w:sectPr>
      </w:pPr>
    </w:p>
    <w:p>
      <w:pPr>
        <w:spacing w:line="37" w:lineRule="exact" w:before="231"/>
        <w:ind w:left="2454" w:right="-19" w:firstLine="0"/>
        <w:jc w:val="left"/>
        <w:rPr>
          <w:sz w:val="9"/>
        </w:rPr>
      </w:pPr>
      <w:r>
        <w:rPr/>
        <w:pict>
          <v:shape style="position:absolute;margin-left:210.708038pt;margin-top:5.932885pt;width:98.7pt;height:61.1pt;mso-position-horizontal-relative:page;mso-position-vertical-relative:paragraph;z-index:-678400" type="#_x0000_t202" filled="false" stroked="false">
            <v:textbox inset="0,0,0,0">
              <w:txbxContent>
                <w:p>
                  <w:pPr>
                    <w:spacing w:before="124"/>
                    <w:ind w:left="0" w:right="348" w:firstLine="0"/>
                    <w:jc w:val="right"/>
                    <w:rPr>
                      <w:sz w:val="22"/>
                    </w:rPr>
                  </w:pPr>
                  <w:r>
                    <w:rPr>
                      <w:w w:val="65"/>
                      <w:sz w:val="22"/>
                    </w:rPr>
                    <w:t>6.7</w:t>
                  </w:r>
                </w:p>
                <w:p>
                  <w:pPr>
                    <w:tabs>
                      <w:tab w:pos="1417" w:val="left" w:leader="none"/>
                    </w:tabs>
                    <w:spacing w:before="29"/>
                    <w:ind w:left="0" w:right="348" w:firstLine="0"/>
                    <w:jc w:val="right"/>
                    <w:rPr>
                      <w:sz w:val="22"/>
                    </w:rPr>
                  </w:pPr>
                  <w:r>
                    <w:rPr>
                      <w:w w:val="75"/>
                      <w:sz w:val="22"/>
                    </w:rPr>
                    <w:t>n</w:t>
                    <w:tab/>
                  </w:r>
                  <w:r>
                    <w:rPr>
                      <w:spacing w:val="-1"/>
                      <w:w w:val="65"/>
                      <w:sz w:val="22"/>
                    </w:rPr>
                    <w:t>0.0</w:t>
                  </w:r>
                </w:p>
                <w:p>
                  <w:pPr>
                    <w:spacing w:before="31"/>
                    <w:ind w:left="0" w:right="350" w:firstLine="0"/>
                    <w:jc w:val="right"/>
                    <w:rPr>
                      <w:sz w:val="22"/>
                    </w:rPr>
                  </w:pPr>
                  <w:r>
                    <w:rPr>
                      <w:w w:val="65"/>
                      <w:sz w:val="22"/>
                    </w:rPr>
                    <w:t>26.5</w:t>
                  </w:r>
                </w:p>
                <w:p>
                  <w:pPr>
                    <w:spacing w:line="249" w:lineRule="exact" w:before="29"/>
                    <w:ind w:left="0" w:right="348" w:firstLine="0"/>
                    <w:jc w:val="right"/>
                    <w:rPr>
                      <w:sz w:val="22"/>
                    </w:rPr>
                  </w:pPr>
                  <w:r>
                    <w:rPr>
                      <w:w w:val="65"/>
                      <w:sz w:val="22"/>
                    </w:rPr>
                    <w:t>0.0</w:t>
                  </w:r>
                </w:p>
              </w:txbxContent>
            </v:textbox>
            <w10:wrap type="none"/>
          </v:shape>
        </w:pict>
      </w:r>
      <w:r>
        <w:rPr>
          <w:w w:val="170"/>
          <w:sz w:val="9"/>
        </w:rPr>
        <w:t>manuales de organización y rendimientos</w:t>
      </w:r>
    </w:p>
    <w:p>
      <w:pPr>
        <w:spacing w:line="37" w:lineRule="exact" w:before="231"/>
        <w:ind w:left="598" w:right="-7" w:firstLine="0"/>
        <w:jc w:val="left"/>
        <w:rPr>
          <w:sz w:val="9"/>
        </w:rPr>
      </w:pPr>
      <w:r>
        <w:rPr/>
        <w:br w:type="column"/>
      </w:r>
      <w:r>
        <w:rPr>
          <w:w w:val="170"/>
          <w:sz w:val="9"/>
        </w:rPr>
        <w:t>la Contraloría Municipal</w:t>
      </w:r>
      <w:r>
        <w:rPr>
          <w:spacing w:val="-29"/>
          <w:w w:val="170"/>
          <w:sz w:val="9"/>
        </w:rPr>
        <w:t> </w:t>
      </w:r>
      <w:r>
        <w:rPr>
          <w:w w:val="170"/>
          <w:sz w:val="9"/>
        </w:rPr>
        <w:t>no</w:t>
      </w:r>
    </w:p>
    <w:p>
      <w:pPr>
        <w:spacing w:line="37" w:lineRule="exact" w:before="231"/>
        <w:ind w:left="318" w:right="0" w:firstLine="0"/>
        <w:jc w:val="left"/>
        <w:rPr>
          <w:sz w:val="9"/>
        </w:rPr>
      </w:pPr>
      <w:r>
        <w:rPr/>
        <w:br w:type="column"/>
      </w:r>
      <w:r>
        <w:rPr>
          <w:w w:val="170"/>
          <w:sz w:val="9"/>
        </w:rPr>
        <w:t>establecidos para el</w:t>
      </w:r>
    </w:p>
    <w:p>
      <w:pPr>
        <w:spacing w:after="0" w:line="37" w:lineRule="exact"/>
        <w:jc w:val="left"/>
        <w:rPr>
          <w:sz w:val="9"/>
        </w:rPr>
        <w:sectPr>
          <w:type w:val="continuous"/>
          <w:pgSz w:w="15840" w:h="12240" w:orient="landscape"/>
          <w:pgMar w:top="0" w:bottom="280" w:left="1800" w:right="1700"/>
          <w:cols w:num="3" w:equalWidth="0">
            <w:col w:w="5279" w:space="40"/>
            <w:col w:w="2402" w:space="40"/>
            <w:col w:w="4579"/>
          </w:cols>
        </w:sectPr>
      </w:pPr>
    </w:p>
    <w:p>
      <w:pPr>
        <w:spacing w:line="199" w:lineRule="exact" w:before="0"/>
        <w:ind w:left="147" w:right="0" w:firstLine="0"/>
        <w:jc w:val="left"/>
        <w:rPr>
          <w:sz w:val="22"/>
        </w:rPr>
      </w:pPr>
      <w:r>
        <w:rPr>
          <w:w w:val="65"/>
          <w:sz w:val="22"/>
        </w:rPr>
        <w:t>Infraestructura básica de salud</w:t>
      </w:r>
    </w:p>
    <w:p>
      <w:pPr>
        <w:spacing w:line="199" w:lineRule="exact" w:before="0"/>
        <w:ind w:left="147" w:right="-1" w:firstLine="0"/>
        <w:jc w:val="left"/>
        <w:rPr>
          <w:sz w:val="22"/>
        </w:rPr>
      </w:pPr>
      <w:r>
        <w:rPr/>
        <w:br w:type="column"/>
      </w:r>
      <w:r>
        <w:rPr>
          <w:w w:val="167"/>
          <w:sz w:val="9"/>
        </w:rPr>
        <w:t>p</w:t>
      </w:r>
      <w:r>
        <w:rPr>
          <w:spacing w:val="-1"/>
          <w:w w:val="167"/>
          <w:sz w:val="9"/>
        </w:rPr>
        <w:t>r</w:t>
      </w:r>
      <w:r>
        <w:rPr>
          <w:w w:val="167"/>
          <w:sz w:val="9"/>
        </w:rPr>
        <w:t>oce</w:t>
      </w:r>
      <w:r>
        <w:rPr>
          <w:w w:val="167"/>
          <w:sz w:val="9"/>
        </w:rPr>
        <w:t>d</w:t>
      </w:r>
      <w:r>
        <w:rPr>
          <w:w w:val="167"/>
          <w:sz w:val="9"/>
        </w:rPr>
        <w:t>i</w:t>
      </w:r>
      <w:r>
        <w:rPr>
          <w:spacing w:val="-1"/>
          <w:w w:val="167"/>
          <w:sz w:val="9"/>
        </w:rPr>
        <w:t>m</w:t>
      </w:r>
      <w:r>
        <w:rPr>
          <w:spacing w:val="1"/>
          <w:w w:val="167"/>
          <w:sz w:val="9"/>
        </w:rPr>
        <w:t>i</w:t>
      </w:r>
      <w:r>
        <w:rPr>
          <w:spacing w:val="-1"/>
          <w:w w:val="167"/>
          <w:sz w:val="9"/>
        </w:rPr>
        <w:t>e</w:t>
      </w:r>
      <w:r>
        <w:rPr>
          <w:w w:val="167"/>
          <w:sz w:val="9"/>
        </w:rPr>
        <w:t>n</w:t>
      </w:r>
      <w:r>
        <w:rPr>
          <w:spacing w:val="-1"/>
          <w:w w:val="167"/>
          <w:sz w:val="9"/>
        </w:rPr>
        <w:t>t</w:t>
      </w:r>
      <w:r>
        <w:rPr>
          <w:w w:val="167"/>
          <w:sz w:val="9"/>
        </w:rPr>
        <w:t>o</w:t>
      </w:r>
      <w:r>
        <w:rPr>
          <w:w w:val="167"/>
          <w:sz w:val="9"/>
        </w:rPr>
        <w:t>s</w:t>
      </w:r>
      <w:r>
        <w:rPr>
          <w:sz w:val="9"/>
        </w:rPr>
        <w:t> </w:t>
      </w:r>
      <w:r>
        <w:rPr>
          <w:spacing w:val="-7"/>
          <w:sz w:val="9"/>
        </w:rPr>
        <w:t> </w:t>
      </w:r>
      <w:r>
        <w:rPr>
          <w:w w:val="167"/>
          <w:sz w:val="9"/>
        </w:rPr>
        <w:t>q</w:t>
      </w:r>
      <w:r>
        <w:rPr>
          <w:spacing w:val="-1"/>
          <w:w w:val="167"/>
          <w:sz w:val="9"/>
        </w:rPr>
        <w:t>u</w:t>
      </w:r>
      <w:r>
        <w:rPr>
          <w:w w:val="167"/>
          <w:sz w:val="9"/>
        </w:rPr>
        <w:t>e</w:t>
      </w:r>
      <w:r>
        <w:rPr>
          <w:sz w:val="9"/>
        </w:rPr>
        <w:t> </w:t>
      </w:r>
      <w:r>
        <w:rPr>
          <w:spacing w:val="-8"/>
          <w:sz w:val="9"/>
        </w:rPr>
        <w:t> </w:t>
      </w:r>
      <w:r>
        <w:rPr>
          <w:w w:val="167"/>
          <w:sz w:val="9"/>
        </w:rPr>
        <w:t>de</w:t>
      </w:r>
      <w:r>
        <w:rPr>
          <w:spacing w:val="-1"/>
          <w:w w:val="167"/>
          <w:sz w:val="9"/>
        </w:rPr>
        <w:t>f</w:t>
      </w:r>
      <w:r>
        <w:rPr>
          <w:w w:val="167"/>
          <w:sz w:val="9"/>
        </w:rPr>
        <w:t>i</w:t>
      </w:r>
      <w:r>
        <w:rPr>
          <w:w w:val="167"/>
          <w:sz w:val="9"/>
        </w:rPr>
        <w:t>nen</w:t>
      </w:r>
      <w:r>
        <w:rPr>
          <w:sz w:val="9"/>
        </w:rPr>
        <w:t>   </w:t>
      </w:r>
      <w:r>
        <w:rPr>
          <w:spacing w:val="-6"/>
          <w:sz w:val="9"/>
        </w:rPr>
        <w:t> </w:t>
      </w:r>
      <w:r>
        <w:rPr>
          <w:spacing w:val="-1"/>
          <w:w w:val="167"/>
          <w:sz w:val="9"/>
        </w:rPr>
        <w:t>f</w:t>
      </w:r>
      <w:r>
        <w:rPr>
          <w:w w:val="167"/>
          <w:sz w:val="9"/>
        </w:rPr>
        <w:t>i</w:t>
      </w:r>
      <w:r>
        <w:rPr>
          <w:w w:val="167"/>
          <w:sz w:val="9"/>
        </w:rPr>
        <w:t>n</w:t>
      </w:r>
      <w:r>
        <w:rPr>
          <w:spacing w:val="-1"/>
          <w:w w:val="167"/>
          <w:sz w:val="9"/>
        </w:rPr>
        <w:t>a</w:t>
      </w:r>
      <w:r>
        <w:rPr>
          <w:w w:val="167"/>
          <w:sz w:val="9"/>
        </w:rPr>
        <w:t>ncie</w:t>
      </w:r>
      <w:r>
        <w:rPr>
          <w:spacing w:val="-1"/>
          <w:w w:val="167"/>
          <w:sz w:val="9"/>
        </w:rPr>
        <w:t>r</w:t>
      </w:r>
      <w:r>
        <w:rPr>
          <w:spacing w:val="-52"/>
          <w:w w:val="167"/>
          <w:sz w:val="9"/>
        </w:rPr>
        <w:t>o</w:t>
      </w:r>
      <w:r>
        <w:rPr>
          <w:spacing w:val="-31"/>
          <w:w w:val="67"/>
          <w:position w:val="-1"/>
          <w:sz w:val="22"/>
        </w:rPr>
        <w:t>0</w:t>
      </w:r>
      <w:r>
        <w:rPr>
          <w:spacing w:val="-45"/>
          <w:w w:val="167"/>
          <w:sz w:val="9"/>
        </w:rPr>
        <w:t>s</w:t>
      </w:r>
      <w:r>
        <w:rPr>
          <w:spacing w:val="-2"/>
          <w:w w:val="67"/>
          <w:position w:val="-1"/>
          <w:sz w:val="22"/>
        </w:rPr>
        <w:t>.</w:t>
      </w:r>
      <w:r>
        <w:rPr>
          <w:w w:val="67"/>
          <w:position w:val="-1"/>
          <w:sz w:val="22"/>
        </w:rPr>
        <w:t>0</w:t>
      </w:r>
    </w:p>
    <w:p>
      <w:pPr>
        <w:spacing w:line="199" w:lineRule="exact" w:before="0"/>
        <w:ind w:left="147" w:right="0" w:firstLine="0"/>
        <w:jc w:val="left"/>
        <w:rPr>
          <w:sz w:val="9"/>
        </w:rPr>
      </w:pPr>
      <w:r>
        <w:rPr/>
        <w:br w:type="column"/>
      </w:r>
      <w:r>
        <w:rPr>
          <w:spacing w:val="-1"/>
          <w:w w:val="167"/>
          <w:sz w:val="9"/>
        </w:rPr>
        <w:t>t</w:t>
      </w:r>
      <w:r>
        <w:rPr>
          <w:w w:val="167"/>
          <w:sz w:val="9"/>
        </w:rPr>
        <w:t>i</w:t>
      </w:r>
      <w:r>
        <w:rPr>
          <w:w w:val="167"/>
          <w:sz w:val="9"/>
        </w:rPr>
        <w:t>enen</w:t>
      </w:r>
      <w:r>
        <w:rPr>
          <w:spacing w:val="9"/>
          <w:sz w:val="9"/>
        </w:rPr>
        <w:t> </w:t>
      </w:r>
      <w:r>
        <w:rPr>
          <w:spacing w:val="-75"/>
          <w:w w:val="67"/>
          <w:position w:val="-1"/>
          <w:sz w:val="22"/>
        </w:rPr>
        <w:t>0</w:t>
      </w:r>
      <w:r>
        <w:rPr>
          <w:spacing w:val="-10"/>
          <w:w w:val="167"/>
          <w:sz w:val="9"/>
        </w:rPr>
        <w:t>e</w:t>
      </w:r>
      <w:r>
        <w:rPr>
          <w:spacing w:val="-33"/>
          <w:w w:val="67"/>
          <w:position w:val="-1"/>
          <w:sz w:val="22"/>
        </w:rPr>
        <w:t>.</w:t>
      </w:r>
      <w:r>
        <w:rPr>
          <w:spacing w:val="-3"/>
          <w:w w:val="167"/>
          <w:sz w:val="9"/>
        </w:rPr>
        <w:t>l</w:t>
      </w:r>
      <w:r>
        <w:rPr>
          <w:spacing w:val="-38"/>
          <w:w w:val="67"/>
          <w:position w:val="-1"/>
          <w:sz w:val="22"/>
        </w:rPr>
        <w:t>0</w:t>
      </w:r>
      <w:r>
        <w:rPr>
          <w:w w:val="167"/>
          <w:sz w:val="9"/>
        </w:rPr>
        <w:t>c</w:t>
      </w:r>
      <w:r>
        <w:rPr>
          <w:w w:val="167"/>
          <w:sz w:val="9"/>
        </w:rPr>
        <w:t>a</w:t>
      </w:r>
      <w:r>
        <w:rPr>
          <w:spacing w:val="-1"/>
          <w:w w:val="167"/>
          <w:sz w:val="9"/>
        </w:rPr>
        <w:t>r</w:t>
      </w:r>
      <w:r>
        <w:rPr>
          <w:w w:val="167"/>
          <w:sz w:val="9"/>
        </w:rPr>
        <w:t>á</w:t>
      </w:r>
      <w:r>
        <w:rPr>
          <w:w w:val="167"/>
          <w:sz w:val="9"/>
        </w:rPr>
        <w:t>ct</w:t>
      </w:r>
      <w:r>
        <w:rPr>
          <w:spacing w:val="-1"/>
          <w:w w:val="167"/>
          <w:sz w:val="9"/>
        </w:rPr>
        <w:t>e</w:t>
      </w:r>
      <w:r>
        <w:rPr>
          <w:w w:val="167"/>
          <w:sz w:val="9"/>
        </w:rPr>
        <w:t>r</w:t>
      </w:r>
      <w:r>
        <w:rPr>
          <w:sz w:val="9"/>
        </w:rPr>
        <w:t> </w:t>
      </w:r>
      <w:r>
        <w:rPr>
          <w:spacing w:val="-8"/>
          <w:sz w:val="9"/>
        </w:rPr>
        <w:t> </w:t>
      </w:r>
      <w:r>
        <w:rPr>
          <w:w w:val="167"/>
          <w:sz w:val="9"/>
        </w:rPr>
        <w:t>p</w:t>
      </w:r>
      <w:r>
        <w:rPr>
          <w:spacing w:val="-1"/>
          <w:w w:val="167"/>
          <w:sz w:val="9"/>
        </w:rPr>
        <w:t>r</w:t>
      </w:r>
      <w:r>
        <w:rPr>
          <w:spacing w:val="1"/>
          <w:w w:val="167"/>
          <w:sz w:val="9"/>
        </w:rPr>
        <w:t>e</w:t>
      </w:r>
      <w:r>
        <w:rPr>
          <w:w w:val="167"/>
          <w:sz w:val="9"/>
        </w:rPr>
        <w:t>ve</w:t>
      </w:r>
      <w:r>
        <w:rPr>
          <w:spacing w:val="-1"/>
          <w:w w:val="167"/>
          <w:sz w:val="9"/>
        </w:rPr>
        <w:t>n</w:t>
      </w:r>
      <w:r>
        <w:rPr>
          <w:w w:val="167"/>
          <w:sz w:val="9"/>
        </w:rPr>
        <w:t>t</w:t>
      </w:r>
      <w:r>
        <w:rPr>
          <w:w w:val="167"/>
          <w:sz w:val="9"/>
        </w:rPr>
        <w:t>i</w:t>
      </w:r>
      <w:r>
        <w:rPr>
          <w:w w:val="167"/>
          <w:sz w:val="9"/>
        </w:rPr>
        <w:t>vo</w:t>
      </w:r>
      <w:r>
        <w:rPr>
          <w:spacing w:val="-11"/>
          <w:sz w:val="9"/>
        </w:rPr>
        <w:t> </w:t>
      </w:r>
      <w:r>
        <w:rPr>
          <w:w w:val="67"/>
          <w:position w:val="-1"/>
          <w:sz w:val="22"/>
        </w:rPr>
        <w:t>3</w:t>
      </w:r>
      <w:r>
        <w:rPr>
          <w:spacing w:val="-2"/>
          <w:w w:val="67"/>
          <w:position w:val="-1"/>
          <w:sz w:val="22"/>
        </w:rPr>
        <w:t>.</w:t>
      </w:r>
      <w:r>
        <w:rPr>
          <w:w w:val="67"/>
          <w:position w:val="-1"/>
          <w:sz w:val="22"/>
        </w:rPr>
        <w:t>4</w:t>
      </w:r>
      <w:r>
        <w:rPr>
          <w:spacing w:val="-25"/>
          <w:position w:val="-1"/>
          <w:sz w:val="22"/>
        </w:rPr>
        <w:t> </w:t>
      </w:r>
      <w:r>
        <w:rPr>
          <w:w w:val="167"/>
          <w:sz w:val="9"/>
        </w:rPr>
        <w:t>co</w:t>
      </w:r>
      <w:r>
        <w:rPr>
          <w:w w:val="167"/>
          <w:sz w:val="9"/>
        </w:rPr>
        <w:t>n</w:t>
      </w:r>
      <w:r>
        <w:rPr>
          <w:spacing w:val="-1"/>
          <w:w w:val="167"/>
          <w:sz w:val="9"/>
        </w:rPr>
        <w:t>t</w:t>
      </w:r>
      <w:r>
        <w:rPr>
          <w:spacing w:val="-1"/>
          <w:w w:val="167"/>
          <w:sz w:val="9"/>
        </w:rPr>
        <w:t>r</w:t>
      </w:r>
      <w:r>
        <w:rPr>
          <w:spacing w:val="1"/>
          <w:w w:val="167"/>
          <w:sz w:val="9"/>
        </w:rPr>
        <w:t>o</w:t>
      </w:r>
      <w:r>
        <w:rPr>
          <w:w w:val="167"/>
          <w:sz w:val="9"/>
        </w:rPr>
        <w:t>l</w:t>
      </w:r>
      <w:r>
        <w:rPr>
          <w:sz w:val="9"/>
        </w:rPr>
        <w:t> </w:t>
      </w:r>
      <w:r>
        <w:rPr>
          <w:spacing w:val="-8"/>
          <w:sz w:val="9"/>
        </w:rPr>
        <w:t> </w:t>
      </w:r>
      <w:r>
        <w:rPr>
          <w:w w:val="167"/>
          <w:sz w:val="9"/>
        </w:rPr>
        <w:t>d</w:t>
      </w:r>
      <w:r>
        <w:rPr>
          <w:spacing w:val="-1"/>
          <w:w w:val="167"/>
          <w:sz w:val="9"/>
        </w:rPr>
        <w:t>e</w:t>
      </w:r>
      <w:r>
        <w:rPr>
          <w:w w:val="167"/>
          <w:sz w:val="9"/>
        </w:rPr>
        <w:t>l</w:t>
      </w:r>
      <w:r>
        <w:rPr>
          <w:sz w:val="9"/>
        </w:rPr>
        <w:t> </w:t>
      </w:r>
      <w:r>
        <w:rPr>
          <w:spacing w:val="-9"/>
          <w:sz w:val="9"/>
        </w:rPr>
        <w:t> </w:t>
      </w:r>
      <w:r>
        <w:rPr>
          <w:w w:val="167"/>
          <w:sz w:val="9"/>
        </w:rPr>
        <w:t>a</w:t>
      </w:r>
      <w:r>
        <w:rPr>
          <w:w w:val="167"/>
          <w:sz w:val="9"/>
        </w:rPr>
        <w:t>va</w:t>
      </w:r>
      <w:r>
        <w:rPr>
          <w:w w:val="167"/>
          <w:sz w:val="9"/>
        </w:rPr>
        <w:t>n</w:t>
      </w:r>
      <w:r>
        <w:rPr>
          <w:spacing w:val="-82"/>
          <w:w w:val="67"/>
          <w:position w:val="-1"/>
          <w:sz w:val="22"/>
        </w:rPr>
        <w:t>0</w:t>
      </w:r>
      <w:r>
        <w:rPr>
          <w:w w:val="167"/>
          <w:sz w:val="9"/>
        </w:rPr>
        <w:t>c</w:t>
      </w:r>
      <w:r>
        <w:rPr>
          <w:spacing w:val="-78"/>
          <w:w w:val="167"/>
          <w:sz w:val="9"/>
        </w:rPr>
        <w:t>e</w:t>
      </w:r>
      <w:r>
        <w:rPr>
          <w:spacing w:val="-2"/>
          <w:w w:val="67"/>
          <w:position w:val="-1"/>
          <w:sz w:val="22"/>
        </w:rPr>
        <w:t>.</w:t>
      </w:r>
      <w:r>
        <w:rPr>
          <w:spacing w:val="-3"/>
          <w:w w:val="67"/>
          <w:position w:val="-1"/>
          <w:sz w:val="22"/>
        </w:rPr>
        <w:t>0</w:t>
      </w:r>
      <w:r>
        <w:rPr>
          <w:w w:val="167"/>
          <w:sz w:val="9"/>
        </w:rPr>
        <w:t>f</w:t>
      </w:r>
      <w:r>
        <w:rPr>
          <w:spacing w:val="-1"/>
          <w:w w:val="167"/>
          <w:sz w:val="9"/>
        </w:rPr>
        <w:t>í</w:t>
      </w:r>
      <w:r>
        <w:rPr>
          <w:w w:val="167"/>
          <w:sz w:val="9"/>
        </w:rPr>
        <w:t>si</w:t>
      </w:r>
      <w:r>
        <w:rPr>
          <w:w w:val="167"/>
          <w:sz w:val="9"/>
        </w:rPr>
        <w:t>co</w:t>
      </w:r>
      <w:r>
        <w:rPr>
          <w:w w:val="167"/>
          <w:sz w:val="9"/>
        </w:rPr>
        <w:t>-</w:t>
      </w:r>
    </w:p>
    <w:p>
      <w:pPr>
        <w:tabs>
          <w:tab w:pos="1494" w:val="left" w:leader="none"/>
        </w:tabs>
        <w:spacing w:line="199" w:lineRule="exact" w:before="0"/>
        <w:ind w:left="147" w:right="0" w:firstLine="0"/>
        <w:jc w:val="left"/>
        <w:rPr>
          <w:sz w:val="22"/>
        </w:rPr>
      </w:pPr>
      <w:r>
        <w:rPr/>
        <w:br w:type="column"/>
      </w:r>
      <w:r>
        <w:rPr>
          <w:w w:val="75"/>
          <w:sz w:val="22"/>
        </w:rPr>
        <w:t>1.3</w:t>
        <w:tab/>
        <w:t>0.2</w:t>
      </w:r>
    </w:p>
    <w:p>
      <w:pPr>
        <w:spacing w:after="0" w:line="199" w:lineRule="exact"/>
        <w:jc w:val="left"/>
        <w:rPr>
          <w:sz w:val="22"/>
        </w:rPr>
        <w:sectPr>
          <w:type w:val="continuous"/>
          <w:pgSz w:w="15840" w:h="12240" w:orient="landscape"/>
          <w:pgMar w:top="0" w:bottom="280" w:left="1800" w:right="1700"/>
          <w:cols w:num="4" w:equalWidth="0">
            <w:col w:w="2175" w:space="133"/>
            <w:col w:w="2915" w:space="545"/>
            <w:col w:w="3986" w:space="728"/>
            <w:col w:w="1858"/>
          </w:cols>
        </w:sectPr>
      </w:pPr>
    </w:p>
    <w:p>
      <w:pPr>
        <w:spacing w:line="74" w:lineRule="exact" w:before="0"/>
        <w:ind w:left="2453" w:right="-18" w:firstLine="0"/>
        <w:jc w:val="left"/>
        <w:rPr>
          <w:sz w:val="9"/>
        </w:rPr>
      </w:pPr>
      <w:r>
        <w:rPr>
          <w:w w:val="170"/>
          <w:sz w:val="9"/>
        </w:rPr>
        <w:t>las atribuciones y</w:t>
      </w:r>
    </w:p>
    <w:p>
      <w:pPr>
        <w:spacing w:line="148" w:lineRule="exact" w:before="0"/>
        <w:ind w:left="147" w:right="-18" w:firstLine="0"/>
        <w:jc w:val="left"/>
        <w:rPr>
          <w:sz w:val="9"/>
        </w:rPr>
      </w:pPr>
      <w:r>
        <w:rPr>
          <w:w w:val="90"/>
          <w:sz w:val="22"/>
        </w:rPr>
        <w:t>Infraestructura básica de educació </w:t>
      </w:r>
      <w:r>
        <w:rPr>
          <w:w w:val="90"/>
          <w:position w:val="8"/>
          <w:sz w:val="9"/>
        </w:rPr>
        <w:t>responsabilidades de los</w:t>
      </w:r>
    </w:p>
    <w:p>
      <w:pPr>
        <w:spacing w:line="160" w:lineRule="auto" w:before="15"/>
        <w:ind w:left="147" w:right="-14" w:firstLine="0"/>
        <w:jc w:val="left"/>
        <w:rPr>
          <w:sz w:val="9"/>
        </w:rPr>
      </w:pPr>
      <w:r>
        <w:rPr/>
        <w:br w:type="column"/>
      </w:r>
      <w:r>
        <w:rPr>
          <w:w w:val="160"/>
          <w:sz w:val="9"/>
        </w:rPr>
        <w:t>generados es </w:t>
      </w:r>
      <w:r>
        <w:rPr>
          <w:w w:val="167"/>
          <w:sz w:val="9"/>
        </w:rPr>
        <w:t>ad</w:t>
      </w:r>
      <w:r>
        <w:rPr>
          <w:spacing w:val="-1"/>
          <w:w w:val="167"/>
          <w:sz w:val="9"/>
        </w:rPr>
        <w:t>e</w:t>
      </w:r>
      <w:r>
        <w:rPr>
          <w:w w:val="167"/>
          <w:sz w:val="9"/>
        </w:rPr>
        <w:t>cu</w:t>
      </w:r>
      <w:r>
        <w:rPr>
          <w:w w:val="167"/>
          <w:sz w:val="9"/>
        </w:rPr>
        <w:t>a</w:t>
      </w:r>
      <w:r>
        <w:rPr>
          <w:spacing w:val="-61"/>
          <w:w w:val="167"/>
          <w:sz w:val="9"/>
        </w:rPr>
        <w:t>d</w:t>
      </w:r>
      <w:r>
        <w:rPr>
          <w:spacing w:val="-21"/>
          <w:w w:val="67"/>
          <w:position w:val="-7"/>
          <w:sz w:val="22"/>
        </w:rPr>
        <w:t>2</w:t>
      </w:r>
      <w:r>
        <w:rPr>
          <w:spacing w:val="-63"/>
          <w:w w:val="167"/>
          <w:sz w:val="9"/>
        </w:rPr>
        <w:t>o</w:t>
      </w:r>
      <w:r>
        <w:rPr>
          <w:spacing w:val="-19"/>
          <w:w w:val="67"/>
          <w:position w:val="-7"/>
          <w:sz w:val="22"/>
        </w:rPr>
        <w:t>9</w:t>
      </w:r>
      <w:r>
        <w:rPr>
          <w:spacing w:val="-24"/>
          <w:w w:val="167"/>
          <w:sz w:val="9"/>
        </w:rPr>
        <w:t>,</w:t>
      </w:r>
      <w:r>
        <w:rPr>
          <w:spacing w:val="-1"/>
          <w:w w:val="67"/>
          <w:position w:val="-7"/>
          <w:sz w:val="22"/>
        </w:rPr>
        <w:t>.</w:t>
      </w:r>
      <w:r>
        <w:rPr>
          <w:spacing w:val="-58"/>
          <w:w w:val="67"/>
          <w:position w:val="-7"/>
          <w:sz w:val="22"/>
        </w:rPr>
        <w:t>9</w:t>
      </w:r>
      <w:r>
        <w:rPr>
          <w:w w:val="167"/>
          <w:sz w:val="9"/>
        </w:rPr>
        <w:t>l</w:t>
      </w:r>
      <w:r>
        <w:rPr>
          <w:w w:val="167"/>
          <w:sz w:val="9"/>
        </w:rPr>
        <w:t>o</w:t>
      </w:r>
      <w:r>
        <w:rPr>
          <w:sz w:val="9"/>
        </w:rPr>
        <w:t> </w:t>
      </w:r>
      <w:r>
        <w:rPr>
          <w:spacing w:val="-8"/>
          <w:sz w:val="9"/>
        </w:rPr>
        <w:t> </w:t>
      </w:r>
      <w:r>
        <w:rPr>
          <w:w w:val="167"/>
          <w:sz w:val="9"/>
        </w:rPr>
        <w:t>que</w:t>
      </w:r>
    </w:p>
    <w:p>
      <w:pPr>
        <w:spacing w:line="73" w:lineRule="exact" w:before="0"/>
        <w:ind w:left="147" w:right="0" w:firstLine="0"/>
        <w:jc w:val="left"/>
        <w:rPr>
          <w:sz w:val="9"/>
        </w:rPr>
      </w:pPr>
      <w:r>
        <w:rPr/>
        <w:br w:type="column"/>
      </w:r>
      <w:r>
        <w:rPr>
          <w:w w:val="170"/>
          <w:sz w:val="9"/>
        </w:rPr>
        <w:t>deseable, con objeto de que su financiero de las obras</w:t>
      </w:r>
    </w:p>
    <w:p>
      <w:pPr>
        <w:tabs>
          <w:tab w:pos="4860" w:val="left" w:leader="none"/>
          <w:tab w:pos="6412" w:val="right" w:leader="none"/>
        </w:tabs>
        <w:spacing w:line="149" w:lineRule="exact" w:before="0"/>
        <w:ind w:left="147" w:right="0" w:firstLine="0"/>
        <w:jc w:val="left"/>
        <w:rPr>
          <w:sz w:val="22"/>
        </w:rPr>
      </w:pPr>
      <w:r>
        <w:rPr>
          <w:w w:val="167"/>
          <w:sz w:val="9"/>
        </w:rPr>
        <w:t>p</w:t>
      </w:r>
      <w:r>
        <w:rPr>
          <w:spacing w:val="-1"/>
          <w:w w:val="167"/>
          <w:sz w:val="9"/>
        </w:rPr>
        <w:t>a</w:t>
      </w:r>
      <w:r>
        <w:rPr>
          <w:spacing w:val="-1"/>
          <w:w w:val="167"/>
          <w:sz w:val="9"/>
        </w:rPr>
        <w:t>r</w:t>
      </w:r>
      <w:r>
        <w:rPr>
          <w:w w:val="167"/>
          <w:sz w:val="9"/>
        </w:rPr>
        <w:t>t</w:t>
      </w:r>
      <w:r>
        <w:rPr>
          <w:w w:val="167"/>
          <w:sz w:val="9"/>
        </w:rPr>
        <w:t>i</w:t>
      </w:r>
      <w:r>
        <w:rPr>
          <w:spacing w:val="-5"/>
          <w:w w:val="167"/>
          <w:sz w:val="9"/>
        </w:rPr>
        <w:t>c</w:t>
      </w:r>
      <w:r>
        <w:rPr>
          <w:spacing w:val="-78"/>
          <w:w w:val="67"/>
          <w:position w:val="-7"/>
          <w:sz w:val="22"/>
        </w:rPr>
        <w:t>2</w:t>
      </w:r>
      <w:r>
        <w:rPr>
          <w:w w:val="167"/>
          <w:sz w:val="9"/>
        </w:rPr>
        <w:t>i</w:t>
      </w:r>
      <w:r>
        <w:rPr>
          <w:spacing w:val="-41"/>
          <w:w w:val="167"/>
          <w:sz w:val="9"/>
        </w:rPr>
        <w:t>p</w:t>
      </w:r>
      <w:r>
        <w:rPr>
          <w:spacing w:val="-42"/>
          <w:w w:val="67"/>
          <w:position w:val="-7"/>
          <w:sz w:val="22"/>
        </w:rPr>
        <w:t>0</w:t>
      </w:r>
      <w:r>
        <w:rPr>
          <w:spacing w:val="-44"/>
          <w:w w:val="167"/>
          <w:sz w:val="9"/>
        </w:rPr>
        <w:t>a</w:t>
      </w:r>
      <w:r>
        <w:rPr>
          <w:spacing w:val="-1"/>
          <w:w w:val="67"/>
          <w:position w:val="-7"/>
          <w:sz w:val="22"/>
        </w:rPr>
        <w:t>.</w:t>
      </w:r>
      <w:r>
        <w:rPr>
          <w:spacing w:val="-80"/>
          <w:w w:val="67"/>
          <w:position w:val="-7"/>
          <w:sz w:val="22"/>
        </w:rPr>
        <w:t>0</w:t>
      </w:r>
      <w:r>
        <w:rPr>
          <w:w w:val="167"/>
          <w:sz w:val="9"/>
        </w:rPr>
        <w:t>ción</w:t>
      </w:r>
      <w:r>
        <w:rPr>
          <w:sz w:val="9"/>
        </w:rPr>
        <w:t> </w:t>
      </w:r>
      <w:r>
        <w:rPr>
          <w:spacing w:val="-8"/>
          <w:sz w:val="9"/>
        </w:rPr>
        <w:t> </w:t>
      </w:r>
      <w:r>
        <w:rPr>
          <w:w w:val="167"/>
          <w:sz w:val="9"/>
        </w:rPr>
        <w:t>co</w:t>
      </w:r>
      <w:r>
        <w:rPr>
          <w:spacing w:val="-1"/>
          <w:w w:val="167"/>
          <w:sz w:val="9"/>
        </w:rPr>
        <w:t>a</w:t>
      </w:r>
      <w:r>
        <w:rPr>
          <w:w w:val="167"/>
          <w:sz w:val="9"/>
        </w:rPr>
        <w:t>d</w:t>
      </w:r>
      <w:r>
        <w:rPr>
          <w:w w:val="167"/>
          <w:sz w:val="9"/>
        </w:rPr>
        <w:t>yuve</w:t>
      </w:r>
      <w:r>
        <w:rPr>
          <w:sz w:val="9"/>
        </w:rPr>
        <w:t> </w:t>
      </w:r>
      <w:r>
        <w:rPr>
          <w:spacing w:val="-8"/>
          <w:sz w:val="9"/>
        </w:rPr>
        <w:t> </w:t>
      </w:r>
      <w:r>
        <w:rPr>
          <w:w w:val="167"/>
          <w:sz w:val="9"/>
        </w:rPr>
        <w:t>a</w:t>
      </w:r>
      <w:r>
        <w:rPr>
          <w:sz w:val="9"/>
        </w:rPr>
        <w:t> </w:t>
      </w:r>
      <w:r>
        <w:rPr>
          <w:spacing w:val="-7"/>
          <w:sz w:val="9"/>
        </w:rPr>
        <w:t> </w:t>
      </w:r>
      <w:r>
        <w:rPr>
          <w:spacing w:val="-1"/>
          <w:w w:val="167"/>
          <w:sz w:val="9"/>
        </w:rPr>
        <w:t>l</w:t>
      </w:r>
      <w:r>
        <w:rPr>
          <w:w w:val="167"/>
          <w:sz w:val="9"/>
        </w:rPr>
        <w:t>a</w:t>
      </w:r>
      <w:r>
        <w:rPr>
          <w:sz w:val="9"/>
        </w:rPr>
        <w:t>   </w:t>
      </w:r>
      <w:r>
        <w:rPr>
          <w:spacing w:val="-9"/>
          <w:sz w:val="9"/>
        </w:rPr>
        <w:t> </w:t>
      </w:r>
      <w:r>
        <w:rPr>
          <w:w w:val="67"/>
          <w:position w:val="-7"/>
          <w:sz w:val="22"/>
        </w:rPr>
        <w:t>7</w:t>
      </w:r>
      <w:r>
        <w:rPr>
          <w:spacing w:val="-2"/>
          <w:w w:val="67"/>
          <w:position w:val="-7"/>
          <w:sz w:val="22"/>
        </w:rPr>
        <w:t>.</w:t>
      </w:r>
      <w:r>
        <w:rPr>
          <w:w w:val="67"/>
          <w:position w:val="-7"/>
          <w:sz w:val="22"/>
        </w:rPr>
        <w:t>1</w:t>
      </w:r>
      <w:r>
        <w:rPr>
          <w:spacing w:val="-25"/>
          <w:position w:val="-7"/>
          <w:sz w:val="22"/>
        </w:rPr>
        <w:t> </w:t>
      </w:r>
      <w:r>
        <w:rPr>
          <w:w w:val="167"/>
          <w:sz w:val="9"/>
        </w:rPr>
        <w:t>so</w:t>
      </w:r>
      <w:r>
        <w:rPr>
          <w:w w:val="167"/>
          <w:sz w:val="9"/>
        </w:rPr>
        <w:t>n</w:t>
      </w:r>
      <w:r>
        <w:rPr>
          <w:sz w:val="9"/>
        </w:rPr>
        <w:t> </w:t>
      </w:r>
      <w:r>
        <w:rPr>
          <w:spacing w:val="-8"/>
          <w:sz w:val="9"/>
        </w:rPr>
        <w:t> </w:t>
      </w:r>
      <w:r>
        <w:rPr>
          <w:w w:val="167"/>
          <w:sz w:val="9"/>
        </w:rPr>
        <w:t>ad</w:t>
      </w:r>
      <w:r>
        <w:rPr>
          <w:spacing w:val="-1"/>
          <w:w w:val="167"/>
          <w:sz w:val="9"/>
        </w:rPr>
        <w:t>e</w:t>
      </w:r>
      <w:r>
        <w:rPr>
          <w:w w:val="167"/>
          <w:sz w:val="9"/>
        </w:rPr>
        <w:t>cu</w:t>
      </w:r>
      <w:r>
        <w:rPr>
          <w:w w:val="167"/>
          <w:sz w:val="9"/>
        </w:rPr>
        <w:t>ado</w:t>
      </w:r>
      <w:r>
        <w:rPr>
          <w:w w:val="167"/>
          <w:sz w:val="9"/>
        </w:rPr>
        <w:t>s</w:t>
      </w:r>
      <w:r>
        <w:rPr>
          <w:sz w:val="9"/>
        </w:rPr>
        <w:t> </w:t>
      </w:r>
      <w:r>
        <w:rPr>
          <w:spacing w:val="-9"/>
          <w:sz w:val="9"/>
        </w:rPr>
        <w:t> </w:t>
      </w:r>
      <w:r>
        <w:rPr>
          <w:spacing w:val="-82"/>
          <w:w w:val="67"/>
          <w:position w:val="-7"/>
          <w:sz w:val="22"/>
        </w:rPr>
        <w:t>6</w:t>
      </w:r>
      <w:r>
        <w:rPr>
          <w:spacing w:val="6"/>
          <w:w w:val="167"/>
          <w:sz w:val="9"/>
        </w:rPr>
        <w:t>y</w:t>
      </w:r>
      <w:r>
        <w:rPr>
          <w:spacing w:val="-2"/>
          <w:w w:val="67"/>
          <w:position w:val="-7"/>
          <w:sz w:val="22"/>
        </w:rPr>
        <w:t>.</w:t>
      </w:r>
      <w:r>
        <w:rPr>
          <w:w w:val="67"/>
          <w:position w:val="-7"/>
          <w:sz w:val="22"/>
        </w:rPr>
        <w:t>2</w:t>
      </w:r>
      <w:r>
        <w:rPr>
          <w:position w:val="-7"/>
          <w:sz w:val="22"/>
        </w:rPr>
        <w:tab/>
      </w:r>
      <w:r>
        <w:rPr>
          <w:w w:val="67"/>
          <w:position w:val="-7"/>
          <w:sz w:val="22"/>
        </w:rPr>
        <w:t>4</w:t>
      </w:r>
      <w:r>
        <w:rPr>
          <w:spacing w:val="-2"/>
          <w:w w:val="67"/>
          <w:position w:val="-7"/>
          <w:sz w:val="22"/>
        </w:rPr>
        <w:t>.</w:t>
      </w:r>
      <w:r>
        <w:rPr>
          <w:w w:val="67"/>
          <w:position w:val="-7"/>
          <w:sz w:val="22"/>
        </w:rPr>
        <w:t>7</w:t>
      </w:r>
      <w:r>
        <w:rPr>
          <w:w w:val="67"/>
          <w:position w:val="-7"/>
          <w:sz w:val="22"/>
        </w:rPr>
        <w:t> </w:t>
      </w:r>
      <w:r>
        <w:rPr>
          <w:position w:val="-7"/>
          <w:sz w:val="22"/>
        </w:rPr>
        <w:tab/>
      </w:r>
      <w:r>
        <w:rPr>
          <w:w w:val="67"/>
          <w:position w:val="-7"/>
          <w:sz w:val="22"/>
        </w:rPr>
        <w:t>3</w:t>
      </w:r>
      <w:r>
        <w:rPr>
          <w:spacing w:val="-2"/>
          <w:w w:val="67"/>
          <w:position w:val="-7"/>
          <w:sz w:val="22"/>
        </w:rPr>
        <w:t>.</w:t>
      </w:r>
      <w:r>
        <w:rPr>
          <w:w w:val="67"/>
          <w:position w:val="-7"/>
          <w:sz w:val="22"/>
        </w:rPr>
        <w:t>1</w:t>
      </w:r>
    </w:p>
    <w:p>
      <w:pPr>
        <w:spacing w:after="0" w:line="149" w:lineRule="exact"/>
        <w:jc w:val="left"/>
        <w:rPr>
          <w:sz w:val="22"/>
        </w:rPr>
        <w:sectPr>
          <w:type w:val="continuous"/>
          <w:pgSz w:w="15840" w:h="12240" w:orient="landscape"/>
          <w:pgMar w:top="0" w:bottom="280" w:left="1800" w:right="1700"/>
          <w:cols w:num="3" w:equalWidth="0">
            <w:col w:w="4123" w:space="143"/>
            <w:col w:w="1311" w:space="191"/>
            <w:col w:w="6572"/>
          </w:cols>
        </w:sectPr>
      </w:pPr>
    </w:p>
    <w:p>
      <w:pPr>
        <w:spacing w:line="19" w:lineRule="exact" w:before="0"/>
        <w:ind w:left="2454" w:right="-12" w:firstLine="0"/>
        <w:jc w:val="left"/>
        <w:rPr>
          <w:sz w:val="9"/>
        </w:rPr>
      </w:pPr>
      <w:r>
        <w:rPr>
          <w:w w:val="170"/>
          <w:sz w:val="9"/>
        </w:rPr>
        <w:t>servidores</w:t>
      </w:r>
      <w:r>
        <w:rPr>
          <w:spacing w:val="-21"/>
          <w:w w:val="170"/>
          <w:sz w:val="9"/>
        </w:rPr>
        <w:t> </w:t>
      </w:r>
      <w:r>
        <w:rPr>
          <w:w w:val="170"/>
          <w:sz w:val="9"/>
        </w:rPr>
        <w:t>públicos.</w:t>
      </w:r>
    </w:p>
    <w:p>
      <w:pPr>
        <w:spacing w:line="19" w:lineRule="exact" w:before="0"/>
        <w:ind w:left="578" w:right="-9" w:firstLine="0"/>
        <w:jc w:val="left"/>
        <w:rPr>
          <w:sz w:val="9"/>
        </w:rPr>
      </w:pPr>
      <w:r>
        <w:rPr/>
        <w:br w:type="column"/>
      </w:r>
      <w:r>
        <w:rPr>
          <w:w w:val="170"/>
          <w:sz w:val="9"/>
        </w:rPr>
        <w:t>permite</w:t>
      </w:r>
      <w:r>
        <w:rPr>
          <w:spacing w:val="-24"/>
          <w:w w:val="170"/>
          <w:sz w:val="9"/>
        </w:rPr>
        <w:t> </w:t>
      </w:r>
      <w:r>
        <w:rPr>
          <w:w w:val="170"/>
          <w:sz w:val="9"/>
        </w:rPr>
        <w:t>identificarlos</w:t>
      </w:r>
    </w:p>
    <w:p>
      <w:pPr>
        <w:spacing w:line="46" w:lineRule="exact" w:before="8"/>
        <w:ind w:left="579" w:right="-9" w:firstLine="0"/>
        <w:jc w:val="left"/>
        <w:rPr>
          <w:sz w:val="9"/>
        </w:rPr>
      </w:pPr>
      <w:r>
        <w:rPr>
          <w:w w:val="170"/>
          <w:sz w:val="9"/>
        </w:rPr>
        <w:t>y programar su</w:t>
      </w:r>
    </w:p>
    <w:p>
      <w:pPr>
        <w:spacing w:line="19" w:lineRule="exact" w:before="0"/>
        <w:ind w:left="74" w:right="-9" w:firstLine="0"/>
        <w:jc w:val="left"/>
        <w:rPr>
          <w:sz w:val="9"/>
        </w:rPr>
      </w:pPr>
      <w:r>
        <w:rPr/>
        <w:br w:type="column"/>
      </w:r>
      <w:r>
        <w:rPr>
          <w:w w:val="170"/>
          <w:sz w:val="9"/>
        </w:rPr>
        <w:t>optimización en la</w:t>
      </w:r>
      <w:r>
        <w:rPr>
          <w:spacing w:val="-29"/>
          <w:w w:val="170"/>
          <w:sz w:val="9"/>
        </w:rPr>
        <w:t> </w:t>
      </w:r>
      <w:r>
        <w:rPr>
          <w:w w:val="170"/>
          <w:sz w:val="9"/>
        </w:rPr>
        <w:t>operación</w:t>
      </w:r>
    </w:p>
    <w:p>
      <w:pPr>
        <w:spacing w:line="46" w:lineRule="exact" w:before="8"/>
        <w:ind w:left="76" w:right="-9" w:firstLine="0"/>
        <w:jc w:val="left"/>
        <w:rPr>
          <w:sz w:val="9"/>
        </w:rPr>
      </w:pPr>
      <w:r>
        <w:rPr>
          <w:w w:val="170"/>
          <w:sz w:val="9"/>
        </w:rPr>
        <w:t>del fondo.</w:t>
      </w:r>
    </w:p>
    <w:p>
      <w:pPr>
        <w:spacing w:line="19" w:lineRule="exact" w:before="0"/>
        <w:ind w:left="199" w:right="0" w:firstLine="0"/>
        <w:jc w:val="left"/>
        <w:rPr>
          <w:sz w:val="9"/>
        </w:rPr>
      </w:pPr>
      <w:r>
        <w:rPr/>
        <w:br w:type="column"/>
      </w:r>
      <w:r>
        <w:rPr>
          <w:w w:val="170"/>
          <w:sz w:val="9"/>
        </w:rPr>
        <w:t>permiten que la</w:t>
      </w:r>
    </w:p>
    <w:p>
      <w:pPr>
        <w:spacing w:line="46" w:lineRule="exact" w:before="8"/>
        <w:ind w:left="200" w:right="0" w:firstLine="0"/>
        <w:jc w:val="left"/>
        <w:rPr>
          <w:sz w:val="9"/>
        </w:rPr>
      </w:pPr>
      <w:r>
        <w:rPr>
          <w:w w:val="170"/>
          <w:sz w:val="9"/>
        </w:rPr>
        <w:t>información financiera</w:t>
      </w:r>
    </w:p>
    <w:p>
      <w:pPr>
        <w:spacing w:after="0" w:line="46" w:lineRule="exact"/>
        <w:jc w:val="left"/>
        <w:rPr>
          <w:sz w:val="9"/>
        </w:rPr>
        <w:sectPr>
          <w:type w:val="continuous"/>
          <w:pgSz w:w="15840" w:h="12240" w:orient="landscape"/>
          <w:pgMar w:top="0" w:bottom="280" w:left="1800" w:right="1700"/>
          <w:cols w:num="4" w:equalWidth="0">
            <w:col w:w="3794" w:space="40"/>
            <w:col w:w="1969" w:space="40"/>
            <w:col w:w="1996" w:space="40"/>
            <w:col w:w="4461"/>
          </w:cols>
        </w:sectPr>
      </w:pPr>
    </w:p>
    <w:p>
      <w:pPr>
        <w:spacing w:line="228" w:lineRule="exact" w:before="0"/>
        <w:ind w:left="147" w:right="0" w:firstLine="0"/>
        <w:jc w:val="left"/>
        <w:rPr>
          <w:sz w:val="22"/>
        </w:rPr>
      </w:pPr>
      <w:r>
        <w:rPr>
          <w:w w:val="65"/>
          <w:sz w:val="22"/>
        </w:rPr>
        <w:t>Mejoramiento de vivienda</w:t>
      </w:r>
    </w:p>
    <w:p>
      <w:pPr>
        <w:tabs>
          <w:tab w:pos="2097" w:val="left" w:leader="none"/>
          <w:tab w:pos="3568" w:val="left" w:leader="none"/>
          <w:tab w:pos="6363" w:val="left" w:leader="none"/>
          <w:tab w:pos="7915" w:val="right" w:leader="none"/>
        </w:tabs>
        <w:spacing w:line="202" w:lineRule="exact" w:before="0"/>
        <w:ind w:left="147" w:right="0" w:firstLine="0"/>
        <w:jc w:val="left"/>
        <w:rPr>
          <w:sz w:val="22"/>
        </w:rPr>
      </w:pPr>
      <w:r>
        <w:rPr/>
        <w:br w:type="column"/>
      </w:r>
      <w:r>
        <w:rPr>
          <w:w w:val="167"/>
          <w:sz w:val="9"/>
        </w:rPr>
        <w:t>ap</w:t>
      </w:r>
      <w:r>
        <w:rPr>
          <w:spacing w:val="-1"/>
          <w:w w:val="167"/>
          <w:sz w:val="9"/>
        </w:rPr>
        <w:t>l</w:t>
      </w:r>
      <w:r>
        <w:rPr>
          <w:w w:val="167"/>
          <w:sz w:val="9"/>
        </w:rPr>
        <w:t>i</w:t>
      </w:r>
      <w:r>
        <w:rPr>
          <w:w w:val="167"/>
          <w:sz w:val="9"/>
        </w:rPr>
        <w:t>ca</w:t>
      </w:r>
      <w:r>
        <w:rPr>
          <w:w w:val="167"/>
          <w:sz w:val="9"/>
        </w:rPr>
        <w:t>c</w:t>
      </w:r>
      <w:r>
        <w:rPr>
          <w:spacing w:val="-1"/>
          <w:w w:val="167"/>
          <w:sz w:val="9"/>
        </w:rPr>
        <w:t>ió</w:t>
      </w:r>
      <w:r>
        <w:rPr>
          <w:spacing w:val="-71"/>
          <w:w w:val="167"/>
          <w:sz w:val="9"/>
        </w:rPr>
        <w:t>n</w:t>
      </w:r>
      <w:r>
        <w:rPr>
          <w:spacing w:val="-12"/>
          <w:w w:val="67"/>
          <w:position w:val="-2"/>
          <w:sz w:val="22"/>
        </w:rPr>
        <w:t>0</w:t>
      </w:r>
      <w:r>
        <w:rPr>
          <w:spacing w:val="-31"/>
          <w:w w:val="167"/>
          <w:sz w:val="9"/>
        </w:rPr>
        <w:t>.</w:t>
      </w:r>
      <w:r>
        <w:rPr>
          <w:spacing w:val="-2"/>
          <w:w w:val="67"/>
          <w:position w:val="-2"/>
          <w:sz w:val="22"/>
        </w:rPr>
        <w:t>.</w:t>
      </w:r>
      <w:r>
        <w:rPr>
          <w:w w:val="67"/>
          <w:position w:val="-2"/>
          <w:sz w:val="22"/>
        </w:rPr>
        <w:t>0</w:t>
      </w:r>
      <w:r>
        <w:rPr>
          <w:position w:val="-2"/>
          <w:sz w:val="22"/>
        </w:rPr>
        <w:tab/>
      </w:r>
      <w:r>
        <w:rPr>
          <w:w w:val="67"/>
          <w:position w:val="-2"/>
          <w:sz w:val="22"/>
        </w:rPr>
        <w:t>0</w:t>
      </w:r>
      <w:r>
        <w:rPr>
          <w:spacing w:val="-2"/>
          <w:w w:val="67"/>
          <w:position w:val="-2"/>
          <w:sz w:val="22"/>
        </w:rPr>
        <w:t>.</w:t>
      </w:r>
      <w:r>
        <w:rPr>
          <w:w w:val="67"/>
          <w:position w:val="-2"/>
          <w:sz w:val="22"/>
        </w:rPr>
        <w:t>0</w:t>
      </w:r>
      <w:r>
        <w:rPr>
          <w:position w:val="-2"/>
          <w:sz w:val="22"/>
        </w:rPr>
        <w:tab/>
      </w:r>
      <w:r>
        <w:rPr>
          <w:w w:val="67"/>
          <w:position w:val="-2"/>
          <w:sz w:val="22"/>
        </w:rPr>
        <w:t>4</w:t>
      </w:r>
      <w:r>
        <w:rPr>
          <w:spacing w:val="-2"/>
          <w:w w:val="67"/>
          <w:position w:val="-2"/>
          <w:sz w:val="22"/>
        </w:rPr>
        <w:t>.</w:t>
      </w:r>
      <w:r>
        <w:rPr>
          <w:w w:val="67"/>
          <w:position w:val="-2"/>
          <w:sz w:val="22"/>
        </w:rPr>
        <w:t>1</w:t>
      </w:r>
      <w:r>
        <w:rPr>
          <w:spacing w:val="-24"/>
          <w:position w:val="-2"/>
          <w:sz w:val="22"/>
        </w:rPr>
        <w:t> </w:t>
      </w:r>
      <w:r>
        <w:rPr>
          <w:w w:val="167"/>
          <w:sz w:val="9"/>
        </w:rPr>
        <w:t>se</w:t>
      </w:r>
      <w:r>
        <w:rPr>
          <w:w w:val="167"/>
          <w:sz w:val="9"/>
        </w:rPr>
        <w:t>a</w:t>
      </w:r>
      <w:r>
        <w:rPr>
          <w:sz w:val="9"/>
        </w:rPr>
        <w:t> </w:t>
      </w:r>
      <w:r>
        <w:rPr>
          <w:spacing w:val="-7"/>
          <w:sz w:val="9"/>
        </w:rPr>
        <w:t> </w:t>
      </w:r>
      <w:r>
        <w:rPr>
          <w:spacing w:val="-1"/>
          <w:w w:val="167"/>
          <w:sz w:val="9"/>
        </w:rPr>
        <w:t>i</w:t>
      </w:r>
      <w:r>
        <w:rPr>
          <w:w w:val="167"/>
          <w:sz w:val="9"/>
        </w:rPr>
        <w:t>den</w:t>
      </w:r>
      <w:r>
        <w:rPr>
          <w:spacing w:val="-1"/>
          <w:w w:val="167"/>
          <w:sz w:val="9"/>
        </w:rPr>
        <w:t>t</w:t>
      </w:r>
      <w:r>
        <w:rPr>
          <w:spacing w:val="-1"/>
          <w:w w:val="167"/>
          <w:sz w:val="9"/>
        </w:rPr>
        <w:t>i</w:t>
      </w:r>
      <w:r>
        <w:rPr>
          <w:spacing w:val="-1"/>
          <w:w w:val="167"/>
          <w:sz w:val="9"/>
        </w:rPr>
        <w:t>f</w:t>
      </w:r>
      <w:r>
        <w:rPr>
          <w:w w:val="167"/>
          <w:sz w:val="9"/>
        </w:rPr>
        <w:t>i</w:t>
      </w:r>
      <w:r>
        <w:rPr>
          <w:w w:val="167"/>
          <w:sz w:val="9"/>
        </w:rPr>
        <w:t>ca</w:t>
      </w:r>
      <w:r>
        <w:rPr>
          <w:w w:val="167"/>
          <w:sz w:val="9"/>
        </w:rPr>
        <w:t>d</w:t>
      </w:r>
      <w:r>
        <w:rPr>
          <w:spacing w:val="-1"/>
          <w:w w:val="167"/>
          <w:sz w:val="9"/>
        </w:rPr>
        <w:t>a</w:t>
      </w:r>
      <w:r>
        <w:rPr>
          <w:spacing w:val="-27"/>
          <w:w w:val="167"/>
          <w:sz w:val="9"/>
        </w:rPr>
        <w:t>,</w:t>
      </w:r>
      <w:r>
        <w:rPr>
          <w:w w:val="67"/>
          <w:position w:val="-2"/>
          <w:sz w:val="22"/>
        </w:rPr>
        <w:t>3</w:t>
      </w:r>
      <w:r>
        <w:rPr>
          <w:spacing w:val="-2"/>
          <w:w w:val="67"/>
          <w:position w:val="-2"/>
          <w:sz w:val="22"/>
        </w:rPr>
        <w:t>.</w:t>
      </w:r>
      <w:r>
        <w:rPr>
          <w:w w:val="67"/>
          <w:position w:val="-2"/>
          <w:sz w:val="22"/>
        </w:rPr>
        <w:t>6</w:t>
      </w:r>
      <w:r>
        <w:rPr>
          <w:position w:val="-2"/>
          <w:sz w:val="22"/>
        </w:rPr>
        <w:tab/>
      </w:r>
      <w:r>
        <w:rPr>
          <w:w w:val="67"/>
          <w:position w:val="-2"/>
          <w:sz w:val="22"/>
        </w:rPr>
        <w:t>0</w:t>
      </w:r>
      <w:r>
        <w:rPr>
          <w:spacing w:val="-2"/>
          <w:w w:val="67"/>
          <w:position w:val="-2"/>
          <w:sz w:val="22"/>
        </w:rPr>
        <w:t>.</w:t>
      </w:r>
      <w:r>
        <w:rPr>
          <w:w w:val="67"/>
          <w:position w:val="-2"/>
          <w:sz w:val="22"/>
        </w:rPr>
        <w:t>0</w:t>
      </w:r>
      <w:r>
        <w:rPr>
          <w:w w:val="67"/>
          <w:position w:val="-2"/>
          <w:sz w:val="22"/>
        </w:rPr>
        <w:t> </w:t>
      </w:r>
      <w:r>
        <w:rPr>
          <w:position w:val="-2"/>
          <w:sz w:val="22"/>
        </w:rPr>
        <w:tab/>
      </w:r>
      <w:r>
        <w:rPr>
          <w:spacing w:val="-11"/>
          <w:w w:val="67"/>
          <w:position w:val="-2"/>
          <w:sz w:val="22"/>
        </w:rPr>
        <w:t>1</w:t>
      </w:r>
      <w:r>
        <w:rPr>
          <w:spacing w:val="-1"/>
          <w:w w:val="67"/>
          <w:position w:val="-2"/>
          <w:sz w:val="22"/>
        </w:rPr>
        <w:t>1</w:t>
      </w:r>
      <w:r>
        <w:rPr>
          <w:w w:val="67"/>
          <w:position w:val="-2"/>
          <w:sz w:val="22"/>
        </w:rPr>
        <w:t>.</w:t>
      </w:r>
      <w:r>
        <w:rPr>
          <w:w w:val="67"/>
          <w:position w:val="-2"/>
          <w:sz w:val="22"/>
        </w:rPr>
        <w:t>8</w:t>
      </w:r>
    </w:p>
    <w:p>
      <w:pPr>
        <w:spacing w:line="79" w:lineRule="exact" w:before="0"/>
        <w:ind w:left="3812" w:right="0" w:firstLine="0"/>
        <w:jc w:val="left"/>
        <w:rPr>
          <w:sz w:val="9"/>
        </w:rPr>
      </w:pPr>
      <w:r>
        <w:rPr>
          <w:w w:val="170"/>
          <w:sz w:val="9"/>
        </w:rPr>
        <w:t>capturada y procesada.</w:t>
      </w:r>
    </w:p>
    <w:p>
      <w:pPr>
        <w:spacing w:after="0" w:line="79" w:lineRule="exact"/>
        <w:jc w:val="left"/>
        <w:rPr>
          <w:sz w:val="9"/>
        </w:rPr>
        <w:sectPr>
          <w:type w:val="continuous"/>
          <w:pgSz w:w="15840" w:h="12240" w:orient="landscape"/>
          <w:pgMar w:top="0" w:bottom="280" w:left="1800" w:right="1700"/>
          <w:cols w:num="2" w:equalWidth="0">
            <w:col w:w="1838" w:space="2428"/>
            <w:col w:w="8074"/>
          </w:cols>
        </w:sectPr>
      </w:pPr>
    </w:p>
    <w:p>
      <w:pPr>
        <w:spacing w:line="230" w:lineRule="exact" w:before="0"/>
        <w:ind w:left="147" w:right="0" w:firstLine="0"/>
        <w:jc w:val="left"/>
        <w:rPr>
          <w:sz w:val="22"/>
        </w:rPr>
      </w:pPr>
      <w:r>
        <w:rPr>
          <w:w w:val="65"/>
          <w:sz w:val="22"/>
        </w:rPr>
        <w:t>Caminos rurales</w:t>
      </w:r>
    </w:p>
    <w:p>
      <w:pPr>
        <w:spacing w:before="119"/>
        <w:ind w:left="147" w:right="-10" w:firstLine="0"/>
        <w:jc w:val="left"/>
        <w:rPr>
          <w:sz w:val="9"/>
        </w:rPr>
      </w:pPr>
      <w:r>
        <w:rPr/>
        <w:br w:type="column"/>
      </w:r>
      <w:r>
        <w:rPr>
          <w:w w:val="170"/>
          <w:sz w:val="9"/>
        </w:rPr>
        <w:t>El municipio promovió</w:t>
      </w:r>
      <w:r>
        <w:rPr>
          <w:spacing w:val="-25"/>
          <w:w w:val="170"/>
          <w:sz w:val="9"/>
        </w:rPr>
        <w:t> </w:t>
      </w:r>
      <w:r>
        <w:rPr>
          <w:w w:val="170"/>
          <w:sz w:val="9"/>
        </w:rPr>
        <w:t>la</w:t>
      </w:r>
    </w:p>
    <w:p>
      <w:pPr>
        <w:spacing w:line="231" w:lineRule="exact" w:before="0"/>
        <w:ind w:left="147" w:right="-9" w:firstLine="0"/>
        <w:jc w:val="left"/>
        <w:rPr>
          <w:sz w:val="9"/>
        </w:rPr>
      </w:pPr>
      <w:r>
        <w:rPr/>
        <w:br w:type="column"/>
      </w:r>
      <w:r>
        <w:rPr>
          <w:w w:val="167"/>
          <w:sz w:val="9"/>
        </w:rPr>
        <w:t>Lo</w:t>
      </w:r>
      <w:r>
        <w:rPr>
          <w:w w:val="167"/>
          <w:sz w:val="9"/>
        </w:rPr>
        <w:t>s</w:t>
      </w:r>
      <w:r>
        <w:rPr>
          <w:sz w:val="9"/>
        </w:rPr>
        <w:t> </w:t>
      </w:r>
      <w:r>
        <w:rPr>
          <w:spacing w:val="-9"/>
          <w:sz w:val="9"/>
        </w:rPr>
        <w:t> </w:t>
      </w:r>
      <w:r>
        <w:rPr>
          <w:spacing w:val="-1"/>
          <w:w w:val="167"/>
          <w:sz w:val="9"/>
        </w:rPr>
        <w:t>r</w:t>
      </w:r>
      <w:r>
        <w:rPr>
          <w:spacing w:val="1"/>
          <w:w w:val="167"/>
          <w:sz w:val="9"/>
        </w:rPr>
        <w:t>e</w:t>
      </w:r>
      <w:r>
        <w:rPr>
          <w:spacing w:val="-1"/>
          <w:w w:val="167"/>
          <w:sz w:val="9"/>
        </w:rPr>
        <w:t>g</w:t>
      </w:r>
      <w:r>
        <w:rPr>
          <w:w w:val="167"/>
          <w:sz w:val="9"/>
        </w:rPr>
        <w:t>i</w:t>
      </w:r>
      <w:r>
        <w:rPr>
          <w:spacing w:val="-10"/>
          <w:w w:val="167"/>
          <w:sz w:val="9"/>
        </w:rPr>
        <w:t>s</w:t>
      </w:r>
      <w:r>
        <w:rPr>
          <w:spacing w:val="-73"/>
          <w:w w:val="67"/>
          <w:position w:val="2"/>
          <w:sz w:val="22"/>
        </w:rPr>
        <w:t>0</w:t>
      </w:r>
      <w:r>
        <w:rPr>
          <w:w w:val="167"/>
          <w:sz w:val="9"/>
        </w:rPr>
        <w:t>t</w:t>
      </w:r>
      <w:r>
        <w:rPr>
          <w:spacing w:val="-21"/>
          <w:w w:val="167"/>
          <w:sz w:val="9"/>
        </w:rPr>
        <w:t>r</w:t>
      </w:r>
      <w:r>
        <w:rPr>
          <w:spacing w:val="-22"/>
          <w:w w:val="67"/>
          <w:position w:val="2"/>
          <w:sz w:val="22"/>
        </w:rPr>
        <w:t>.</w:t>
      </w:r>
      <w:r>
        <w:rPr>
          <w:spacing w:val="-64"/>
          <w:w w:val="167"/>
          <w:sz w:val="9"/>
        </w:rPr>
        <w:t>o</w:t>
      </w:r>
      <w:r>
        <w:rPr>
          <w:spacing w:val="-19"/>
          <w:w w:val="67"/>
          <w:position w:val="2"/>
          <w:sz w:val="22"/>
        </w:rPr>
        <w:t>0</w:t>
      </w:r>
      <w:r>
        <w:rPr>
          <w:w w:val="167"/>
          <w:sz w:val="9"/>
        </w:rPr>
        <w:t>s</w:t>
      </w:r>
      <w:r>
        <w:rPr>
          <w:sz w:val="9"/>
        </w:rPr>
        <w:t> </w:t>
      </w:r>
      <w:r>
        <w:rPr>
          <w:spacing w:val="-8"/>
          <w:sz w:val="9"/>
        </w:rPr>
        <w:t> </w:t>
      </w:r>
      <w:r>
        <w:rPr>
          <w:w w:val="167"/>
          <w:sz w:val="9"/>
        </w:rPr>
        <w:t>p</w:t>
      </w:r>
      <w:r>
        <w:rPr>
          <w:spacing w:val="-1"/>
          <w:w w:val="167"/>
          <w:sz w:val="9"/>
        </w:rPr>
        <w:t>a</w:t>
      </w:r>
      <w:r>
        <w:rPr>
          <w:spacing w:val="-1"/>
          <w:w w:val="167"/>
          <w:sz w:val="9"/>
        </w:rPr>
        <w:t>r</w:t>
      </w:r>
      <w:r>
        <w:rPr>
          <w:w w:val="167"/>
          <w:sz w:val="9"/>
        </w:rPr>
        <w:t>a</w:t>
      </w:r>
      <w:r>
        <w:rPr>
          <w:sz w:val="9"/>
        </w:rPr>
        <w:t> </w:t>
      </w:r>
      <w:r>
        <w:rPr>
          <w:spacing w:val="-7"/>
          <w:sz w:val="9"/>
        </w:rPr>
        <w:t> </w:t>
      </w:r>
      <w:r>
        <w:rPr>
          <w:w w:val="167"/>
          <w:sz w:val="9"/>
        </w:rPr>
        <w:t>e</w:t>
      </w:r>
      <w:r>
        <w:rPr>
          <w:w w:val="167"/>
          <w:sz w:val="9"/>
        </w:rPr>
        <w:t>l</w:t>
      </w:r>
    </w:p>
    <w:p>
      <w:pPr>
        <w:spacing w:line="231" w:lineRule="exact" w:before="0"/>
        <w:ind w:left="89" w:right="0" w:firstLine="0"/>
        <w:jc w:val="left"/>
        <w:rPr>
          <w:sz w:val="9"/>
        </w:rPr>
      </w:pPr>
      <w:r>
        <w:rPr/>
        <w:br w:type="column"/>
      </w:r>
      <w:r>
        <w:rPr>
          <w:spacing w:val="-1"/>
          <w:w w:val="167"/>
          <w:sz w:val="9"/>
        </w:rPr>
        <w:t>E</w:t>
      </w:r>
      <w:r>
        <w:rPr>
          <w:w w:val="167"/>
          <w:sz w:val="9"/>
        </w:rPr>
        <w:t>l</w:t>
      </w:r>
      <w:r>
        <w:rPr>
          <w:sz w:val="9"/>
        </w:rPr>
        <w:t> </w:t>
      </w:r>
      <w:r>
        <w:rPr>
          <w:spacing w:val="-7"/>
          <w:sz w:val="9"/>
        </w:rPr>
        <w:t> </w:t>
      </w:r>
      <w:r>
        <w:rPr>
          <w:spacing w:val="-1"/>
          <w:w w:val="167"/>
          <w:sz w:val="9"/>
        </w:rPr>
        <w:t>m</w:t>
      </w:r>
      <w:r>
        <w:rPr>
          <w:spacing w:val="1"/>
          <w:w w:val="167"/>
          <w:sz w:val="9"/>
        </w:rPr>
        <w:t>u</w:t>
      </w:r>
      <w:r>
        <w:rPr>
          <w:spacing w:val="-25"/>
          <w:w w:val="167"/>
          <w:sz w:val="9"/>
        </w:rPr>
        <w:t>n</w:t>
      </w:r>
      <w:r>
        <w:rPr>
          <w:spacing w:val="-58"/>
          <w:w w:val="67"/>
          <w:position w:val="2"/>
          <w:sz w:val="22"/>
        </w:rPr>
        <w:t>0</w:t>
      </w:r>
      <w:r>
        <w:rPr>
          <w:w w:val="167"/>
          <w:sz w:val="9"/>
        </w:rPr>
        <w:t>i</w:t>
      </w:r>
      <w:r>
        <w:rPr>
          <w:spacing w:val="-52"/>
          <w:w w:val="167"/>
          <w:sz w:val="9"/>
        </w:rPr>
        <w:t>c</w:t>
      </w:r>
      <w:r>
        <w:rPr>
          <w:spacing w:val="-2"/>
          <w:w w:val="67"/>
          <w:position w:val="2"/>
          <w:sz w:val="22"/>
        </w:rPr>
        <w:t>.</w:t>
      </w:r>
      <w:r>
        <w:rPr>
          <w:spacing w:val="-71"/>
          <w:w w:val="67"/>
          <w:position w:val="2"/>
          <w:sz w:val="22"/>
        </w:rPr>
        <w:t>0</w:t>
      </w:r>
      <w:r>
        <w:rPr>
          <w:w w:val="167"/>
          <w:sz w:val="9"/>
        </w:rPr>
        <w:t>i</w:t>
      </w:r>
      <w:r>
        <w:rPr>
          <w:spacing w:val="-1"/>
          <w:w w:val="167"/>
          <w:sz w:val="9"/>
        </w:rPr>
        <w:t>p</w:t>
      </w:r>
      <w:r>
        <w:rPr>
          <w:w w:val="167"/>
          <w:sz w:val="9"/>
        </w:rPr>
        <w:t>i</w:t>
      </w:r>
      <w:r>
        <w:rPr>
          <w:w w:val="167"/>
          <w:sz w:val="9"/>
        </w:rPr>
        <w:t>o</w:t>
      </w:r>
      <w:r>
        <w:rPr>
          <w:sz w:val="9"/>
        </w:rPr>
        <w:t> </w:t>
      </w:r>
      <w:r>
        <w:rPr>
          <w:spacing w:val="-8"/>
          <w:sz w:val="9"/>
        </w:rPr>
        <w:t> </w:t>
      </w:r>
      <w:r>
        <w:rPr>
          <w:spacing w:val="-1"/>
          <w:w w:val="167"/>
          <w:sz w:val="9"/>
        </w:rPr>
        <w:t>r</w:t>
      </w:r>
      <w:r>
        <w:rPr>
          <w:spacing w:val="1"/>
          <w:w w:val="167"/>
          <w:sz w:val="9"/>
        </w:rPr>
        <w:t>e</w:t>
      </w:r>
      <w:r>
        <w:rPr>
          <w:w w:val="167"/>
          <w:sz w:val="9"/>
        </w:rPr>
        <w:t>ci</w:t>
      </w:r>
      <w:r>
        <w:rPr>
          <w:w w:val="167"/>
          <w:sz w:val="9"/>
        </w:rPr>
        <w:t>be</w:t>
      </w:r>
      <w:r>
        <w:rPr>
          <w:sz w:val="9"/>
        </w:rPr>
        <w:t> </w:t>
      </w:r>
      <w:r>
        <w:rPr>
          <w:spacing w:val="-8"/>
          <w:sz w:val="9"/>
        </w:rPr>
        <w:t> </w:t>
      </w:r>
      <w:r>
        <w:rPr>
          <w:w w:val="167"/>
          <w:sz w:val="9"/>
        </w:rPr>
        <w:t>d</w:t>
      </w:r>
      <w:r>
        <w:rPr>
          <w:spacing w:val="-1"/>
          <w:w w:val="167"/>
          <w:sz w:val="9"/>
        </w:rPr>
        <w:t>e</w:t>
      </w:r>
      <w:r>
        <w:rPr>
          <w:w w:val="167"/>
          <w:sz w:val="9"/>
        </w:rPr>
        <w:t>l</w:t>
      </w:r>
      <w:r>
        <w:rPr>
          <w:sz w:val="9"/>
        </w:rPr>
        <w:t> </w:t>
      </w:r>
      <w:r>
        <w:rPr>
          <w:spacing w:val="-9"/>
          <w:sz w:val="9"/>
        </w:rPr>
        <w:t> </w:t>
      </w:r>
      <w:r>
        <w:rPr>
          <w:spacing w:val="1"/>
          <w:w w:val="167"/>
          <w:sz w:val="9"/>
        </w:rPr>
        <w:t>Ó</w:t>
      </w:r>
      <w:r>
        <w:rPr>
          <w:spacing w:val="-1"/>
          <w:w w:val="167"/>
          <w:sz w:val="9"/>
        </w:rPr>
        <w:t>r</w:t>
      </w:r>
      <w:r>
        <w:rPr>
          <w:spacing w:val="1"/>
          <w:w w:val="167"/>
          <w:sz w:val="9"/>
        </w:rPr>
        <w:t>g</w:t>
      </w:r>
      <w:r>
        <w:rPr>
          <w:spacing w:val="-61"/>
          <w:w w:val="167"/>
          <w:sz w:val="9"/>
        </w:rPr>
        <w:t>a</w:t>
      </w:r>
      <w:r>
        <w:rPr>
          <w:spacing w:val="-23"/>
          <w:w w:val="67"/>
          <w:position w:val="2"/>
          <w:sz w:val="22"/>
        </w:rPr>
        <w:t>6</w:t>
      </w:r>
      <w:r>
        <w:rPr>
          <w:spacing w:val="-62"/>
          <w:w w:val="167"/>
          <w:sz w:val="9"/>
        </w:rPr>
        <w:t>n</w:t>
      </w:r>
      <w:r>
        <w:rPr>
          <w:spacing w:val="-21"/>
          <w:w w:val="67"/>
          <w:position w:val="2"/>
          <w:sz w:val="22"/>
        </w:rPr>
        <w:t>8</w:t>
      </w:r>
      <w:r>
        <w:rPr>
          <w:spacing w:val="-65"/>
          <w:w w:val="167"/>
          <w:sz w:val="9"/>
        </w:rPr>
        <w:t>o</w:t>
      </w:r>
      <w:r>
        <w:rPr>
          <w:spacing w:val="-1"/>
          <w:w w:val="67"/>
          <w:position w:val="2"/>
          <w:sz w:val="22"/>
        </w:rPr>
        <w:t>.</w:t>
      </w:r>
      <w:r>
        <w:rPr>
          <w:w w:val="67"/>
          <w:position w:val="2"/>
          <w:sz w:val="22"/>
        </w:rPr>
        <w:t>7</w:t>
      </w:r>
      <w:r>
        <w:rPr>
          <w:spacing w:val="-23"/>
          <w:position w:val="2"/>
          <w:sz w:val="22"/>
        </w:rPr>
        <w:t> </w:t>
      </w:r>
      <w:r>
        <w:rPr>
          <w:spacing w:val="-1"/>
          <w:w w:val="167"/>
          <w:sz w:val="9"/>
        </w:rPr>
        <w:t>E</w:t>
      </w:r>
      <w:r>
        <w:rPr>
          <w:w w:val="167"/>
          <w:sz w:val="9"/>
        </w:rPr>
        <w:t>l</w:t>
      </w:r>
      <w:r>
        <w:rPr>
          <w:sz w:val="9"/>
        </w:rPr>
        <w:t> </w:t>
      </w:r>
      <w:r>
        <w:rPr>
          <w:spacing w:val="-7"/>
          <w:sz w:val="9"/>
        </w:rPr>
        <w:t> </w:t>
      </w:r>
      <w:r>
        <w:rPr>
          <w:w w:val="167"/>
          <w:sz w:val="9"/>
        </w:rPr>
        <w:t>s</w:t>
      </w:r>
      <w:r>
        <w:rPr>
          <w:spacing w:val="-1"/>
          <w:w w:val="167"/>
          <w:sz w:val="9"/>
        </w:rPr>
        <w:t>i</w:t>
      </w:r>
      <w:r>
        <w:rPr>
          <w:w w:val="167"/>
          <w:sz w:val="9"/>
        </w:rPr>
        <w:t>s</w:t>
      </w:r>
      <w:r>
        <w:rPr>
          <w:spacing w:val="-1"/>
          <w:w w:val="167"/>
          <w:sz w:val="9"/>
        </w:rPr>
        <w:t>t</w:t>
      </w:r>
      <w:r>
        <w:rPr>
          <w:w w:val="167"/>
          <w:sz w:val="9"/>
        </w:rPr>
        <w:t>e</w:t>
      </w:r>
      <w:r>
        <w:rPr>
          <w:spacing w:val="-1"/>
          <w:w w:val="167"/>
          <w:sz w:val="9"/>
        </w:rPr>
        <w:t>m</w:t>
      </w:r>
      <w:r>
        <w:rPr>
          <w:w w:val="167"/>
          <w:sz w:val="9"/>
        </w:rPr>
        <w:t>a</w:t>
      </w:r>
      <w:r>
        <w:rPr>
          <w:sz w:val="9"/>
        </w:rPr>
        <w:t> </w:t>
      </w:r>
      <w:r>
        <w:rPr>
          <w:spacing w:val="-7"/>
          <w:sz w:val="9"/>
        </w:rPr>
        <w:t> </w:t>
      </w:r>
      <w:r>
        <w:rPr>
          <w:w w:val="167"/>
          <w:sz w:val="9"/>
        </w:rPr>
        <w:t>de</w:t>
      </w:r>
    </w:p>
    <w:p>
      <w:pPr>
        <w:tabs>
          <w:tab w:pos="1601" w:val="left" w:leader="none"/>
          <w:tab w:pos="2948" w:val="left" w:leader="none"/>
        </w:tabs>
        <w:spacing w:line="230" w:lineRule="exact" w:before="0"/>
        <w:ind w:left="119" w:right="0" w:firstLine="0"/>
        <w:jc w:val="left"/>
        <w:rPr>
          <w:sz w:val="22"/>
        </w:rPr>
      </w:pPr>
      <w:r>
        <w:rPr/>
        <w:br w:type="column"/>
      </w:r>
      <w:r>
        <w:rPr>
          <w:w w:val="75"/>
          <w:sz w:val="22"/>
        </w:rPr>
        <w:t>2.0</w:t>
        <w:tab/>
        <w:t>0.0</w:t>
        <w:tab/>
        <w:t>2.0</w:t>
      </w:r>
    </w:p>
    <w:p>
      <w:pPr>
        <w:spacing w:after="0" w:line="230" w:lineRule="exact"/>
        <w:jc w:val="left"/>
        <w:rPr>
          <w:sz w:val="22"/>
        </w:rPr>
        <w:sectPr>
          <w:type w:val="continuous"/>
          <w:pgSz w:w="15840" w:h="12240" w:orient="landscape"/>
          <w:pgMar w:top="0" w:bottom="280" w:left="1800" w:right="1700"/>
          <w:cols w:num="5" w:equalWidth="0">
            <w:col w:w="1228" w:space="1079"/>
            <w:col w:w="1791" w:space="167"/>
            <w:col w:w="1521" w:space="40"/>
            <w:col w:w="3162" w:space="40"/>
            <w:col w:w="3312"/>
          </w:cols>
        </w:sectPr>
      </w:pPr>
    </w:p>
    <w:p>
      <w:pPr>
        <w:spacing w:line="53" w:lineRule="exact" w:before="0"/>
        <w:ind w:left="0" w:right="0" w:firstLine="0"/>
        <w:jc w:val="right"/>
        <w:rPr>
          <w:sz w:val="9"/>
        </w:rPr>
      </w:pPr>
      <w:r>
        <w:rPr>
          <w:w w:val="170"/>
          <w:sz w:val="9"/>
        </w:rPr>
        <w:t>participación de la</w:t>
      </w:r>
    </w:p>
    <w:p>
      <w:pPr>
        <w:spacing w:line="53" w:lineRule="exact" w:before="0"/>
        <w:ind w:left="697" w:right="0" w:firstLine="0"/>
        <w:jc w:val="left"/>
        <w:rPr>
          <w:sz w:val="9"/>
        </w:rPr>
      </w:pPr>
      <w:r>
        <w:rPr/>
        <w:br w:type="column"/>
      </w:r>
      <w:r>
        <w:rPr>
          <w:w w:val="170"/>
          <w:sz w:val="9"/>
        </w:rPr>
        <w:t>seguimiento y control Superior de Fiscalización</w:t>
      </w:r>
      <w:r>
        <w:rPr>
          <w:spacing w:val="-24"/>
          <w:w w:val="170"/>
          <w:sz w:val="9"/>
        </w:rPr>
        <w:t> </w:t>
      </w:r>
      <w:r>
        <w:rPr>
          <w:w w:val="170"/>
          <w:sz w:val="9"/>
        </w:rPr>
        <w:t>del</w:t>
      </w:r>
    </w:p>
    <w:p>
      <w:pPr>
        <w:spacing w:line="53" w:lineRule="exact" w:before="0"/>
        <w:ind w:left="184" w:right="0" w:firstLine="0"/>
        <w:jc w:val="left"/>
        <w:rPr>
          <w:sz w:val="9"/>
        </w:rPr>
      </w:pPr>
      <w:r>
        <w:rPr/>
        <w:br w:type="column"/>
      </w:r>
      <w:r>
        <w:rPr>
          <w:w w:val="170"/>
          <w:sz w:val="9"/>
        </w:rPr>
        <w:t>información financiera</w:t>
      </w:r>
    </w:p>
    <w:p>
      <w:pPr>
        <w:spacing w:after="0" w:line="53" w:lineRule="exact"/>
        <w:jc w:val="left"/>
        <w:rPr>
          <w:sz w:val="9"/>
        </w:rPr>
        <w:sectPr>
          <w:type w:val="continuous"/>
          <w:pgSz w:w="15840" w:h="12240" w:orient="landscape"/>
          <w:pgMar w:top="0" w:bottom="280" w:left="1800" w:right="1700"/>
          <w:cols w:num="3" w:equalWidth="0">
            <w:col w:w="3675" w:space="40"/>
            <w:col w:w="4139" w:space="40"/>
            <w:col w:w="4446"/>
          </w:cols>
        </w:sectPr>
      </w:pPr>
    </w:p>
    <w:p>
      <w:pPr>
        <w:spacing w:line="183" w:lineRule="exact" w:before="0"/>
        <w:ind w:left="147" w:right="0" w:firstLine="0"/>
        <w:jc w:val="left"/>
        <w:rPr>
          <w:sz w:val="22"/>
        </w:rPr>
      </w:pPr>
      <w:r>
        <w:rPr>
          <w:w w:val="65"/>
          <w:sz w:val="22"/>
        </w:rPr>
        <w:t>Infraestructura productiva rural</w:t>
      </w:r>
    </w:p>
    <w:p>
      <w:pPr>
        <w:spacing w:line="183" w:lineRule="exact" w:before="0"/>
        <w:ind w:left="147" w:right="-8" w:firstLine="0"/>
        <w:jc w:val="left"/>
        <w:rPr>
          <w:sz w:val="9"/>
        </w:rPr>
      </w:pPr>
      <w:r>
        <w:rPr/>
        <w:br w:type="column"/>
      </w:r>
      <w:r>
        <w:rPr>
          <w:w w:val="167"/>
          <w:sz w:val="9"/>
        </w:rPr>
        <w:t>ciu</w:t>
      </w:r>
      <w:r>
        <w:rPr>
          <w:spacing w:val="-1"/>
          <w:w w:val="167"/>
          <w:sz w:val="9"/>
        </w:rPr>
        <w:t>d</w:t>
      </w:r>
      <w:r>
        <w:rPr>
          <w:w w:val="167"/>
          <w:sz w:val="9"/>
        </w:rPr>
        <w:t>adan</w:t>
      </w:r>
      <w:r>
        <w:rPr>
          <w:spacing w:val="-1"/>
          <w:w w:val="167"/>
          <w:sz w:val="9"/>
        </w:rPr>
        <w:t>í</w:t>
      </w:r>
      <w:r>
        <w:rPr>
          <w:w w:val="167"/>
          <w:sz w:val="9"/>
        </w:rPr>
        <w:t>a</w:t>
      </w:r>
      <w:r>
        <w:rPr>
          <w:sz w:val="9"/>
        </w:rPr>
        <w:t> </w:t>
      </w:r>
      <w:r>
        <w:rPr>
          <w:spacing w:val="-8"/>
          <w:sz w:val="9"/>
        </w:rPr>
        <w:t> </w:t>
      </w:r>
      <w:r>
        <w:rPr>
          <w:w w:val="167"/>
          <w:sz w:val="9"/>
        </w:rPr>
        <w:t>en</w:t>
      </w:r>
      <w:r>
        <w:rPr>
          <w:sz w:val="9"/>
        </w:rPr>
        <w:t> </w:t>
      </w:r>
      <w:r>
        <w:rPr>
          <w:spacing w:val="-8"/>
          <w:sz w:val="9"/>
        </w:rPr>
        <w:t> </w:t>
      </w:r>
      <w:r>
        <w:rPr>
          <w:w w:val="167"/>
          <w:sz w:val="9"/>
        </w:rPr>
        <w:t>e</w:t>
      </w:r>
      <w:r>
        <w:rPr>
          <w:w w:val="167"/>
          <w:sz w:val="9"/>
        </w:rPr>
        <w:t>l</w:t>
      </w:r>
      <w:r>
        <w:rPr>
          <w:sz w:val="9"/>
        </w:rPr>
        <w:t> </w:t>
      </w:r>
      <w:r>
        <w:rPr>
          <w:spacing w:val="-8"/>
          <w:sz w:val="9"/>
        </w:rPr>
        <w:t> </w:t>
      </w:r>
      <w:r>
        <w:rPr>
          <w:spacing w:val="-1"/>
          <w:w w:val="167"/>
          <w:sz w:val="9"/>
        </w:rPr>
        <w:t>d</w:t>
      </w:r>
      <w:r>
        <w:rPr>
          <w:w w:val="167"/>
          <w:sz w:val="9"/>
        </w:rPr>
        <w:t>e</w:t>
      </w:r>
      <w:r>
        <w:rPr>
          <w:spacing w:val="-21"/>
          <w:w w:val="167"/>
          <w:sz w:val="9"/>
        </w:rPr>
        <w:t>s</w:t>
      </w:r>
      <w:r>
        <w:rPr>
          <w:spacing w:val="-62"/>
          <w:w w:val="67"/>
          <w:position w:val="-3"/>
          <w:sz w:val="22"/>
        </w:rPr>
        <w:t>0</w:t>
      </w:r>
      <w:r>
        <w:rPr>
          <w:w w:val="167"/>
          <w:sz w:val="9"/>
        </w:rPr>
        <w:t>t</w:t>
      </w:r>
      <w:r>
        <w:rPr>
          <w:spacing w:val="-15"/>
          <w:w w:val="167"/>
          <w:sz w:val="9"/>
        </w:rPr>
        <w:t>i</w:t>
      </w:r>
      <w:r>
        <w:rPr>
          <w:spacing w:val="-27"/>
          <w:w w:val="67"/>
          <w:position w:val="-3"/>
          <w:sz w:val="22"/>
        </w:rPr>
        <w:t>.</w:t>
      </w:r>
      <w:r>
        <w:rPr>
          <w:spacing w:val="-59"/>
          <w:w w:val="167"/>
          <w:sz w:val="9"/>
        </w:rPr>
        <w:t>n</w:t>
      </w:r>
      <w:r>
        <w:rPr>
          <w:spacing w:val="-25"/>
          <w:w w:val="67"/>
          <w:position w:val="-3"/>
          <w:sz w:val="22"/>
        </w:rPr>
        <w:t>0</w:t>
      </w:r>
      <w:r>
        <w:rPr>
          <w:w w:val="167"/>
          <w:sz w:val="9"/>
        </w:rPr>
        <w:t>o</w:t>
      </w:r>
      <w:r>
        <w:rPr>
          <w:w w:val="167"/>
          <w:sz w:val="9"/>
        </w:rPr>
        <w:t>,</w:t>
      </w:r>
    </w:p>
    <w:p>
      <w:pPr>
        <w:spacing w:line="183" w:lineRule="exact" w:before="0"/>
        <w:ind w:left="147" w:right="-12" w:firstLine="0"/>
        <w:jc w:val="left"/>
        <w:rPr>
          <w:sz w:val="9"/>
        </w:rPr>
      </w:pPr>
      <w:r>
        <w:rPr/>
        <w:br w:type="column"/>
      </w:r>
      <w:r>
        <w:rPr>
          <w:w w:val="167"/>
          <w:sz w:val="9"/>
        </w:rPr>
        <w:t>de</w:t>
      </w:r>
      <w:r>
        <w:rPr>
          <w:sz w:val="9"/>
        </w:rPr>
        <w:t> </w:t>
      </w:r>
      <w:r>
        <w:rPr>
          <w:spacing w:val="-8"/>
          <w:sz w:val="9"/>
        </w:rPr>
        <w:t> </w:t>
      </w:r>
      <w:r>
        <w:rPr>
          <w:spacing w:val="-1"/>
          <w:w w:val="167"/>
          <w:sz w:val="9"/>
        </w:rPr>
        <w:t>l</w:t>
      </w:r>
      <w:r>
        <w:rPr>
          <w:spacing w:val="-1"/>
          <w:w w:val="167"/>
          <w:sz w:val="9"/>
        </w:rPr>
        <w:t>a</w:t>
      </w:r>
      <w:r>
        <w:rPr>
          <w:w w:val="167"/>
          <w:sz w:val="9"/>
        </w:rPr>
        <w:t>s</w:t>
      </w:r>
      <w:r>
        <w:rPr>
          <w:sz w:val="9"/>
        </w:rPr>
        <w:t> </w:t>
      </w:r>
      <w:r>
        <w:rPr>
          <w:spacing w:val="-7"/>
          <w:sz w:val="9"/>
        </w:rPr>
        <w:t> </w:t>
      </w:r>
      <w:r>
        <w:rPr>
          <w:w w:val="167"/>
          <w:sz w:val="9"/>
        </w:rPr>
        <w:t>o</w:t>
      </w:r>
      <w:r>
        <w:rPr>
          <w:spacing w:val="-12"/>
          <w:w w:val="167"/>
          <w:sz w:val="9"/>
        </w:rPr>
        <w:t>b</w:t>
      </w:r>
      <w:r>
        <w:rPr>
          <w:spacing w:val="-72"/>
          <w:w w:val="67"/>
          <w:position w:val="-3"/>
          <w:sz w:val="22"/>
        </w:rPr>
        <w:t>0</w:t>
      </w:r>
      <w:r>
        <w:rPr>
          <w:spacing w:val="-1"/>
          <w:w w:val="167"/>
          <w:sz w:val="9"/>
        </w:rPr>
        <w:t>r</w:t>
      </w:r>
      <w:r>
        <w:rPr>
          <w:spacing w:val="-63"/>
          <w:w w:val="167"/>
          <w:sz w:val="9"/>
        </w:rPr>
        <w:t>a</w:t>
      </w:r>
      <w:r>
        <w:rPr>
          <w:spacing w:val="-2"/>
          <w:w w:val="67"/>
          <w:position w:val="-3"/>
          <w:sz w:val="22"/>
        </w:rPr>
        <w:t>.</w:t>
      </w:r>
      <w:r>
        <w:rPr>
          <w:spacing w:val="-59"/>
          <w:w w:val="67"/>
          <w:position w:val="-3"/>
          <w:sz w:val="22"/>
        </w:rPr>
        <w:t>0</w:t>
      </w:r>
      <w:r>
        <w:rPr>
          <w:w w:val="167"/>
          <w:sz w:val="9"/>
        </w:rPr>
        <w:t>s</w:t>
      </w:r>
      <w:r>
        <w:rPr>
          <w:sz w:val="9"/>
        </w:rPr>
        <w:t> </w:t>
      </w:r>
      <w:r>
        <w:rPr>
          <w:spacing w:val="-9"/>
          <w:sz w:val="9"/>
        </w:rPr>
        <w:t> </w:t>
      </w:r>
      <w:r>
        <w:rPr>
          <w:w w:val="167"/>
          <w:sz w:val="9"/>
        </w:rPr>
        <w:t>y</w:t>
      </w:r>
    </w:p>
    <w:p>
      <w:pPr>
        <w:tabs>
          <w:tab w:pos="4860" w:val="left" w:leader="none"/>
          <w:tab w:pos="6207" w:val="left" w:leader="none"/>
        </w:tabs>
        <w:spacing w:line="183" w:lineRule="exact" w:before="0"/>
        <w:ind w:left="147" w:right="0" w:firstLine="0"/>
        <w:jc w:val="left"/>
        <w:rPr>
          <w:sz w:val="22"/>
        </w:rPr>
      </w:pPr>
      <w:r>
        <w:rPr/>
        <w:br w:type="column"/>
      </w:r>
      <w:r>
        <w:rPr>
          <w:w w:val="167"/>
          <w:sz w:val="9"/>
        </w:rPr>
        <w:t>Est</w:t>
      </w:r>
      <w:r>
        <w:rPr>
          <w:w w:val="167"/>
          <w:sz w:val="9"/>
        </w:rPr>
        <w:t>ad</w:t>
      </w:r>
      <w:r>
        <w:rPr>
          <w:spacing w:val="-25"/>
          <w:w w:val="167"/>
          <w:sz w:val="9"/>
        </w:rPr>
        <w:t>o</w:t>
      </w:r>
      <w:r>
        <w:rPr>
          <w:spacing w:val="-16"/>
          <w:w w:val="67"/>
          <w:position w:val="-3"/>
          <w:sz w:val="22"/>
        </w:rPr>
        <w:t>0</w:t>
      </w:r>
      <w:r>
        <w:rPr>
          <w:spacing w:val="-69"/>
          <w:w w:val="167"/>
          <w:sz w:val="9"/>
        </w:rPr>
        <w:t>d</w:t>
      </w:r>
      <w:r>
        <w:rPr>
          <w:spacing w:val="-2"/>
          <w:w w:val="67"/>
          <w:position w:val="-3"/>
          <w:sz w:val="22"/>
        </w:rPr>
        <w:t>.</w:t>
      </w:r>
      <w:r>
        <w:rPr>
          <w:spacing w:val="-54"/>
          <w:w w:val="67"/>
          <w:position w:val="-3"/>
          <w:sz w:val="22"/>
        </w:rPr>
        <w:t>0</w:t>
      </w:r>
      <w:r>
        <w:rPr>
          <w:w w:val="167"/>
          <w:sz w:val="9"/>
        </w:rPr>
        <w:t>e</w:t>
      </w:r>
      <w:r>
        <w:rPr>
          <w:sz w:val="9"/>
        </w:rPr>
        <w:t> </w:t>
      </w:r>
      <w:r>
        <w:rPr>
          <w:spacing w:val="-8"/>
          <w:sz w:val="9"/>
        </w:rPr>
        <w:t> </w:t>
      </w:r>
      <w:r>
        <w:rPr>
          <w:spacing w:val="-1"/>
          <w:w w:val="167"/>
          <w:sz w:val="9"/>
        </w:rPr>
        <w:t>M</w:t>
      </w:r>
      <w:r>
        <w:rPr>
          <w:w w:val="167"/>
          <w:sz w:val="9"/>
        </w:rPr>
        <w:t>é</w:t>
      </w:r>
      <w:r>
        <w:rPr>
          <w:w w:val="167"/>
          <w:sz w:val="9"/>
        </w:rPr>
        <w:t>x</w:t>
      </w:r>
      <w:r>
        <w:rPr>
          <w:spacing w:val="1"/>
          <w:w w:val="167"/>
          <w:sz w:val="9"/>
        </w:rPr>
        <w:t>i</w:t>
      </w:r>
      <w:r>
        <w:rPr>
          <w:w w:val="167"/>
          <w:sz w:val="9"/>
        </w:rPr>
        <w:t>co</w:t>
      </w:r>
      <w:r>
        <w:rPr>
          <w:sz w:val="9"/>
        </w:rPr>
        <w:t> </w:t>
      </w:r>
      <w:r>
        <w:rPr>
          <w:spacing w:val="-8"/>
          <w:sz w:val="9"/>
        </w:rPr>
        <w:t> </w:t>
      </w:r>
      <w:r>
        <w:rPr>
          <w:spacing w:val="-1"/>
          <w:w w:val="167"/>
          <w:sz w:val="9"/>
        </w:rPr>
        <w:t>(</w:t>
      </w:r>
      <w:r>
        <w:rPr>
          <w:spacing w:val="1"/>
          <w:w w:val="167"/>
          <w:sz w:val="9"/>
        </w:rPr>
        <w:t>O</w:t>
      </w:r>
      <w:r>
        <w:rPr>
          <w:spacing w:val="-1"/>
          <w:w w:val="167"/>
          <w:sz w:val="9"/>
        </w:rPr>
        <w:t>S</w:t>
      </w:r>
      <w:r>
        <w:rPr>
          <w:spacing w:val="1"/>
          <w:w w:val="167"/>
          <w:sz w:val="9"/>
        </w:rPr>
        <w:t>F</w:t>
      </w:r>
      <w:r>
        <w:rPr>
          <w:w w:val="167"/>
          <w:sz w:val="9"/>
        </w:rPr>
        <w:t>E</w:t>
      </w:r>
      <w:r>
        <w:rPr>
          <w:spacing w:val="-1"/>
          <w:w w:val="167"/>
          <w:sz w:val="9"/>
        </w:rPr>
        <w:t>M)</w:t>
      </w:r>
      <w:r>
        <w:rPr>
          <w:spacing w:val="-8"/>
          <w:w w:val="167"/>
          <w:sz w:val="9"/>
        </w:rPr>
        <w:t>,</w:t>
      </w:r>
      <w:r>
        <w:rPr>
          <w:w w:val="67"/>
          <w:position w:val="-3"/>
          <w:sz w:val="22"/>
        </w:rPr>
        <w:t>0</w:t>
      </w:r>
      <w:r>
        <w:rPr>
          <w:spacing w:val="-2"/>
          <w:w w:val="67"/>
          <w:position w:val="-3"/>
          <w:sz w:val="22"/>
        </w:rPr>
        <w:t>.</w:t>
      </w:r>
      <w:r>
        <w:rPr>
          <w:w w:val="67"/>
          <w:position w:val="-3"/>
          <w:sz w:val="22"/>
        </w:rPr>
        <w:t>0</w:t>
      </w:r>
      <w:r>
        <w:rPr>
          <w:spacing w:val="-24"/>
          <w:position w:val="-3"/>
          <w:sz w:val="22"/>
        </w:rPr>
        <w:t> </w:t>
      </w:r>
      <w:r>
        <w:rPr>
          <w:w w:val="167"/>
          <w:sz w:val="9"/>
        </w:rPr>
        <w:t>pe</w:t>
      </w:r>
      <w:r>
        <w:rPr>
          <w:spacing w:val="-1"/>
          <w:w w:val="167"/>
          <w:sz w:val="9"/>
        </w:rPr>
        <w:t>rm</w:t>
      </w:r>
      <w:r>
        <w:rPr>
          <w:spacing w:val="1"/>
          <w:w w:val="167"/>
          <w:sz w:val="9"/>
        </w:rPr>
        <w:t>i</w:t>
      </w:r>
      <w:r>
        <w:rPr>
          <w:spacing w:val="-1"/>
          <w:w w:val="167"/>
          <w:sz w:val="9"/>
        </w:rPr>
        <w:t>t</w:t>
      </w:r>
      <w:r>
        <w:rPr>
          <w:w w:val="167"/>
          <w:sz w:val="9"/>
        </w:rPr>
        <w:t>e</w:t>
      </w:r>
      <w:r>
        <w:rPr>
          <w:sz w:val="9"/>
        </w:rPr>
        <w:t> </w:t>
      </w:r>
      <w:r>
        <w:rPr>
          <w:spacing w:val="-7"/>
          <w:sz w:val="9"/>
        </w:rPr>
        <w:t> </w:t>
      </w:r>
      <w:r>
        <w:rPr>
          <w:w w:val="167"/>
          <w:sz w:val="9"/>
        </w:rPr>
        <w:t>co</w:t>
      </w:r>
      <w:r>
        <w:rPr>
          <w:spacing w:val="-1"/>
          <w:w w:val="167"/>
          <w:sz w:val="9"/>
        </w:rPr>
        <w:t>n</w:t>
      </w:r>
      <w:r>
        <w:rPr>
          <w:w w:val="167"/>
          <w:sz w:val="9"/>
        </w:rPr>
        <w:t>o</w:t>
      </w:r>
      <w:r>
        <w:rPr>
          <w:w w:val="167"/>
          <w:sz w:val="9"/>
        </w:rPr>
        <w:t>ce</w:t>
      </w:r>
      <w:r>
        <w:rPr>
          <w:spacing w:val="-19"/>
          <w:w w:val="167"/>
          <w:sz w:val="9"/>
        </w:rPr>
        <w:t>r</w:t>
      </w:r>
      <w:r>
        <w:rPr>
          <w:spacing w:val="-23"/>
          <w:w w:val="67"/>
          <w:position w:val="-3"/>
          <w:sz w:val="22"/>
        </w:rPr>
        <w:t>0</w:t>
      </w:r>
      <w:r>
        <w:rPr>
          <w:spacing w:val="-54"/>
          <w:w w:val="167"/>
          <w:sz w:val="9"/>
        </w:rPr>
        <w:t>y</w:t>
      </w:r>
      <w:r>
        <w:rPr>
          <w:spacing w:val="-2"/>
          <w:w w:val="67"/>
          <w:position w:val="-3"/>
          <w:sz w:val="22"/>
        </w:rPr>
        <w:t>.</w:t>
      </w:r>
      <w:r>
        <w:rPr>
          <w:w w:val="67"/>
          <w:position w:val="-3"/>
          <w:sz w:val="22"/>
        </w:rPr>
        <w:t>0</w:t>
      </w:r>
      <w:r>
        <w:rPr>
          <w:position w:val="-3"/>
          <w:sz w:val="22"/>
        </w:rPr>
        <w:tab/>
      </w:r>
      <w:r>
        <w:rPr>
          <w:w w:val="67"/>
          <w:position w:val="-3"/>
          <w:sz w:val="22"/>
        </w:rPr>
        <w:t>0</w:t>
      </w:r>
      <w:r>
        <w:rPr>
          <w:spacing w:val="-2"/>
          <w:w w:val="67"/>
          <w:position w:val="-3"/>
          <w:sz w:val="22"/>
        </w:rPr>
        <w:t>.</w:t>
      </w:r>
      <w:r>
        <w:rPr>
          <w:w w:val="67"/>
          <w:position w:val="-3"/>
          <w:sz w:val="22"/>
        </w:rPr>
        <w:t>0</w:t>
      </w:r>
      <w:r>
        <w:rPr>
          <w:w w:val="67"/>
          <w:position w:val="-3"/>
          <w:sz w:val="22"/>
        </w:rPr>
        <w:t> </w:t>
      </w:r>
      <w:r>
        <w:rPr>
          <w:position w:val="-3"/>
          <w:sz w:val="22"/>
        </w:rPr>
        <w:tab/>
      </w:r>
      <w:r>
        <w:rPr>
          <w:w w:val="67"/>
          <w:position w:val="-3"/>
          <w:sz w:val="22"/>
        </w:rPr>
        <w:t>0</w:t>
      </w:r>
      <w:r>
        <w:rPr>
          <w:spacing w:val="-2"/>
          <w:w w:val="67"/>
          <w:position w:val="-3"/>
          <w:sz w:val="22"/>
        </w:rPr>
        <w:t>.</w:t>
      </w:r>
      <w:r>
        <w:rPr>
          <w:w w:val="67"/>
          <w:position w:val="-3"/>
          <w:sz w:val="22"/>
        </w:rPr>
        <w:t>0</w:t>
      </w:r>
    </w:p>
    <w:p>
      <w:pPr>
        <w:spacing w:after="0" w:line="183" w:lineRule="exact"/>
        <w:jc w:val="left"/>
        <w:rPr>
          <w:sz w:val="22"/>
        </w:rPr>
        <w:sectPr>
          <w:type w:val="continuous"/>
          <w:pgSz w:w="15840" w:h="12240" w:orient="landscape"/>
          <w:pgMar w:top="0" w:bottom="280" w:left="1800" w:right="1700"/>
          <w:cols w:num="4" w:equalWidth="0">
            <w:col w:w="2167" w:space="138"/>
            <w:col w:w="1833" w:space="127"/>
            <w:col w:w="1091" w:space="412"/>
            <w:col w:w="6572"/>
          </w:cols>
        </w:sectPr>
      </w:pPr>
    </w:p>
    <w:p>
      <w:pPr>
        <w:spacing w:line="91" w:lineRule="exact" w:before="0"/>
        <w:ind w:left="2453" w:right="-10" w:firstLine="0"/>
        <w:jc w:val="left"/>
        <w:rPr>
          <w:sz w:val="9"/>
        </w:rPr>
      </w:pPr>
      <w:r>
        <w:rPr>
          <w:w w:val="170"/>
          <w:sz w:val="9"/>
        </w:rPr>
        <w:t>aplicación,</w:t>
      </w:r>
      <w:r>
        <w:rPr>
          <w:spacing w:val="-24"/>
          <w:w w:val="170"/>
          <w:sz w:val="9"/>
        </w:rPr>
        <w:t> </w:t>
      </w:r>
      <w:r>
        <w:rPr>
          <w:w w:val="170"/>
          <w:sz w:val="9"/>
        </w:rPr>
        <w:t>vigilancia,</w:t>
      </w:r>
    </w:p>
    <w:p>
      <w:pPr>
        <w:spacing w:line="91" w:lineRule="exact" w:before="0"/>
        <w:ind w:left="496" w:right="0" w:firstLine="0"/>
        <w:jc w:val="left"/>
        <w:rPr>
          <w:sz w:val="9"/>
        </w:rPr>
      </w:pPr>
      <w:r>
        <w:rPr/>
        <w:br w:type="column"/>
      </w:r>
      <w:r>
        <w:rPr>
          <w:w w:val="170"/>
          <w:sz w:val="9"/>
        </w:rPr>
        <w:t>acciones financiadas propuestas de indicadores</w:t>
      </w:r>
    </w:p>
    <w:p>
      <w:pPr>
        <w:spacing w:line="91" w:lineRule="exact" w:before="0"/>
        <w:ind w:left="344" w:right="0" w:firstLine="0"/>
        <w:jc w:val="left"/>
        <w:rPr>
          <w:sz w:val="9"/>
        </w:rPr>
      </w:pPr>
      <w:r>
        <w:rPr/>
        <w:br w:type="column"/>
      </w:r>
      <w:r>
        <w:rPr>
          <w:w w:val="170"/>
          <w:sz w:val="9"/>
        </w:rPr>
        <w:t>registrar los activos fijos</w:t>
      </w:r>
    </w:p>
    <w:p>
      <w:pPr>
        <w:spacing w:after="0" w:line="91" w:lineRule="exact"/>
        <w:jc w:val="left"/>
        <w:rPr>
          <w:sz w:val="9"/>
        </w:rPr>
        <w:sectPr>
          <w:type w:val="continuous"/>
          <w:pgSz w:w="15840" w:h="12240" w:orient="landscape"/>
          <w:pgMar w:top="0" w:bottom="280" w:left="1800" w:right="1700"/>
          <w:cols w:num="3" w:equalWidth="0">
            <w:col w:w="3877" w:space="40"/>
            <w:col w:w="3778" w:space="40"/>
            <w:col w:w="4605"/>
          </w:cols>
        </w:sectPr>
      </w:pPr>
    </w:p>
    <w:p>
      <w:pPr>
        <w:spacing w:line="10" w:lineRule="exact" w:before="0"/>
        <w:ind w:left="147" w:right="-6" w:firstLine="0"/>
        <w:jc w:val="left"/>
        <w:rPr>
          <w:sz w:val="22"/>
        </w:rPr>
      </w:pPr>
      <w:r>
        <w:rPr>
          <w:w w:val="65"/>
          <w:sz w:val="22"/>
        </w:rPr>
        <w:t>Desarrollo  Institucional</w:t>
      </w:r>
    </w:p>
    <w:p>
      <w:pPr>
        <w:tabs>
          <w:tab w:pos="2106" w:val="left" w:leader="none"/>
        </w:tabs>
        <w:spacing w:line="10" w:lineRule="exact" w:before="0"/>
        <w:ind w:left="147" w:right="0" w:firstLine="0"/>
        <w:jc w:val="left"/>
        <w:rPr>
          <w:sz w:val="9"/>
        </w:rPr>
      </w:pPr>
      <w:r>
        <w:rPr/>
        <w:br w:type="column"/>
      </w:r>
      <w:r>
        <w:rPr>
          <w:w w:val="167"/>
          <w:sz w:val="9"/>
        </w:rPr>
        <w:t>p</w:t>
      </w:r>
      <w:r>
        <w:rPr>
          <w:spacing w:val="-1"/>
          <w:w w:val="167"/>
          <w:sz w:val="9"/>
        </w:rPr>
        <w:t>r</w:t>
      </w:r>
      <w:r>
        <w:rPr>
          <w:w w:val="167"/>
          <w:sz w:val="9"/>
        </w:rPr>
        <w:t>o</w:t>
      </w:r>
      <w:r>
        <w:rPr>
          <w:w w:val="167"/>
          <w:sz w:val="9"/>
        </w:rPr>
        <w:t>g</w:t>
      </w:r>
      <w:r>
        <w:rPr>
          <w:w w:val="167"/>
          <w:sz w:val="9"/>
        </w:rPr>
        <w:t>r</w:t>
      </w:r>
      <w:r>
        <w:rPr>
          <w:spacing w:val="1"/>
          <w:w w:val="167"/>
          <w:sz w:val="9"/>
        </w:rPr>
        <w:t>a</w:t>
      </w:r>
      <w:r>
        <w:rPr>
          <w:spacing w:val="-1"/>
          <w:w w:val="167"/>
          <w:sz w:val="9"/>
        </w:rPr>
        <w:t>m</w:t>
      </w:r>
      <w:r>
        <w:rPr>
          <w:w w:val="167"/>
          <w:sz w:val="9"/>
        </w:rPr>
        <w:t>a</w:t>
      </w:r>
      <w:r>
        <w:rPr>
          <w:w w:val="167"/>
          <w:sz w:val="9"/>
        </w:rPr>
        <w:t>ción</w:t>
      </w:r>
      <w:r>
        <w:rPr>
          <w:w w:val="167"/>
          <w:sz w:val="9"/>
        </w:rPr>
        <w:t>,</w:t>
      </w:r>
      <w:r>
        <w:rPr>
          <w:sz w:val="9"/>
        </w:rPr>
        <w:t> </w:t>
      </w:r>
      <w:r>
        <w:rPr>
          <w:spacing w:val="-8"/>
          <w:sz w:val="9"/>
        </w:rPr>
        <w:t> </w:t>
      </w:r>
      <w:r>
        <w:rPr>
          <w:spacing w:val="-1"/>
          <w:w w:val="167"/>
          <w:sz w:val="9"/>
        </w:rPr>
        <w:t>e</w:t>
      </w:r>
      <w:r>
        <w:rPr>
          <w:w w:val="167"/>
          <w:sz w:val="9"/>
        </w:rPr>
        <w:t>j</w:t>
      </w:r>
      <w:r>
        <w:rPr>
          <w:w w:val="167"/>
          <w:sz w:val="9"/>
        </w:rPr>
        <w:t>e</w:t>
      </w:r>
      <w:r>
        <w:rPr>
          <w:w w:val="167"/>
          <w:sz w:val="9"/>
        </w:rPr>
        <w:t>cu</w:t>
      </w:r>
      <w:r>
        <w:rPr>
          <w:spacing w:val="-73"/>
          <w:w w:val="167"/>
          <w:sz w:val="9"/>
        </w:rPr>
        <w:t>c</w:t>
      </w:r>
      <w:r>
        <w:rPr>
          <w:spacing w:val="-10"/>
          <w:w w:val="67"/>
          <w:position w:val="-9"/>
          <w:sz w:val="22"/>
        </w:rPr>
        <w:t>0</w:t>
      </w:r>
      <w:r>
        <w:rPr>
          <w:spacing w:val="-24"/>
          <w:w w:val="167"/>
          <w:sz w:val="9"/>
        </w:rPr>
        <w:t>i</w:t>
      </w:r>
      <w:r>
        <w:rPr>
          <w:spacing w:val="-18"/>
          <w:w w:val="67"/>
          <w:position w:val="-9"/>
          <w:sz w:val="22"/>
        </w:rPr>
        <w:t>.</w:t>
      </w:r>
      <w:r>
        <w:rPr>
          <w:spacing w:val="-68"/>
          <w:w w:val="167"/>
          <w:sz w:val="9"/>
        </w:rPr>
        <w:t>ó</w:t>
      </w:r>
      <w:r>
        <w:rPr>
          <w:spacing w:val="-15"/>
          <w:w w:val="67"/>
          <w:position w:val="-9"/>
          <w:sz w:val="22"/>
        </w:rPr>
        <w:t>2</w:t>
      </w:r>
      <w:r>
        <w:rPr>
          <w:w w:val="167"/>
          <w:sz w:val="9"/>
        </w:rPr>
        <w:t>n</w:t>
      </w:r>
      <w:r>
        <w:rPr>
          <w:w w:val="167"/>
          <w:sz w:val="9"/>
        </w:rPr>
        <w:t>,</w:t>
      </w:r>
      <w:r>
        <w:rPr>
          <w:sz w:val="9"/>
        </w:rPr>
        <w:tab/>
      </w:r>
      <w:r>
        <w:rPr>
          <w:w w:val="167"/>
          <w:sz w:val="9"/>
        </w:rPr>
        <w:t>co</w:t>
      </w:r>
      <w:r>
        <w:rPr>
          <w:w w:val="167"/>
          <w:sz w:val="9"/>
        </w:rPr>
        <w:t>n</w:t>
      </w:r>
      <w:r>
        <w:rPr>
          <w:sz w:val="9"/>
        </w:rPr>
        <w:t> </w:t>
      </w:r>
      <w:r>
        <w:rPr>
          <w:spacing w:val="-7"/>
          <w:sz w:val="9"/>
        </w:rPr>
        <w:t> </w:t>
      </w:r>
      <w:r>
        <w:rPr>
          <w:spacing w:val="-1"/>
          <w:w w:val="167"/>
          <w:sz w:val="9"/>
        </w:rPr>
        <w:t>l</w:t>
      </w:r>
      <w:r>
        <w:rPr>
          <w:w w:val="167"/>
          <w:sz w:val="9"/>
        </w:rPr>
        <w:t>o</w:t>
      </w:r>
      <w:r>
        <w:rPr>
          <w:w w:val="167"/>
          <w:sz w:val="9"/>
        </w:rPr>
        <w:t>s</w:t>
      </w:r>
      <w:r>
        <w:rPr>
          <w:sz w:val="9"/>
        </w:rPr>
        <w:t> </w:t>
      </w:r>
      <w:r>
        <w:rPr>
          <w:spacing w:val="-7"/>
          <w:sz w:val="9"/>
        </w:rPr>
        <w:t> </w:t>
      </w:r>
      <w:r>
        <w:rPr>
          <w:spacing w:val="-1"/>
          <w:w w:val="167"/>
          <w:sz w:val="9"/>
        </w:rPr>
        <w:t>r</w:t>
      </w:r>
      <w:r>
        <w:rPr>
          <w:w w:val="167"/>
          <w:sz w:val="9"/>
        </w:rPr>
        <w:t>e</w:t>
      </w:r>
      <w:r>
        <w:rPr>
          <w:w w:val="167"/>
          <w:sz w:val="9"/>
        </w:rPr>
        <w:t>c</w:t>
      </w:r>
      <w:r>
        <w:rPr>
          <w:w w:val="167"/>
          <w:sz w:val="9"/>
        </w:rPr>
        <w:t>u</w:t>
      </w:r>
      <w:r>
        <w:rPr>
          <w:spacing w:val="-1"/>
          <w:w w:val="167"/>
          <w:sz w:val="9"/>
        </w:rPr>
        <w:t>r</w:t>
      </w:r>
      <w:r>
        <w:rPr>
          <w:w w:val="167"/>
          <w:sz w:val="9"/>
        </w:rPr>
        <w:t>s</w:t>
      </w:r>
      <w:r>
        <w:rPr>
          <w:spacing w:val="2"/>
          <w:w w:val="167"/>
          <w:sz w:val="9"/>
        </w:rPr>
        <w:t>o</w:t>
      </w:r>
      <w:r>
        <w:rPr>
          <w:w w:val="167"/>
          <w:sz w:val="9"/>
        </w:rPr>
        <w:t>s</w:t>
      </w:r>
      <w:r>
        <w:rPr>
          <w:sz w:val="9"/>
        </w:rPr>
        <w:t> </w:t>
      </w:r>
      <w:r>
        <w:rPr>
          <w:spacing w:val="-9"/>
          <w:sz w:val="9"/>
        </w:rPr>
        <w:t> </w:t>
      </w:r>
      <w:r>
        <w:rPr>
          <w:w w:val="167"/>
          <w:sz w:val="9"/>
        </w:rPr>
        <w:t>de</w:t>
      </w:r>
      <w:r>
        <w:rPr>
          <w:w w:val="167"/>
          <w:sz w:val="9"/>
        </w:rPr>
        <w:t>l</w:t>
      </w:r>
    </w:p>
    <w:p>
      <w:pPr>
        <w:spacing w:line="3" w:lineRule="exact" w:before="7"/>
        <w:ind w:left="116" w:right="0" w:firstLine="0"/>
        <w:jc w:val="left"/>
        <w:rPr>
          <w:sz w:val="9"/>
        </w:rPr>
      </w:pPr>
      <w:r>
        <w:rPr/>
        <w:br w:type="column"/>
      </w:r>
      <w:r>
        <w:rPr>
          <w:w w:val="170"/>
          <w:sz w:val="9"/>
        </w:rPr>
        <w:t>para evaluar y medir la</w:t>
      </w:r>
    </w:p>
    <w:p>
      <w:pPr>
        <w:spacing w:after="0" w:line="3" w:lineRule="exact"/>
        <w:jc w:val="left"/>
        <w:rPr>
          <w:sz w:val="9"/>
        </w:rPr>
        <w:sectPr>
          <w:type w:val="continuous"/>
          <w:pgSz w:w="15840" w:h="12240" w:orient="landscape"/>
          <w:pgMar w:top="0" w:bottom="280" w:left="1800" w:right="1700"/>
          <w:cols w:num="3" w:equalWidth="0">
            <w:col w:w="1648" w:space="659"/>
            <w:col w:w="3455" w:space="40"/>
            <w:col w:w="6538"/>
          </w:cols>
        </w:sectPr>
      </w:pPr>
    </w:p>
    <w:p>
      <w:pPr>
        <w:spacing w:line="230" w:lineRule="exact" w:before="0"/>
        <w:ind w:left="2453" w:right="0" w:firstLine="0"/>
        <w:jc w:val="left"/>
        <w:rPr>
          <w:sz w:val="9"/>
        </w:rPr>
      </w:pPr>
      <w:r>
        <w:rPr>
          <w:w w:val="167"/>
          <w:sz w:val="9"/>
        </w:rPr>
        <w:t>co</w:t>
      </w:r>
      <w:r>
        <w:rPr>
          <w:w w:val="167"/>
          <w:sz w:val="9"/>
        </w:rPr>
        <w:t>n</w:t>
      </w:r>
      <w:r>
        <w:rPr>
          <w:spacing w:val="-1"/>
          <w:w w:val="167"/>
          <w:sz w:val="9"/>
        </w:rPr>
        <w:t>t</w:t>
      </w:r>
      <w:r>
        <w:rPr>
          <w:w w:val="167"/>
          <w:sz w:val="9"/>
        </w:rPr>
        <w:t>r</w:t>
      </w:r>
      <w:r>
        <w:rPr>
          <w:w w:val="167"/>
          <w:sz w:val="9"/>
        </w:rPr>
        <w:t>o</w:t>
      </w:r>
      <w:r>
        <w:rPr>
          <w:w w:val="167"/>
          <w:sz w:val="9"/>
        </w:rPr>
        <w:t>l</w:t>
      </w:r>
      <w:r>
        <w:rPr>
          <w:sz w:val="9"/>
        </w:rPr>
        <w:t> </w:t>
      </w:r>
      <w:r>
        <w:rPr>
          <w:spacing w:val="-7"/>
          <w:sz w:val="9"/>
        </w:rPr>
        <w:t> </w:t>
      </w:r>
      <w:r>
        <w:rPr>
          <w:w w:val="167"/>
          <w:sz w:val="9"/>
        </w:rPr>
        <w:t>y</w:t>
      </w:r>
      <w:r>
        <w:rPr>
          <w:sz w:val="9"/>
        </w:rPr>
        <w:t> </w:t>
      </w:r>
      <w:r>
        <w:rPr>
          <w:spacing w:val="-9"/>
          <w:sz w:val="9"/>
        </w:rPr>
        <w:t> </w:t>
      </w:r>
      <w:r>
        <w:rPr>
          <w:w w:val="167"/>
          <w:sz w:val="9"/>
        </w:rPr>
        <w:t>se</w:t>
      </w:r>
      <w:r>
        <w:rPr>
          <w:w w:val="167"/>
          <w:sz w:val="9"/>
        </w:rPr>
        <w:t>gu</w:t>
      </w:r>
      <w:r>
        <w:rPr>
          <w:w w:val="167"/>
          <w:sz w:val="9"/>
        </w:rPr>
        <w:t>i</w:t>
      </w:r>
      <w:r>
        <w:rPr>
          <w:spacing w:val="-1"/>
          <w:w w:val="167"/>
          <w:sz w:val="9"/>
        </w:rPr>
        <w:t>m</w:t>
      </w:r>
      <w:r>
        <w:rPr>
          <w:w w:val="167"/>
          <w:sz w:val="9"/>
        </w:rPr>
        <w:t>i</w:t>
      </w:r>
      <w:r>
        <w:rPr>
          <w:w w:val="167"/>
          <w:sz w:val="9"/>
        </w:rPr>
        <w:t>en</w:t>
      </w:r>
      <w:r>
        <w:rPr>
          <w:spacing w:val="-1"/>
          <w:w w:val="167"/>
          <w:sz w:val="9"/>
        </w:rPr>
        <w:t>t</w:t>
      </w:r>
      <w:r>
        <w:rPr>
          <w:w w:val="167"/>
          <w:sz w:val="9"/>
        </w:rPr>
        <w:t>o</w:t>
      </w:r>
      <w:r>
        <w:rPr>
          <w:sz w:val="9"/>
        </w:rPr>
        <w:t> </w:t>
      </w:r>
      <w:r>
        <w:rPr>
          <w:spacing w:val="-8"/>
          <w:sz w:val="9"/>
        </w:rPr>
        <w:t> </w:t>
      </w:r>
      <w:r>
        <w:rPr>
          <w:w w:val="167"/>
          <w:sz w:val="9"/>
        </w:rPr>
        <w:t>de</w:t>
      </w:r>
      <w:r>
        <w:rPr>
          <w:sz w:val="9"/>
        </w:rPr>
        <w:t> </w:t>
      </w:r>
      <w:r>
        <w:rPr>
          <w:spacing w:val="-8"/>
          <w:sz w:val="9"/>
        </w:rPr>
        <w:t> </w:t>
      </w:r>
      <w:r>
        <w:rPr>
          <w:spacing w:val="-1"/>
          <w:w w:val="167"/>
          <w:sz w:val="9"/>
        </w:rPr>
        <w:t>l</w:t>
      </w:r>
      <w:r>
        <w:rPr>
          <w:w w:val="167"/>
          <w:sz w:val="9"/>
        </w:rPr>
        <w:t>a</w:t>
      </w:r>
      <w:r>
        <w:rPr>
          <w:w w:val="167"/>
          <w:sz w:val="9"/>
        </w:rPr>
        <w:t>s</w:t>
      </w:r>
      <w:r>
        <w:rPr>
          <w:sz w:val="9"/>
        </w:rPr>
        <w:t>  </w:t>
      </w:r>
      <w:r>
        <w:rPr>
          <w:spacing w:val="5"/>
          <w:sz w:val="9"/>
        </w:rPr>
        <w:t> </w:t>
      </w:r>
      <w:r>
        <w:rPr>
          <w:w w:val="167"/>
          <w:sz w:val="9"/>
        </w:rPr>
        <w:t>f</w:t>
      </w:r>
      <w:r>
        <w:rPr>
          <w:spacing w:val="-1"/>
          <w:w w:val="167"/>
          <w:sz w:val="9"/>
        </w:rPr>
        <w:t>o</w:t>
      </w:r>
      <w:r>
        <w:rPr>
          <w:w w:val="167"/>
          <w:sz w:val="9"/>
        </w:rPr>
        <w:t>ndo</w:t>
      </w:r>
      <w:r>
        <w:rPr>
          <w:sz w:val="9"/>
        </w:rPr>
        <w:t> </w:t>
      </w:r>
      <w:r>
        <w:rPr>
          <w:spacing w:val="-8"/>
          <w:sz w:val="9"/>
        </w:rPr>
        <w:t> </w:t>
      </w:r>
      <w:r>
        <w:rPr>
          <w:w w:val="167"/>
          <w:sz w:val="9"/>
        </w:rPr>
        <w:t>no</w:t>
      </w:r>
      <w:r>
        <w:rPr>
          <w:spacing w:val="-11"/>
          <w:sz w:val="9"/>
        </w:rPr>
        <w:t> </w:t>
      </w:r>
      <w:r>
        <w:rPr>
          <w:spacing w:val="-55"/>
          <w:w w:val="67"/>
          <w:position w:val="1"/>
          <w:sz w:val="22"/>
        </w:rPr>
        <w:t>0</w:t>
      </w:r>
      <w:r>
        <w:rPr>
          <w:spacing w:val="-72"/>
          <w:w w:val="167"/>
          <w:sz w:val="9"/>
        </w:rPr>
        <w:t>m</w:t>
      </w:r>
      <w:r>
        <w:rPr>
          <w:spacing w:val="-2"/>
          <w:w w:val="67"/>
          <w:position w:val="1"/>
          <w:sz w:val="22"/>
        </w:rPr>
        <w:t>.</w:t>
      </w:r>
      <w:r>
        <w:rPr>
          <w:spacing w:val="-52"/>
          <w:w w:val="67"/>
          <w:position w:val="1"/>
          <w:sz w:val="22"/>
        </w:rPr>
        <w:t>6</w:t>
      </w:r>
      <w:r>
        <w:rPr>
          <w:spacing w:val="1"/>
          <w:w w:val="167"/>
          <w:sz w:val="9"/>
        </w:rPr>
        <w:t>u</w:t>
      </w:r>
      <w:r>
        <w:rPr>
          <w:spacing w:val="-1"/>
          <w:w w:val="167"/>
          <w:sz w:val="9"/>
        </w:rPr>
        <w:t>e</w:t>
      </w:r>
      <w:r>
        <w:rPr>
          <w:w w:val="167"/>
          <w:sz w:val="9"/>
        </w:rPr>
        <w:t>st</w:t>
      </w:r>
      <w:r>
        <w:rPr>
          <w:spacing w:val="-1"/>
          <w:w w:val="167"/>
          <w:sz w:val="9"/>
        </w:rPr>
        <w:t>r</w:t>
      </w:r>
      <w:r>
        <w:rPr>
          <w:w w:val="167"/>
          <w:sz w:val="9"/>
        </w:rPr>
        <w:t>a</w:t>
      </w:r>
      <w:r>
        <w:rPr>
          <w:w w:val="167"/>
          <w:sz w:val="9"/>
        </w:rPr>
        <w:t>n</w:t>
      </w:r>
    </w:p>
    <w:p>
      <w:pPr>
        <w:spacing w:line="230" w:lineRule="exact" w:before="0"/>
        <w:ind w:left="199" w:right="0" w:firstLine="0"/>
        <w:jc w:val="left"/>
        <w:rPr>
          <w:sz w:val="9"/>
        </w:rPr>
      </w:pPr>
      <w:r>
        <w:rPr/>
        <w:br w:type="column"/>
      </w:r>
      <w:r>
        <w:rPr>
          <w:w w:val="167"/>
          <w:sz w:val="9"/>
        </w:rPr>
        <w:t>e</w:t>
      </w:r>
      <w:r>
        <w:rPr>
          <w:spacing w:val="-1"/>
          <w:w w:val="167"/>
          <w:sz w:val="9"/>
        </w:rPr>
        <w:t>f</w:t>
      </w:r>
      <w:r>
        <w:rPr>
          <w:w w:val="167"/>
          <w:sz w:val="9"/>
        </w:rPr>
        <w:t>i</w:t>
      </w:r>
      <w:r>
        <w:rPr>
          <w:w w:val="167"/>
          <w:sz w:val="9"/>
        </w:rPr>
        <w:t>cien</w:t>
      </w:r>
      <w:r>
        <w:rPr>
          <w:spacing w:val="-67"/>
          <w:w w:val="167"/>
          <w:sz w:val="9"/>
        </w:rPr>
        <w:t>c</w:t>
      </w:r>
      <w:r>
        <w:rPr>
          <w:spacing w:val="-16"/>
          <w:w w:val="67"/>
          <w:position w:val="1"/>
          <w:sz w:val="22"/>
        </w:rPr>
        <w:t>2</w:t>
      </w:r>
      <w:r>
        <w:rPr>
          <w:spacing w:val="-18"/>
          <w:w w:val="167"/>
          <w:sz w:val="9"/>
        </w:rPr>
        <w:t>i</w:t>
      </w:r>
      <w:r>
        <w:rPr>
          <w:spacing w:val="-24"/>
          <w:w w:val="67"/>
          <w:position w:val="1"/>
          <w:sz w:val="22"/>
        </w:rPr>
        <w:t>.</w:t>
      </w:r>
      <w:r>
        <w:rPr>
          <w:spacing w:val="-62"/>
          <w:w w:val="167"/>
          <w:sz w:val="9"/>
        </w:rPr>
        <w:t>a</w:t>
      </w:r>
      <w:r>
        <w:rPr>
          <w:w w:val="67"/>
          <w:position w:val="1"/>
          <w:sz w:val="22"/>
        </w:rPr>
        <w:t>6</w:t>
      </w:r>
      <w:r>
        <w:rPr>
          <w:spacing w:val="-40"/>
          <w:position w:val="1"/>
          <w:sz w:val="22"/>
        </w:rPr>
        <w:t> </w:t>
      </w:r>
      <w:r>
        <w:rPr>
          <w:w w:val="167"/>
          <w:sz w:val="9"/>
        </w:rPr>
        <w:t>en</w:t>
      </w:r>
      <w:r>
        <w:rPr>
          <w:sz w:val="9"/>
        </w:rPr>
        <w:t> </w:t>
      </w:r>
      <w:r>
        <w:rPr>
          <w:spacing w:val="-8"/>
          <w:sz w:val="9"/>
        </w:rPr>
        <w:t> </w:t>
      </w:r>
      <w:r>
        <w:rPr>
          <w:w w:val="167"/>
          <w:sz w:val="9"/>
        </w:rPr>
        <w:t>l</w:t>
      </w:r>
      <w:r>
        <w:rPr>
          <w:w w:val="167"/>
          <w:sz w:val="9"/>
        </w:rPr>
        <w:t>a</w:t>
      </w:r>
      <w:r>
        <w:rPr>
          <w:sz w:val="9"/>
        </w:rPr>
        <w:t> </w:t>
      </w:r>
      <w:r>
        <w:rPr>
          <w:spacing w:val="-8"/>
          <w:sz w:val="9"/>
        </w:rPr>
        <w:t> </w:t>
      </w:r>
      <w:r>
        <w:rPr>
          <w:spacing w:val="-1"/>
          <w:w w:val="167"/>
          <w:sz w:val="9"/>
        </w:rPr>
        <w:t>a</w:t>
      </w:r>
      <w:r>
        <w:rPr>
          <w:w w:val="167"/>
          <w:sz w:val="9"/>
        </w:rPr>
        <w:t>p</w:t>
      </w:r>
      <w:r>
        <w:rPr>
          <w:w w:val="167"/>
          <w:sz w:val="9"/>
        </w:rPr>
        <w:t>li</w:t>
      </w:r>
      <w:r>
        <w:rPr>
          <w:w w:val="167"/>
          <w:sz w:val="9"/>
        </w:rPr>
        <w:t>ca</w:t>
      </w:r>
      <w:r>
        <w:rPr>
          <w:w w:val="167"/>
          <w:sz w:val="9"/>
        </w:rPr>
        <w:t>c</w:t>
      </w:r>
      <w:r>
        <w:rPr>
          <w:spacing w:val="-1"/>
          <w:w w:val="167"/>
          <w:sz w:val="9"/>
        </w:rPr>
        <w:t>i</w:t>
      </w:r>
      <w:r>
        <w:rPr>
          <w:w w:val="167"/>
          <w:sz w:val="9"/>
        </w:rPr>
        <w:t>ón</w:t>
      </w:r>
      <w:r>
        <w:rPr>
          <w:sz w:val="9"/>
        </w:rPr>
        <w:t> </w:t>
      </w:r>
      <w:r>
        <w:rPr>
          <w:spacing w:val="-8"/>
          <w:sz w:val="9"/>
        </w:rPr>
        <w:t> </w:t>
      </w:r>
      <w:r>
        <w:rPr>
          <w:w w:val="167"/>
          <w:sz w:val="9"/>
        </w:rPr>
        <w:t>d</w:t>
      </w:r>
      <w:r>
        <w:rPr>
          <w:spacing w:val="-12"/>
          <w:w w:val="167"/>
          <w:sz w:val="9"/>
        </w:rPr>
        <w:t>e</w:t>
      </w:r>
      <w:r>
        <w:rPr>
          <w:spacing w:val="-72"/>
          <w:w w:val="67"/>
          <w:position w:val="1"/>
          <w:sz w:val="22"/>
        </w:rPr>
        <w:t>0</w:t>
      </w:r>
      <w:r>
        <w:rPr>
          <w:w w:val="167"/>
          <w:sz w:val="9"/>
        </w:rPr>
        <w:t>l</w:t>
      </w:r>
      <w:r>
        <w:rPr>
          <w:sz w:val="9"/>
        </w:rPr>
        <w:t> </w:t>
      </w:r>
      <w:r>
        <w:rPr>
          <w:spacing w:val="-12"/>
          <w:sz w:val="9"/>
        </w:rPr>
        <w:t> </w:t>
      </w:r>
      <w:r>
        <w:rPr>
          <w:spacing w:val="-2"/>
          <w:w w:val="67"/>
          <w:position w:val="1"/>
          <w:sz w:val="22"/>
        </w:rPr>
        <w:t>.</w:t>
      </w:r>
      <w:r>
        <w:rPr>
          <w:w w:val="67"/>
          <w:position w:val="1"/>
          <w:sz w:val="22"/>
        </w:rPr>
        <w:t>5</w:t>
      </w:r>
      <w:r>
        <w:rPr>
          <w:spacing w:val="-25"/>
          <w:position w:val="1"/>
          <w:sz w:val="22"/>
        </w:rPr>
        <w:t> </w:t>
      </w:r>
      <w:r>
        <w:rPr>
          <w:w w:val="167"/>
          <w:sz w:val="9"/>
        </w:rPr>
        <w:t>p</w:t>
      </w:r>
      <w:r>
        <w:rPr>
          <w:spacing w:val="-1"/>
          <w:w w:val="167"/>
          <w:sz w:val="9"/>
        </w:rPr>
        <w:t>a</w:t>
      </w:r>
      <w:r>
        <w:rPr>
          <w:w w:val="167"/>
          <w:sz w:val="9"/>
        </w:rPr>
        <w:t>t</w:t>
      </w:r>
      <w:r>
        <w:rPr>
          <w:spacing w:val="-1"/>
          <w:w w:val="167"/>
          <w:sz w:val="9"/>
        </w:rPr>
        <w:t>r</w:t>
      </w:r>
      <w:r>
        <w:rPr>
          <w:w w:val="167"/>
          <w:sz w:val="9"/>
        </w:rPr>
        <w:t>i</w:t>
      </w:r>
      <w:r>
        <w:rPr>
          <w:spacing w:val="-1"/>
          <w:w w:val="167"/>
          <w:sz w:val="9"/>
        </w:rPr>
        <w:t>m</w:t>
      </w:r>
      <w:r>
        <w:rPr>
          <w:spacing w:val="1"/>
          <w:w w:val="167"/>
          <w:sz w:val="9"/>
        </w:rPr>
        <w:t>o</w:t>
      </w:r>
      <w:r>
        <w:rPr>
          <w:w w:val="167"/>
          <w:sz w:val="9"/>
        </w:rPr>
        <w:t>n</w:t>
      </w:r>
      <w:r>
        <w:rPr>
          <w:w w:val="167"/>
          <w:sz w:val="9"/>
        </w:rPr>
        <w:t>i</w:t>
      </w:r>
      <w:r>
        <w:rPr>
          <w:w w:val="167"/>
          <w:sz w:val="9"/>
        </w:rPr>
        <w:t>a</w:t>
      </w:r>
      <w:r>
        <w:rPr>
          <w:spacing w:val="-2"/>
          <w:w w:val="167"/>
          <w:sz w:val="9"/>
        </w:rPr>
        <w:t>l</w:t>
      </w:r>
      <w:r>
        <w:rPr>
          <w:w w:val="167"/>
          <w:sz w:val="9"/>
        </w:rPr>
        <w:t>e</w:t>
      </w:r>
      <w:r>
        <w:rPr>
          <w:w w:val="167"/>
          <w:sz w:val="9"/>
        </w:rPr>
        <w:t>s.</w:t>
      </w:r>
    </w:p>
    <w:p>
      <w:pPr>
        <w:tabs>
          <w:tab w:pos="1569" w:val="left" w:leader="none"/>
          <w:tab w:pos="2915" w:val="left" w:leader="none"/>
        </w:tabs>
        <w:spacing w:line="228" w:lineRule="exact" w:before="0"/>
        <w:ind w:left="86" w:right="0" w:firstLine="0"/>
        <w:jc w:val="left"/>
        <w:rPr>
          <w:sz w:val="22"/>
        </w:rPr>
      </w:pPr>
      <w:r>
        <w:rPr/>
        <w:br w:type="column"/>
      </w:r>
      <w:r>
        <w:rPr>
          <w:w w:val="75"/>
          <w:sz w:val="22"/>
        </w:rPr>
        <w:t>1.6</w:t>
        <w:tab/>
        <w:t>0.0</w:t>
        <w:tab/>
        <w:t>2.0</w:t>
      </w:r>
    </w:p>
    <w:p>
      <w:pPr>
        <w:spacing w:after="0" w:line="228" w:lineRule="exact"/>
        <w:jc w:val="left"/>
        <w:rPr>
          <w:sz w:val="22"/>
        </w:rPr>
        <w:sectPr>
          <w:type w:val="continuous"/>
          <w:pgSz w:w="15840" w:h="12240" w:orient="landscape"/>
          <w:pgMar w:top="0" w:bottom="280" w:left="1800" w:right="1700"/>
          <w:cols w:num="3" w:equalWidth="0">
            <w:col w:w="5676" w:space="40"/>
            <w:col w:w="3305" w:space="40"/>
            <w:col w:w="3279"/>
          </w:cols>
        </w:sectPr>
      </w:pPr>
    </w:p>
    <w:p>
      <w:pPr>
        <w:spacing w:line="61" w:lineRule="exact" w:before="0"/>
        <w:ind w:left="2455" w:right="0" w:firstLine="0"/>
        <w:jc w:val="left"/>
        <w:rPr>
          <w:sz w:val="9"/>
        </w:rPr>
      </w:pPr>
      <w:r>
        <w:rPr>
          <w:w w:val="170"/>
          <w:sz w:val="9"/>
        </w:rPr>
        <w:t>obras del fondo.</w:t>
      </w:r>
    </w:p>
    <w:p>
      <w:pPr>
        <w:tabs>
          <w:tab w:pos="4036" w:val="right" w:leader="none"/>
        </w:tabs>
        <w:spacing w:line="220" w:lineRule="exact" w:before="0"/>
        <w:ind w:left="147" w:right="0" w:firstLine="0"/>
        <w:jc w:val="left"/>
        <w:rPr>
          <w:sz w:val="22"/>
        </w:rPr>
      </w:pPr>
      <w:r>
        <w:rPr>
          <w:w w:val="75"/>
          <w:sz w:val="22"/>
        </w:rPr>
        <w:t>Gastos</w:t>
      </w:r>
      <w:r>
        <w:rPr>
          <w:spacing w:val="-7"/>
          <w:w w:val="75"/>
          <w:sz w:val="22"/>
        </w:rPr>
        <w:t> </w:t>
      </w:r>
      <w:r>
        <w:rPr>
          <w:w w:val="75"/>
          <w:sz w:val="22"/>
        </w:rPr>
        <w:t>Indirectos</w:t>
        <w:tab/>
        <w:t>3.9</w:t>
      </w:r>
    </w:p>
    <w:p>
      <w:pPr>
        <w:tabs>
          <w:tab w:pos="4035" w:val="right" w:leader="none"/>
        </w:tabs>
        <w:spacing w:line="245" w:lineRule="exact" w:before="29"/>
        <w:ind w:left="147" w:right="0" w:firstLine="0"/>
        <w:jc w:val="left"/>
        <w:rPr>
          <w:sz w:val="22"/>
        </w:rPr>
      </w:pPr>
      <w:r>
        <w:rPr/>
        <w:pict>
          <v:shape style="position:absolute;margin-left:208.855698pt;margin-top:13.288331pt;width:100.55pt;height:72.55pt;mso-position-horizontal-relative:page;mso-position-vertical-relative:paragraph;z-index:-678376" type="#_x0000_t202" filled="false" stroked="false">
            <v:textbox inset="0,0,0,0">
              <w:txbxContent>
                <w:p>
                  <w:pPr>
                    <w:tabs>
                      <w:tab w:pos="1291" w:val="left" w:leader="none"/>
                    </w:tabs>
                    <w:spacing w:before="47"/>
                    <w:ind w:left="0" w:right="0" w:firstLine="0"/>
                    <w:jc w:val="left"/>
                    <w:rPr>
                      <w:b/>
                      <w:sz w:val="22"/>
                    </w:rPr>
                  </w:pPr>
                  <w:r>
                    <w:rPr>
                      <w:b/>
                      <w:w w:val="75"/>
                      <w:sz w:val="22"/>
                    </w:rPr>
                    <w:t>e</w:t>
                  </w:r>
                  <w:r>
                    <w:rPr>
                      <w:b/>
                      <w:spacing w:val="-17"/>
                      <w:w w:val="75"/>
                      <w:sz w:val="22"/>
                    </w:rPr>
                    <w:t> </w:t>
                  </w:r>
                  <w:r>
                    <w:rPr>
                      <w:b/>
                      <w:w w:val="75"/>
                      <w:sz w:val="22"/>
                    </w:rPr>
                    <w:t>total</w:t>
                    <w:tab/>
                    <w:t>100.0</w:t>
                  </w:r>
                </w:p>
                <w:p>
                  <w:pPr>
                    <w:spacing w:before="111"/>
                    <w:ind w:left="65" w:right="0" w:firstLine="0"/>
                    <w:jc w:val="left"/>
                    <w:rPr>
                      <w:sz w:val="20"/>
                    </w:rPr>
                  </w:pPr>
                  <w:r>
                    <w:rPr>
                      <w:sz w:val="20"/>
                    </w:rPr>
                    <w:t>a con base en el Infor</w:t>
                  </w:r>
                </w:p>
              </w:txbxContent>
            </v:textbox>
            <w10:wrap type="none"/>
          </v:shape>
        </w:pict>
      </w:r>
      <w:r>
        <w:rPr>
          <w:w w:val="75"/>
          <w:sz w:val="22"/>
        </w:rPr>
        <w:t>Otros</w:t>
        <w:tab/>
        <w:t>9.40</w:t>
      </w:r>
    </w:p>
    <w:p>
      <w:pPr>
        <w:spacing w:line="63" w:lineRule="exact" w:before="0"/>
        <w:ind w:left="2454" w:right="0" w:firstLine="0"/>
        <w:jc w:val="left"/>
        <w:rPr>
          <w:sz w:val="9"/>
        </w:rPr>
      </w:pPr>
      <w:r>
        <w:rPr/>
        <w:pict>
          <v:shape style="position:absolute;margin-left:175.08049pt;margin-top:3.134758pt;width:172.55pt;height:11.25pt;mso-position-horizontal-relative:page;mso-position-vertical-relative:paragraph;z-index:-678184" type="#_x0000_t202" filled="false" stroked="false">
            <v:textbox inset="0,0,0,0">
              <w:txbxContent>
                <w:p>
                  <w:pPr>
                    <w:tabs>
                      <w:tab w:pos="3152" w:val="left" w:leader="none"/>
                    </w:tabs>
                    <w:spacing w:line="224" w:lineRule="exact" w:before="0"/>
                    <w:ind w:left="0" w:right="0" w:firstLine="0"/>
                    <w:jc w:val="left"/>
                    <w:rPr>
                      <w:b/>
                      <w:sz w:val="22"/>
                    </w:rPr>
                  </w:pPr>
                  <w:r>
                    <w:rPr>
                      <w:b/>
                      <w:w w:val="75"/>
                      <w:sz w:val="22"/>
                    </w:rPr>
                    <w:t>Porcentaj</w:t>
                    <w:tab/>
                  </w:r>
                  <w:r>
                    <w:rPr>
                      <w:b/>
                      <w:spacing w:val="-15"/>
                      <w:w w:val="65"/>
                      <w:sz w:val="22"/>
                    </w:rPr>
                    <w:t>100.0</w:t>
                  </w:r>
                </w:p>
              </w:txbxContent>
            </v:textbox>
            <w10:wrap type="none"/>
          </v:shape>
        </w:pict>
      </w:r>
      <w:r>
        <w:rPr/>
        <w:pict>
          <v:shape style="position:absolute;margin-left:479.997192pt;margin-top:-40.971779pt;width:220.5pt;height:41.65pt;mso-position-horizontal-relative:page;mso-position-vertical-relative:paragraph;z-index:51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3"/>
                    <w:gridCol w:w="1356"/>
                    <w:gridCol w:w="1456"/>
                    <w:gridCol w:w="804"/>
                  </w:tblGrid>
                  <w:tr>
                    <w:trPr>
                      <w:trHeight w:val="282" w:hRule="exact"/>
                    </w:trPr>
                    <w:tc>
                      <w:tcPr>
                        <w:tcW w:w="4409" w:type="dxa"/>
                        <w:gridSpan w:val="4"/>
                        <w:shd w:val="clear" w:color="auto" w:fill="E6B8B7"/>
                      </w:tcPr>
                      <w:p>
                        <w:pPr>
                          <w:pStyle w:val="TableParagraph"/>
                          <w:spacing w:before="31"/>
                          <w:ind w:left="276"/>
                          <w:rPr>
                            <w:sz w:val="9"/>
                          </w:rPr>
                        </w:pPr>
                        <w:r>
                          <w:rPr>
                            <w:w w:val="170"/>
                            <w:sz w:val="9"/>
                          </w:rPr>
                          <w:t>y los bienes</w:t>
                        </w:r>
                      </w:p>
                    </w:tc>
                  </w:tr>
                  <w:tr>
                    <w:trPr>
                      <w:trHeight w:val="282" w:hRule="exact"/>
                    </w:trPr>
                    <w:tc>
                      <w:tcPr>
                        <w:tcW w:w="793" w:type="dxa"/>
                      </w:tcPr>
                      <w:p>
                        <w:pPr>
                          <w:pStyle w:val="TableParagraph"/>
                          <w:spacing w:before="10"/>
                          <w:ind w:left="35"/>
                          <w:rPr>
                            <w:sz w:val="22"/>
                          </w:rPr>
                        </w:pPr>
                        <w:r>
                          <w:rPr>
                            <w:w w:val="75"/>
                            <w:sz w:val="22"/>
                          </w:rPr>
                          <w:t>0.0</w:t>
                        </w:r>
                      </w:p>
                    </w:tc>
                    <w:tc>
                      <w:tcPr>
                        <w:tcW w:w="1356" w:type="dxa"/>
                      </w:tcPr>
                      <w:p>
                        <w:pPr>
                          <w:pStyle w:val="TableParagraph"/>
                          <w:spacing w:before="10"/>
                          <w:ind w:left="553"/>
                          <w:rPr>
                            <w:sz w:val="22"/>
                          </w:rPr>
                        </w:pPr>
                        <w:r>
                          <w:rPr>
                            <w:w w:val="75"/>
                            <w:sz w:val="22"/>
                          </w:rPr>
                          <w:t>2.8</w:t>
                        </w:r>
                      </w:p>
                    </w:tc>
                    <w:tc>
                      <w:tcPr>
                        <w:tcW w:w="1456" w:type="dxa"/>
                      </w:tcPr>
                      <w:p>
                        <w:pPr>
                          <w:pStyle w:val="TableParagraph"/>
                          <w:spacing w:before="10"/>
                          <w:ind w:left="560" w:right="451"/>
                          <w:jc w:val="center"/>
                          <w:rPr>
                            <w:sz w:val="22"/>
                          </w:rPr>
                        </w:pPr>
                        <w:r>
                          <w:rPr>
                            <w:w w:val="75"/>
                            <w:sz w:val="22"/>
                          </w:rPr>
                          <w:t>0.0</w:t>
                        </w:r>
                      </w:p>
                    </w:tc>
                    <w:tc>
                      <w:tcPr>
                        <w:tcW w:w="804" w:type="dxa"/>
                      </w:tcPr>
                      <w:p>
                        <w:pPr>
                          <w:pStyle w:val="TableParagraph"/>
                          <w:spacing w:before="10"/>
                          <w:ind w:right="26"/>
                          <w:jc w:val="right"/>
                          <w:rPr>
                            <w:sz w:val="22"/>
                          </w:rPr>
                        </w:pPr>
                        <w:r>
                          <w:rPr>
                            <w:w w:val="65"/>
                            <w:sz w:val="22"/>
                          </w:rPr>
                          <w:t>2.3</w:t>
                        </w:r>
                      </w:p>
                    </w:tc>
                  </w:tr>
                  <w:tr>
                    <w:trPr>
                      <w:trHeight w:val="268" w:hRule="exact"/>
                    </w:trPr>
                    <w:tc>
                      <w:tcPr>
                        <w:tcW w:w="793" w:type="dxa"/>
                        <w:shd w:val="clear" w:color="auto" w:fill="E6B8B7"/>
                      </w:tcPr>
                      <w:p>
                        <w:pPr>
                          <w:pStyle w:val="TableParagraph"/>
                          <w:spacing w:before="9"/>
                          <w:ind w:left="35"/>
                          <w:rPr>
                            <w:sz w:val="22"/>
                          </w:rPr>
                        </w:pPr>
                        <w:r>
                          <w:rPr>
                            <w:w w:val="75"/>
                            <w:sz w:val="22"/>
                          </w:rPr>
                          <w:t>0.0</w:t>
                        </w:r>
                      </w:p>
                    </w:tc>
                    <w:tc>
                      <w:tcPr>
                        <w:tcW w:w="1356" w:type="dxa"/>
                        <w:shd w:val="clear" w:color="auto" w:fill="E6B8B7"/>
                      </w:tcPr>
                      <w:p>
                        <w:pPr>
                          <w:pStyle w:val="TableParagraph"/>
                          <w:spacing w:before="9"/>
                          <w:ind w:left="553"/>
                          <w:rPr>
                            <w:sz w:val="22"/>
                          </w:rPr>
                        </w:pPr>
                        <w:r>
                          <w:rPr>
                            <w:w w:val="75"/>
                            <w:sz w:val="22"/>
                          </w:rPr>
                          <w:t>0.0</w:t>
                        </w:r>
                      </w:p>
                    </w:tc>
                    <w:tc>
                      <w:tcPr>
                        <w:tcW w:w="1456" w:type="dxa"/>
                        <w:shd w:val="clear" w:color="auto" w:fill="E6B8B7"/>
                      </w:tcPr>
                      <w:p>
                        <w:pPr>
                          <w:pStyle w:val="TableParagraph"/>
                          <w:spacing w:before="9"/>
                          <w:ind w:left="560" w:right="535"/>
                          <w:jc w:val="center"/>
                          <w:rPr>
                            <w:sz w:val="22"/>
                          </w:rPr>
                        </w:pPr>
                        <w:r>
                          <w:rPr>
                            <w:w w:val="75"/>
                            <w:sz w:val="22"/>
                          </w:rPr>
                          <w:t>22.7</w:t>
                        </w:r>
                      </w:p>
                    </w:tc>
                    <w:tc>
                      <w:tcPr>
                        <w:tcW w:w="804" w:type="dxa"/>
                        <w:shd w:val="clear" w:color="auto" w:fill="E6B8B7"/>
                      </w:tcPr>
                      <w:p>
                        <w:pPr>
                          <w:pStyle w:val="TableParagraph"/>
                          <w:spacing w:before="9"/>
                          <w:ind w:right="26"/>
                          <w:jc w:val="right"/>
                          <w:rPr>
                            <w:sz w:val="22"/>
                          </w:rPr>
                        </w:pPr>
                        <w:r>
                          <w:rPr>
                            <w:w w:val="65"/>
                            <w:sz w:val="22"/>
                          </w:rPr>
                          <w:t>6.5</w:t>
                        </w:r>
                      </w:p>
                    </w:tc>
                  </w:tr>
                </w:tbl>
                <w:p>
                  <w:pPr>
                    <w:pStyle w:val="BodyText"/>
                  </w:pPr>
                </w:p>
              </w:txbxContent>
            </v:textbox>
            <w10:wrap type="none"/>
          </v:shape>
        </w:pict>
      </w:r>
      <w:r>
        <w:rPr>
          <w:w w:val="170"/>
          <w:sz w:val="9"/>
        </w:rPr>
        <w:t>El municipio tiene</w:t>
      </w:r>
    </w:p>
    <w:p>
      <w:pPr>
        <w:spacing w:line="94" w:lineRule="exact" w:before="0"/>
        <w:ind w:left="148" w:right="0" w:firstLine="0"/>
        <w:jc w:val="left"/>
        <w:rPr>
          <w:sz w:val="9"/>
        </w:rPr>
      </w:pPr>
      <w:r>
        <w:rPr/>
        <w:br w:type="column"/>
      </w:r>
      <w:r>
        <w:rPr>
          <w:w w:val="170"/>
          <w:sz w:val="9"/>
        </w:rPr>
        <w:t>de manera</w:t>
      </w:r>
    </w:p>
    <w:p>
      <w:pPr>
        <w:spacing w:line="244" w:lineRule="auto" w:before="7"/>
        <w:ind w:left="147" w:right="0" w:firstLine="1"/>
        <w:jc w:val="left"/>
        <w:rPr>
          <w:sz w:val="9"/>
        </w:rPr>
      </w:pPr>
      <w:r>
        <w:rPr/>
        <w:pict>
          <v:shape style="position:absolute;margin-left:340.855103pt;margin-top:-2.104276pt;width:6.85pt;height:11.25pt;mso-position-horizontal-relative:page;mso-position-vertical-relative:paragraph;z-index:-678208" type="#_x0000_t202" filled="false" stroked="false">
            <v:textbox inset="0,0,0,0">
              <w:txbxContent>
                <w:p>
                  <w:pPr>
                    <w:spacing w:line="224" w:lineRule="exact" w:before="0"/>
                    <w:ind w:left="0" w:right="-10" w:firstLine="0"/>
                    <w:jc w:val="left"/>
                    <w:rPr>
                      <w:sz w:val="22"/>
                    </w:rPr>
                  </w:pPr>
                  <w:r>
                    <w:rPr>
                      <w:spacing w:val="-24"/>
                      <w:w w:val="65"/>
                      <w:sz w:val="22"/>
                    </w:rPr>
                    <w:t>1.7</w:t>
                  </w:r>
                </w:p>
              </w:txbxContent>
            </v:textbox>
            <w10:wrap type="none"/>
          </v:shape>
        </w:pict>
      </w:r>
      <w:r>
        <w:rPr>
          <w:w w:val="160"/>
          <w:sz w:val="9"/>
        </w:rPr>
        <w:t>fehaciente los avances físico- </w:t>
      </w:r>
      <w:r>
        <w:rPr>
          <w:w w:val="167"/>
          <w:sz w:val="9"/>
        </w:rPr>
        <w:t>f</w:t>
      </w:r>
      <w:r>
        <w:rPr>
          <w:w w:val="167"/>
          <w:sz w:val="9"/>
        </w:rPr>
        <w:t>i</w:t>
      </w:r>
      <w:r>
        <w:rPr>
          <w:spacing w:val="-1"/>
          <w:w w:val="167"/>
          <w:sz w:val="9"/>
        </w:rPr>
        <w:t>n</w:t>
      </w:r>
      <w:r>
        <w:rPr>
          <w:w w:val="167"/>
          <w:sz w:val="9"/>
        </w:rPr>
        <w:t>anci</w:t>
      </w:r>
      <w:r>
        <w:rPr>
          <w:spacing w:val="-1"/>
          <w:w w:val="167"/>
          <w:sz w:val="9"/>
        </w:rPr>
        <w:t>e</w:t>
      </w:r>
      <w:r>
        <w:rPr>
          <w:spacing w:val="-82"/>
          <w:w w:val="67"/>
          <w:position w:val="-10"/>
          <w:sz w:val="22"/>
        </w:rPr>
        <w:t>4</w:t>
      </w:r>
      <w:r>
        <w:rPr>
          <w:spacing w:val="-1"/>
          <w:w w:val="167"/>
          <w:sz w:val="9"/>
        </w:rPr>
        <w:t>r</w:t>
      </w:r>
      <w:r>
        <w:rPr>
          <w:spacing w:val="-52"/>
          <w:w w:val="167"/>
          <w:sz w:val="9"/>
        </w:rPr>
        <w:t>o</w:t>
      </w:r>
      <w:r>
        <w:rPr>
          <w:spacing w:val="-30"/>
          <w:w w:val="67"/>
          <w:position w:val="-10"/>
          <w:sz w:val="22"/>
        </w:rPr>
        <w:t>5</w:t>
      </w:r>
      <w:r>
        <w:rPr>
          <w:spacing w:val="-47"/>
          <w:w w:val="167"/>
          <w:sz w:val="9"/>
        </w:rPr>
        <w:t>s</w:t>
      </w:r>
      <w:r>
        <w:rPr>
          <w:spacing w:val="-1"/>
          <w:w w:val="67"/>
          <w:position w:val="-10"/>
          <w:sz w:val="22"/>
        </w:rPr>
        <w:t>.</w:t>
      </w:r>
      <w:r>
        <w:rPr>
          <w:spacing w:val="-77"/>
          <w:w w:val="67"/>
          <w:position w:val="-10"/>
          <w:sz w:val="22"/>
        </w:rPr>
        <w:t>1</w:t>
      </w:r>
      <w:r>
        <w:rPr>
          <w:w w:val="167"/>
          <w:sz w:val="9"/>
        </w:rPr>
        <w:t>.</w:t>
      </w:r>
    </w:p>
    <w:p>
      <w:pPr>
        <w:spacing w:line="47" w:lineRule="exact" w:before="0"/>
        <w:ind w:left="148" w:right="0" w:firstLine="0"/>
        <w:jc w:val="left"/>
        <w:rPr>
          <w:sz w:val="9"/>
        </w:rPr>
      </w:pPr>
      <w:r>
        <w:rPr>
          <w:w w:val="170"/>
          <w:sz w:val="9"/>
        </w:rPr>
        <w:t>Se cuenta con</w:t>
      </w:r>
    </w:p>
    <w:p>
      <w:pPr>
        <w:spacing w:line="94" w:lineRule="exact" w:before="0"/>
        <w:ind w:left="147" w:right="-14" w:firstLine="0"/>
        <w:jc w:val="left"/>
        <w:rPr>
          <w:sz w:val="9"/>
        </w:rPr>
      </w:pPr>
      <w:r>
        <w:rPr/>
        <w:br w:type="column"/>
      </w:r>
      <w:r>
        <w:rPr>
          <w:w w:val="165"/>
          <w:sz w:val="9"/>
        </w:rPr>
        <w:t>FISM.</w:t>
      </w:r>
    </w:p>
    <w:p>
      <w:pPr>
        <w:spacing w:before="28"/>
        <w:ind w:left="3" w:right="-13" w:firstLine="0"/>
        <w:jc w:val="left"/>
        <w:rPr>
          <w:sz w:val="22"/>
        </w:rPr>
      </w:pPr>
      <w:r>
        <w:rPr/>
        <w:br w:type="column"/>
      </w:r>
      <w:r>
        <w:rPr>
          <w:w w:val="65"/>
          <w:sz w:val="22"/>
        </w:rPr>
        <w:t>0.0</w:t>
      </w:r>
    </w:p>
    <w:p>
      <w:pPr>
        <w:spacing w:before="29"/>
        <w:ind w:left="3" w:right="-13" w:firstLine="0"/>
        <w:jc w:val="left"/>
        <w:rPr>
          <w:sz w:val="22"/>
        </w:rPr>
      </w:pPr>
      <w:r>
        <w:rPr>
          <w:w w:val="65"/>
          <w:sz w:val="22"/>
        </w:rPr>
        <w:t>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spacing w:before="7"/>
        <w:rPr>
          <w:sz w:val="7"/>
        </w:rPr>
      </w:pPr>
    </w:p>
    <w:p>
      <w:pPr>
        <w:spacing w:line="70" w:lineRule="exact" w:before="0"/>
        <w:ind w:left="147" w:right="0" w:firstLine="0"/>
        <w:jc w:val="left"/>
        <w:rPr>
          <w:sz w:val="9"/>
        </w:rPr>
      </w:pPr>
      <w:r>
        <w:rPr/>
        <w:pict>
          <v:shape style="position:absolute;margin-left:400.030914pt;margin-top:3.51325pt;width:153.65pt;height:11.25pt;mso-position-horizontal-relative:page;mso-position-vertical-relative:paragraph;z-index:-678160" type="#_x0000_t202" filled="false" stroked="false">
            <v:textbox inset="0,0,0,0">
              <w:txbxContent>
                <w:p>
                  <w:pPr>
                    <w:tabs>
                      <w:tab w:pos="1471" w:val="left" w:leader="none"/>
                      <w:tab w:pos="2781" w:val="left" w:leader="none"/>
                    </w:tabs>
                    <w:spacing w:line="224" w:lineRule="exact" w:before="0"/>
                    <w:ind w:left="0" w:right="0" w:firstLine="0"/>
                    <w:jc w:val="left"/>
                    <w:rPr>
                      <w:b/>
                      <w:sz w:val="22"/>
                    </w:rPr>
                  </w:pPr>
                  <w:r>
                    <w:rPr>
                      <w:b/>
                      <w:w w:val="75"/>
                      <w:sz w:val="22"/>
                    </w:rPr>
                    <w:t>100.0</w:t>
                    <w:tab/>
                    <w:t>100.0</w:t>
                    <w:tab/>
                  </w:r>
                  <w:r>
                    <w:rPr>
                      <w:b/>
                      <w:spacing w:val="-17"/>
                      <w:w w:val="65"/>
                      <w:sz w:val="22"/>
                    </w:rPr>
                    <w:t>100.0</w:t>
                  </w:r>
                </w:p>
              </w:txbxContent>
            </v:textbox>
            <w10:wrap type="none"/>
          </v:shape>
        </w:pict>
      </w:r>
      <w:r>
        <w:rPr>
          <w:w w:val="170"/>
          <w:sz w:val="9"/>
        </w:rPr>
        <w:t>No se tienen</w:t>
      </w:r>
    </w:p>
    <w:p>
      <w:pPr>
        <w:spacing w:after="0" w:line="70" w:lineRule="exact"/>
        <w:jc w:val="left"/>
        <w:rPr>
          <w:sz w:val="9"/>
        </w:rPr>
        <w:sectPr>
          <w:type w:val="continuous"/>
          <w:pgSz w:w="15840" w:h="12240" w:orient="landscape"/>
          <w:pgMar w:top="0" w:bottom="280" w:left="1800" w:right="1700"/>
          <w:cols w:num="5" w:equalWidth="0">
            <w:col w:w="4037" w:space="227"/>
            <w:col w:w="1160" w:space="347"/>
            <w:col w:w="549" w:space="40"/>
            <w:col w:w="209" w:space="1361"/>
            <w:col w:w="4410"/>
          </w:cols>
        </w:sectPr>
      </w:pPr>
    </w:p>
    <w:p>
      <w:pPr>
        <w:spacing w:line="256" w:lineRule="auto" w:before="41"/>
        <w:ind w:left="2453" w:right="-12" w:firstLine="0"/>
        <w:jc w:val="left"/>
        <w:rPr>
          <w:sz w:val="9"/>
        </w:rPr>
      </w:pPr>
      <w:r>
        <w:rPr>
          <w:w w:val="170"/>
          <w:sz w:val="9"/>
        </w:rPr>
        <w:t>instrumentadas medidas de procedimientos de control que aseguran que la adjudicación de las</w:t>
      </w:r>
    </w:p>
    <w:p>
      <w:pPr>
        <w:spacing w:line="256" w:lineRule="auto" w:before="41"/>
        <w:ind w:left="2335" w:right="-13" w:firstLine="0"/>
        <w:jc w:val="left"/>
        <w:rPr>
          <w:sz w:val="9"/>
        </w:rPr>
      </w:pPr>
      <w:r>
        <w:rPr/>
        <w:br w:type="column"/>
      </w:r>
      <w:r>
        <w:rPr>
          <w:w w:val="170"/>
          <w:sz w:val="9"/>
        </w:rPr>
        <w:t>establecidas</w:t>
      </w:r>
      <w:r>
        <w:rPr>
          <w:spacing w:val="-22"/>
          <w:w w:val="170"/>
          <w:sz w:val="9"/>
        </w:rPr>
        <w:t> </w:t>
      </w:r>
      <w:r>
        <w:rPr>
          <w:w w:val="170"/>
          <w:sz w:val="9"/>
        </w:rPr>
        <w:t>actividades de control para</w:t>
      </w:r>
      <w:r>
        <w:rPr>
          <w:spacing w:val="-24"/>
          <w:w w:val="170"/>
          <w:sz w:val="9"/>
        </w:rPr>
        <w:t> </w:t>
      </w:r>
      <w:r>
        <w:rPr>
          <w:w w:val="170"/>
          <w:sz w:val="9"/>
        </w:rPr>
        <w:t>realizar</w:t>
      </w:r>
    </w:p>
    <w:p>
      <w:pPr>
        <w:tabs>
          <w:tab w:pos="2051" w:val="left" w:leader="none"/>
        </w:tabs>
        <w:spacing w:line="228" w:lineRule="exact" w:before="0"/>
        <w:ind w:left="705" w:right="0" w:firstLine="0"/>
        <w:jc w:val="left"/>
        <w:rPr>
          <w:b/>
          <w:sz w:val="22"/>
        </w:rPr>
      </w:pPr>
      <w:r>
        <w:rPr/>
        <w:br w:type="column"/>
      </w:r>
      <w:r>
        <w:rPr>
          <w:b/>
          <w:w w:val="75"/>
          <w:sz w:val="22"/>
        </w:rPr>
        <w:t>100.0</w:t>
        <w:tab/>
        <w:t>100.0</w:t>
      </w:r>
    </w:p>
    <w:p>
      <w:pPr>
        <w:spacing w:after="0" w:line="228" w:lineRule="exact"/>
        <w:jc w:val="left"/>
        <w:rPr>
          <w:sz w:val="22"/>
        </w:rPr>
        <w:sectPr>
          <w:type w:val="continuous"/>
          <w:pgSz w:w="15840" w:h="12240" w:orient="landscape"/>
          <w:pgMar w:top="0" w:bottom="280" w:left="1800" w:right="1700"/>
          <w:cols w:num="3" w:equalWidth="0">
            <w:col w:w="5702" w:space="40"/>
            <w:col w:w="3979" w:space="40"/>
            <w:col w:w="2579"/>
          </w:cols>
        </w:sectPr>
      </w:pPr>
    </w:p>
    <w:p>
      <w:pPr>
        <w:spacing w:line="102" w:lineRule="exact" w:before="1"/>
        <w:ind w:left="2453" w:right="-9" w:firstLine="0"/>
        <w:jc w:val="left"/>
        <w:rPr>
          <w:sz w:val="9"/>
        </w:rPr>
      </w:pPr>
      <w:r>
        <w:rPr>
          <w:w w:val="170"/>
          <w:sz w:val="9"/>
        </w:rPr>
        <w:t>documentación</w:t>
      </w:r>
      <w:r>
        <w:rPr>
          <w:spacing w:val="-27"/>
          <w:w w:val="170"/>
          <w:sz w:val="9"/>
        </w:rPr>
        <w:t> </w:t>
      </w:r>
      <w:r>
        <w:rPr>
          <w:w w:val="170"/>
          <w:sz w:val="9"/>
        </w:rPr>
        <w:t>generada</w:t>
      </w:r>
    </w:p>
    <w:p>
      <w:pPr>
        <w:spacing w:line="102" w:lineRule="exact" w:before="1"/>
        <w:ind w:left="210" w:right="-13" w:firstLine="0"/>
        <w:jc w:val="left"/>
        <w:rPr>
          <w:sz w:val="9"/>
        </w:rPr>
      </w:pPr>
      <w:r>
        <w:rPr/>
        <w:br w:type="column"/>
      </w:r>
      <w:r>
        <w:rPr>
          <w:w w:val="170"/>
          <w:sz w:val="9"/>
        </w:rPr>
        <w:t>obras y se</w:t>
      </w:r>
      <w:r>
        <w:rPr>
          <w:spacing w:val="-19"/>
          <w:w w:val="170"/>
          <w:sz w:val="9"/>
        </w:rPr>
        <w:t> </w:t>
      </w:r>
      <w:r>
        <w:rPr>
          <w:w w:val="170"/>
          <w:sz w:val="9"/>
        </w:rPr>
        <w:t>cumplió</w:t>
      </w:r>
    </w:p>
    <w:p>
      <w:pPr>
        <w:spacing w:line="102" w:lineRule="exact" w:before="1"/>
        <w:ind w:left="2333" w:right="2734" w:firstLine="0"/>
        <w:jc w:val="center"/>
        <w:rPr>
          <w:sz w:val="9"/>
        </w:rPr>
      </w:pPr>
      <w:r>
        <w:rPr/>
        <w:br w:type="column"/>
      </w:r>
      <w:r>
        <w:rPr>
          <w:w w:val="170"/>
          <w:sz w:val="9"/>
        </w:rPr>
        <w:t>de manera periódica y</w:t>
      </w:r>
    </w:p>
    <w:p>
      <w:pPr>
        <w:spacing w:after="0" w:line="102" w:lineRule="exact"/>
        <w:jc w:val="center"/>
        <w:rPr>
          <w:sz w:val="9"/>
        </w:rPr>
        <w:sectPr>
          <w:type w:val="continuous"/>
          <w:pgSz w:w="15840" w:h="12240" w:orient="landscape"/>
          <w:pgMar w:top="0" w:bottom="280" w:left="1800" w:right="1700"/>
          <w:cols w:num="3" w:equalWidth="0">
            <w:col w:w="4164" w:space="40"/>
            <w:col w:w="1474" w:space="40"/>
            <w:col w:w="6622"/>
          </w:cols>
        </w:sectPr>
      </w:pPr>
    </w:p>
    <w:p>
      <w:pPr>
        <w:tabs>
          <w:tab w:pos="4364" w:val="left" w:leader="none"/>
        </w:tabs>
        <w:spacing w:line="133" w:lineRule="exact" w:before="0"/>
        <w:ind w:left="122" w:right="0" w:firstLine="0"/>
        <w:jc w:val="left"/>
        <w:rPr>
          <w:sz w:val="20"/>
        </w:rPr>
      </w:pPr>
      <w:r>
        <w:rPr>
          <w:b/>
          <w:w w:val="99"/>
          <w:sz w:val="20"/>
        </w:rPr>
        <w:t>Fu</w:t>
      </w:r>
      <w:r>
        <w:rPr>
          <w:b/>
          <w:w w:val="99"/>
          <w:sz w:val="20"/>
        </w:rPr>
        <w:t>en</w:t>
      </w:r>
      <w:r>
        <w:rPr>
          <w:b/>
          <w:spacing w:val="1"/>
          <w:w w:val="99"/>
          <w:sz w:val="20"/>
        </w:rPr>
        <w:t>t</w:t>
      </w:r>
      <w:r>
        <w:rPr>
          <w:b/>
          <w:w w:val="99"/>
          <w:sz w:val="20"/>
        </w:rPr>
        <w:t>e</w:t>
      </w:r>
      <w:r>
        <w:rPr>
          <w:w w:val="99"/>
          <w:sz w:val="20"/>
        </w:rPr>
        <w:t>:</w:t>
      </w:r>
      <w:r>
        <w:rPr>
          <w:spacing w:val="-1"/>
          <w:sz w:val="20"/>
        </w:rPr>
        <w:t> </w:t>
      </w:r>
      <w:r>
        <w:rPr>
          <w:spacing w:val="1"/>
          <w:w w:val="99"/>
          <w:sz w:val="20"/>
        </w:rPr>
        <w:t>E</w:t>
      </w:r>
      <w:r>
        <w:rPr>
          <w:spacing w:val="-1"/>
          <w:w w:val="99"/>
          <w:sz w:val="20"/>
        </w:rPr>
        <w:t>l</w:t>
      </w:r>
      <w:r>
        <w:rPr>
          <w:w w:val="99"/>
          <w:sz w:val="20"/>
        </w:rPr>
        <w:t>a</w:t>
      </w:r>
      <w:r>
        <w:rPr>
          <w:spacing w:val="1"/>
          <w:w w:val="99"/>
          <w:sz w:val="20"/>
        </w:rPr>
        <w:t>b</w:t>
      </w:r>
      <w:r>
        <w:rPr>
          <w:w w:val="99"/>
          <w:sz w:val="20"/>
        </w:rPr>
        <w:t>ora</w:t>
      </w:r>
      <w:r>
        <w:rPr>
          <w:spacing w:val="1"/>
          <w:w w:val="99"/>
          <w:sz w:val="20"/>
        </w:rPr>
        <w:t>c</w:t>
      </w:r>
      <w:r>
        <w:rPr>
          <w:spacing w:val="-1"/>
          <w:w w:val="99"/>
          <w:sz w:val="20"/>
        </w:rPr>
        <w:t>i</w:t>
      </w:r>
      <w:r>
        <w:rPr>
          <w:spacing w:val="1"/>
          <w:w w:val="99"/>
          <w:sz w:val="20"/>
        </w:rPr>
        <w:t>ó</w:t>
      </w:r>
      <w:r>
        <w:rPr>
          <w:w w:val="99"/>
          <w:sz w:val="20"/>
        </w:rPr>
        <w:t>n</w:t>
      </w:r>
      <w:r>
        <w:rPr>
          <w:spacing w:val="-1"/>
          <w:sz w:val="20"/>
        </w:rPr>
        <w:t> </w:t>
      </w:r>
      <w:r>
        <w:rPr>
          <w:spacing w:val="-1"/>
          <w:w w:val="99"/>
          <w:sz w:val="20"/>
        </w:rPr>
        <w:t>p</w:t>
      </w:r>
      <w:r>
        <w:rPr>
          <w:w w:val="99"/>
          <w:sz w:val="20"/>
        </w:rPr>
        <w:t>r</w:t>
      </w:r>
      <w:r>
        <w:rPr>
          <w:spacing w:val="1"/>
          <w:w w:val="99"/>
          <w:sz w:val="20"/>
        </w:rPr>
        <w:t>o</w:t>
      </w:r>
      <w:r>
        <w:rPr>
          <w:w w:val="99"/>
          <w:sz w:val="20"/>
        </w:rPr>
        <w:t>p</w:t>
      </w:r>
      <w:r>
        <w:rPr>
          <w:spacing w:val="9"/>
          <w:w w:val="99"/>
          <w:sz w:val="20"/>
        </w:rPr>
        <w:t>i</w:t>
      </w:r>
      <w:r>
        <w:rPr>
          <w:w w:val="167"/>
          <w:position w:val="7"/>
          <w:sz w:val="9"/>
        </w:rPr>
        <w:t>en</w:t>
      </w:r>
      <w:r>
        <w:rPr>
          <w:position w:val="7"/>
          <w:sz w:val="9"/>
        </w:rPr>
        <w:t> </w:t>
      </w:r>
      <w:r>
        <w:rPr>
          <w:spacing w:val="-8"/>
          <w:position w:val="7"/>
          <w:sz w:val="9"/>
        </w:rPr>
        <w:t> </w:t>
      </w:r>
      <w:r>
        <w:rPr>
          <w:w w:val="167"/>
          <w:position w:val="7"/>
          <w:sz w:val="9"/>
        </w:rPr>
        <w:t>l</w:t>
      </w:r>
      <w:r>
        <w:rPr>
          <w:w w:val="167"/>
          <w:position w:val="7"/>
          <w:sz w:val="9"/>
        </w:rPr>
        <w:t>a</w:t>
      </w:r>
      <w:r>
        <w:rPr>
          <w:w w:val="167"/>
          <w:position w:val="7"/>
          <w:sz w:val="9"/>
        </w:rPr>
        <w:t>s</w:t>
      </w:r>
      <w:r>
        <w:rPr>
          <w:position w:val="7"/>
          <w:sz w:val="9"/>
        </w:rPr>
        <w:t> </w:t>
      </w:r>
      <w:r>
        <w:rPr>
          <w:spacing w:val="-9"/>
          <w:position w:val="7"/>
          <w:sz w:val="9"/>
        </w:rPr>
        <w:t> </w:t>
      </w:r>
      <w:r>
        <w:rPr>
          <w:w w:val="167"/>
          <w:position w:val="7"/>
          <w:sz w:val="9"/>
        </w:rPr>
        <w:t>d</w:t>
      </w:r>
      <w:r>
        <w:rPr>
          <w:w w:val="167"/>
          <w:position w:val="7"/>
          <w:sz w:val="9"/>
        </w:rPr>
        <w:t>i</w:t>
      </w:r>
      <w:r>
        <w:rPr>
          <w:w w:val="167"/>
          <w:position w:val="7"/>
          <w:sz w:val="9"/>
        </w:rPr>
        <w:t>st</w:t>
      </w:r>
      <w:r>
        <w:rPr>
          <w:spacing w:val="-1"/>
          <w:w w:val="167"/>
          <w:position w:val="7"/>
          <w:sz w:val="9"/>
        </w:rPr>
        <w:t>i</w:t>
      </w:r>
      <w:r>
        <w:rPr>
          <w:w w:val="167"/>
          <w:position w:val="7"/>
          <w:sz w:val="9"/>
        </w:rPr>
        <w:t>n</w:t>
      </w:r>
      <w:r>
        <w:rPr>
          <w:spacing w:val="-1"/>
          <w:w w:val="167"/>
          <w:position w:val="7"/>
          <w:sz w:val="9"/>
        </w:rPr>
        <w:t>t</w:t>
      </w:r>
      <w:r>
        <w:rPr>
          <w:w w:val="167"/>
          <w:position w:val="7"/>
          <w:sz w:val="9"/>
        </w:rPr>
        <w:t>a</w:t>
      </w:r>
      <w:r>
        <w:rPr>
          <w:w w:val="167"/>
          <w:position w:val="7"/>
          <w:sz w:val="9"/>
        </w:rPr>
        <w:t>s</w:t>
      </w:r>
      <w:r>
        <w:rPr>
          <w:position w:val="7"/>
          <w:sz w:val="9"/>
        </w:rPr>
        <w:t> </w:t>
      </w:r>
      <w:r>
        <w:rPr>
          <w:spacing w:val="-8"/>
          <w:position w:val="7"/>
          <w:sz w:val="9"/>
        </w:rPr>
        <w:t> </w:t>
      </w:r>
      <w:r>
        <w:rPr>
          <w:w w:val="167"/>
          <w:position w:val="7"/>
          <w:sz w:val="9"/>
        </w:rPr>
        <w:t>e</w:t>
      </w:r>
      <w:r>
        <w:rPr>
          <w:spacing w:val="-1"/>
          <w:w w:val="167"/>
          <w:position w:val="7"/>
          <w:sz w:val="9"/>
        </w:rPr>
        <w:t>t</w:t>
      </w:r>
      <w:r>
        <w:rPr>
          <w:w w:val="167"/>
          <w:position w:val="7"/>
          <w:sz w:val="9"/>
        </w:rPr>
        <w:t>a</w:t>
      </w:r>
      <w:r>
        <w:rPr>
          <w:spacing w:val="-1"/>
          <w:w w:val="167"/>
          <w:position w:val="7"/>
          <w:sz w:val="9"/>
        </w:rPr>
        <w:t>p</w:t>
      </w:r>
      <w:r>
        <w:rPr>
          <w:w w:val="167"/>
          <w:position w:val="7"/>
          <w:sz w:val="9"/>
        </w:rPr>
        <w:t>a</w:t>
      </w:r>
      <w:r>
        <w:rPr>
          <w:w w:val="167"/>
          <w:position w:val="7"/>
          <w:sz w:val="9"/>
        </w:rPr>
        <w:t>s</w:t>
      </w:r>
      <w:r>
        <w:rPr>
          <w:position w:val="7"/>
          <w:sz w:val="9"/>
        </w:rPr>
        <w:t> </w:t>
      </w:r>
      <w:r>
        <w:rPr>
          <w:spacing w:val="-7"/>
          <w:position w:val="7"/>
          <w:sz w:val="9"/>
        </w:rPr>
        <w:t> </w:t>
      </w:r>
      <w:r>
        <w:rPr>
          <w:w w:val="167"/>
          <w:position w:val="7"/>
          <w:sz w:val="9"/>
        </w:rPr>
        <w:t>se</w:t>
      </w:r>
      <w:r>
        <w:rPr>
          <w:position w:val="7"/>
          <w:sz w:val="9"/>
        </w:rPr>
        <w:tab/>
      </w:r>
      <w:r>
        <w:rPr>
          <w:spacing w:val="-119"/>
          <w:w w:val="99"/>
          <w:sz w:val="20"/>
        </w:rPr>
        <w:t>m</w:t>
      </w:r>
      <w:r>
        <w:rPr>
          <w:w w:val="167"/>
          <w:position w:val="7"/>
          <w:sz w:val="9"/>
        </w:rPr>
        <w:t>c</w:t>
      </w:r>
      <w:r>
        <w:rPr>
          <w:spacing w:val="-37"/>
          <w:w w:val="167"/>
          <w:position w:val="7"/>
          <w:sz w:val="9"/>
        </w:rPr>
        <w:t>o</w:t>
      </w:r>
      <w:r>
        <w:rPr>
          <w:spacing w:val="-75"/>
          <w:w w:val="99"/>
          <w:sz w:val="20"/>
        </w:rPr>
        <w:t>e</w:t>
      </w:r>
      <w:r>
        <w:rPr>
          <w:w w:val="167"/>
          <w:position w:val="7"/>
          <w:sz w:val="9"/>
        </w:rPr>
        <w:t>n</w:t>
      </w:r>
      <w:r>
        <w:rPr>
          <w:position w:val="7"/>
          <w:sz w:val="9"/>
        </w:rPr>
        <w:t> </w:t>
      </w:r>
      <w:r>
        <w:rPr>
          <w:spacing w:val="-8"/>
          <w:position w:val="7"/>
          <w:sz w:val="9"/>
        </w:rPr>
        <w:t> </w:t>
      </w:r>
      <w:r>
        <w:rPr>
          <w:spacing w:val="-31"/>
          <w:w w:val="167"/>
          <w:position w:val="7"/>
          <w:sz w:val="9"/>
        </w:rPr>
        <w:t>l</w:t>
      </w:r>
      <w:r>
        <w:rPr>
          <w:spacing w:val="-80"/>
          <w:w w:val="99"/>
          <w:sz w:val="20"/>
        </w:rPr>
        <w:t>d</w:t>
      </w:r>
      <w:r>
        <w:rPr>
          <w:spacing w:val="-5"/>
          <w:w w:val="167"/>
          <w:position w:val="7"/>
          <w:sz w:val="9"/>
        </w:rPr>
        <w:t>o</w:t>
      </w:r>
      <w:r>
        <w:rPr>
          <w:spacing w:val="-106"/>
          <w:w w:val="99"/>
          <w:sz w:val="20"/>
        </w:rPr>
        <w:t>e</w:t>
      </w:r>
      <w:r>
        <w:rPr>
          <w:w w:val="167"/>
          <w:position w:val="7"/>
          <w:sz w:val="9"/>
        </w:rPr>
        <w:t>s</w:t>
      </w:r>
      <w:r>
        <w:rPr>
          <w:position w:val="7"/>
          <w:sz w:val="9"/>
        </w:rPr>
        <w:t> </w:t>
      </w:r>
      <w:r>
        <w:rPr>
          <w:spacing w:val="-9"/>
          <w:position w:val="7"/>
          <w:sz w:val="9"/>
        </w:rPr>
        <w:t> </w:t>
      </w:r>
      <w:r>
        <w:rPr>
          <w:spacing w:val="-7"/>
          <w:w w:val="167"/>
          <w:position w:val="7"/>
          <w:sz w:val="9"/>
        </w:rPr>
        <w:t>r</w:t>
      </w:r>
      <w:r>
        <w:rPr>
          <w:spacing w:val="-138"/>
          <w:w w:val="99"/>
          <w:sz w:val="20"/>
        </w:rPr>
        <w:t>R</w:t>
      </w:r>
      <w:r>
        <w:rPr>
          <w:spacing w:val="1"/>
          <w:w w:val="167"/>
          <w:position w:val="7"/>
          <w:sz w:val="9"/>
        </w:rPr>
        <w:t>a</w:t>
      </w:r>
      <w:r>
        <w:rPr>
          <w:spacing w:val="-33"/>
          <w:w w:val="167"/>
          <w:position w:val="7"/>
          <w:sz w:val="9"/>
        </w:rPr>
        <w:t>n</w:t>
      </w:r>
      <w:r>
        <w:rPr>
          <w:spacing w:val="-80"/>
          <w:w w:val="99"/>
          <w:sz w:val="20"/>
        </w:rPr>
        <w:t>e</w:t>
      </w:r>
      <w:r>
        <w:rPr>
          <w:spacing w:val="-6"/>
          <w:w w:val="167"/>
          <w:position w:val="7"/>
          <w:sz w:val="9"/>
        </w:rPr>
        <w:t>g</w:t>
      </w:r>
      <w:r>
        <w:rPr>
          <w:spacing w:val="-94"/>
          <w:w w:val="99"/>
          <w:sz w:val="20"/>
        </w:rPr>
        <w:t>s</w:t>
      </w:r>
      <w:r>
        <w:rPr>
          <w:w w:val="167"/>
          <w:position w:val="7"/>
          <w:sz w:val="9"/>
        </w:rPr>
        <w:t>o</w:t>
      </w:r>
      <w:r>
        <w:rPr>
          <w:spacing w:val="-66"/>
          <w:w w:val="167"/>
          <w:position w:val="7"/>
          <w:sz w:val="9"/>
        </w:rPr>
        <w:t>s</w:t>
      </w:r>
      <w:r>
        <w:rPr>
          <w:w w:val="99"/>
          <w:sz w:val="20"/>
        </w:rPr>
        <w:t>u</w:t>
      </w:r>
      <w:r>
        <w:rPr>
          <w:spacing w:val="-2"/>
          <w:w w:val="99"/>
          <w:sz w:val="20"/>
        </w:rPr>
        <w:t>l</w:t>
      </w:r>
      <w:r>
        <w:rPr>
          <w:spacing w:val="2"/>
          <w:w w:val="99"/>
          <w:sz w:val="20"/>
        </w:rPr>
        <w:t>t</w:t>
      </w:r>
      <w:r>
        <w:rPr>
          <w:w w:val="99"/>
          <w:sz w:val="20"/>
        </w:rPr>
        <w:t>a</w:t>
      </w:r>
      <w:r>
        <w:rPr>
          <w:spacing w:val="-1"/>
          <w:w w:val="99"/>
          <w:sz w:val="20"/>
        </w:rPr>
        <w:t>d</w:t>
      </w:r>
      <w:r>
        <w:rPr>
          <w:w w:val="99"/>
          <w:sz w:val="20"/>
        </w:rPr>
        <w:t>o</w:t>
      </w:r>
      <w:r>
        <w:rPr>
          <w:w w:val="99"/>
          <w:sz w:val="20"/>
        </w:rPr>
        <w:t>s</w:t>
      </w:r>
      <w:r>
        <w:rPr>
          <w:sz w:val="20"/>
        </w:rPr>
        <w:t> </w:t>
      </w:r>
      <w:r>
        <w:rPr>
          <w:spacing w:val="1"/>
          <w:w w:val="99"/>
          <w:sz w:val="20"/>
        </w:rPr>
        <w:t>d</w:t>
      </w:r>
      <w:r>
        <w:rPr>
          <w:w w:val="99"/>
          <w:sz w:val="20"/>
        </w:rPr>
        <w:t>e</w:t>
      </w:r>
      <w:r>
        <w:rPr>
          <w:spacing w:val="-1"/>
          <w:sz w:val="20"/>
        </w:rPr>
        <w:t> </w:t>
      </w:r>
      <w:r>
        <w:rPr>
          <w:w w:val="99"/>
          <w:sz w:val="20"/>
        </w:rPr>
        <w:t>l</w:t>
      </w:r>
      <w:r>
        <w:rPr>
          <w:w w:val="99"/>
          <w:sz w:val="20"/>
        </w:rPr>
        <w:t>a</w:t>
      </w:r>
      <w:r>
        <w:rPr>
          <w:spacing w:val="-1"/>
          <w:sz w:val="20"/>
        </w:rPr>
        <w:t> </w:t>
      </w:r>
      <w:r>
        <w:rPr>
          <w:w w:val="99"/>
          <w:sz w:val="20"/>
        </w:rPr>
        <w:t>F</w:t>
      </w:r>
      <w:r>
        <w:rPr>
          <w:spacing w:val="-1"/>
          <w:w w:val="99"/>
          <w:sz w:val="20"/>
        </w:rPr>
        <w:t>i</w:t>
      </w:r>
      <w:r>
        <w:rPr>
          <w:spacing w:val="1"/>
          <w:w w:val="99"/>
          <w:sz w:val="20"/>
        </w:rPr>
        <w:t>sc</w:t>
      </w:r>
      <w:r>
        <w:rPr>
          <w:spacing w:val="1"/>
          <w:w w:val="99"/>
          <w:sz w:val="20"/>
        </w:rPr>
        <w:t>a</w:t>
      </w:r>
      <w:r>
        <w:rPr>
          <w:spacing w:val="-1"/>
          <w:w w:val="99"/>
          <w:sz w:val="20"/>
        </w:rPr>
        <w:t>l</w:t>
      </w:r>
      <w:r>
        <w:rPr>
          <w:spacing w:val="6"/>
          <w:w w:val="99"/>
          <w:sz w:val="20"/>
        </w:rPr>
        <w:t>i</w:t>
      </w:r>
      <w:r>
        <w:rPr>
          <w:spacing w:val="-1"/>
          <w:w w:val="99"/>
          <w:sz w:val="20"/>
        </w:rPr>
        <w:t>z</w:t>
      </w:r>
      <w:r>
        <w:rPr>
          <w:w w:val="99"/>
          <w:sz w:val="20"/>
        </w:rPr>
        <w:t>a</w:t>
      </w:r>
      <w:r>
        <w:rPr>
          <w:spacing w:val="3"/>
          <w:w w:val="99"/>
          <w:sz w:val="20"/>
        </w:rPr>
        <w:t>c</w:t>
      </w:r>
      <w:r>
        <w:rPr>
          <w:spacing w:val="-1"/>
          <w:w w:val="99"/>
          <w:sz w:val="20"/>
        </w:rPr>
        <w:t>i</w:t>
      </w:r>
      <w:r>
        <w:rPr>
          <w:w w:val="99"/>
          <w:sz w:val="20"/>
        </w:rPr>
        <w:t>ón</w:t>
      </w:r>
      <w:r>
        <w:rPr>
          <w:spacing w:val="1"/>
          <w:sz w:val="20"/>
        </w:rPr>
        <w:t> </w:t>
      </w:r>
      <w:r>
        <w:rPr>
          <w:spacing w:val="-1"/>
          <w:w w:val="99"/>
          <w:sz w:val="20"/>
        </w:rPr>
        <w:t>S</w:t>
      </w:r>
      <w:r>
        <w:rPr>
          <w:spacing w:val="1"/>
          <w:w w:val="99"/>
          <w:sz w:val="20"/>
        </w:rPr>
        <w:t>u</w:t>
      </w:r>
      <w:r>
        <w:rPr>
          <w:spacing w:val="-3"/>
          <w:w w:val="99"/>
          <w:sz w:val="20"/>
        </w:rPr>
        <w:t>p</w:t>
      </w:r>
      <w:r>
        <w:rPr>
          <w:spacing w:val="-73"/>
          <w:w w:val="167"/>
          <w:position w:val="7"/>
          <w:sz w:val="9"/>
        </w:rPr>
        <w:t>s</w:t>
      </w:r>
      <w:r>
        <w:rPr>
          <w:spacing w:val="-38"/>
          <w:w w:val="99"/>
          <w:sz w:val="20"/>
        </w:rPr>
        <w:t>e</w:t>
      </w:r>
      <w:r>
        <w:rPr>
          <w:w w:val="167"/>
          <w:position w:val="7"/>
          <w:sz w:val="9"/>
        </w:rPr>
        <w:t>i</w:t>
      </w:r>
      <w:r>
        <w:rPr>
          <w:spacing w:val="-73"/>
          <w:w w:val="167"/>
          <w:position w:val="7"/>
          <w:sz w:val="9"/>
        </w:rPr>
        <w:t>s</w:t>
      </w:r>
      <w:r>
        <w:rPr>
          <w:w w:val="99"/>
          <w:sz w:val="20"/>
        </w:rPr>
        <w:t>r</w:t>
      </w:r>
      <w:r>
        <w:rPr>
          <w:spacing w:val="-39"/>
          <w:w w:val="99"/>
          <w:sz w:val="20"/>
        </w:rPr>
        <w:t>i</w:t>
      </w:r>
      <w:r>
        <w:rPr>
          <w:spacing w:val="-2"/>
          <w:w w:val="167"/>
          <w:position w:val="7"/>
          <w:sz w:val="9"/>
        </w:rPr>
        <w:t>t</w:t>
      </w:r>
      <w:r>
        <w:rPr>
          <w:spacing w:val="-109"/>
          <w:w w:val="99"/>
          <w:sz w:val="20"/>
        </w:rPr>
        <w:t>o</w:t>
      </w:r>
      <w:r>
        <w:rPr>
          <w:spacing w:val="-1"/>
          <w:w w:val="167"/>
          <w:position w:val="7"/>
          <w:sz w:val="9"/>
        </w:rPr>
        <w:t>e</w:t>
      </w:r>
      <w:r>
        <w:rPr>
          <w:spacing w:val="-102"/>
          <w:w w:val="167"/>
          <w:position w:val="7"/>
          <w:sz w:val="9"/>
        </w:rPr>
        <w:t>m</w:t>
      </w:r>
      <w:r>
        <w:rPr>
          <w:w w:val="99"/>
          <w:sz w:val="20"/>
        </w:rPr>
        <w:t>r</w:t>
      </w:r>
      <w:r>
        <w:rPr>
          <w:spacing w:val="-22"/>
          <w:sz w:val="20"/>
        </w:rPr>
        <w:t> </w:t>
      </w:r>
      <w:r>
        <w:rPr>
          <w:spacing w:val="-63"/>
          <w:w w:val="167"/>
          <w:position w:val="7"/>
          <w:sz w:val="9"/>
        </w:rPr>
        <w:t>á</w:t>
      </w:r>
      <w:r>
        <w:rPr>
          <w:spacing w:val="-47"/>
          <w:w w:val="99"/>
          <w:sz w:val="20"/>
        </w:rPr>
        <w:t>d</w:t>
      </w:r>
      <w:r>
        <w:rPr>
          <w:spacing w:val="-1"/>
          <w:w w:val="167"/>
          <w:position w:val="7"/>
          <w:sz w:val="9"/>
        </w:rPr>
        <w:t>t</w:t>
      </w:r>
      <w:r>
        <w:rPr>
          <w:spacing w:val="-30"/>
          <w:w w:val="167"/>
          <w:position w:val="7"/>
          <w:sz w:val="9"/>
        </w:rPr>
        <w:t>i</w:t>
      </w:r>
      <w:r>
        <w:rPr>
          <w:spacing w:val="-82"/>
          <w:w w:val="99"/>
          <w:sz w:val="20"/>
        </w:rPr>
        <w:t>e</w:t>
      </w:r>
      <w:r>
        <w:rPr>
          <w:w w:val="167"/>
          <w:position w:val="7"/>
          <w:sz w:val="9"/>
        </w:rPr>
        <w:t>c</w:t>
      </w:r>
      <w:r>
        <w:rPr>
          <w:spacing w:val="-22"/>
          <w:w w:val="167"/>
          <w:position w:val="7"/>
          <w:sz w:val="9"/>
        </w:rPr>
        <w:t>a</w:t>
      </w:r>
      <w:r>
        <w:rPr>
          <w:spacing w:val="-1"/>
          <w:w w:val="99"/>
          <w:sz w:val="20"/>
        </w:rPr>
        <w:t>l</w:t>
      </w:r>
      <w:r>
        <w:rPr>
          <w:w w:val="99"/>
          <w:sz w:val="20"/>
        </w:rPr>
        <w:t>as</w:t>
      </w:r>
      <w:r>
        <w:rPr>
          <w:sz w:val="20"/>
        </w:rPr>
        <w:t> </w:t>
      </w:r>
      <w:r>
        <w:rPr>
          <w:w w:val="99"/>
          <w:sz w:val="20"/>
        </w:rPr>
        <w:t>c</w:t>
      </w:r>
      <w:r>
        <w:rPr>
          <w:w w:val="99"/>
          <w:sz w:val="20"/>
        </w:rPr>
        <w:t>u</w:t>
      </w:r>
      <w:r>
        <w:rPr>
          <w:spacing w:val="1"/>
          <w:w w:val="99"/>
          <w:sz w:val="20"/>
        </w:rPr>
        <w:t>e</w:t>
      </w:r>
      <w:r>
        <w:rPr>
          <w:w w:val="99"/>
          <w:sz w:val="20"/>
        </w:rPr>
        <w:t>nt</w:t>
      </w:r>
      <w:r>
        <w:rPr>
          <w:spacing w:val="-1"/>
          <w:w w:val="99"/>
          <w:sz w:val="20"/>
        </w:rPr>
        <w:t>a</w:t>
      </w:r>
      <w:r>
        <w:rPr>
          <w:w w:val="99"/>
          <w:sz w:val="20"/>
        </w:rPr>
        <w:t>s</w:t>
      </w:r>
      <w:r>
        <w:rPr>
          <w:spacing w:val="3"/>
          <w:sz w:val="20"/>
        </w:rPr>
        <w:t> </w:t>
      </w:r>
      <w:r>
        <w:rPr>
          <w:w w:val="99"/>
          <w:sz w:val="20"/>
        </w:rPr>
        <w:t>p</w:t>
      </w:r>
      <w:r>
        <w:rPr>
          <w:spacing w:val="-1"/>
          <w:w w:val="99"/>
          <w:sz w:val="20"/>
        </w:rPr>
        <w:t>ú</w:t>
      </w:r>
      <w:r>
        <w:rPr>
          <w:spacing w:val="1"/>
          <w:w w:val="99"/>
          <w:sz w:val="20"/>
        </w:rPr>
        <w:t>b</w:t>
      </w:r>
      <w:r>
        <w:rPr>
          <w:spacing w:val="-1"/>
          <w:w w:val="99"/>
          <w:sz w:val="20"/>
        </w:rPr>
        <w:t>li</w:t>
      </w:r>
      <w:r>
        <w:rPr>
          <w:spacing w:val="1"/>
          <w:w w:val="99"/>
          <w:sz w:val="20"/>
        </w:rPr>
        <w:t>c</w:t>
      </w:r>
      <w:r>
        <w:rPr>
          <w:w w:val="99"/>
          <w:sz w:val="20"/>
        </w:rPr>
        <w:t>as</w:t>
      </w:r>
      <w:r>
        <w:rPr>
          <w:sz w:val="20"/>
        </w:rPr>
        <w:t> </w:t>
      </w:r>
      <w:r>
        <w:rPr>
          <w:spacing w:val="1"/>
          <w:w w:val="99"/>
          <w:sz w:val="20"/>
        </w:rPr>
        <w:t>2</w:t>
      </w:r>
      <w:r>
        <w:rPr>
          <w:w w:val="99"/>
          <w:sz w:val="20"/>
        </w:rPr>
        <w:t>0</w:t>
      </w:r>
      <w:r>
        <w:rPr>
          <w:spacing w:val="-1"/>
          <w:w w:val="99"/>
          <w:sz w:val="20"/>
        </w:rPr>
        <w:t>0</w:t>
      </w:r>
      <w:r>
        <w:rPr>
          <w:spacing w:val="3"/>
          <w:w w:val="99"/>
          <w:sz w:val="20"/>
        </w:rPr>
        <w:t>8</w:t>
      </w:r>
      <w:r>
        <w:rPr>
          <w:spacing w:val="3"/>
          <w:w w:val="99"/>
          <w:sz w:val="20"/>
        </w:rPr>
        <w:t>-</w:t>
      </w:r>
      <w:r>
        <w:rPr>
          <w:w w:val="99"/>
          <w:sz w:val="20"/>
        </w:rPr>
        <w:t>2</w:t>
      </w:r>
      <w:r>
        <w:rPr>
          <w:spacing w:val="-1"/>
          <w:w w:val="99"/>
          <w:sz w:val="20"/>
        </w:rPr>
        <w:t>0</w:t>
      </w:r>
      <w:r>
        <w:rPr>
          <w:spacing w:val="1"/>
          <w:w w:val="99"/>
          <w:sz w:val="20"/>
        </w:rPr>
        <w:t>1</w:t>
      </w:r>
      <w:r>
        <w:rPr>
          <w:w w:val="99"/>
          <w:sz w:val="20"/>
        </w:rPr>
        <w:t>4</w:t>
      </w:r>
      <w:r>
        <w:rPr>
          <w:w w:val="99"/>
          <w:sz w:val="20"/>
        </w:rPr>
        <w:t>.</w:t>
      </w:r>
    </w:p>
    <w:p>
      <w:pPr>
        <w:spacing w:after="0" w:line="133" w:lineRule="exact"/>
        <w:jc w:val="left"/>
        <w:rPr>
          <w:sz w:val="20"/>
        </w:rPr>
        <w:sectPr>
          <w:type w:val="continuous"/>
          <w:pgSz w:w="15840" w:h="12240" w:orient="landscape"/>
          <w:pgMar w:top="0" w:bottom="280" w:left="1800" w:right="1700"/>
        </w:sectPr>
      </w:pPr>
    </w:p>
    <w:p>
      <w:pPr>
        <w:spacing w:line="91" w:lineRule="exact" w:before="0"/>
        <w:ind w:left="2454" w:right="-7" w:firstLine="0"/>
        <w:jc w:val="left"/>
        <w:rPr>
          <w:sz w:val="9"/>
        </w:rPr>
      </w:pPr>
      <w:r>
        <w:rPr>
          <w:w w:val="170"/>
          <w:sz w:val="9"/>
        </w:rPr>
        <w:t>integre a los</w:t>
      </w:r>
      <w:r>
        <w:rPr>
          <w:spacing w:val="-28"/>
          <w:w w:val="170"/>
          <w:sz w:val="9"/>
        </w:rPr>
        <w:t> </w:t>
      </w:r>
      <w:r>
        <w:rPr>
          <w:w w:val="170"/>
          <w:sz w:val="9"/>
        </w:rPr>
        <w:t>expedientes</w:t>
      </w:r>
    </w:p>
    <w:p>
      <w:pPr>
        <w:spacing w:before="8"/>
        <w:ind w:left="2454" w:right="-7" w:firstLine="0"/>
        <w:jc w:val="left"/>
        <w:rPr>
          <w:sz w:val="9"/>
        </w:rPr>
      </w:pPr>
      <w:r>
        <w:rPr>
          <w:w w:val="170"/>
          <w:sz w:val="9"/>
        </w:rPr>
        <w:t>técnicos de cada obra.</w:t>
      </w:r>
    </w:p>
    <w:p>
      <w:pPr>
        <w:spacing w:line="91" w:lineRule="exact" w:before="0"/>
        <w:ind w:left="231" w:right="-12" w:firstLine="0"/>
        <w:jc w:val="left"/>
        <w:rPr>
          <w:sz w:val="9"/>
        </w:rPr>
      </w:pPr>
      <w:r>
        <w:rPr/>
        <w:br w:type="column"/>
      </w:r>
      <w:r>
        <w:rPr>
          <w:w w:val="170"/>
          <w:sz w:val="9"/>
        </w:rPr>
        <w:t>establecidos en el</w:t>
      </w:r>
    </w:p>
    <w:p>
      <w:pPr>
        <w:spacing w:line="259" w:lineRule="auto" w:before="8"/>
        <w:ind w:left="230" w:right="-12" w:firstLine="2"/>
        <w:jc w:val="left"/>
        <w:rPr>
          <w:sz w:val="9"/>
        </w:rPr>
      </w:pPr>
      <w:r>
        <w:rPr>
          <w:w w:val="170"/>
          <w:sz w:val="9"/>
        </w:rPr>
        <w:t>Libro Décimo Segundo del</w:t>
      </w:r>
      <w:r>
        <w:rPr>
          <w:spacing w:val="-19"/>
          <w:w w:val="170"/>
          <w:sz w:val="9"/>
        </w:rPr>
        <w:t> </w:t>
      </w:r>
      <w:r>
        <w:rPr>
          <w:w w:val="170"/>
          <w:sz w:val="9"/>
        </w:rPr>
        <w:t>Código Administrativo del Estado de</w:t>
      </w:r>
      <w:r>
        <w:rPr>
          <w:spacing w:val="-17"/>
          <w:w w:val="170"/>
          <w:sz w:val="9"/>
        </w:rPr>
        <w:t> </w:t>
      </w:r>
      <w:r>
        <w:rPr>
          <w:w w:val="170"/>
          <w:sz w:val="9"/>
        </w:rPr>
        <w:t>México.</w:t>
      </w:r>
    </w:p>
    <w:p>
      <w:pPr>
        <w:spacing w:line="91" w:lineRule="exact" w:before="0"/>
        <w:ind w:left="2253" w:right="2495" w:firstLine="0"/>
        <w:jc w:val="left"/>
        <w:rPr>
          <w:sz w:val="9"/>
        </w:rPr>
      </w:pPr>
      <w:r>
        <w:rPr/>
        <w:br w:type="column"/>
      </w:r>
      <w:r>
        <w:rPr>
          <w:w w:val="170"/>
          <w:sz w:val="9"/>
        </w:rPr>
        <w:t>conciliaciones entre la</w:t>
      </w:r>
    </w:p>
    <w:p>
      <w:pPr>
        <w:spacing w:line="259" w:lineRule="auto" w:before="8"/>
        <w:ind w:left="2251" w:right="2495" w:firstLine="1"/>
        <w:jc w:val="left"/>
        <w:rPr>
          <w:sz w:val="9"/>
        </w:rPr>
      </w:pPr>
      <w:r>
        <w:rPr>
          <w:w w:val="170"/>
          <w:sz w:val="9"/>
        </w:rPr>
        <w:t>información que generan el área de obras públicas y el área financiera en relación con los recursos del FISM.</w:t>
      </w:r>
    </w:p>
    <w:p>
      <w:pPr>
        <w:spacing w:after="0" w:line="259" w:lineRule="auto"/>
        <w:jc w:val="left"/>
        <w:rPr>
          <w:sz w:val="9"/>
        </w:rPr>
        <w:sectPr>
          <w:type w:val="continuous"/>
          <w:pgSz w:w="15840" w:h="12240" w:orient="landscape"/>
          <w:pgMar w:top="0" w:bottom="280" w:left="1800" w:right="1700"/>
          <w:cols w:num="3" w:equalWidth="0">
            <w:col w:w="4141" w:space="40"/>
            <w:col w:w="1606" w:space="40"/>
            <w:col w:w="651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8"/>
        </w:rPr>
      </w:pPr>
    </w:p>
    <w:p>
      <w:pPr>
        <w:pStyle w:val="BodyText"/>
        <w:rPr>
          <w:sz w:val="8"/>
        </w:rPr>
      </w:pPr>
    </w:p>
    <w:p>
      <w:pPr>
        <w:pStyle w:val="BodyText"/>
        <w:spacing w:before="10"/>
        <w:rPr>
          <w:sz w:val="6"/>
        </w:rPr>
      </w:pPr>
    </w:p>
    <w:p>
      <w:pPr>
        <w:spacing w:line="256" w:lineRule="auto" w:before="0"/>
        <w:ind w:left="4279" w:right="4048" w:firstLine="2"/>
        <w:jc w:val="center"/>
        <w:rPr>
          <w:b/>
          <w:sz w:val="9"/>
        </w:rPr>
      </w:pPr>
      <w:r>
        <w:rPr>
          <w:b/>
          <w:w w:val="170"/>
          <w:sz w:val="9"/>
        </w:rPr>
        <w:t>Calidad de la Gestión Gubernamental Controles Internos (Manejo y Aplicación) Almoloya de Juárez Ejercicio fiscal 2008</w:t>
      </w:r>
    </w:p>
    <w:p>
      <w:pPr>
        <w:pStyle w:val="BodyText"/>
        <w:spacing w:line="20" w:lineRule="exact"/>
        <w:ind w:left="2068"/>
        <w:rPr>
          <w:sz w:val="2"/>
        </w:rPr>
      </w:pPr>
      <w:r>
        <w:rPr>
          <w:sz w:val="2"/>
        </w:rPr>
        <w:pict>
          <v:group style="width:370.45pt;height:.35pt;mso-position-horizontal-relative:char;mso-position-vertical-relative:line" coordorigin="0,0" coordsize="7409,7">
            <v:shape style="position:absolute;left:3;top:3;width:7402;height:2" coordorigin="3,3" coordsize="7402,0" path="m3,3l3,3,7405,4e" filled="false" stroked="true" strokeweight=".326495pt" strokecolor="#000000">
              <v:path arrowok="t"/>
            </v:shape>
          </v:group>
        </w:pict>
      </w:r>
      <w:r>
        <w:rPr>
          <w:sz w:val="2"/>
        </w:rPr>
      </w:r>
    </w:p>
    <w:p>
      <w:pPr>
        <w:pStyle w:val="BodyText"/>
        <w:spacing w:before="4"/>
        <w:rPr>
          <w:b/>
          <w:sz w:val="17"/>
        </w:rPr>
      </w:pPr>
    </w:p>
    <w:tbl>
      <w:tblPr>
        <w:tblW w:w="0" w:type="auto"/>
        <w:jc w:val="left"/>
        <w:tblInd w:w="206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63"/>
        <w:gridCol w:w="1509"/>
        <w:gridCol w:w="2167"/>
        <w:gridCol w:w="1761"/>
      </w:tblGrid>
      <w:tr>
        <w:trPr>
          <w:trHeight w:val="423" w:hRule="exact"/>
        </w:trPr>
        <w:tc>
          <w:tcPr>
            <w:tcW w:w="1963" w:type="dxa"/>
            <w:tcBorders>
              <w:left w:val="single" w:sz="4" w:space="0" w:color="000000"/>
              <w:right w:val="single" w:sz="4" w:space="0" w:color="000000"/>
            </w:tcBorders>
            <w:shd w:val="clear" w:color="auto" w:fill="E6B8B7"/>
          </w:tcPr>
          <w:p>
            <w:pPr>
              <w:pStyle w:val="TableParagraph"/>
              <w:rPr>
                <w:b/>
                <w:sz w:val="8"/>
              </w:rPr>
            </w:pPr>
          </w:p>
          <w:p>
            <w:pPr>
              <w:pStyle w:val="TableParagraph"/>
              <w:spacing w:before="61"/>
              <w:ind w:left="210" w:right="197"/>
              <w:jc w:val="center"/>
              <w:rPr>
                <w:b/>
                <w:sz w:val="9"/>
              </w:rPr>
            </w:pPr>
            <w:r>
              <w:rPr>
                <w:b/>
                <w:w w:val="170"/>
                <w:sz w:val="9"/>
              </w:rPr>
              <w:t>Ambiente de Control</w:t>
            </w:r>
          </w:p>
        </w:tc>
        <w:tc>
          <w:tcPr>
            <w:tcW w:w="1509" w:type="dxa"/>
            <w:tcBorders>
              <w:left w:val="single" w:sz="4" w:space="0" w:color="000000"/>
              <w:right w:val="single" w:sz="4" w:space="0" w:color="000000"/>
            </w:tcBorders>
            <w:shd w:val="clear" w:color="auto" w:fill="E6B8B7"/>
          </w:tcPr>
          <w:p>
            <w:pPr>
              <w:pStyle w:val="TableParagraph"/>
              <w:spacing w:line="256" w:lineRule="auto"/>
              <w:ind w:left="458" w:right="10" w:hanging="369"/>
              <w:rPr>
                <w:b/>
                <w:sz w:val="9"/>
              </w:rPr>
            </w:pPr>
            <w:r>
              <w:rPr>
                <w:b/>
                <w:w w:val="170"/>
                <w:sz w:val="9"/>
              </w:rPr>
              <w:t>Administración de Riesgos</w:t>
            </w:r>
          </w:p>
        </w:tc>
        <w:tc>
          <w:tcPr>
            <w:tcW w:w="2167" w:type="dxa"/>
            <w:tcBorders>
              <w:left w:val="single" w:sz="4" w:space="0" w:color="000000"/>
              <w:right w:val="single" w:sz="4" w:space="0" w:color="000000"/>
            </w:tcBorders>
            <w:shd w:val="clear" w:color="auto" w:fill="E6B8B7"/>
          </w:tcPr>
          <w:p>
            <w:pPr>
              <w:pStyle w:val="TableParagraph"/>
              <w:spacing w:line="256" w:lineRule="auto"/>
              <w:ind w:left="53" w:right="39" w:hanging="1"/>
              <w:jc w:val="center"/>
              <w:rPr>
                <w:b/>
                <w:sz w:val="9"/>
              </w:rPr>
            </w:pPr>
            <w:r>
              <w:rPr>
                <w:b/>
                <w:w w:val="170"/>
                <w:sz w:val="9"/>
              </w:rPr>
              <w:t>Supervisión de la</w:t>
            </w:r>
            <w:r>
              <w:rPr>
                <w:b/>
                <w:spacing w:val="-25"/>
                <w:w w:val="170"/>
                <w:sz w:val="9"/>
              </w:rPr>
              <w:t> </w:t>
            </w:r>
            <w:r>
              <w:rPr>
                <w:b/>
                <w:w w:val="170"/>
                <w:sz w:val="9"/>
              </w:rPr>
              <w:t>aplicación eficiente de los</w:t>
            </w:r>
            <w:r>
              <w:rPr>
                <w:b/>
                <w:spacing w:val="-24"/>
                <w:w w:val="170"/>
                <w:sz w:val="9"/>
              </w:rPr>
              <w:t> </w:t>
            </w:r>
            <w:r>
              <w:rPr>
                <w:b/>
                <w:w w:val="170"/>
                <w:sz w:val="9"/>
              </w:rPr>
              <w:t>mecanismos de</w:t>
            </w:r>
            <w:r>
              <w:rPr>
                <w:b/>
                <w:spacing w:val="-9"/>
                <w:w w:val="170"/>
                <w:sz w:val="9"/>
              </w:rPr>
              <w:t> </w:t>
            </w:r>
            <w:r>
              <w:rPr>
                <w:b/>
                <w:w w:val="170"/>
                <w:sz w:val="9"/>
              </w:rPr>
              <w:t>control</w:t>
            </w:r>
          </w:p>
        </w:tc>
        <w:tc>
          <w:tcPr>
            <w:tcW w:w="1761" w:type="dxa"/>
            <w:tcBorders>
              <w:left w:val="single" w:sz="4" w:space="0" w:color="000000"/>
              <w:right w:val="single" w:sz="4" w:space="0" w:color="000000"/>
            </w:tcBorders>
            <w:shd w:val="clear" w:color="auto" w:fill="E6B8B7"/>
          </w:tcPr>
          <w:p>
            <w:pPr>
              <w:pStyle w:val="TableParagraph"/>
              <w:spacing w:line="256" w:lineRule="auto"/>
              <w:ind w:left="356" w:right="345" w:firstLine="25"/>
              <w:rPr>
                <w:b/>
                <w:sz w:val="9"/>
              </w:rPr>
            </w:pPr>
            <w:r>
              <w:rPr>
                <w:b/>
                <w:w w:val="170"/>
                <w:sz w:val="9"/>
              </w:rPr>
              <w:t>Información y </w:t>
            </w:r>
            <w:r>
              <w:rPr>
                <w:b/>
                <w:w w:val="165"/>
                <w:sz w:val="9"/>
              </w:rPr>
              <w:t>Comunicación</w:t>
            </w:r>
          </w:p>
        </w:tc>
      </w:tr>
      <w:tr>
        <w:trPr>
          <w:trHeight w:val="223" w:hRule="exact"/>
        </w:trPr>
        <w:tc>
          <w:tcPr>
            <w:tcW w:w="1963" w:type="dxa"/>
            <w:tcBorders>
              <w:left w:val="single" w:sz="4" w:space="0" w:color="000000"/>
              <w:right w:val="single" w:sz="4" w:space="0" w:color="000000"/>
            </w:tcBorders>
            <w:shd w:val="clear" w:color="auto" w:fill="F1DCDB"/>
          </w:tcPr>
          <w:p>
            <w:pPr>
              <w:pStyle w:val="TableParagraph"/>
              <w:spacing w:before="5"/>
              <w:rPr>
                <w:b/>
                <w:sz w:val="9"/>
              </w:rPr>
            </w:pPr>
          </w:p>
          <w:p>
            <w:pPr>
              <w:pStyle w:val="TableParagraph"/>
              <w:ind w:left="207" w:right="197"/>
              <w:jc w:val="center"/>
              <w:rPr>
                <w:b/>
                <w:sz w:val="9"/>
              </w:rPr>
            </w:pPr>
            <w:r>
              <w:rPr>
                <w:b/>
                <w:w w:val="170"/>
                <w:sz w:val="9"/>
              </w:rPr>
              <w:t>FISM</w:t>
            </w:r>
          </w:p>
        </w:tc>
        <w:tc>
          <w:tcPr>
            <w:tcW w:w="1509" w:type="dxa"/>
            <w:tcBorders>
              <w:left w:val="single" w:sz="4" w:space="0" w:color="000000"/>
              <w:right w:val="single" w:sz="4" w:space="0" w:color="000000"/>
            </w:tcBorders>
            <w:shd w:val="clear" w:color="auto" w:fill="F1DCDB"/>
          </w:tcPr>
          <w:p>
            <w:pPr>
              <w:pStyle w:val="TableParagraph"/>
              <w:spacing w:before="5"/>
              <w:rPr>
                <w:b/>
                <w:sz w:val="9"/>
              </w:rPr>
            </w:pPr>
          </w:p>
          <w:p>
            <w:pPr>
              <w:pStyle w:val="TableParagraph"/>
              <w:ind w:left="550" w:right="540"/>
              <w:jc w:val="center"/>
              <w:rPr>
                <w:b/>
                <w:sz w:val="9"/>
              </w:rPr>
            </w:pPr>
            <w:r>
              <w:rPr>
                <w:b/>
                <w:w w:val="170"/>
                <w:sz w:val="9"/>
              </w:rPr>
              <w:t>FISM</w:t>
            </w:r>
          </w:p>
        </w:tc>
        <w:tc>
          <w:tcPr>
            <w:tcW w:w="2167" w:type="dxa"/>
            <w:tcBorders>
              <w:left w:val="single" w:sz="4" w:space="0" w:color="000000"/>
              <w:right w:val="single" w:sz="4" w:space="0" w:color="000000"/>
            </w:tcBorders>
            <w:shd w:val="clear" w:color="auto" w:fill="F1DCDB"/>
          </w:tcPr>
          <w:p>
            <w:pPr>
              <w:pStyle w:val="TableParagraph"/>
              <w:spacing w:before="5"/>
              <w:rPr>
                <w:b/>
                <w:sz w:val="9"/>
              </w:rPr>
            </w:pPr>
          </w:p>
          <w:p>
            <w:pPr>
              <w:pStyle w:val="TableParagraph"/>
              <w:ind w:left="880" w:right="868"/>
              <w:jc w:val="center"/>
              <w:rPr>
                <w:b/>
                <w:sz w:val="9"/>
              </w:rPr>
            </w:pPr>
            <w:r>
              <w:rPr>
                <w:b/>
                <w:w w:val="170"/>
                <w:sz w:val="9"/>
              </w:rPr>
              <w:t>FISM</w:t>
            </w:r>
          </w:p>
        </w:tc>
        <w:tc>
          <w:tcPr>
            <w:tcW w:w="1761" w:type="dxa"/>
            <w:tcBorders>
              <w:left w:val="single" w:sz="4" w:space="0" w:color="000000"/>
              <w:right w:val="single" w:sz="4" w:space="0" w:color="000000"/>
            </w:tcBorders>
            <w:shd w:val="clear" w:color="auto" w:fill="F1DCDB"/>
          </w:tcPr>
          <w:p>
            <w:pPr>
              <w:pStyle w:val="TableParagraph"/>
              <w:spacing w:before="5"/>
              <w:rPr>
                <w:b/>
                <w:sz w:val="9"/>
              </w:rPr>
            </w:pPr>
          </w:p>
          <w:p>
            <w:pPr>
              <w:pStyle w:val="TableParagraph"/>
              <w:ind w:left="678" w:right="666"/>
              <w:jc w:val="center"/>
              <w:rPr>
                <w:b/>
                <w:sz w:val="9"/>
              </w:rPr>
            </w:pPr>
            <w:r>
              <w:rPr>
                <w:b/>
                <w:w w:val="170"/>
                <w:sz w:val="9"/>
              </w:rPr>
              <w:t>FISM</w:t>
            </w:r>
          </w:p>
        </w:tc>
      </w:tr>
      <w:tr>
        <w:trPr>
          <w:trHeight w:val="1449" w:hRule="exact"/>
        </w:trPr>
        <w:tc>
          <w:tcPr>
            <w:tcW w:w="1963" w:type="dxa"/>
            <w:tcBorders>
              <w:left w:val="single" w:sz="4" w:space="0" w:color="000000"/>
              <w:right w:val="single" w:sz="4" w:space="0" w:color="000000"/>
            </w:tcBorders>
          </w:tcPr>
          <w:p>
            <w:pPr>
              <w:pStyle w:val="TableParagraph"/>
              <w:spacing w:before="5"/>
              <w:rPr>
                <w:b/>
                <w:sz w:val="9"/>
              </w:rPr>
            </w:pPr>
          </w:p>
          <w:p>
            <w:pPr>
              <w:pStyle w:val="TableParagraph"/>
              <w:spacing w:line="259" w:lineRule="auto"/>
              <w:ind w:left="21" w:right="8" w:firstLine="1"/>
              <w:rPr>
                <w:sz w:val="9"/>
              </w:rPr>
            </w:pPr>
            <w:r>
              <w:rPr>
                <w:w w:val="170"/>
                <w:sz w:val="9"/>
              </w:rPr>
              <w:t>No obstante que el municipio cuenta con un área de planeación, programación y presupuestación, un 4.2% de los recursos ejercidos del FISM 2008 se</w:t>
            </w:r>
            <w:r>
              <w:rPr>
                <w:spacing w:val="-24"/>
                <w:w w:val="170"/>
                <w:sz w:val="9"/>
              </w:rPr>
              <w:t> </w:t>
            </w:r>
            <w:r>
              <w:rPr>
                <w:w w:val="170"/>
                <w:sz w:val="9"/>
              </w:rPr>
              <w:t>orientaron a obras y acciones no contempladas dentro de los rubros que establece el artículo 33, de la Ley de Coordinación</w:t>
            </w:r>
            <w:r>
              <w:rPr>
                <w:spacing w:val="-16"/>
                <w:w w:val="170"/>
                <w:sz w:val="9"/>
              </w:rPr>
              <w:t> </w:t>
            </w:r>
            <w:r>
              <w:rPr>
                <w:w w:val="170"/>
                <w:sz w:val="9"/>
              </w:rPr>
              <w:t>Fiscal.</w:t>
            </w:r>
          </w:p>
        </w:tc>
        <w:tc>
          <w:tcPr>
            <w:tcW w:w="1509" w:type="dxa"/>
            <w:tcBorders>
              <w:left w:val="single" w:sz="4" w:space="0" w:color="000000"/>
              <w:right w:val="single" w:sz="4" w:space="0" w:color="000000"/>
            </w:tcBorders>
          </w:tcPr>
          <w:p>
            <w:pPr>
              <w:pStyle w:val="TableParagraph"/>
              <w:spacing w:line="259" w:lineRule="auto"/>
              <w:ind w:left="21" w:right="10" w:firstLine="1"/>
              <w:rPr>
                <w:sz w:val="9"/>
              </w:rPr>
            </w:pPr>
            <w:r>
              <w:rPr>
                <w:w w:val="170"/>
                <w:sz w:val="9"/>
              </w:rPr>
              <w:t>No se ha implementado al final del ejercicio la evaluación de los resultados obtenidos con la aplicación de los recursos del FISM, a fin de retroalimentar la operación del fondo para el siguiente ejercicio</w:t>
            </w:r>
          </w:p>
        </w:tc>
        <w:tc>
          <w:tcPr>
            <w:tcW w:w="2167" w:type="dxa"/>
            <w:tcBorders>
              <w:left w:val="single" w:sz="4" w:space="0" w:color="000000"/>
              <w:right w:val="single" w:sz="4" w:space="0" w:color="000000"/>
            </w:tcBorders>
          </w:tcPr>
          <w:p>
            <w:pPr/>
          </w:p>
        </w:tc>
        <w:tc>
          <w:tcPr>
            <w:tcW w:w="1761" w:type="dxa"/>
            <w:tcBorders>
              <w:left w:val="single" w:sz="4" w:space="0" w:color="000000"/>
              <w:right w:val="single" w:sz="4" w:space="0" w:color="000000"/>
            </w:tcBorders>
          </w:tcPr>
          <w:p>
            <w:pPr>
              <w:pStyle w:val="TableParagraph"/>
              <w:spacing w:line="259" w:lineRule="auto"/>
              <w:ind w:left="21" w:right="-18" w:firstLine="1"/>
              <w:rPr>
                <w:sz w:val="9"/>
              </w:rPr>
            </w:pPr>
            <w:r>
              <w:rPr>
                <w:w w:val="170"/>
                <w:sz w:val="9"/>
              </w:rPr>
              <w:t>No se publicaron los informes trimestrales del ejercicio del fondo 2008 remitidos a la Secretaría de Hacienda y Crédito Público en los órganos locales de difusión, en medios electrónicos ni en publicaciones</w:t>
            </w:r>
          </w:p>
          <w:p>
            <w:pPr>
              <w:pStyle w:val="TableParagraph"/>
              <w:ind w:left="23" w:right="345"/>
              <w:rPr>
                <w:sz w:val="9"/>
              </w:rPr>
            </w:pPr>
            <w:r>
              <w:rPr>
                <w:w w:val="170"/>
                <w:sz w:val="9"/>
              </w:rPr>
              <w:t>específicas.</w:t>
            </w:r>
          </w:p>
        </w:tc>
      </w:tr>
      <w:tr>
        <w:trPr>
          <w:trHeight w:val="2006" w:hRule="exact"/>
        </w:trPr>
        <w:tc>
          <w:tcPr>
            <w:tcW w:w="1963" w:type="dxa"/>
            <w:tcBorders>
              <w:left w:val="single" w:sz="4" w:space="0" w:color="000000"/>
              <w:right w:val="single" w:sz="4" w:space="0" w:color="000000"/>
            </w:tcBorders>
          </w:tcPr>
          <w:p>
            <w:pPr>
              <w:pStyle w:val="TableParagraph"/>
              <w:spacing w:line="259" w:lineRule="auto"/>
              <w:ind w:left="20" w:right="-2" w:firstLine="2"/>
              <w:rPr>
                <w:sz w:val="9"/>
              </w:rPr>
            </w:pPr>
            <w:r>
              <w:rPr>
                <w:w w:val="170"/>
                <w:sz w:val="9"/>
              </w:rPr>
              <w:t>La documentación comprobatoria del gasto realizado con FISM 2008 no se encuentra cancelada con el sello de “Operado y Pagado”.</w:t>
            </w:r>
          </w:p>
        </w:tc>
        <w:tc>
          <w:tcPr>
            <w:tcW w:w="1509" w:type="dxa"/>
            <w:tcBorders>
              <w:left w:val="single" w:sz="4" w:space="0" w:color="000000"/>
              <w:right w:val="single" w:sz="4" w:space="0" w:color="000000"/>
            </w:tcBorders>
          </w:tcPr>
          <w:p>
            <w:pPr>
              <w:pStyle w:val="TableParagraph"/>
              <w:spacing w:line="259" w:lineRule="auto"/>
              <w:ind w:left="21" w:right="16" w:firstLine="1"/>
              <w:rPr>
                <w:sz w:val="9"/>
              </w:rPr>
            </w:pPr>
            <w:r>
              <w:rPr>
                <w:w w:val="170"/>
                <w:sz w:val="9"/>
              </w:rPr>
              <w:t>El buen control del fondo se sustenta en la puntual transferencia de recursos, registros contables y el cumplimiento normativo, aunque existen, dentro de este último rubro, la necesidad de aplicar y conocer más la normativa para evitar errores que pueden perjudicar la administración del FISM.</w:t>
            </w:r>
          </w:p>
        </w:tc>
        <w:tc>
          <w:tcPr>
            <w:tcW w:w="2167" w:type="dxa"/>
            <w:tcBorders>
              <w:left w:val="single" w:sz="4" w:space="0" w:color="000000"/>
              <w:right w:val="single" w:sz="4" w:space="0" w:color="000000"/>
            </w:tcBorders>
          </w:tcPr>
          <w:p>
            <w:pPr/>
          </w:p>
        </w:tc>
        <w:tc>
          <w:tcPr>
            <w:tcW w:w="1761" w:type="dxa"/>
            <w:tcBorders>
              <w:left w:val="single" w:sz="4" w:space="0" w:color="000000"/>
              <w:right w:val="single" w:sz="4" w:space="0" w:color="000000"/>
            </w:tcBorders>
          </w:tcPr>
          <w:p>
            <w:pPr>
              <w:pStyle w:val="TableParagraph"/>
              <w:spacing w:line="256" w:lineRule="auto"/>
              <w:ind w:left="23" w:right="-18" w:hanging="2"/>
              <w:rPr>
                <w:sz w:val="9"/>
              </w:rPr>
            </w:pPr>
            <w:r>
              <w:rPr>
                <w:w w:val="170"/>
                <w:sz w:val="9"/>
              </w:rPr>
              <w:t>El municipio comunicó sólo los últimos dos</w:t>
            </w:r>
          </w:p>
          <w:p>
            <w:pPr>
              <w:pStyle w:val="TableParagraph"/>
              <w:spacing w:line="259" w:lineRule="auto" w:before="1"/>
              <w:ind w:left="22" w:right="55" w:hanging="2"/>
              <w:rPr>
                <w:sz w:val="9"/>
              </w:rPr>
            </w:pPr>
            <w:r>
              <w:rPr>
                <w:w w:val="170"/>
                <w:sz w:val="9"/>
              </w:rPr>
              <w:t>trimestres del año a las Secretarías de Desarrollo Social (SEDESOL) y de</w:t>
            </w:r>
          </w:p>
          <w:p>
            <w:pPr>
              <w:pStyle w:val="TableParagraph"/>
              <w:spacing w:line="259" w:lineRule="auto"/>
              <w:ind w:left="21" w:right="19" w:firstLine="1"/>
              <w:rPr>
                <w:sz w:val="9"/>
              </w:rPr>
            </w:pPr>
            <w:r>
              <w:rPr>
                <w:w w:val="170"/>
                <w:sz w:val="9"/>
              </w:rPr>
              <w:t>Hacienda y Crédito Público (SHCP), sobre la utilización de los recursos del FISM 2008.</w:t>
            </w:r>
          </w:p>
        </w:tc>
      </w:tr>
      <w:tr>
        <w:trPr>
          <w:trHeight w:val="1448" w:hRule="exact"/>
        </w:trPr>
        <w:tc>
          <w:tcPr>
            <w:tcW w:w="1963" w:type="dxa"/>
            <w:tcBorders>
              <w:left w:val="single" w:sz="4" w:space="0" w:color="000000"/>
              <w:right w:val="single" w:sz="4" w:space="0" w:color="000000"/>
            </w:tcBorders>
          </w:tcPr>
          <w:p>
            <w:pPr>
              <w:pStyle w:val="TableParagraph"/>
              <w:spacing w:line="259" w:lineRule="auto"/>
              <w:ind w:left="21" w:right="-12" w:firstLine="1"/>
              <w:rPr>
                <w:sz w:val="9"/>
              </w:rPr>
            </w:pPr>
            <w:r>
              <w:rPr>
                <w:w w:val="170"/>
                <w:sz w:val="9"/>
              </w:rPr>
              <w:t>Los recursos del FISM 2008 no fueron ejercidos en su totalidad en el ejercicio para el que fueron asignados, lo cual propicia incumplimiento de las metas y objetivos planteados.</w:t>
            </w:r>
          </w:p>
        </w:tc>
        <w:tc>
          <w:tcPr>
            <w:tcW w:w="1509" w:type="dxa"/>
            <w:tcBorders>
              <w:left w:val="single" w:sz="4" w:space="0" w:color="000000"/>
              <w:right w:val="single" w:sz="4" w:space="0" w:color="000000"/>
            </w:tcBorders>
          </w:tcPr>
          <w:p>
            <w:pPr>
              <w:pStyle w:val="TableParagraph"/>
              <w:spacing w:line="259" w:lineRule="auto"/>
              <w:ind w:left="21" w:right="59" w:firstLine="1"/>
              <w:rPr>
                <w:sz w:val="9"/>
              </w:rPr>
            </w:pPr>
            <w:r>
              <w:rPr>
                <w:w w:val="170"/>
                <w:sz w:val="9"/>
              </w:rPr>
              <w:t>El municipio abrió una cuenta bancaria específica para recibir y administrar los recursos del FISM 2008; no</w:t>
            </w:r>
          </w:p>
          <w:p>
            <w:pPr>
              <w:pStyle w:val="TableParagraph"/>
              <w:spacing w:line="259" w:lineRule="auto"/>
              <w:ind w:left="21" w:right="10" w:firstLine="3"/>
              <w:rPr>
                <w:sz w:val="9"/>
              </w:rPr>
            </w:pPr>
            <w:r>
              <w:rPr>
                <w:w w:val="170"/>
                <w:sz w:val="9"/>
              </w:rPr>
              <w:t>obstante, se realizaron transferencias de recursos del fondo a otros fondos o programas municipales.</w:t>
            </w:r>
          </w:p>
        </w:tc>
        <w:tc>
          <w:tcPr>
            <w:tcW w:w="2167" w:type="dxa"/>
            <w:tcBorders>
              <w:left w:val="single" w:sz="4" w:space="0" w:color="000000"/>
              <w:right w:val="single" w:sz="4" w:space="0" w:color="000000"/>
            </w:tcBorders>
          </w:tcPr>
          <w:p>
            <w:pPr/>
          </w:p>
        </w:tc>
        <w:tc>
          <w:tcPr>
            <w:tcW w:w="1761" w:type="dxa"/>
            <w:tcBorders>
              <w:left w:val="single" w:sz="4" w:space="0" w:color="000000"/>
              <w:right w:val="single" w:sz="4" w:space="0" w:color="000000"/>
            </w:tcBorders>
          </w:tcPr>
          <w:p>
            <w:pPr>
              <w:pStyle w:val="TableParagraph"/>
              <w:spacing w:line="259" w:lineRule="auto"/>
              <w:ind w:left="21" w:right="-18" w:firstLine="1"/>
              <w:rPr>
                <w:sz w:val="9"/>
              </w:rPr>
            </w:pPr>
            <w:r>
              <w:rPr>
                <w:w w:val="170"/>
                <w:sz w:val="9"/>
              </w:rPr>
              <w:t>El municipio maneja en forma separada los recursos del Ramo 33 y los propios.</w:t>
            </w:r>
          </w:p>
        </w:tc>
      </w:tr>
      <w:tr>
        <w:trPr>
          <w:trHeight w:val="1449" w:hRule="exact"/>
        </w:trPr>
        <w:tc>
          <w:tcPr>
            <w:tcW w:w="1963" w:type="dxa"/>
            <w:tcBorders>
              <w:left w:val="single" w:sz="4" w:space="0" w:color="000000"/>
              <w:right w:val="single" w:sz="4" w:space="0" w:color="000000"/>
            </w:tcBorders>
          </w:tcPr>
          <w:p>
            <w:pPr>
              <w:pStyle w:val="TableParagraph"/>
              <w:rPr>
                <w:b/>
                <w:sz w:val="20"/>
              </w:rPr>
            </w:pPr>
          </w:p>
          <w:p>
            <w:pPr>
              <w:pStyle w:val="TableParagraph"/>
              <w:rPr>
                <w:b/>
                <w:sz w:val="20"/>
              </w:rPr>
            </w:pPr>
          </w:p>
          <w:p>
            <w:pPr>
              <w:pStyle w:val="TableParagraph"/>
              <w:rPr>
                <w:b/>
                <w:sz w:val="20"/>
              </w:rPr>
            </w:pPr>
          </w:p>
          <w:p>
            <w:pPr>
              <w:pStyle w:val="TableParagraph"/>
              <w:spacing w:before="10"/>
              <w:rPr>
                <w:b/>
                <w:sz w:val="24"/>
              </w:rPr>
            </w:pPr>
          </w:p>
          <w:p>
            <w:pPr>
              <w:pStyle w:val="TableParagraph"/>
              <w:spacing w:line="134" w:lineRule="auto"/>
              <w:ind w:left="-75" w:right="-50"/>
              <w:rPr>
                <w:sz w:val="20"/>
              </w:rPr>
            </w:pPr>
            <w:r>
              <w:rPr>
                <w:b/>
                <w:w w:val="99"/>
                <w:sz w:val="20"/>
              </w:rPr>
              <w:t>Fu</w:t>
            </w:r>
            <w:r>
              <w:rPr>
                <w:b/>
                <w:w w:val="99"/>
                <w:sz w:val="20"/>
              </w:rPr>
              <w:t>en</w:t>
            </w:r>
            <w:r>
              <w:rPr>
                <w:b/>
                <w:spacing w:val="1"/>
                <w:w w:val="99"/>
                <w:sz w:val="20"/>
              </w:rPr>
              <w:t>t</w:t>
            </w:r>
            <w:r>
              <w:rPr>
                <w:b/>
                <w:w w:val="99"/>
                <w:sz w:val="20"/>
              </w:rPr>
              <w:t>e</w:t>
            </w:r>
            <w:r>
              <w:rPr>
                <w:w w:val="99"/>
                <w:sz w:val="20"/>
              </w:rPr>
              <w:t>:</w:t>
            </w:r>
            <w:r>
              <w:rPr>
                <w:sz w:val="20"/>
              </w:rPr>
              <w:t>  </w:t>
            </w:r>
            <w:r>
              <w:rPr>
                <w:spacing w:val="-28"/>
                <w:sz w:val="20"/>
              </w:rPr>
              <w:t> </w:t>
            </w:r>
            <w:r>
              <w:rPr>
                <w:spacing w:val="1"/>
                <w:w w:val="99"/>
                <w:sz w:val="20"/>
              </w:rPr>
              <w:t>E</w:t>
            </w:r>
            <w:r>
              <w:rPr>
                <w:spacing w:val="-1"/>
                <w:w w:val="99"/>
                <w:sz w:val="20"/>
              </w:rPr>
              <w:t>l</w:t>
            </w:r>
            <w:r>
              <w:rPr>
                <w:w w:val="99"/>
                <w:sz w:val="20"/>
              </w:rPr>
              <w:t>a</w:t>
            </w:r>
            <w:r>
              <w:rPr>
                <w:spacing w:val="1"/>
                <w:w w:val="99"/>
                <w:sz w:val="20"/>
              </w:rPr>
              <w:t>b</w:t>
            </w:r>
            <w:r>
              <w:rPr>
                <w:spacing w:val="-101"/>
                <w:w w:val="99"/>
                <w:sz w:val="20"/>
              </w:rPr>
              <w:t>o</w:t>
            </w:r>
            <w:r>
              <w:rPr>
                <w:spacing w:val="-74"/>
                <w:w w:val="99"/>
                <w:position w:val="-10"/>
                <w:sz w:val="24"/>
              </w:rPr>
              <w:t>C</w:t>
            </w:r>
            <w:r>
              <w:rPr>
                <w:w w:val="99"/>
                <w:sz w:val="20"/>
              </w:rPr>
              <w:t>r</w:t>
            </w:r>
            <w:r>
              <w:rPr>
                <w:spacing w:val="-104"/>
                <w:w w:val="99"/>
                <w:sz w:val="20"/>
              </w:rPr>
              <w:t>a</w:t>
            </w:r>
            <w:r>
              <w:rPr>
                <w:spacing w:val="-30"/>
                <w:w w:val="99"/>
                <w:position w:val="-10"/>
                <w:sz w:val="24"/>
              </w:rPr>
              <w:t>o</w:t>
            </w:r>
            <w:r>
              <w:rPr>
                <w:spacing w:val="-71"/>
                <w:w w:val="99"/>
                <w:sz w:val="20"/>
              </w:rPr>
              <w:t>c</w:t>
            </w:r>
            <w:r>
              <w:rPr>
                <w:spacing w:val="-63"/>
                <w:w w:val="99"/>
                <w:position w:val="-10"/>
                <w:sz w:val="24"/>
              </w:rPr>
              <w:t>n</w:t>
            </w:r>
            <w:r>
              <w:rPr>
                <w:spacing w:val="-1"/>
                <w:w w:val="99"/>
                <w:sz w:val="20"/>
              </w:rPr>
              <w:t>i</w:t>
            </w:r>
            <w:r>
              <w:rPr>
                <w:spacing w:val="-91"/>
                <w:w w:val="99"/>
                <w:sz w:val="20"/>
              </w:rPr>
              <w:t>ó</w:t>
            </w:r>
            <w:r>
              <w:rPr>
                <w:w w:val="100"/>
                <w:position w:val="-10"/>
                <w:sz w:val="24"/>
              </w:rPr>
              <w:t>t</w:t>
            </w:r>
            <w:r>
              <w:rPr>
                <w:spacing w:val="-28"/>
                <w:w w:val="99"/>
                <w:position w:val="-10"/>
                <w:sz w:val="24"/>
              </w:rPr>
              <w:t>i</w:t>
            </w:r>
            <w:r>
              <w:rPr>
                <w:spacing w:val="-84"/>
                <w:w w:val="99"/>
                <w:sz w:val="20"/>
              </w:rPr>
              <w:t>n</w:t>
            </w:r>
            <w:r>
              <w:rPr>
                <w:w w:val="99"/>
                <w:position w:val="-10"/>
                <w:sz w:val="24"/>
              </w:rPr>
              <w:t>n</w:t>
            </w:r>
            <w:r>
              <w:rPr>
                <w:spacing w:val="-29"/>
                <w:w w:val="99"/>
                <w:position w:val="-10"/>
                <w:sz w:val="24"/>
              </w:rPr>
              <w:t>u </w:t>
            </w:r>
            <w:r>
              <w:rPr>
                <w:sz w:val="20"/>
              </w:rPr>
              <w:t>Fiscalización Superior</w:t>
            </w:r>
            <w:r>
              <w:rPr>
                <w:spacing w:val="-7"/>
                <w:sz w:val="20"/>
              </w:rPr>
              <w:t> </w:t>
            </w:r>
            <w:r>
              <w:rPr>
                <w:spacing w:val="-60"/>
                <w:sz w:val="20"/>
              </w:rPr>
              <w:t>d</w:t>
            </w:r>
          </w:p>
        </w:tc>
        <w:tc>
          <w:tcPr>
            <w:tcW w:w="1509" w:type="dxa"/>
            <w:tcBorders>
              <w:left w:val="single" w:sz="4" w:space="0" w:color="000000"/>
              <w:right w:val="single" w:sz="4" w:space="0" w:color="000000"/>
            </w:tcBorders>
          </w:tcPr>
          <w:p>
            <w:pPr>
              <w:pStyle w:val="TableParagraph"/>
              <w:spacing w:line="259" w:lineRule="auto"/>
              <w:ind w:left="21" w:right="16" w:firstLine="1"/>
              <w:rPr>
                <w:sz w:val="9"/>
              </w:rPr>
            </w:pPr>
            <w:r>
              <w:rPr>
                <w:w w:val="170"/>
                <w:sz w:val="9"/>
              </w:rPr>
              <w:t>Las cifras presentadas en los estados financieros, cierre de ejercicio presupuestal y en la Cuenta Pública Municipal respecto del FISM 2008, no</w:t>
            </w:r>
          </w:p>
          <w:p>
            <w:pPr>
              <w:pStyle w:val="TableParagraph"/>
              <w:spacing w:line="139" w:lineRule="exact"/>
              <w:ind w:left="5" w:right="-47"/>
              <w:rPr>
                <w:sz w:val="20"/>
              </w:rPr>
            </w:pPr>
            <w:r>
              <w:rPr>
                <w:spacing w:val="-93"/>
                <w:w w:val="99"/>
                <w:position w:val="-8"/>
                <w:sz w:val="20"/>
              </w:rPr>
              <w:t>p</w:t>
            </w:r>
            <w:r>
              <w:rPr>
                <w:spacing w:val="-1"/>
                <w:w w:val="168"/>
                <w:sz w:val="9"/>
              </w:rPr>
              <w:t>f</w:t>
            </w:r>
            <w:r>
              <w:rPr>
                <w:spacing w:val="-34"/>
                <w:w w:val="168"/>
                <w:sz w:val="9"/>
              </w:rPr>
              <w:t>u</w:t>
            </w:r>
            <w:r>
              <w:rPr>
                <w:spacing w:val="-33"/>
                <w:w w:val="99"/>
                <w:position w:val="-8"/>
                <w:sz w:val="20"/>
              </w:rPr>
              <w:t>r</w:t>
            </w:r>
            <w:r>
              <w:rPr>
                <w:spacing w:val="-52"/>
                <w:w w:val="168"/>
                <w:sz w:val="9"/>
              </w:rPr>
              <w:t>e</w:t>
            </w:r>
            <w:r>
              <w:rPr>
                <w:spacing w:val="-59"/>
                <w:w w:val="99"/>
                <w:position w:val="-8"/>
                <w:sz w:val="20"/>
              </w:rPr>
              <w:t>o</w:t>
            </w:r>
            <w:r>
              <w:rPr>
                <w:spacing w:val="-1"/>
                <w:w w:val="168"/>
                <w:sz w:val="9"/>
              </w:rPr>
              <w:t>r</w:t>
            </w:r>
            <w:r>
              <w:rPr>
                <w:spacing w:val="-74"/>
                <w:w w:val="168"/>
                <w:sz w:val="9"/>
              </w:rPr>
              <w:t>o</w:t>
            </w:r>
            <w:r>
              <w:rPr>
                <w:spacing w:val="-37"/>
                <w:w w:val="99"/>
                <w:position w:val="-8"/>
                <w:sz w:val="20"/>
              </w:rPr>
              <w:t>p</w:t>
            </w:r>
            <w:r>
              <w:rPr>
                <w:spacing w:val="-46"/>
                <w:w w:val="168"/>
                <w:sz w:val="9"/>
              </w:rPr>
              <w:t>n</w:t>
            </w:r>
            <w:r>
              <w:rPr>
                <w:spacing w:val="-1"/>
                <w:w w:val="99"/>
                <w:position w:val="-8"/>
                <w:sz w:val="20"/>
              </w:rPr>
              <w:t>i</w:t>
            </w:r>
            <w:r>
              <w:rPr>
                <w:spacing w:val="-67"/>
                <w:w w:val="99"/>
                <w:position w:val="-8"/>
                <w:sz w:val="20"/>
              </w:rPr>
              <w:t>a</w:t>
            </w:r>
            <w:r>
              <w:rPr>
                <w:w w:val="168"/>
                <w:sz w:val="9"/>
              </w:rPr>
              <w:t>co</w:t>
            </w:r>
            <w:r>
              <w:rPr>
                <w:spacing w:val="-41"/>
                <w:w w:val="168"/>
                <w:sz w:val="9"/>
              </w:rPr>
              <w:t>n</w:t>
            </w:r>
            <w:r>
              <w:rPr>
                <w:spacing w:val="-59"/>
                <w:w w:val="99"/>
                <w:position w:val="-8"/>
                <w:sz w:val="20"/>
              </w:rPr>
              <w:t>c</w:t>
            </w:r>
            <w:r>
              <w:rPr>
                <w:spacing w:val="-16"/>
                <w:w w:val="168"/>
                <w:sz w:val="9"/>
              </w:rPr>
              <w:t>c</w:t>
            </w:r>
            <w:r>
              <w:rPr>
                <w:spacing w:val="-95"/>
                <w:w w:val="99"/>
                <w:position w:val="-8"/>
                <w:sz w:val="20"/>
              </w:rPr>
              <w:t>o</w:t>
            </w:r>
            <w:r>
              <w:rPr>
                <w:w w:val="168"/>
                <w:sz w:val="9"/>
              </w:rPr>
              <w:t>il</w:t>
            </w:r>
            <w:r>
              <w:rPr>
                <w:spacing w:val="-7"/>
                <w:w w:val="168"/>
                <w:sz w:val="9"/>
              </w:rPr>
              <w:t>i</w:t>
            </w:r>
            <w:r>
              <w:rPr>
                <w:spacing w:val="-104"/>
                <w:w w:val="99"/>
                <w:position w:val="-8"/>
                <w:sz w:val="20"/>
              </w:rPr>
              <w:t>n</w:t>
            </w:r>
            <w:r>
              <w:rPr>
                <w:spacing w:val="-1"/>
                <w:w w:val="168"/>
                <w:sz w:val="9"/>
              </w:rPr>
              <w:t>a</w:t>
            </w:r>
            <w:r>
              <w:rPr>
                <w:w w:val="168"/>
                <w:sz w:val="9"/>
              </w:rPr>
              <w:t>d</w:t>
            </w:r>
            <w:r>
              <w:rPr>
                <w:spacing w:val="-9"/>
                <w:w w:val="168"/>
                <w:sz w:val="9"/>
              </w:rPr>
              <w:t>a</w:t>
            </w:r>
            <w:r>
              <w:rPr>
                <w:spacing w:val="-102"/>
                <w:w w:val="99"/>
                <w:position w:val="-8"/>
                <w:sz w:val="20"/>
              </w:rPr>
              <w:t>b</w:t>
            </w:r>
            <w:r>
              <w:rPr>
                <w:w w:val="168"/>
                <w:sz w:val="9"/>
              </w:rPr>
              <w:t>s</w:t>
            </w:r>
            <w:r>
              <w:rPr>
                <w:spacing w:val="1"/>
                <w:sz w:val="9"/>
              </w:rPr>
              <w:t> </w:t>
            </w:r>
            <w:r>
              <w:rPr>
                <w:spacing w:val="-1"/>
                <w:w w:val="99"/>
                <w:position w:val="-8"/>
                <w:sz w:val="20"/>
              </w:rPr>
              <w:t>a</w:t>
            </w:r>
            <w:r>
              <w:rPr>
                <w:w w:val="99"/>
                <w:position w:val="-8"/>
                <w:sz w:val="20"/>
              </w:rPr>
              <w:t>s</w:t>
            </w:r>
          </w:p>
          <w:p>
            <w:pPr>
              <w:pStyle w:val="TableParagraph"/>
              <w:spacing w:line="139" w:lineRule="exact"/>
              <w:ind w:left="22" w:right="10"/>
              <w:rPr>
                <w:sz w:val="9"/>
              </w:rPr>
            </w:pPr>
            <w:r>
              <w:rPr>
                <w:spacing w:val="-99"/>
                <w:w w:val="168"/>
                <w:sz w:val="9"/>
              </w:rPr>
              <w:t>m</w:t>
            </w:r>
            <w:r>
              <w:rPr>
                <w:spacing w:val="-36"/>
                <w:w w:val="99"/>
                <w:position w:val="-8"/>
                <w:sz w:val="24"/>
              </w:rPr>
              <w:t>a</w:t>
            </w:r>
            <w:r>
              <w:rPr>
                <w:spacing w:val="-49"/>
                <w:w w:val="168"/>
                <w:sz w:val="9"/>
              </w:rPr>
              <w:t>e</w:t>
            </w:r>
            <w:r>
              <w:rPr>
                <w:spacing w:val="-70"/>
                <w:position w:val="-8"/>
                <w:sz w:val="24"/>
              </w:rPr>
              <w:t>c</w:t>
            </w:r>
            <w:r>
              <w:rPr>
                <w:spacing w:val="-15"/>
                <w:w w:val="168"/>
                <w:sz w:val="9"/>
              </w:rPr>
              <w:t>n</w:t>
            </w:r>
            <w:r>
              <w:rPr>
                <w:spacing w:val="-39"/>
                <w:w w:val="99"/>
                <w:position w:val="-8"/>
                <w:sz w:val="24"/>
              </w:rPr>
              <w:t>i</w:t>
            </w:r>
            <w:r>
              <w:rPr>
                <w:spacing w:val="-37"/>
                <w:w w:val="168"/>
                <w:sz w:val="9"/>
              </w:rPr>
              <w:t>s</w:t>
            </w:r>
            <w:r>
              <w:rPr>
                <w:spacing w:val="-97"/>
                <w:w w:val="99"/>
                <w:position w:val="-8"/>
                <w:sz w:val="24"/>
              </w:rPr>
              <w:t>ó</w:t>
            </w:r>
            <w:r>
              <w:rPr>
                <w:w w:val="168"/>
                <w:sz w:val="9"/>
              </w:rPr>
              <w:t>u</w:t>
            </w:r>
            <w:r>
              <w:rPr>
                <w:spacing w:val="-73"/>
                <w:w w:val="168"/>
                <w:sz w:val="9"/>
              </w:rPr>
              <w:t>a</w:t>
            </w:r>
            <w:r>
              <w:rPr>
                <w:spacing w:val="-61"/>
                <w:w w:val="99"/>
                <w:position w:val="-8"/>
                <w:sz w:val="24"/>
              </w:rPr>
              <w:t>n</w:t>
            </w:r>
            <w:r>
              <w:rPr>
                <w:spacing w:val="-1"/>
                <w:w w:val="168"/>
                <w:sz w:val="9"/>
              </w:rPr>
              <w:t>l</w:t>
            </w:r>
            <w:r>
              <w:rPr>
                <w:spacing w:val="-98"/>
                <w:w w:val="168"/>
                <w:sz w:val="9"/>
              </w:rPr>
              <w:t>m</w:t>
            </w:r>
            <w:r>
              <w:rPr>
                <w:w w:val="100"/>
                <w:position w:val="-8"/>
                <w:sz w:val="24"/>
              </w:rPr>
              <w:t>.</w:t>
            </w:r>
            <w:r>
              <w:rPr>
                <w:spacing w:val="-37"/>
                <w:position w:val="-8"/>
                <w:sz w:val="24"/>
              </w:rPr>
              <w:t> </w:t>
            </w:r>
            <w:r>
              <w:rPr>
                <w:spacing w:val="1"/>
                <w:w w:val="168"/>
                <w:sz w:val="9"/>
              </w:rPr>
              <w:t>e</w:t>
            </w:r>
            <w:r>
              <w:rPr>
                <w:w w:val="168"/>
                <w:sz w:val="9"/>
              </w:rPr>
              <w:t>n</w:t>
            </w:r>
            <w:r>
              <w:rPr>
                <w:spacing w:val="-1"/>
                <w:w w:val="168"/>
                <w:sz w:val="9"/>
              </w:rPr>
              <w:t>t</w:t>
            </w:r>
            <w:r>
              <w:rPr>
                <w:w w:val="168"/>
                <w:sz w:val="9"/>
              </w:rPr>
              <w:t>e</w:t>
            </w:r>
            <w:r>
              <w:rPr>
                <w:sz w:val="9"/>
              </w:rPr>
              <w:t> </w:t>
            </w:r>
            <w:r>
              <w:rPr>
                <w:spacing w:val="-8"/>
                <w:sz w:val="9"/>
              </w:rPr>
              <w:t> </w:t>
            </w:r>
            <w:r>
              <w:rPr>
                <w:w w:val="168"/>
                <w:sz w:val="9"/>
              </w:rPr>
              <w:t>en</w:t>
            </w:r>
            <w:r>
              <w:rPr>
                <w:spacing w:val="-1"/>
                <w:w w:val="168"/>
                <w:sz w:val="9"/>
              </w:rPr>
              <w:t>t</w:t>
            </w:r>
            <w:r>
              <w:rPr>
                <w:spacing w:val="-1"/>
                <w:w w:val="168"/>
                <w:sz w:val="9"/>
              </w:rPr>
              <w:t>re</w:t>
            </w:r>
          </w:p>
          <w:p>
            <w:pPr>
              <w:pStyle w:val="TableParagraph"/>
              <w:spacing w:line="107" w:lineRule="exact"/>
              <w:ind w:left="22" w:right="-47"/>
              <w:rPr>
                <w:sz w:val="20"/>
              </w:rPr>
            </w:pPr>
            <w:r>
              <w:rPr>
                <w:w w:val="168"/>
                <w:sz w:val="9"/>
              </w:rPr>
              <w:t>l</w:t>
            </w:r>
            <w:r>
              <w:rPr>
                <w:spacing w:val="-59"/>
                <w:w w:val="168"/>
                <w:sz w:val="9"/>
              </w:rPr>
              <w:t>a</w:t>
            </w:r>
            <w:r>
              <w:rPr>
                <w:spacing w:val="-54"/>
                <w:w w:val="99"/>
                <w:position w:val="-9"/>
                <w:sz w:val="20"/>
              </w:rPr>
              <w:t>e</w:t>
            </w:r>
            <w:r>
              <w:rPr>
                <w:w w:val="168"/>
                <w:sz w:val="9"/>
              </w:rPr>
              <w:t>s</w:t>
            </w:r>
            <w:r>
              <w:rPr>
                <w:spacing w:val="9"/>
                <w:sz w:val="9"/>
              </w:rPr>
              <w:t> </w:t>
            </w:r>
            <w:r>
              <w:rPr>
                <w:spacing w:val="-36"/>
                <w:w w:val="99"/>
                <w:position w:val="-9"/>
                <w:sz w:val="20"/>
              </w:rPr>
              <w:t>l</w:t>
            </w:r>
            <w:r>
              <w:rPr>
                <w:spacing w:val="-51"/>
                <w:w w:val="168"/>
                <w:sz w:val="9"/>
              </w:rPr>
              <w:t>d</w:t>
            </w:r>
            <w:r>
              <w:rPr>
                <w:spacing w:val="-61"/>
                <w:w w:val="99"/>
                <w:position w:val="-9"/>
                <w:sz w:val="20"/>
              </w:rPr>
              <w:t>a</w:t>
            </w:r>
            <w:r>
              <w:rPr>
                <w:spacing w:val="-23"/>
                <w:w w:val="168"/>
                <w:sz w:val="9"/>
              </w:rPr>
              <w:t>e</w:t>
            </w:r>
            <w:r>
              <w:rPr>
                <w:spacing w:val="-78"/>
                <w:w w:val="99"/>
                <w:position w:val="-9"/>
                <w:sz w:val="20"/>
              </w:rPr>
              <w:t>s</w:t>
            </w:r>
            <w:r>
              <w:rPr>
                <w:w w:val="168"/>
                <w:sz w:val="9"/>
              </w:rPr>
              <w:t>p</w:t>
            </w:r>
            <w:r>
              <w:rPr>
                <w:spacing w:val="-35"/>
                <w:w w:val="168"/>
                <w:sz w:val="9"/>
              </w:rPr>
              <w:t>e</w:t>
            </w:r>
            <w:r>
              <w:rPr>
                <w:spacing w:val="-64"/>
                <w:w w:val="99"/>
                <w:position w:val="-9"/>
                <w:sz w:val="20"/>
              </w:rPr>
              <w:t>c</w:t>
            </w:r>
            <w:r>
              <w:rPr>
                <w:spacing w:val="-20"/>
                <w:w w:val="168"/>
                <w:sz w:val="9"/>
              </w:rPr>
              <w:t>n</w:t>
            </w:r>
            <w:r>
              <w:rPr>
                <w:spacing w:val="-91"/>
                <w:w w:val="99"/>
                <w:position w:val="-9"/>
                <w:sz w:val="20"/>
              </w:rPr>
              <w:t>u</w:t>
            </w:r>
            <w:r>
              <w:rPr>
                <w:spacing w:val="-1"/>
                <w:w w:val="168"/>
                <w:sz w:val="9"/>
              </w:rPr>
              <w:t>d</w:t>
            </w:r>
            <w:r>
              <w:rPr>
                <w:spacing w:val="-77"/>
                <w:w w:val="168"/>
                <w:sz w:val="9"/>
              </w:rPr>
              <w:t>e</w:t>
            </w:r>
            <w:r>
              <w:rPr>
                <w:spacing w:val="-34"/>
                <w:w w:val="99"/>
                <w:position w:val="-9"/>
                <w:sz w:val="20"/>
              </w:rPr>
              <w:t>e</w:t>
            </w:r>
            <w:r>
              <w:rPr>
                <w:spacing w:val="-52"/>
                <w:w w:val="168"/>
                <w:sz w:val="9"/>
              </w:rPr>
              <w:t>n</w:t>
            </w:r>
            <w:r>
              <w:rPr>
                <w:spacing w:val="-59"/>
                <w:w w:val="99"/>
                <w:position w:val="-9"/>
                <w:sz w:val="20"/>
              </w:rPr>
              <w:t>n</w:t>
            </w:r>
            <w:r>
              <w:rPr>
                <w:spacing w:val="-18"/>
                <w:w w:val="168"/>
                <w:sz w:val="9"/>
              </w:rPr>
              <w:t>c</w:t>
            </w:r>
            <w:r>
              <w:rPr>
                <w:spacing w:val="-38"/>
                <w:w w:val="99"/>
                <w:position w:val="-9"/>
                <w:sz w:val="20"/>
              </w:rPr>
              <w:t>t</w:t>
            </w:r>
            <w:r>
              <w:rPr>
                <w:w w:val="168"/>
                <w:sz w:val="9"/>
              </w:rPr>
              <w:t>i</w:t>
            </w:r>
            <w:r>
              <w:rPr>
                <w:spacing w:val="-81"/>
                <w:w w:val="168"/>
                <w:sz w:val="9"/>
              </w:rPr>
              <w:t>a</w:t>
            </w:r>
            <w:r>
              <w:rPr>
                <w:spacing w:val="-30"/>
                <w:w w:val="99"/>
                <w:position w:val="-9"/>
                <w:sz w:val="20"/>
              </w:rPr>
              <w:t>a</w:t>
            </w:r>
            <w:r>
              <w:rPr>
                <w:spacing w:val="-47"/>
                <w:w w:val="168"/>
                <w:sz w:val="9"/>
              </w:rPr>
              <w:t>s</w:t>
            </w:r>
            <w:r>
              <w:rPr>
                <w:w w:val="99"/>
                <w:position w:val="-9"/>
                <w:sz w:val="20"/>
              </w:rPr>
              <w:t>s</w:t>
            </w:r>
            <w:r>
              <w:rPr>
                <w:position w:val="-9"/>
                <w:sz w:val="20"/>
              </w:rPr>
              <w:t> </w:t>
            </w:r>
            <w:r>
              <w:rPr>
                <w:spacing w:val="1"/>
                <w:w w:val="99"/>
                <w:position w:val="-9"/>
                <w:sz w:val="20"/>
              </w:rPr>
              <w:t>p</w:t>
            </w:r>
            <w:r>
              <w:rPr>
                <w:w w:val="99"/>
                <w:position w:val="-9"/>
                <w:sz w:val="20"/>
              </w:rPr>
              <w:t>ú</w:t>
            </w:r>
          </w:p>
          <w:p>
            <w:pPr>
              <w:pStyle w:val="TableParagraph"/>
              <w:spacing w:line="53" w:lineRule="exact"/>
              <w:ind w:left="22" w:right="10"/>
              <w:rPr>
                <w:sz w:val="9"/>
              </w:rPr>
            </w:pPr>
            <w:r>
              <w:rPr>
                <w:w w:val="170"/>
                <w:sz w:val="9"/>
              </w:rPr>
              <w:t>involucradas.</w:t>
            </w:r>
          </w:p>
        </w:tc>
        <w:tc>
          <w:tcPr>
            <w:tcW w:w="2167" w:type="dxa"/>
            <w:tcBorders>
              <w:left w:val="single" w:sz="4" w:space="0" w:color="000000"/>
              <w:right w:val="single" w:sz="4" w:space="0" w:color="000000"/>
            </w:tcBorders>
          </w:tcPr>
          <w:p>
            <w:pPr>
              <w:pStyle w:val="TableParagraph"/>
              <w:rPr>
                <w:b/>
                <w:sz w:val="20"/>
              </w:rPr>
            </w:pPr>
          </w:p>
          <w:p>
            <w:pPr>
              <w:pStyle w:val="TableParagraph"/>
              <w:rPr>
                <w:b/>
                <w:sz w:val="20"/>
              </w:rPr>
            </w:pPr>
          </w:p>
          <w:p>
            <w:pPr>
              <w:pStyle w:val="TableParagraph"/>
              <w:rPr>
                <w:b/>
                <w:sz w:val="20"/>
              </w:rPr>
            </w:pPr>
          </w:p>
          <w:p>
            <w:pPr>
              <w:pStyle w:val="TableParagraph"/>
              <w:spacing w:before="3"/>
              <w:rPr>
                <w:b/>
                <w:sz w:val="16"/>
              </w:rPr>
            </w:pPr>
          </w:p>
          <w:p>
            <w:pPr>
              <w:pStyle w:val="TableParagraph"/>
              <w:ind w:left="29" w:hanging="53"/>
              <w:rPr>
                <w:sz w:val="20"/>
              </w:rPr>
            </w:pPr>
            <w:r>
              <w:rPr>
                <w:sz w:val="20"/>
              </w:rPr>
              <w:t>e en el Informe de </w:t>
            </w:r>
            <w:r>
              <w:rPr>
                <w:spacing w:val="-19"/>
                <w:sz w:val="20"/>
              </w:rPr>
              <w:t>R </w:t>
            </w:r>
            <w:r>
              <w:rPr>
                <w:sz w:val="20"/>
              </w:rPr>
              <w:t>blicas</w:t>
            </w:r>
            <w:r>
              <w:rPr>
                <w:spacing w:val="-2"/>
                <w:sz w:val="20"/>
              </w:rPr>
              <w:t> </w:t>
            </w:r>
            <w:r>
              <w:rPr>
                <w:sz w:val="20"/>
              </w:rPr>
              <w:t>2008-2014.</w:t>
            </w:r>
          </w:p>
        </w:tc>
        <w:tc>
          <w:tcPr>
            <w:tcW w:w="1761" w:type="dxa"/>
            <w:tcBorders>
              <w:left w:val="single" w:sz="4" w:space="0" w:color="000000"/>
              <w:right w:val="single" w:sz="4" w:space="0" w:color="000000"/>
            </w:tcBorders>
          </w:tcPr>
          <w:p>
            <w:pPr>
              <w:pStyle w:val="TableParagraph"/>
              <w:spacing w:line="259" w:lineRule="auto"/>
              <w:ind w:left="21" w:right="-9" w:firstLine="1"/>
              <w:rPr>
                <w:sz w:val="9"/>
              </w:rPr>
            </w:pPr>
            <w:r>
              <w:rPr>
                <w:w w:val="170"/>
                <w:sz w:val="9"/>
              </w:rPr>
              <w:t>No hizo del conocimiento de sus habitantes el monto de los recursos recibidos, obras y acciones por realizar, el costo de cada una, ubicación, metas y beneficiarios </w:t>
            </w:r>
            <w:r>
              <w:rPr>
                <w:spacing w:val="-6"/>
                <w:w w:val="170"/>
                <w:sz w:val="9"/>
              </w:rPr>
              <w:t>y, </w:t>
            </w:r>
            <w:r>
              <w:rPr>
                <w:w w:val="170"/>
                <w:sz w:val="9"/>
              </w:rPr>
              <w:t>al término</w:t>
            </w:r>
          </w:p>
          <w:p>
            <w:pPr>
              <w:pStyle w:val="TableParagraph"/>
              <w:spacing w:line="162" w:lineRule="exact"/>
              <w:ind w:left="23" w:right="-18"/>
              <w:rPr>
                <w:sz w:val="20"/>
              </w:rPr>
            </w:pPr>
            <w:r>
              <w:rPr>
                <w:spacing w:val="-66"/>
                <w:w w:val="168"/>
                <w:sz w:val="9"/>
              </w:rPr>
              <w:t>d</w:t>
            </w:r>
            <w:r>
              <w:rPr>
                <w:spacing w:val="-45"/>
                <w:w w:val="99"/>
                <w:position w:val="-8"/>
                <w:sz w:val="20"/>
              </w:rPr>
              <w:t>e</w:t>
            </w:r>
            <w:r>
              <w:rPr>
                <w:spacing w:val="-40"/>
                <w:w w:val="168"/>
                <w:sz w:val="9"/>
              </w:rPr>
              <w:t>e</w:t>
            </w:r>
            <w:r>
              <w:rPr>
                <w:spacing w:val="-61"/>
                <w:w w:val="99"/>
                <w:position w:val="-8"/>
                <w:sz w:val="20"/>
              </w:rPr>
              <w:t>s</w:t>
            </w:r>
            <w:r>
              <w:rPr>
                <w:w w:val="168"/>
                <w:sz w:val="9"/>
              </w:rPr>
              <w:t>l</w:t>
            </w:r>
            <w:r>
              <w:rPr>
                <w:spacing w:val="2"/>
                <w:sz w:val="9"/>
              </w:rPr>
              <w:t> </w:t>
            </w:r>
            <w:r>
              <w:rPr>
                <w:spacing w:val="-96"/>
                <w:w w:val="99"/>
                <w:position w:val="-8"/>
                <w:sz w:val="20"/>
              </w:rPr>
              <w:t>u</w:t>
            </w:r>
            <w:r>
              <w:rPr>
                <w:spacing w:val="-1"/>
                <w:w w:val="168"/>
                <w:sz w:val="9"/>
              </w:rPr>
              <w:t>e</w:t>
            </w:r>
            <w:r>
              <w:rPr>
                <w:spacing w:val="-22"/>
                <w:w w:val="168"/>
                <w:sz w:val="9"/>
              </w:rPr>
              <w:t>j</w:t>
            </w:r>
            <w:r>
              <w:rPr>
                <w:spacing w:val="-22"/>
                <w:w w:val="99"/>
                <w:position w:val="-8"/>
                <w:sz w:val="20"/>
              </w:rPr>
              <w:t>l</w:t>
            </w:r>
            <w:r>
              <w:rPr>
                <w:spacing w:val="-64"/>
                <w:w w:val="168"/>
                <w:sz w:val="9"/>
              </w:rPr>
              <w:t>e</w:t>
            </w:r>
            <w:r>
              <w:rPr>
                <w:w w:val="99"/>
                <w:position w:val="-8"/>
                <w:sz w:val="20"/>
              </w:rPr>
              <w:t>t</w:t>
            </w:r>
            <w:r>
              <w:rPr>
                <w:spacing w:val="-102"/>
                <w:w w:val="99"/>
                <w:position w:val="-8"/>
                <w:sz w:val="20"/>
              </w:rPr>
              <w:t>a</w:t>
            </w:r>
            <w:r>
              <w:rPr>
                <w:spacing w:val="-1"/>
                <w:w w:val="168"/>
                <w:sz w:val="9"/>
              </w:rPr>
              <w:t>r</w:t>
            </w:r>
            <w:r>
              <w:rPr>
                <w:spacing w:val="-23"/>
                <w:w w:val="168"/>
                <w:sz w:val="9"/>
              </w:rPr>
              <w:t>c</w:t>
            </w:r>
            <w:r>
              <w:rPr>
                <w:spacing w:val="-89"/>
                <w:w w:val="99"/>
                <w:position w:val="-8"/>
                <w:sz w:val="20"/>
              </w:rPr>
              <w:t>d</w:t>
            </w:r>
            <w:r>
              <w:rPr>
                <w:spacing w:val="1"/>
                <w:w w:val="168"/>
                <w:sz w:val="9"/>
              </w:rPr>
              <w:t>i</w:t>
            </w:r>
            <w:r>
              <w:rPr>
                <w:spacing w:val="-23"/>
                <w:w w:val="168"/>
                <w:sz w:val="9"/>
              </w:rPr>
              <w:t>c</w:t>
            </w:r>
            <w:r>
              <w:rPr>
                <w:spacing w:val="-89"/>
                <w:w w:val="99"/>
                <w:position w:val="-8"/>
                <w:sz w:val="20"/>
              </w:rPr>
              <w:t>o</w:t>
            </w:r>
            <w:r>
              <w:rPr>
                <w:w w:val="168"/>
                <w:sz w:val="9"/>
              </w:rPr>
              <w:t>i</w:t>
            </w:r>
            <w:r>
              <w:rPr>
                <w:spacing w:val="-31"/>
                <w:w w:val="168"/>
                <w:sz w:val="9"/>
              </w:rPr>
              <w:t>o</w:t>
            </w:r>
            <w:r>
              <w:rPr>
                <w:spacing w:val="-69"/>
                <w:w w:val="99"/>
                <w:position w:val="-8"/>
                <w:sz w:val="20"/>
              </w:rPr>
              <w:t>s</w:t>
            </w:r>
            <w:r>
              <w:rPr>
                <w:w w:val="168"/>
                <w:sz w:val="9"/>
              </w:rPr>
              <w:t>,</w:t>
            </w:r>
            <w:r>
              <w:rPr>
                <w:sz w:val="9"/>
              </w:rPr>
              <w:t> </w:t>
            </w:r>
            <w:r>
              <w:rPr>
                <w:spacing w:val="-9"/>
                <w:sz w:val="9"/>
              </w:rPr>
              <w:t> </w:t>
            </w:r>
            <w:r>
              <w:rPr>
                <w:w w:val="168"/>
                <w:sz w:val="9"/>
              </w:rPr>
              <w:t>n</w:t>
            </w:r>
            <w:r>
              <w:rPr>
                <w:spacing w:val="-45"/>
                <w:w w:val="168"/>
                <w:sz w:val="9"/>
              </w:rPr>
              <w:t>o</w:t>
            </w:r>
            <w:r>
              <w:rPr>
                <w:spacing w:val="-25"/>
                <w:w w:val="99"/>
                <w:position w:val="-8"/>
                <w:sz w:val="20"/>
              </w:rPr>
              <w:t>d</w:t>
            </w:r>
            <w:r>
              <w:rPr>
                <w:spacing w:val="-8"/>
                <w:w w:val="168"/>
                <w:sz w:val="9"/>
              </w:rPr>
              <w:t>l</w:t>
            </w:r>
            <w:r>
              <w:rPr>
                <w:spacing w:val="-103"/>
                <w:w w:val="99"/>
                <w:position w:val="-8"/>
                <w:sz w:val="20"/>
              </w:rPr>
              <w:t>e</w:t>
            </w:r>
            <w:r>
              <w:rPr>
                <w:w w:val="168"/>
                <w:sz w:val="9"/>
              </w:rPr>
              <w:t>e</w:t>
            </w:r>
            <w:r>
              <w:rPr>
                <w:w w:val="168"/>
                <w:sz w:val="9"/>
              </w:rPr>
              <w:t>s</w:t>
            </w:r>
            <w:r>
              <w:rPr>
                <w:sz w:val="9"/>
              </w:rPr>
              <w:t>  </w:t>
            </w:r>
            <w:r>
              <w:rPr>
                <w:spacing w:val="5"/>
                <w:sz w:val="9"/>
              </w:rPr>
              <w:t> </w:t>
            </w:r>
            <w:r>
              <w:rPr>
                <w:spacing w:val="1"/>
                <w:w w:val="99"/>
                <w:position w:val="-8"/>
                <w:sz w:val="20"/>
              </w:rPr>
              <w:t>l</w:t>
            </w:r>
            <w:r>
              <w:rPr>
                <w:w w:val="99"/>
                <w:position w:val="-8"/>
                <w:sz w:val="20"/>
              </w:rPr>
              <w:t>a</w:t>
            </w:r>
          </w:p>
          <w:p>
            <w:pPr>
              <w:pStyle w:val="TableParagraph"/>
              <w:spacing w:line="53" w:lineRule="exact"/>
              <w:ind w:left="23" w:right="-18"/>
              <w:rPr>
                <w:sz w:val="9"/>
              </w:rPr>
            </w:pPr>
            <w:r>
              <w:rPr>
                <w:w w:val="170"/>
                <w:sz w:val="9"/>
              </w:rPr>
              <w:t>informó los resultados</w:t>
            </w:r>
          </w:p>
          <w:p>
            <w:pPr>
              <w:pStyle w:val="TableParagraph"/>
              <w:spacing w:before="7"/>
              <w:ind w:left="23" w:right="345"/>
              <w:rPr>
                <w:sz w:val="9"/>
              </w:rPr>
            </w:pPr>
            <w:r>
              <w:rPr>
                <w:w w:val="170"/>
                <w:sz w:val="9"/>
              </w:rPr>
              <w:t>alcanzados.</w:t>
            </w:r>
          </w:p>
        </w:tc>
      </w:tr>
    </w:tbl>
    <w:p>
      <w:pPr>
        <w:spacing w:after="0"/>
        <w:rPr>
          <w:sz w:val="9"/>
        </w:rPr>
        <w:sectPr>
          <w:footerReference w:type="default" r:id="rId65"/>
          <w:pgSz w:w="15840" w:h="12240" w:orient="landscape"/>
          <w:pgMar w:footer="2002" w:header="0" w:top="1140" w:bottom="2200" w:left="2260" w:right="2260"/>
          <w:pgNumType w:start="22"/>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1"/>
        </w:rPr>
      </w:pPr>
    </w:p>
    <w:p>
      <w:pPr>
        <w:pStyle w:val="BodyText"/>
        <w:spacing w:before="4"/>
        <w:rPr>
          <w:b/>
          <w:sz w:val="8"/>
        </w:rPr>
      </w:pPr>
    </w:p>
    <w:p>
      <w:pPr>
        <w:spacing w:line="288" w:lineRule="auto" w:before="1"/>
        <w:ind w:left="4233" w:right="5419" w:firstLine="0"/>
        <w:jc w:val="center"/>
        <w:rPr>
          <w:b/>
          <w:sz w:val="6"/>
        </w:rPr>
      </w:pPr>
      <w:r>
        <w:rPr/>
        <w:pict>
          <v:group style="position:absolute;margin-left:131.734589pt;margin-top:20.341730pt;width:534.1pt;height:8.35pt;mso-position-horizontal-relative:page;mso-position-vertical-relative:paragraph;z-index:-678040" coordorigin="2635,407" coordsize="10682,167">
            <v:rect style="position:absolute;left:2635;top:407;width:10681;height:84" filled="true" fillcolor="#e6b8b7" stroked="false">
              <v:fill type="solid"/>
            </v:rect>
            <v:rect style="position:absolute;left:2635;top:490;width:10681;height:84" filled="true" fillcolor="#f1dcdb" stroked="false">
              <v:fill type="solid"/>
            </v:rect>
            <w10:wrap type="none"/>
          </v:group>
        </w:pict>
      </w:r>
      <w:r>
        <w:rPr>
          <w:b/>
          <w:w w:val="140"/>
          <w:sz w:val="6"/>
        </w:rPr>
        <w:t>Calidad de la Gestión Gubernamental Controles Internos (Manejo y Aplicación) Chimalhuacán  Ejercicio fiscal 2008</w:t>
      </w:r>
    </w:p>
    <w:p>
      <w:pPr>
        <w:pStyle w:val="BodyText"/>
        <w:spacing w:line="20" w:lineRule="exact"/>
        <w:ind w:left="372"/>
        <w:rPr>
          <w:sz w:val="2"/>
        </w:rPr>
      </w:pPr>
      <w:r>
        <w:rPr>
          <w:sz w:val="2"/>
        </w:rPr>
        <w:pict>
          <v:group style="width:469.15pt;height:.25pt;mso-position-horizontal-relative:char;mso-position-vertical-relative:line" coordorigin="0,0" coordsize="9383,5">
            <v:shape style="position:absolute;left:3;top:3;width:9378;height:2" coordorigin="3,3" coordsize="9378,0" path="m3,3l3,3,9380,3e" filled="false" stroked="true" strokeweight=".249694pt" strokecolor="#000000">
              <v:path arrowok="t"/>
            </v:shape>
          </v:group>
        </w:pict>
      </w:r>
      <w:r>
        <w:rPr>
          <w:sz w:val="2"/>
        </w:rPr>
      </w:r>
    </w:p>
    <w:p>
      <w:pPr>
        <w:pStyle w:val="BodyText"/>
        <w:spacing w:before="6"/>
        <w:rPr>
          <w:b/>
          <w:sz w:val="11"/>
        </w:rPr>
      </w:pPr>
    </w:p>
    <w:tbl>
      <w:tblPr>
        <w:tblW w:w="0" w:type="auto"/>
        <w:jc w:val="left"/>
        <w:tblInd w:w="3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3"/>
        <w:gridCol w:w="1361"/>
        <w:gridCol w:w="1191"/>
        <w:gridCol w:w="1191"/>
        <w:gridCol w:w="1467"/>
        <w:gridCol w:w="1579"/>
        <w:gridCol w:w="1304"/>
        <w:gridCol w:w="1305"/>
      </w:tblGrid>
      <w:tr>
        <w:trPr>
          <w:trHeight w:val="168" w:hRule="exact"/>
        </w:trPr>
        <w:tc>
          <w:tcPr>
            <w:tcW w:w="2644" w:type="dxa"/>
            <w:gridSpan w:val="2"/>
            <w:tcBorders>
              <w:left w:val="single" w:sz="3" w:space="0" w:color="000000"/>
              <w:bottom w:val="single" w:sz="2" w:space="0" w:color="000000"/>
              <w:right w:val="single" w:sz="3" w:space="0" w:color="000000"/>
            </w:tcBorders>
          </w:tcPr>
          <w:p>
            <w:pPr>
              <w:pStyle w:val="TableParagraph"/>
              <w:spacing w:before="9"/>
              <w:ind w:left="6"/>
              <w:jc w:val="center"/>
              <w:rPr>
                <w:b/>
                <w:sz w:val="6"/>
              </w:rPr>
            </w:pPr>
            <w:r>
              <w:rPr>
                <w:b/>
                <w:w w:val="140"/>
                <w:sz w:val="6"/>
              </w:rPr>
              <w:t>Ambiente de Control</w:t>
            </w:r>
          </w:p>
          <w:p>
            <w:pPr>
              <w:pStyle w:val="TableParagraph"/>
              <w:tabs>
                <w:tab w:pos="1288" w:val="left" w:leader="none"/>
              </w:tabs>
              <w:spacing w:before="13"/>
              <w:ind w:left="161"/>
              <w:jc w:val="center"/>
              <w:rPr>
                <w:b/>
                <w:sz w:val="6"/>
              </w:rPr>
            </w:pPr>
            <w:r>
              <w:rPr>
                <w:b/>
                <w:w w:val="140"/>
                <w:sz w:val="6"/>
              </w:rPr>
              <w:t>FISM</w:t>
              <w:tab/>
              <w:t>FORTAMUNDF</w:t>
            </w:r>
          </w:p>
        </w:tc>
        <w:tc>
          <w:tcPr>
            <w:tcW w:w="2382" w:type="dxa"/>
            <w:gridSpan w:val="2"/>
            <w:tcBorders>
              <w:left w:val="single" w:sz="3" w:space="0" w:color="000000"/>
              <w:bottom w:val="single" w:sz="2" w:space="0" w:color="000000"/>
              <w:right w:val="single" w:sz="3" w:space="0" w:color="000000"/>
            </w:tcBorders>
          </w:tcPr>
          <w:p>
            <w:pPr>
              <w:pStyle w:val="TableParagraph"/>
              <w:spacing w:before="9"/>
              <w:ind w:left="5"/>
              <w:jc w:val="center"/>
              <w:rPr>
                <w:b/>
                <w:sz w:val="6"/>
              </w:rPr>
            </w:pPr>
            <w:r>
              <w:rPr>
                <w:b/>
                <w:w w:val="140"/>
                <w:sz w:val="6"/>
              </w:rPr>
              <w:t>Administración de Riesgos</w:t>
            </w:r>
          </w:p>
          <w:p>
            <w:pPr>
              <w:pStyle w:val="TableParagraph"/>
              <w:tabs>
                <w:tab w:pos="1197" w:val="left" w:leader="none"/>
              </w:tabs>
              <w:spacing w:before="13"/>
              <w:ind w:left="200"/>
              <w:jc w:val="center"/>
              <w:rPr>
                <w:b/>
                <w:sz w:val="6"/>
              </w:rPr>
            </w:pPr>
            <w:r>
              <w:rPr>
                <w:b/>
                <w:w w:val="140"/>
                <w:sz w:val="6"/>
              </w:rPr>
              <w:t>FISM</w:t>
              <w:tab/>
              <w:t>FORTAMUNDF</w:t>
            </w:r>
          </w:p>
        </w:tc>
        <w:tc>
          <w:tcPr>
            <w:tcW w:w="3045" w:type="dxa"/>
            <w:gridSpan w:val="2"/>
            <w:tcBorders>
              <w:left w:val="single" w:sz="3" w:space="0" w:color="000000"/>
              <w:bottom w:val="single" w:sz="2" w:space="0" w:color="000000"/>
              <w:right w:val="single" w:sz="3" w:space="0" w:color="000000"/>
            </w:tcBorders>
          </w:tcPr>
          <w:p>
            <w:pPr>
              <w:pStyle w:val="TableParagraph"/>
              <w:tabs>
                <w:tab w:pos="1961" w:val="left" w:leader="none"/>
              </w:tabs>
              <w:spacing w:line="288" w:lineRule="auto" w:before="9"/>
              <w:ind w:left="633" w:right="144" w:hanging="483"/>
              <w:rPr>
                <w:b/>
                <w:sz w:val="6"/>
              </w:rPr>
            </w:pPr>
            <w:r>
              <w:rPr>
                <w:b/>
                <w:w w:val="140"/>
                <w:sz w:val="6"/>
              </w:rPr>
              <w:t>Supervisión de la aplicación eficiente de los mecanismos de control FISM</w:t>
              <w:tab/>
              <w:t>FORTAMUNDF</w:t>
            </w:r>
          </w:p>
        </w:tc>
        <w:tc>
          <w:tcPr>
            <w:tcW w:w="2609" w:type="dxa"/>
            <w:gridSpan w:val="2"/>
            <w:tcBorders>
              <w:left w:val="single" w:sz="3" w:space="0" w:color="000000"/>
              <w:bottom w:val="single" w:sz="2" w:space="0" w:color="000000"/>
              <w:right w:val="single" w:sz="3" w:space="0" w:color="000000"/>
            </w:tcBorders>
          </w:tcPr>
          <w:p>
            <w:pPr>
              <w:pStyle w:val="TableParagraph"/>
              <w:spacing w:before="9"/>
              <w:ind w:left="8"/>
              <w:jc w:val="center"/>
              <w:rPr>
                <w:b/>
                <w:sz w:val="6"/>
              </w:rPr>
            </w:pPr>
            <w:r>
              <w:rPr>
                <w:b/>
                <w:w w:val="140"/>
                <w:sz w:val="6"/>
              </w:rPr>
              <w:t>Información y Comunicación</w:t>
            </w:r>
          </w:p>
          <w:p>
            <w:pPr>
              <w:pStyle w:val="TableParagraph"/>
              <w:tabs>
                <w:tab w:pos="1311" w:val="left" w:leader="none"/>
              </w:tabs>
              <w:spacing w:before="13"/>
              <w:ind w:left="201"/>
              <w:jc w:val="center"/>
              <w:rPr>
                <w:b/>
                <w:sz w:val="6"/>
              </w:rPr>
            </w:pPr>
            <w:r>
              <w:rPr>
                <w:b/>
                <w:w w:val="140"/>
                <w:sz w:val="6"/>
              </w:rPr>
              <w:t>FISM</w:t>
              <w:tab/>
              <w:t>FORTAMUNDF</w:t>
            </w:r>
          </w:p>
        </w:tc>
      </w:tr>
      <w:tr>
        <w:trPr>
          <w:trHeight w:val="662" w:hRule="exact"/>
        </w:trPr>
        <w:tc>
          <w:tcPr>
            <w:tcW w:w="1283"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2" w:right="67"/>
              <w:rPr>
                <w:sz w:val="6"/>
              </w:rPr>
            </w:pPr>
            <w:r>
              <w:rPr>
                <w:w w:val="140"/>
                <w:sz w:val="6"/>
              </w:rPr>
              <w:t>El municipio promovió la participación de la ciudadanía, en el destino, aplicación, vigilancia, programación, ejecución y control de las obras del fondo.</w:t>
            </w:r>
          </w:p>
        </w:tc>
        <w:tc>
          <w:tcPr>
            <w:tcW w:w="1361"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57" w:firstLine="1"/>
              <w:rPr>
                <w:sz w:val="6"/>
              </w:rPr>
            </w:pPr>
            <w:r>
              <w:rPr>
                <w:w w:val="140"/>
                <w:sz w:val="6"/>
              </w:rPr>
              <w:t>La documentación original comprobatoria del gasto realizado con el FORTAMUN-DF 2008, se encuentra cancelada con el sello de “Operado y Pagado”.</w:t>
            </w:r>
          </w:p>
        </w:tc>
        <w:tc>
          <w:tcPr>
            <w:tcW w:w="1191"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8"/>
              <w:rPr>
                <w:sz w:val="6"/>
              </w:rPr>
            </w:pPr>
            <w:r>
              <w:rPr>
                <w:w w:val="140"/>
                <w:sz w:val="6"/>
              </w:rPr>
              <w:t>No se ha implantado como  una medida de control al final del ejercicio la evaluación de los resultados obtenidos con la aplicación del FISM 2008, a fin de retroalimentar la operación del fondo para el siguiente ejercicio.</w:t>
            </w:r>
          </w:p>
        </w:tc>
        <w:tc>
          <w:tcPr>
            <w:tcW w:w="1191" w:type="dxa"/>
            <w:tcBorders>
              <w:top w:val="single" w:sz="2" w:space="0" w:color="000000"/>
              <w:left w:val="single" w:sz="3" w:space="0" w:color="000000"/>
              <w:bottom w:val="single" w:sz="2" w:space="0" w:color="000000"/>
              <w:right w:val="single" w:sz="3" w:space="0" w:color="000000"/>
            </w:tcBorders>
          </w:tcPr>
          <w:p>
            <w:pPr/>
          </w:p>
        </w:tc>
        <w:tc>
          <w:tcPr>
            <w:tcW w:w="1467" w:type="dxa"/>
            <w:tcBorders>
              <w:top w:val="single" w:sz="2" w:space="0" w:color="000000"/>
              <w:left w:val="single" w:sz="3" w:space="0" w:color="000000"/>
              <w:bottom w:val="single" w:sz="2" w:space="0" w:color="000000"/>
              <w:right w:val="single" w:sz="3" w:space="0" w:color="000000"/>
            </w:tcBorders>
          </w:tcPr>
          <w:p>
            <w:pPr/>
          </w:p>
        </w:tc>
        <w:tc>
          <w:tcPr>
            <w:tcW w:w="1579" w:type="dxa"/>
            <w:tcBorders>
              <w:top w:val="single" w:sz="2" w:space="0" w:color="000000"/>
              <w:left w:val="single" w:sz="3" w:space="0" w:color="000000"/>
              <w:bottom w:val="single" w:sz="2" w:space="0" w:color="000000"/>
              <w:right w:val="single" w:sz="3" w:space="0" w:color="000000"/>
            </w:tcBorders>
          </w:tcPr>
          <w:p>
            <w:pPr/>
          </w:p>
        </w:tc>
        <w:tc>
          <w:tcPr>
            <w:tcW w:w="1304"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57"/>
              <w:rPr>
                <w:sz w:val="6"/>
              </w:rPr>
            </w:pPr>
            <w:r>
              <w:rPr>
                <w:w w:val="140"/>
                <w:sz w:val="6"/>
              </w:rPr>
              <w:t>El municipio no maneja contable ni presupuestalmente en forma separada los recursos del Ramo 33 y los propios.</w:t>
            </w:r>
          </w:p>
        </w:tc>
        <w:tc>
          <w:tcPr>
            <w:tcW w:w="1305" w:type="dxa"/>
            <w:tcBorders>
              <w:top w:val="single" w:sz="2" w:space="0" w:color="000000"/>
              <w:left w:val="single" w:sz="3" w:space="0" w:color="000000"/>
              <w:bottom w:val="single" w:sz="2" w:space="0" w:color="000000"/>
              <w:right w:val="single" w:sz="3" w:space="0" w:color="000000"/>
            </w:tcBorders>
          </w:tcPr>
          <w:p>
            <w:pPr/>
          </w:p>
        </w:tc>
      </w:tr>
      <w:tr>
        <w:trPr>
          <w:trHeight w:val="827" w:hRule="exact"/>
        </w:trPr>
        <w:tc>
          <w:tcPr>
            <w:tcW w:w="1283"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2" w:right="3"/>
              <w:rPr>
                <w:sz w:val="6"/>
              </w:rPr>
            </w:pPr>
            <w:r>
              <w:rPr>
                <w:w w:val="140"/>
                <w:sz w:val="6"/>
              </w:rPr>
              <w:t>No se tiene un área especial que se encargue de procesar la información que garantice la correcta integración de los expedientes técnicos relacionados con los procesos de adjudicación y contratación de obra pública.</w:t>
            </w:r>
          </w:p>
        </w:tc>
        <w:tc>
          <w:tcPr>
            <w:tcW w:w="1361"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8" w:firstLine="1"/>
              <w:rPr>
                <w:sz w:val="6"/>
              </w:rPr>
            </w:pPr>
            <w:r>
              <w:rPr>
                <w:w w:val="140"/>
                <w:sz w:val="6"/>
              </w:rPr>
              <w:t>Los recursos del FORTAMUN-DF 2008 no fueron ejercidos en su totalidad en el ejercicio para el que fueron asignados, lo cual, aún cuando de acuerdo con la Ley de Coordinación Fiscal no es obligatorio aplicarlos en el mismo ejercicio, sí propicia incumplimiento de las metas y objetivos planteados.</w:t>
            </w:r>
          </w:p>
        </w:tc>
        <w:tc>
          <w:tcPr>
            <w:tcW w:w="1191"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47"/>
              <w:rPr>
                <w:sz w:val="6"/>
              </w:rPr>
            </w:pPr>
            <w:r>
              <w:rPr>
                <w:w w:val="140"/>
                <w:sz w:val="6"/>
              </w:rPr>
              <w:t>El municipio abrió una cuenta bancaria específica para recibir y administrar los recursos del FISM 2008, pero no se contrató una cuenta productiva</w:t>
            </w:r>
          </w:p>
        </w:tc>
        <w:tc>
          <w:tcPr>
            <w:tcW w:w="1191" w:type="dxa"/>
            <w:tcBorders>
              <w:top w:val="single" w:sz="2" w:space="0" w:color="000000"/>
              <w:left w:val="single" w:sz="3" w:space="0" w:color="000000"/>
              <w:bottom w:val="single" w:sz="2" w:space="0" w:color="000000"/>
              <w:right w:val="single" w:sz="3" w:space="0" w:color="000000"/>
            </w:tcBorders>
          </w:tcPr>
          <w:p>
            <w:pPr/>
          </w:p>
        </w:tc>
        <w:tc>
          <w:tcPr>
            <w:tcW w:w="1467" w:type="dxa"/>
            <w:tcBorders>
              <w:top w:val="single" w:sz="2" w:space="0" w:color="000000"/>
              <w:left w:val="single" w:sz="3" w:space="0" w:color="000000"/>
              <w:bottom w:val="single" w:sz="2" w:space="0" w:color="000000"/>
              <w:right w:val="single" w:sz="3" w:space="0" w:color="000000"/>
            </w:tcBorders>
          </w:tcPr>
          <w:p>
            <w:pPr/>
          </w:p>
        </w:tc>
        <w:tc>
          <w:tcPr>
            <w:tcW w:w="1579" w:type="dxa"/>
            <w:tcBorders>
              <w:top w:val="single" w:sz="2" w:space="0" w:color="000000"/>
              <w:left w:val="single" w:sz="3" w:space="0" w:color="000000"/>
              <w:bottom w:val="single" w:sz="2" w:space="0" w:color="000000"/>
              <w:right w:val="single" w:sz="3" w:space="0" w:color="000000"/>
            </w:tcBorders>
          </w:tcPr>
          <w:p>
            <w:pPr/>
          </w:p>
        </w:tc>
        <w:tc>
          <w:tcPr>
            <w:tcW w:w="1304"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38"/>
              <w:rPr>
                <w:sz w:val="6"/>
              </w:rPr>
            </w:pPr>
            <w:r>
              <w:rPr>
                <w:w w:val="140"/>
                <w:sz w:val="6"/>
              </w:rPr>
              <w:t>No se hizo del conocimiento de sus habitantes el monto de los recursos recibidos, las obras y acciones por realizar, el costo de cada una, su ubicación, metas y beneficiarios ni al término del ejercicio informó sobre los resultados alcanzados.</w:t>
            </w:r>
          </w:p>
        </w:tc>
        <w:tc>
          <w:tcPr>
            <w:tcW w:w="1305" w:type="dxa"/>
            <w:tcBorders>
              <w:top w:val="single" w:sz="2" w:space="0" w:color="000000"/>
              <w:left w:val="single" w:sz="3" w:space="0" w:color="000000"/>
              <w:bottom w:val="single" w:sz="2" w:space="0" w:color="000000"/>
              <w:right w:val="single" w:sz="3" w:space="0" w:color="000000"/>
            </w:tcBorders>
          </w:tcPr>
          <w:p>
            <w:pPr/>
          </w:p>
        </w:tc>
      </w:tr>
      <w:tr>
        <w:trPr>
          <w:trHeight w:val="992" w:hRule="exact"/>
        </w:trPr>
        <w:tc>
          <w:tcPr>
            <w:tcW w:w="1283"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11"/>
              <w:rPr>
                <w:sz w:val="6"/>
              </w:rPr>
            </w:pPr>
            <w:r>
              <w:rPr>
                <w:w w:val="140"/>
                <w:sz w:val="6"/>
              </w:rPr>
              <w:t>No obstante que el municipio cuenta con un área de planeación, programación y presupuestación, el 4.7% de los recursos ejercidos del FISM  2008 se orientan a obras y acciones no contempladas  dentro de los rubros que establece el artículo 33, inciso a, de la Ley de Coordinación</w:t>
            </w:r>
            <w:r>
              <w:rPr>
                <w:spacing w:val="-3"/>
                <w:w w:val="140"/>
                <w:sz w:val="6"/>
              </w:rPr>
              <w:t> </w:t>
            </w:r>
            <w:r>
              <w:rPr>
                <w:w w:val="140"/>
                <w:sz w:val="6"/>
              </w:rPr>
              <w:t>Fiscal.</w:t>
            </w:r>
          </w:p>
        </w:tc>
        <w:tc>
          <w:tcPr>
            <w:tcW w:w="1361" w:type="dxa"/>
            <w:tcBorders>
              <w:top w:val="single" w:sz="2" w:space="0" w:color="000000"/>
              <w:left w:val="single" w:sz="3" w:space="0" w:color="000000"/>
              <w:bottom w:val="single" w:sz="2" w:space="0" w:color="000000"/>
              <w:right w:val="single" w:sz="3" w:space="0" w:color="000000"/>
            </w:tcBorders>
          </w:tcPr>
          <w:p>
            <w:pPr/>
          </w:p>
        </w:tc>
        <w:tc>
          <w:tcPr>
            <w:tcW w:w="1191"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6"/>
              <w:rPr>
                <w:sz w:val="6"/>
              </w:rPr>
            </w:pPr>
            <w:r>
              <w:rPr>
                <w:w w:val="140"/>
                <w:sz w:val="6"/>
              </w:rPr>
              <w:t>Las cifras presentadas en los estados financieros, cierre de ejercicio presupuestal y en la cuenta pública municipal, respecto del FISM 2008, no son conciliadas mensualmente entre las dependencias involucradas.</w:t>
            </w:r>
          </w:p>
        </w:tc>
        <w:tc>
          <w:tcPr>
            <w:tcW w:w="1191" w:type="dxa"/>
            <w:tcBorders>
              <w:top w:val="single" w:sz="2" w:space="0" w:color="000000"/>
              <w:left w:val="single" w:sz="3" w:space="0" w:color="000000"/>
              <w:bottom w:val="single" w:sz="2" w:space="0" w:color="000000"/>
              <w:right w:val="single" w:sz="3" w:space="0" w:color="000000"/>
            </w:tcBorders>
          </w:tcPr>
          <w:p>
            <w:pPr/>
          </w:p>
        </w:tc>
        <w:tc>
          <w:tcPr>
            <w:tcW w:w="1467" w:type="dxa"/>
            <w:tcBorders>
              <w:top w:val="single" w:sz="2" w:space="0" w:color="000000"/>
              <w:left w:val="single" w:sz="3" w:space="0" w:color="000000"/>
              <w:bottom w:val="single" w:sz="2" w:space="0" w:color="000000"/>
              <w:right w:val="single" w:sz="3" w:space="0" w:color="000000"/>
            </w:tcBorders>
          </w:tcPr>
          <w:p>
            <w:pPr/>
          </w:p>
        </w:tc>
        <w:tc>
          <w:tcPr>
            <w:tcW w:w="1579" w:type="dxa"/>
            <w:tcBorders>
              <w:top w:val="single" w:sz="2" w:space="0" w:color="000000"/>
              <w:left w:val="single" w:sz="3" w:space="0" w:color="000000"/>
              <w:bottom w:val="single" w:sz="2" w:space="0" w:color="000000"/>
              <w:right w:val="single" w:sz="3" w:space="0" w:color="000000"/>
            </w:tcBorders>
          </w:tcPr>
          <w:p>
            <w:pPr/>
          </w:p>
        </w:tc>
        <w:tc>
          <w:tcPr>
            <w:tcW w:w="1304"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1"/>
              <w:rPr>
                <w:sz w:val="6"/>
              </w:rPr>
            </w:pPr>
            <w:r>
              <w:rPr>
                <w:w w:val="140"/>
                <w:sz w:val="6"/>
              </w:rPr>
              <w:t>No se publicaron los informes trimestrales sobre la utilización de los recursos del fondo en los órganos locales de difusión, ni se pusieron a disposición del público en general a través de publicaciones específicas y medios electrónicos.</w:t>
            </w:r>
          </w:p>
        </w:tc>
        <w:tc>
          <w:tcPr>
            <w:tcW w:w="1305" w:type="dxa"/>
            <w:tcBorders>
              <w:top w:val="single" w:sz="2" w:space="0" w:color="000000"/>
              <w:left w:val="single" w:sz="3" w:space="0" w:color="000000"/>
              <w:bottom w:val="single" w:sz="2" w:space="0" w:color="000000"/>
              <w:right w:val="single" w:sz="3" w:space="0" w:color="000000"/>
            </w:tcBorders>
          </w:tcPr>
          <w:p>
            <w:pPr/>
          </w:p>
        </w:tc>
      </w:tr>
      <w:tr>
        <w:trPr>
          <w:trHeight w:val="413" w:hRule="exact"/>
        </w:trPr>
        <w:tc>
          <w:tcPr>
            <w:tcW w:w="1283"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2" w:right="25"/>
              <w:rPr>
                <w:sz w:val="6"/>
              </w:rPr>
            </w:pPr>
            <w:r>
              <w:rPr>
                <w:w w:val="140"/>
                <w:sz w:val="6"/>
              </w:rPr>
              <w:t>La mayoría de la documentación original comprobatoria del gasto del FISM 2008, se encuentra cancelada con el sello de “Operado y Pagado</w:t>
            </w:r>
          </w:p>
        </w:tc>
        <w:tc>
          <w:tcPr>
            <w:tcW w:w="1361" w:type="dxa"/>
            <w:tcBorders>
              <w:top w:val="single" w:sz="2" w:space="0" w:color="000000"/>
              <w:left w:val="single" w:sz="3" w:space="0" w:color="000000"/>
              <w:bottom w:val="single" w:sz="2" w:space="0" w:color="000000"/>
              <w:right w:val="single" w:sz="3" w:space="0" w:color="000000"/>
            </w:tcBorders>
          </w:tcPr>
          <w:p>
            <w:pPr/>
          </w:p>
        </w:tc>
        <w:tc>
          <w:tcPr>
            <w:tcW w:w="1191" w:type="dxa"/>
            <w:tcBorders>
              <w:top w:val="single" w:sz="2" w:space="0" w:color="000000"/>
              <w:left w:val="single" w:sz="3" w:space="0" w:color="000000"/>
              <w:bottom w:val="single" w:sz="2" w:space="0" w:color="000000"/>
              <w:right w:val="single" w:sz="3" w:space="0" w:color="000000"/>
            </w:tcBorders>
          </w:tcPr>
          <w:p>
            <w:pPr>
              <w:pStyle w:val="TableParagraph"/>
              <w:spacing w:line="285" w:lineRule="auto" w:before="4"/>
              <w:ind w:left="12" w:right="149" w:hanging="1"/>
              <w:rPr>
                <w:sz w:val="6"/>
              </w:rPr>
            </w:pPr>
            <w:r>
              <w:rPr>
                <w:w w:val="140"/>
                <w:sz w:val="6"/>
              </w:rPr>
              <w:t>No se rebasó el porcentaje autorizado para gastos indirectos.</w:t>
            </w:r>
          </w:p>
        </w:tc>
        <w:tc>
          <w:tcPr>
            <w:tcW w:w="1191" w:type="dxa"/>
            <w:tcBorders>
              <w:top w:val="single" w:sz="2" w:space="0" w:color="000000"/>
              <w:left w:val="single" w:sz="3" w:space="0" w:color="000000"/>
              <w:bottom w:val="single" w:sz="2" w:space="0" w:color="000000"/>
              <w:right w:val="single" w:sz="3" w:space="0" w:color="000000"/>
            </w:tcBorders>
          </w:tcPr>
          <w:p>
            <w:pPr/>
          </w:p>
        </w:tc>
        <w:tc>
          <w:tcPr>
            <w:tcW w:w="1467" w:type="dxa"/>
            <w:tcBorders>
              <w:top w:val="single" w:sz="2" w:space="0" w:color="000000"/>
              <w:left w:val="single" w:sz="3" w:space="0" w:color="000000"/>
              <w:bottom w:val="single" w:sz="2" w:space="0" w:color="000000"/>
              <w:right w:val="single" w:sz="3" w:space="0" w:color="000000"/>
            </w:tcBorders>
          </w:tcPr>
          <w:p>
            <w:pPr/>
          </w:p>
        </w:tc>
        <w:tc>
          <w:tcPr>
            <w:tcW w:w="1579" w:type="dxa"/>
            <w:tcBorders>
              <w:top w:val="single" w:sz="2" w:space="0" w:color="000000"/>
              <w:left w:val="single" w:sz="3" w:space="0" w:color="000000"/>
              <w:bottom w:val="single" w:sz="2" w:space="0" w:color="000000"/>
              <w:right w:val="single" w:sz="3" w:space="0" w:color="000000"/>
            </w:tcBorders>
          </w:tcPr>
          <w:p>
            <w:pPr/>
          </w:p>
        </w:tc>
        <w:tc>
          <w:tcPr>
            <w:tcW w:w="1304" w:type="dxa"/>
            <w:tcBorders>
              <w:top w:val="single" w:sz="2" w:space="0" w:color="000000"/>
              <w:left w:val="single" w:sz="3" w:space="0" w:color="000000"/>
              <w:bottom w:val="single" w:sz="2" w:space="0" w:color="000000"/>
              <w:right w:val="single" w:sz="3" w:space="0" w:color="000000"/>
            </w:tcBorders>
          </w:tcPr>
          <w:p>
            <w:pPr/>
          </w:p>
        </w:tc>
        <w:tc>
          <w:tcPr>
            <w:tcW w:w="1305" w:type="dxa"/>
            <w:tcBorders>
              <w:top w:val="single" w:sz="2" w:space="0" w:color="000000"/>
              <w:left w:val="single" w:sz="3" w:space="0" w:color="000000"/>
              <w:bottom w:val="single" w:sz="2" w:space="0" w:color="000000"/>
              <w:right w:val="single" w:sz="3" w:space="0" w:color="000000"/>
            </w:tcBorders>
          </w:tcPr>
          <w:p>
            <w:pPr/>
          </w:p>
        </w:tc>
      </w:tr>
      <w:tr>
        <w:trPr>
          <w:trHeight w:val="744" w:hRule="exact"/>
        </w:trPr>
        <w:tc>
          <w:tcPr>
            <w:tcW w:w="1283"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2" w:right="25"/>
              <w:rPr>
                <w:sz w:val="6"/>
              </w:rPr>
            </w:pPr>
            <w:r>
              <w:rPr>
                <w:w w:val="140"/>
                <w:sz w:val="6"/>
              </w:rPr>
              <w:t>Los recursos del FISM 2008 no fueron ejercidos en su totalidad en el ejercicio para el que fueron asignados, lo cual propicia incumplimiento de las metas y objetivos planteados.</w:t>
            </w:r>
          </w:p>
        </w:tc>
        <w:tc>
          <w:tcPr>
            <w:tcW w:w="1361" w:type="dxa"/>
            <w:tcBorders>
              <w:top w:val="single" w:sz="2" w:space="0" w:color="000000"/>
              <w:left w:val="single" w:sz="3" w:space="0" w:color="000000"/>
              <w:bottom w:val="single" w:sz="2" w:space="0" w:color="000000"/>
              <w:right w:val="single" w:sz="3" w:space="0" w:color="000000"/>
            </w:tcBorders>
          </w:tcPr>
          <w:p>
            <w:pPr/>
          </w:p>
        </w:tc>
        <w:tc>
          <w:tcPr>
            <w:tcW w:w="1191" w:type="dxa"/>
            <w:tcBorders>
              <w:top w:val="single" w:sz="2" w:space="0" w:color="000000"/>
              <w:left w:val="single" w:sz="3" w:space="0" w:color="000000"/>
              <w:bottom w:val="single" w:sz="2" w:space="0" w:color="000000"/>
              <w:right w:val="single" w:sz="3" w:space="0" w:color="000000"/>
            </w:tcBorders>
          </w:tcPr>
          <w:p>
            <w:pPr>
              <w:pStyle w:val="TableParagraph"/>
              <w:spacing w:line="288" w:lineRule="auto" w:before="4"/>
              <w:ind w:left="11" w:right="8"/>
              <w:rPr>
                <w:sz w:val="6"/>
              </w:rPr>
            </w:pPr>
            <w:r>
              <w:rPr>
                <w:w w:val="140"/>
                <w:sz w:val="6"/>
              </w:rPr>
              <w:t>El municipio lleva a cabo los actos de entrega–recepción de las obras del FISM 2008 a los beneficiarios donde se constata la operación de las obras y la satisfacción de los beneficiarios directos de las obras.</w:t>
            </w:r>
          </w:p>
        </w:tc>
        <w:tc>
          <w:tcPr>
            <w:tcW w:w="1191" w:type="dxa"/>
            <w:tcBorders>
              <w:top w:val="single" w:sz="2" w:space="0" w:color="000000"/>
              <w:left w:val="single" w:sz="3" w:space="0" w:color="000000"/>
              <w:bottom w:val="single" w:sz="2" w:space="0" w:color="000000"/>
              <w:right w:val="single" w:sz="3" w:space="0" w:color="000000"/>
            </w:tcBorders>
          </w:tcPr>
          <w:p>
            <w:pPr/>
          </w:p>
        </w:tc>
        <w:tc>
          <w:tcPr>
            <w:tcW w:w="1467" w:type="dxa"/>
            <w:tcBorders>
              <w:top w:val="single" w:sz="2" w:space="0" w:color="000000"/>
              <w:left w:val="single" w:sz="3" w:space="0" w:color="000000"/>
              <w:bottom w:val="single" w:sz="2" w:space="0" w:color="000000"/>
              <w:right w:val="single" w:sz="3" w:space="0" w:color="000000"/>
            </w:tcBorders>
          </w:tcPr>
          <w:p>
            <w:pPr/>
          </w:p>
        </w:tc>
        <w:tc>
          <w:tcPr>
            <w:tcW w:w="1579" w:type="dxa"/>
            <w:tcBorders>
              <w:top w:val="single" w:sz="2" w:space="0" w:color="000000"/>
              <w:left w:val="single" w:sz="3" w:space="0" w:color="000000"/>
              <w:bottom w:val="single" w:sz="2" w:space="0" w:color="000000"/>
              <w:right w:val="single" w:sz="3" w:space="0" w:color="000000"/>
            </w:tcBorders>
          </w:tcPr>
          <w:p>
            <w:pPr/>
          </w:p>
        </w:tc>
        <w:tc>
          <w:tcPr>
            <w:tcW w:w="1304" w:type="dxa"/>
            <w:tcBorders>
              <w:top w:val="single" w:sz="2" w:space="0" w:color="000000"/>
              <w:left w:val="single" w:sz="3" w:space="0" w:color="000000"/>
              <w:bottom w:val="single" w:sz="2" w:space="0" w:color="000000"/>
              <w:right w:val="single" w:sz="3" w:space="0" w:color="000000"/>
            </w:tcBorders>
          </w:tcPr>
          <w:p>
            <w:pPr/>
          </w:p>
        </w:tc>
        <w:tc>
          <w:tcPr>
            <w:tcW w:w="1305" w:type="dxa"/>
            <w:tcBorders>
              <w:top w:val="single" w:sz="2" w:space="0" w:color="000000"/>
              <w:left w:val="single" w:sz="3" w:space="0" w:color="000000"/>
              <w:bottom w:val="single" w:sz="2" w:space="0" w:color="000000"/>
              <w:right w:val="single" w:sz="3" w:space="0" w:color="000000"/>
            </w:tcBorders>
          </w:tcPr>
          <w:p>
            <w:pPr/>
          </w:p>
        </w:tc>
      </w:tr>
    </w:tbl>
    <w:p>
      <w:pPr>
        <w:pStyle w:val="BodyText"/>
        <w:rPr>
          <w:b/>
          <w:sz w:val="20"/>
        </w:rPr>
      </w:pPr>
    </w:p>
    <w:p>
      <w:pPr>
        <w:pStyle w:val="BodyText"/>
        <w:rPr>
          <w:b/>
          <w:sz w:val="20"/>
        </w:rPr>
      </w:pPr>
    </w:p>
    <w:p>
      <w:pPr>
        <w:pStyle w:val="BodyText"/>
        <w:rPr>
          <w:b/>
          <w:sz w:val="20"/>
        </w:rPr>
      </w:pPr>
    </w:p>
    <w:p>
      <w:pPr>
        <w:pStyle w:val="BodyText"/>
        <w:spacing w:before="9"/>
        <w:rPr>
          <w:b/>
          <w:sz w:val="22"/>
        </w:rPr>
      </w:pPr>
    </w:p>
    <w:p>
      <w:pPr>
        <w:spacing w:before="74"/>
        <w:ind w:left="2182" w:right="2588" w:firstLine="0"/>
        <w:jc w:val="left"/>
        <w:rPr>
          <w:sz w:val="20"/>
        </w:rPr>
      </w:pPr>
      <w:r>
        <w:rPr>
          <w:b/>
          <w:sz w:val="20"/>
        </w:rPr>
        <w:t>Fuente</w:t>
      </w:r>
      <w:r>
        <w:rPr>
          <w:sz w:val="20"/>
        </w:rPr>
        <w:t>: Elaboración propia con base en el Informe de Resultados de la Fiscalización Superior de las cuentas públicas 2008-2014.</w:t>
      </w:r>
    </w:p>
    <w:p>
      <w:pPr>
        <w:pStyle w:val="BodyText"/>
        <w:spacing w:line="188" w:lineRule="exact"/>
        <w:ind w:left="3503" w:right="1340"/>
      </w:pPr>
      <w:r>
        <w:rPr/>
        <w:t>Anexo 29.</w:t>
      </w:r>
    </w:p>
    <w:p>
      <w:pPr>
        <w:spacing w:after="0" w:line="188" w:lineRule="exact"/>
        <w:sectPr>
          <w:pgSz w:w="15840" w:h="12240" w:orient="landscape"/>
          <w:pgMar w:header="0" w:footer="2002" w:top="1140" w:bottom="2280" w:left="2260" w:right="2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rPr>
      </w:pPr>
    </w:p>
    <w:p>
      <w:pPr>
        <w:pStyle w:val="BodyText"/>
        <w:ind w:left="418"/>
        <w:rPr>
          <w:rFonts w:ascii="Times New Roman"/>
          <w:sz w:val="20"/>
        </w:rPr>
      </w:pPr>
      <w:r>
        <w:rPr>
          <w:rFonts w:ascii="Times New Roman"/>
          <w:sz w:val="20"/>
        </w:rPr>
        <w:pict>
          <v:group style="width:522pt;height:34.8pt;mso-position-horizontal-relative:char;mso-position-vertical-relative:line" coordorigin="0,0" coordsize="10440,696">
            <v:shape style="position:absolute;left:0;top:0;width:10440;height:696" type="#_x0000_t75" stroked="false">
              <v:imagedata r:id="rId67" o:title=""/>
            </v:shape>
            <v:shape style="position:absolute;left:0;top:0;width:10440;height:696" type="#_x0000_t202" filled="false" stroked="false">
              <v:textbox inset="0,0,0,0">
                <w:txbxContent>
                  <w:p>
                    <w:pPr>
                      <w:spacing w:line="242" w:lineRule="auto" w:before="0"/>
                      <w:ind w:left="144" w:right="0"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v:group>
        </w:pict>
      </w:r>
      <w:r>
        <w:rPr>
          <w:rFonts w:ascii="Times New Roman"/>
          <w:sz w:val="20"/>
        </w:rPr>
      </w:r>
    </w:p>
    <w:p>
      <w:pPr>
        <w:spacing w:after="0"/>
        <w:rPr>
          <w:rFonts w:ascii="Times New Roman"/>
          <w:sz w:val="20"/>
        </w:rPr>
        <w:sectPr>
          <w:footerReference w:type="default" r:id="rId66"/>
          <w:pgSz w:w="15840" w:h="12240" w:orient="landscape"/>
          <w:pgMar w:footer="992" w:header="0" w:top="1140" w:bottom="1180" w:left="2260" w:right="2260"/>
          <w:pgNumType w:start="231"/>
        </w:sectPr>
      </w:pPr>
    </w:p>
    <w:p>
      <w:pPr>
        <w:pStyle w:val="BodyText"/>
        <w:rPr>
          <w:rFonts w:ascii="Times New Roman"/>
          <w:sz w:val="20"/>
        </w:rPr>
      </w:pPr>
      <w:r>
        <w:rPr/>
        <w:pict>
          <v:shape style="position:absolute;margin-left:187.396957pt;margin-top:289.977844pt;width:4.45pt;height:3.15pt;mso-position-horizontal-relative:page;mso-position-vertical-relative:page;z-index:-677824" coordorigin="3748,5800" coordsize="89,63" path="m3836,5800l3821,5800,3821,5803,3831,5803,3831,5813,3836,5813,3836,5800xm3811,5800l3797,5800,3797,5803,3811,5803,3811,5800xm3836,5824l3831,5824,3831,5838,3836,5838,3836,5824xm3813,5841l3809,5845,3811,5846,3813,5847,3821,5847,3824,5843,3814,5843,3813,5842,3813,5841xm3804,5816l3787,5816,3787,5846,3805,5846,3809,5843,3809,5842,3792,5842,3792,5832,3808,5832,3807,5832,3804,5831,3806,5829,3792,5829,3792,5820,3808,5820,3808,5819,3804,5816xm3824,5816l3820,5816,3820,5841,3818,5843,3824,5843,3824,5816xm3808,5832l3801,5832,3804,5834,3804,5840,3802,5842,3809,5842,3809,5834,3808,5832xm3808,5820l3800,5820,3803,5822,3803,5828,3800,5829,3806,5829,3808,5827,3808,5820xm3787,5800l3772,5800,3772,5803,3787,5803,3787,5800xm3836,5849l3831,5849,3831,5859,3821,5859,3821,5863,3836,5863,3836,5849xm3761,5800l3748,5800,3748,5813,3752,5813,3752,5803,3761,5803,3761,5800xm3811,5859l3797,5859,3797,5863,3811,5863,3811,5859xm3775,5815l3766,5815,3763,5817,3761,5820,3759,5823,3758,5827,3758,5836,3759,5840,3761,5843,3763,5846,3766,5847,3775,5847,3779,5846,3781,5843,3765,5843,3763,5839,3763,5824,3765,5820,3781,5820,3779,5817,3775,5815xm3781,5820l3777,5820,3780,5824,3780,5839,3777,5843,3781,5843,3784,5840,3785,5836,3785,5827,3784,5823,3781,5820xm3752,5824l3748,5824,3748,5838,3752,5838,3752,5824xm3787,5859l3772,5859,3772,5863,3787,5863,3787,5859xm3752,5849l3748,5849,3748,5863,3761,5863,3761,5859,3752,5859,3752,5849xe" filled="true" fillcolor="#000000" stroked="false">
            <v:path arrowok="t"/>
            <v:fill type="solid"/>
            <w10:wrap type="none"/>
          </v:shape>
        </w:pict>
      </w:r>
      <w:r>
        <w:rPr/>
        <w:drawing>
          <wp:anchor distT="0" distB="0" distL="0" distR="0" allowOverlap="1" layoutInCell="1" locked="0" behindDoc="1" simplePos="0" relativeHeight="267757655">
            <wp:simplePos x="0" y="0"/>
            <wp:positionH relativeFrom="page">
              <wp:posOffset>1513548</wp:posOffset>
            </wp:positionH>
            <wp:positionV relativeFrom="page">
              <wp:posOffset>3823459</wp:posOffset>
            </wp:positionV>
            <wp:extent cx="5285757" cy="1181100"/>
            <wp:effectExtent l="0" t="0" r="0" b="0"/>
            <wp:wrapNone/>
            <wp:docPr id="5" name="image18.png" descr=""/>
            <wp:cNvGraphicFramePr>
              <a:graphicFrameLocks noChangeAspect="1"/>
            </wp:cNvGraphicFramePr>
            <a:graphic>
              <a:graphicData uri="http://schemas.openxmlformats.org/drawingml/2006/picture">
                <pic:pic>
                  <pic:nvPicPr>
                    <pic:cNvPr id="6" name="image18.png"/>
                    <pic:cNvPicPr/>
                  </pic:nvPicPr>
                  <pic:blipFill>
                    <a:blip r:embed="rId68" cstate="print"/>
                    <a:stretch>
                      <a:fillRect/>
                    </a:stretch>
                  </pic:blipFill>
                  <pic:spPr>
                    <a:xfrm>
                      <a:off x="0" y="0"/>
                      <a:ext cx="5285757" cy="1181100"/>
                    </a:xfrm>
                    <a:prstGeom prst="rect">
                      <a:avLst/>
                    </a:prstGeom>
                  </pic:spPr>
                </pic:pic>
              </a:graphicData>
            </a:graphic>
          </wp:anchor>
        </w:drawing>
      </w:r>
      <w:r>
        <w:rPr/>
        <w:drawing>
          <wp:anchor distT="0" distB="0" distL="0" distR="0" allowOverlap="1" layoutInCell="1" locked="0" behindDoc="1" simplePos="0" relativeHeight="267757679">
            <wp:simplePos x="0" y="0"/>
            <wp:positionH relativeFrom="page">
              <wp:posOffset>6871808</wp:posOffset>
            </wp:positionH>
            <wp:positionV relativeFrom="page">
              <wp:posOffset>3823460</wp:posOffset>
            </wp:positionV>
            <wp:extent cx="1682224" cy="547687"/>
            <wp:effectExtent l="0" t="0" r="0" b="0"/>
            <wp:wrapNone/>
            <wp:docPr id="7" name="image19.png" descr=""/>
            <wp:cNvGraphicFramePr>
              <a:graphicFrameLocks noChangeAspect="1"/>
            </wp:cNvGraphicFramePr>
            <a:graphic>
              <a:graphicData uri="http://schemas.openxmlformats.org/drawingml/2006/picture">
                <pic:pic>
                  <pic:nvPicPr>
                    <pic:cNvPr id="8" name="image19.png"/>
                    <pic:cNvPicPr/>
                  </pic:nvPicPr>
                  <pic:blipFill>
                    <a:blip r:embed="rId69" cstate="print"/>
                    <a:stretch>
                      <a:fillRect/>
                    </a:stretch>
                  </pic:blipFill>
                  <pic:spPr>
                    <a:xfrm>
                      <a:off x="0" y="0"/>
                      <a:ext cx="1682224" cy="547687"/>
                    </a:xfrm>
                    <a:prstGeom prst="rect">
                      <a:avLst/>
                    </a:prstGeom>
                  </pic:spPr>
                </pic:pic>
              </a:graphicData>
            </a:graphic>
          </wp:anchor>
        </w:drawing>
      </w:r>
      <w:r>
        <w:rPr/>
        <w:drawing>
          <wp:anchor distT="0" distB="0" distL="0" distR="0" allowOverlap="1" layoutInCell="1" locked="0" behindDoc="1" simplePos="0" relativeHeight="267757703">
            <wp:simplePos x="0" y="0"/>
            <wp:positionH relativeFrom="page">
              <wp:posOffset>6870579</wp:posOffset>
            </wp:positionH>
            <wp:positionV relativeFrom="page">
              <wp:posOffset>4530194</wp:posOffset>
            </wp:positionV>
            <wp:extent cx="1697952" cy="476250"/>
            <wp:effectExtent l="0" t="0" r="0" b="0"/>
            <wp:wrapNone/>
            <wp:docPr id="9" name="image20.png" descr=""/>
            <wp:cNvGraphicFramePr>
              <a:graphicFrameLocks noChangeAspect="1"/>
            </wp:cNvGraphicFramePr>
            <a:graphic>
              <a:graphicData uri="http://schemas.openxmlformats.org/drawingml/2006/picture">
                <pic:pic>
                  <pic:nvPicPr>
                    <pic:cNvPr id="10" name="image20.png"/>
                    <pic:cNvPicPr/>
                  </pic:nvPicPr>
                  <pic:blipFill>
                    <a:blip r:embed="rId70" cstate="print"/>
                    <a:stretch>
                      <a:fillRect/>
                    </a:stretch>
                  </pic:blipFill>
                  <pic:spPr>
                    <a:xfrm>
                      <a:off x="0" y="0"/>
                      <a:ext cx="1697952" cy="476250"/>
                    </a:xfrm>
                    <a:prstGeom prst="rect">
                      <a:avLst/>
                    </a:prstGeom>
                  </pic:spPr>
                </pic:pic>
              </a:graphicData>
            </a:graphic>
          </wp:anchor>
        </w:drawing>
      </w:r>
      <w:r>
        <w:rPr/>
        <w:drawing>
          <wp:anchor distT="0" distB="0" distL="0" distR="0" allowOverlap="1" layoutInCell="1" locked="0" behindDoc="1" simplePos="0" relativeHeight="267757727">
            <wp:simplePos x="0" y="0"/>
            <wp:positionH relativeFrom="page">
              <wp:posOffset>2363081</wp:posOffset>
            </wp:positionH>
            <wp:positionV relativeFrom="page">
              <wp:posOffset>5095009</wp:posOffset>
            </wp:positionV>
            <wp:extent cx="774219" cy="542925"/>
            <wp:effectExtent l="0" t="0" r="0" b="0"/>
            <wp:wrapNone/>
            <wp:docPr id="11" name="image21.png" descr=""/>
            <wp:cNvGraphicFramePr>
              <a:graphicFrameLocks noChangeAspect="1"/>
            </wp:cNvGraphicFramePr>
            <a:graphic>
              <a:graphicData uri="http://schemas.openxmlformats.org/drawingml/2006/picture">
                <pic:pic>
                  <pic:nvPicPr>
                    <pic:cNvPr id="12" name="image21.png"/>
                    <pic:cNvPicPr/>
                  </pic:nvPicPr>
                  <pic:blipFill>
                    <a:blip r:embed="rId71" cstate="print"/>
                    <a:stretch>
                      <a:fillRect/>
                    </a:stretch>
                  </pic:blipFill>
                  <pic:spPr>
                    <a:xfrm>
                      <a:off x="0" y="0"/>
                      <a:ext cx="774219" cy="542925"/>
                    </a:xfrm>
                    <a:prstGeom prst="rect">
                      <a:avLst/>
                    </a:prstGeom>
                  </pic:spPr>
                </pic:pic>
              </a:graphicData>
            </a:graphic>
          </wp:anchor>
        </w:drawing>
      </w:r>
      <w:r>
        <w:rPr/>
        <w:drawing>
          <wp:anchor distT="0" distB="0" distL="0" distR="0" allowOverlap="1" layoutInCell="1" locked="0" behindDoc="1" simplePos="0" relativeHeight="267757751">
            <wp:simplePos x="0" y="0"/>
            <wp:positionH relativeFrom="page">
              <wp:posOffset>3229769</wp:posOffset>
            </wp:positionH>
            <wp:positionV relativeFrom="page">
              <wp:posOffset>5094394</wp:posOffset>
            </wp:positionV>
            <wp:extent cx="4373604" cy="547687"/>
            <wp:effectExtent l="0" t="0" r="0" b="0"/>
            <wp:wrapNone/>
            <wp:docPr id="13" name="image22.png" descr=""/>
            <wp:cNvGraphicFramePr>
              <a:graphicFrameLocks noChangeAspect="1"/>
            </wp:cNvGraphicFramePr>
            <a:graphic>
              <a:graphicData uri="http://schemas.openxmlformats.org/drawingml/2006/picture">
                <pic:pic>
                  <pic:nvPicPr>
                    <pic:cNvPr id="14" name="image22.png"/>
                    <pic:cNvPicPr/>
                  </pic:nvPicPr>
                  <pic:blipFill>
                    <a:blip r:embed="rId72" cstate="print"/>
                    <a:stretch>
                      <a:fillRect/>
                    </a:stretch>
                  </pic:blipFill>
                  <pic:spPr>
                    <a:xfrm>
                      <a:off x="0" y="0"/>
                      <a:ext cx="4373604" cy="54768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spacing w:before="2"/>
        <w:rPr>
          <w:rFonts w:ascii="Times New Roman"/>
          <w:sz w:val="19"/>
        </w:rPr>
      </w:pPr>
    </w:p>
    <w:p>
      <w:pPr>
        <w:pStyle w:val="BodyText"/>
        <w:ind w:left="4204" w:right="6414"/>
        <w:jc w:val="center"/>
      </w:pPr>
      <w:r>
        <w:rPr/>
        <w:pict>
          <v:group style="position:absolute;margin-left:106.919998pt;margin-top:86.271248pt;width:576pt;height:94.15pt;mso-position-horizontal-relative:page;mso-position-vertical-relative:paragraph;z-index:-677848" coordorigin="2138,1725" coordsize="11520,1883">
            <v:shape style="position:absolute;left:2138;top:2142;width:11520;height:576" type="#_x0000_t75" stroked="false">
              <v:imagedata r:id="rId73" o:title=""/>
            </v:shape>
            <v:shape style="position:absolute;left:2384;top:1725;width:11144;height:1882" type="#_x0000_t75" stroked="false">
              <v:imagedata r:id="rId74" o:title=""/>
            </v:shape>
            <v:shape style="position:absolute;left:2283;top:2164;width:122;height:432" type="#_x0000_t202" filled="false" stroked="false">
              <v:textbox inset="0,0,0,0">
                <w:txbxContent>
                  <w:p>
                    <w:pPr>
                      <w:spacing w:line="204" w:lineRule="exact" w:before="0"/>
                      <w:ind w:left="0" w:right="0" w:firstLine="0"/>
                      <w:jc w:val="left"/>
                      <w:rPr>
                        <w:b/>
                        <w:sz w:val="20"/>
                      </w:rPr>
                    </w:pPr>
                    <w:r>
                      <w:rPr>
                        <w:b/>
                        <w:w w:val="99"/>
                        <w:sz w:val="20"/>
                      </w:rPr>
                      <w:t>F</w:t>
                    </w:r>
                  </w:p>
                  <w:p>
                    <w:pPr>
                      <w:spacing w:line="225" w:lineRule="exact" w:before="3"/>
                      <w:ind w:left="0" w:right="0" w:firstLine="0"/>
                      <w:jc w:val="left"/>
                      <w:rPr>
                        <w:sz w:val="20"/>
                      </w:rPr>
                    </w:pPr>
                    <w:r>
                      <w:rPr>
                        <w:spacing w:val="-1"/>
                        <w:w w:val="99"/>
                        <w:sz w:val="20"/>
                      </w:rPr>
                      <w:t>2</w:t>
                    </w:r>
                  </w:p>
                </w:txbxContent>
              </v:textbox>
              <w10:wrap type="none"/>
            </v:shape>
            <w10:wrap type="none"/>
          </v:group>
        </w:pict>
      </w:r>
      <w:r>
        <w:rPr/>
        <w:t>Anexo 30.</w:t>
      </w:r>
    </w:p>
    <w:p>
      <w:pPr>
        <w:pStyle w:val="BodyText"/>
        <w:rPr>
          <w:sz w:val="20"/>
        </w:rPr>
      </w:pPr>
    </w:p>
    <w:p>
      <w:pPr>
        <w:pStyle w:val="BodyText"/>
        <w:rPr>
          <w:sz w:val="20"/>
        </w:rPr>
      </w:pPr>
    </w:p>
    <w:p>
      <w:pPr>
        <w:pStyle w:val="BodyText"/>
        <w:rPr>
          <w:sz w:val="20"/>
        </w:rPr>
      </w:pPr>
    </w:p>
    <w:p>
      <w:pPr>
        <w:pStyle w:val="BodyText"/>
        <w:spacing w:before="1"/>
        <w:rPr>
          <w:sz w:val="16"/>
        </w:rPr>
      </w:pPr>
      <w:r>
        <w:rPr/>
        <w:pict>
          <v:group style="position:absolute;margin-left:119.485878pt;margin-top:11.218707pt;width:489.05pt;height:15.85pt;mso-position-horizontal-relative:page;mso-position-vertical-relative:paragraph;z-index:5272;mso-wrap-distance-left:0;mso-wrap-distance-right:0" coordorigin="2390,224" coordsize="9781,317">
            <v:shape style="position:absolute;left:6417;top:224;width:1728;height:305" type="#_x0000_t75" stroked="false">
              <v:imagedata r:id="rId75" o:title=""/>
            </v:shape>
            <v:shape style="position:absolute;left:2393;top:538;width:9774;height:2" coordorigin="2393,538" coordsize="9774,0" path="m2393,538l2393,538,12167,538e" filled="false" stroked="true" strokeweight=".338735pt" strokecolor="#000000">
              <v:path arrowok="t"/>
            </v:shape>
            <w10:wrap type="topAndBottom"/>
          </v:group>
        </w:pict>
      </w:r>
    </w:p>
    <w:p>
      <w:pPr>
        <w:pStyle w:val="BodyText"/>
        <w:spacing w:before="1"/>
        <w:rPr>
          <w:sz w:val="16"/>
        </w:rPr>
      </w:pPr>
    </w:p>
    <w:tbl>
      <w:tblPr>
        <w:tblW w:w="0" w:type="auto"/>
        <w:jc w:val="left"/>
        <w:tblInd w:w="36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38"/>
        <w:gridCol w:w="1338"/>
        <w:gridCol w:w="1242"/>
        <w:gridCol w:w="1243"/>
        <w:gridCol w:w="1470"/>
        <w:gridCol w:w="1780"/>
        <w:gridCol w:w="1361"/>
        <w:gridCol w:w="1361"/>
      </w:tblGrid>
      <w:tr>
        <w:trPr>
          <w:trHeight w:val="111" w:hRule="exact"/>
        </w:trPr>
        <w:tc>
          <w:tcPr>
            <w:tcW w:w="2677" w:type="dxa"/>
            <w:gridSpan w:val="2"/>
          </w:tcPr>
          <w:p>
            <w:pPr/>
          </w:p>
        </w:tc>
        <w:tc>
          <w:tcPr>
            <w:tcW w:w="2485" w:type="dxa"/>
            <w:gridSpan w:val="2"/>
          </w:tcPr>
          <w:p>
            <w:pPr/>
          </w:p>
        </w:tc>
        <w:tc>
          <w:tcPr>
            <w:tcW w:w="3249" w:type="dxa"/>
            <w:gridSpan w:val="2"/>
          </w:tcPr>
          <w:p>
            <w:pPr/>
          </w:p>
        </w:tc>
        <w:tc>
          <w:tcPr>
            <w:tcW w:w="2721" w:type="dxa"/>
            <w:gridSpan w:val="2"/>
          </w:tcPr>
          <w:p>
            <w:pPr/>
          </w:p>
        </w:tc>
      </w:tr>
      <w:tr>
        <w:trPr>
          <w:trHeight w:val="111" w:hRule="exact"/>
        </w:trPr>
        <w:tc>
          <w:tcPr>
            <w:tcW w:w="2677" w:type="dxa"/>
            <w:gridSpan w:val="2"/>
          </w:tcPr>
          <w:p>
            <w:pPr/>
          </w:p>
        </w:tc>
        <w:tc>
          <w:tcPr>
            <w:tcW w:w="2485" w:type="dxa"/>
            <w:gridSpan w:val="2"/>
          </w:tcPr>
          <w:p>
            <w:pPr/>
          </w:p>
        </w:tc>
        <w:tc>
          <w:tcPr>
            <w:tcW w:w="3249" w:type="dxa"/>
            <w:gridSpan w:val="2"/>
          </w:tcPr>
          <w:p>
            <w:pPr/>
          </w:p>
        </w:tc>
        <w:tc>
          <w:tcPr>
            <w:tcW w:w="2721" w:type="dxa"/>
            <w:gridSpan w:val="2"/>
          </w:tcPr>
          <w:p>
            <w:pPr/>
          </w:p>
        </w:tc>
      </w:tr>
      <w:tr>
        <w:trPr>
          <w:trHeight w:val="2002" w:hRule="exact"/>
        </w:trPr>
        <w:tc>
          <w:tcPr>
            <w:tcW w:w="1338" w:type="dxa"/>
          </w:tcPr>
          <w:p>
            <w:pPr>
              <w:pStyle w:val="TableParagraph"/>
              <w:spacing w:before="2"/>
              <w:rPr>
                <w:sz w:val="16"/>
              </w:rPr>
            </w:pPr>
          </w:p>
          <w:p>
            <w:pPr>
              <w:pStyle w:val="TableParagraph"/>
              <w:spacing w:line="242" w:lineRule="auto"/>
              <w:ind w:left="-4" w:right="-30" w:firstLine="11"/>
              <w:rPr>
                <w:sz w:val="20"/>
              </w:rPr>
            </w:pPr>
            <w:r>
              <w:rPr>
                <w:b/>
                <w:sz w:val="20"/>
              </w:rPr>
              <w:t>uente</w:t>
            </w:r>
            <w:r>
              <w:rPr>
                <w:sz w:val="20"/>
              </w:rPr>
              <w:t>: Elabora 014.</w:t>
            </w:r>
          </w:p>
        </w:tc>
        <w:tc>
          <w:tcPr>
            <w:tcW w:w="1338" w:type="dxa"/>
          </w:tcPr>
          <w:p>
            <w:pPr>
              <w:pStyle w:val="TableParagraph"/>
              <w:spacing w:before="2"/>
              <w:rPr>
                <w:sz w:val="16"/>
              </w:rPr>
            </w:pPr>
          </w:p>
          <w:p>
            <w:pPr>
              <w:pStyle w:val="TableParagraph"/>
              <w:ind w:left="11"/>
              <w:rPr>
                <w:sz w:val="20"/>
              </w:rPr>
            </w:pPr>
            <w:r>
              <w:rPr>
                <w:sz w:val="20"/>
              </w:rPr>
              <w:t>ción propia co</w:t>
            </w:r>
          </w:p>
        </w:tc>
        <w:tc>
          <w:tcPr>
            <w:tcW w:w="1242" w:type="dxa"/>
          </w:tcPr>
          <w:p>
            <w:pPr>
              <w:pStyle w:val="TableParagraph"/>
              <w:spacing w:before="2"/>
              <w:rPr>
                <w:sz w:val="16"/>
              </w:rPr>
            </w:pPr>
          </w:p>
          <w:p>
            <w:pPr>
              <w:pStyle w:val="TableParagraph"/>
              <w:ind w:left="-64" w:right="-66"/>
              <w:rPr>
                <w:sz w:val="20"/>
              </w:rPr>
            </w:pPr>
            <w:r>
              <w:rPr>
                <w:sz w:val="20"/>
              </w:rPr>
              <w:t>n base en el</w:t>
            </w:r>
            <w:r>
              <w:rPr>
                <w:spacing w:val="33"/>
                <w:sz w:val="20"/>
              </w:rPr>
              <w:t> </w:t>
            </w:r>
            <w:r>
              <w:rPr>
                <w:sz w:val="20"/>
              </w:rPr>
              <w:t>In</w:t>
            </w:r>
          </w:p>
        </w:tc>
        <w:tc>
          <w:tcPr>
            <w:tcW w:w="1243" w:type="dxa"/>
          </w:tcPr>
          <w:p>
            <w:pPr>
              <w:pStyle w:val="TableParagraph"/>
              <w:spacing w:before="2"/>
              <w:rPr>
                <w:sz w:val="16"/>
              </w:rPr>
            </w:pPr>
          </w:p>
          <w:p>
            <w:pPr>
              <w:pStyle w:val="TableParagraph"/>
              <w:ind w:left="41" w:right="-40"/>
              <w:rPr>
                <w:sz w:val="20"/>
              </w:rPr>
            </w:pPr>
            <w:r>
              <w:rPr>
                <w:sz w:val="20"/>
              </w:rPr>
              <w:t>forme de</w:t>
            </w:r>
            <w:r>
              <w:rPr>
                <w:spacing w:val="14"/>
                <w:sz w:val="20"/>
              </w:rPr>
              <w:t> </w:t>
            </w:r>
            <w:r>
              <w:rPr>
                <w:sz w:val="20"/>
              </w:rPr>
              <w:t>Res</w:t>
            </w:r>
          </w:p>
        </w:tc>
        <w:tc>
          <w:tcPr>
            <w:tcW w:w="1470" w:type="dxa"/>
          </w:tcPr>
          <w:p>
            <w:pPr>
              <w:pStyle w:val="TableParagraph"/>
              <w:spacing w:before="2"/>
              <w:rPr>
                <w:sz w:val="16"/>
              </w:rPr>
            </w:pPr>
          </w:p>
          <w:p>
            <w:pPr>
              <w:pStyle w:val="TableParagraph"/>
              <w:ind w:left="16" w:right="-49"/>
              <w:rPr>
                <w:sz w:val="20"/>
              </w:rPr>
            </w:pPr>
            <w:r>
              <w:rPr>
                <w:sz w:val="20"/>
              </w:rPr>
              <w:t>ultados de la</w:t>
            </w:r>
            <w:r>
              <w:rPr>
                <w:spacing w:val="19"/>
                <w:sz w:val="20"/>
              </w:rPr>
              <w:t> </w:t>
            </w:r>
            <w:r>
              <w:rPr>
                <w:sz w:val="20"/>
              </w:rPr>
              <w:t>Fis</w:t>
            </w:r>
          </w:p>
        </w:tc>
        <w:tc>
          <w:tcPr>
            <w:tcW w:w="1780" w:type="dxa"/>
          </w:tcPr>
          <w:p>
            <w:pPr>
              <w:pStyle w:val="TableParagraph"/>
              <w:spacing w:before="2"/>
              <w:rPr>
                <w:sz w:val="16"/>
              </w:rPr>
            </w:pPr>
          </w:p>
          <w:p>
            <w:pPr>
              <w:pStyle w:val="TableParagraph"/>
              <w:ind w:left="27"/>
              <w:rPr>
                <w:sz w:val="20"/>
              </w:rPr>
            </w:pPr>
            <w:r>
              <w:rPr>
                <w:sz w:val="20"/>
              </w:rPr>
              <w:t>calización Superior</w:t>
            </w:r>
          </w:p>
        </w:tc>
        <w:tc>
          <w:tcPr>
            <w:tcW w:w="1361" w:type="dxa"/>
          </w:tcPr>
          <w:p>
            <w:pPr>
              <w:pStyle w:val="TableParagraph"/>
              <w:spacing w:before="2"/>
              <w:rPr>
                <w:sz w:val="16"/>
              </w:rPr>
            </w:pPr>
          </w:p>
          <w:p>
            <w:pPr>
              <w:pStyle w:val="TableParagraph"/>
              <w:ind w:left="18"/>
              <w:rPr>
                <w:sz w:val="20"/>
              </w:rPr>
            </w:pPr>
            <w:r>
              <w:rPr>
                <w:sz w:val="20"/>
              </w:rPr>
              <w:t>de las cuentas</w:t>
            </w:r>
          </w:p>
        </w:tc>
        <w:tc>
          <w:tcPr>
            <w:tcW w:w="1361" w:type="dxa"/>
          </w:tcPr>
          <w:p>
            <w:pPr>
              <w:pStyle w:val="TableParagraph"/>
              <w:spacing w:before="2"/>
              <w:rPr>
                <w:sz w:val="16"/>
              </w:rPr>
            </w:pPr>
          </w:p>
          <w:p>
            <w:pPr>
              <w:pStyle w:val="TableParagraph"/>
              <w:ind w:left="31"/>
              <w:rPr>
                <w:sz w:val="20"/>
              </w:rPr>
            </w:pPr>
            <w:r>
              <w:rPr>
                <w:sz w:val="20"/>
              </w:rPr>
              <w:t>públicas 2008-</w:t>
            </w:r>
          </w:p>
        </w:tc>
      </w:tr>
      <w:tr>
        <w:trPr>
          <w:trHeight w:val="1112" w:hRule="exact"/>
        </w:trPr>
        <w:tc>
          <w:tcPr>
            <w:tcW w:w="1338" w:type="dxa"/>
          </w:tcPr>
          <w:p>
            <w:pPr/>
          </w:p>
        </w:tc>
        <w:tc>
          <w:tcPr>
            <w:tcW w:w="1338" w:type="dxa"/>
          </w:tcPr>
          <w:p>
            <w:pPr/>
          </w:p>
        </w:tc>
        <w:tc>
          <w:tcPr>
            <w:tcW w:w="1242" w:type="dxa"/>
          </w:tcPr>
          <w:p>
            <w:pPr/>
          </w:p>
        </w:tc>
        <w:tc>
          <w:tcPr>
            <w:tcW w:w="1243" w:type="dxa"/>
          </w:tcPr>
          <w:p>
            <w:pPr/>
          </w:p>
        </w:tc>
        <w:tc>
          <w:tcPr>
            <w:tcW w:w="1470" w:type="dxa"/>
          </w:tcPr>
          <w:p>
            <w:pPr/>
          </w:p>
        </w:tc>
        <w:tc>
          <w:tcPr>
            <w:tcW w:w="1780" w:type="dxa"/>
          </w:tcPr>
          <w:p>
            <w:pPr/>
          </w:p>
        </w:tc>
        <w:tc>
          <w:tcPr>
            <w:tcW w:w="1361" w:type="dxa"/>
          </w:tcPr>
          <w:p>
            <w:pPr/>
          </w:p>
        </w:tc>
        <w:tc>
          <w:tcPr>
            <w:tcW w:w="1361" w:type="dxa"/>
          </w:tcPr>
          <w:p>
            <w:pPr/>
          </w:p>
        </w:tc>
      </w:tr>
      <w:tr>
        <w:trPr>
          <w:trHeight w:val="889" w:hRule="exact"/>
        </w:trPr>
        <w:tc>
          <w:tcPr>
            <w:tcW w:w="1338" w:type="dxa"/>
          </w:tcPr>
          <w:p>
            <w:pPr/>
          </w:p>
        </w:tc>
        <w:tc>
          <w:tcPr>
            <w:tcW w:w="1338" w:type="dxa"/>
          </w:tcPr>
          <w:p>
            <w:pPr/>
          </w:p>
        </w:tc>
        <w:tc>
          <w:tcPr>
            <w:tcW w:w="1242" w:type="dxa"/>
          </w:tcPr>
          <w:p>
            <w:pPr/>
          </w:p>
        </w:tc>
        <w:tc>
          <w:tcPr>
            <w:tcW w:w="1243" w:type="dxa"/>
          </w:tcPr>
          <w:p>
            <w:pPr/>
          </w:p>
        </w:tc>
        <w:tc>
          <w:tcPr>
            <w:tcW w:w="1470" w:type="dxa"/>
          </w:tcPr>
          <w:p>
            <w:pPr/>
          </w:p>
        </w:tc>
        <w:tc>
          <w:tcPr>
            <w:tcW w:w="1780" w:type="dxa"/>
          </w:tcPr>
          <w:p>
            <w:pPr/>
          </w:p>
        </w:tc>
        <w:tc>
          <w:tcPr>
            <w:tcW w:w="1361" w:type="dxa"/>
          </w:tcPr>
          <w:p>
            <w:pPr/>
          </w:p>
        </w:tc>
        <w:tc>
          <w:tcPr>
            <w:tcW w:w="1361" w:type="dxa"/>
          </w:tcPr>
          <w:p>
            <w:pPr/>
          </w:p>
        </w:tc>
      </w:tr>
      <w:tr>
        <w:trPr>
          <w:trHeight w:val="1112" w:hRule="exact"/>
        </w:trPr>
        <w:tc>
          <w:tcPr>
            <w:tcW w:w="1338" w:type="dxa"/>
          </w:tcPr>
          <w:p>
            <w:pPr>
              <w:pStyle w:val="TableParagraph"/>
              <w:spacing w:line="193" w:lineRule="exact"/>
              <w:ind w:left="15"/>
              <w:rPr>
                <w:sz w:val="19"/>
              </w:rPr>
            </w:pPr>
            <w:r>
              <w:rPr>
                <w:position w:val="-3"/>
                <w:sz w:val="19"/>
              </w:rPr>
              <w:pict>
                <v:group style="width:58.6pt;height:9.7pt;mso-position-horizontal-relative:char;mso-position-vertical-relative:line" coordorigin="0,0" coordsize="1172,194">
                  <v:shape style="position:absolute;left:0;top:0;width:1126;height:194" type="#_x0000_t75" stroked="false">
                    <v:imagedata r:id="rId76" o:title=""/>
                  </v:shape>
                  <v:line style="position:absolute" from="1131,144" to="1139,144" stroked="true" strokeweight="3.19364pt" strokecolor="#000000"/>
                  <v:line style="position:absolute" from="1153,171" to="1162,171" stroked="true" strokeweight=".483787pt" strokecolor="#000000"/>
                </v:group>
              </w:pict>
            </w:r>
            <w:r>
              <w:rPr>
                <w:position w:val="-3"/>
                <w:sz w:val="19"/>
              </w:rPr>
            </w:r>
          </w:p>
          <w:p>
            <w:pPr>
              <w:pStyle w:val="TableParagraph"/>
              <w:rPr>
                <w:sz w:val="20"/>
              </w:rPr>
            </w:pPr>
          </w:p>
          <w:p>
            <w:pPr>
              <w:pStyle w:val="TableParagraph"/>
              <w:rPr>
                <w:sz w:val="20"/>
              </w:rPr>
            </w:pPr>
          </w:p>
          <w:p>
            <w:pPr>
              <w:pStyle w:val="TableParagraph"/>
              <w:rPr>
                <w:sz w:val="20"/>
              </w:rPr>
            </w:pPr>
          </w:p>
          <w:p>
            <w:pPr>
              <w:pStyle w:val="TableParagraph"/>
              <w:spacing w:before="3"/>
              <w:rPr>
                <w:sz w:val="19"/>
              </w:rPr>
            </w:pPr>
          </w:p>
        </w:tc>
        <w:tc>
          <w:tcPr>
            <w:tcW w:w="1338" w:type="dxa"/>
          </w:tcPr>
          <w:p>
            <w:pPr/>
          </w:p>
        </w:tc>
        <w:tc>
          <w:tcPr>
            <w:tcW w:w="1242" w:type="dxa"/>
          </w:tcPr>
          <w:p>
            <w:pPr/>
          </w:p>
        </w:tc>
        <w:tc>
          <w:tcPr>
            <w:tcW w:w="1243" w:type="dxa"/>
          </w:tcPr>
          <w:p>
            <w:pPr/>
          </w:p>
        </w:tc>
        <w:tc>
          <w:tcPr>
            <w:tcW w:w="1470" w:type="dxa"/>
          </w:tcPr>
          <w:p>
            <w:pPr/>
          </w:p>
        </w:tc>
        <w:tc>
          <w:tcPr>
            <w:tcW w:w="1780" w:type="dxa"/>
          </w:tcPr>
          <w:p>
            <w:pPr/>
          </w:p>
        </w:tc>
        <w:tc>
          <w:tcPr>
            <w:tcW w:w="1361" w:type="dxa"/>
          </w:tcPr>
          <w:p>
            <w:pPr/>
          </w:p>
        </w:tc>
        <w:tc>
          <w:tcPr>
            <w:tcW w:w="1361" w:type="dxa"/>
          </w:tcPr>
          <w:p>
            <w:pPr>
              <w:pStyle w:val="TableParagraph"/>
              <w:ind w:left="14"/>
              <w:rPr>
                <w:sz w:val="20"/>
              </w:rPr>
            </w:pPr>
            <w:r>
              <w:rPr>
                <w:sz w:val="20"/>
              </w:rPr>
              <w:drawing>
                <wp:inline distT="0" distB="0" distL="0" distR="0">
                  <wp:extent cx="806393" cy="333375"/>
                  <wp:effectExtent l="0" t="0" r="0" b="0"/>
                  <wp:docPr id="15" name="image27.png" descr=""/>
                  <wp:cNvGraphicFramePr>
                    <a:graphicFrameLocks noChangeAspect="1"/>
                  </wp:cNvGraphicFramePr>
                  <a:graphic>
                    <a:graphicData uri="http://schemas.openxmlformats.org/drawingml/2006/picture">
                      <pic:pic>
                        <pic:nvPicPr>
                          <pic:cNvPr id="16" name="image27.png"/>
                          <pic:cNvPicPr/>
                        </pic:nvPicPr>
                        <pic:blipFill>
                          <a:blip r:embed="rId77" cstate="print"/>
                          <a:stretch>
                            <a:fillRect/>
                          </a:stretch>
                        </pic:blipFill>
                        <pic:spPr>
                          <a:xfrm>
                            <a:off x="0" y="0"/>
                            <a:ext cx="806393" cy="333375"/>
                          </a:xfrm>
                          <a:prstGeom prst="rect">
                            <a:avLst/>
                          </a:prstGeom>
                        </pic:spPr>
                      </pic:pic>
                    </a:graphicData>
                  </a:graphic>
                </wp:inline>
              </w:drawing>
            </w:r>
            <w:r>
              <w:rPr>
                <w:sz w:val="20"/>
              </w:rPr>
            </w:r>
          </w:p>
          <w:p>
            <w:pPr>
              <w:pStyle w:val="TableParagraph"/>
              <w:rPr>
                <w:sz w:val="20"/>
              </w:rPr>
            </w:pPr>
          </w:p>
          <w:p>
            <w:pPr>
              <w:pStyle w:val="TableParagraph"/>
              <w:rPr>
                <w:sz w:val="20"/>
              </w:rPr>
            </w:pPr>
          </w:p>
        </w:tc>
      </w:tr>
    </w:tbl>
    <w:p>
      <w:pPr>
        <w:pStyle w:val="BodyText"/>
        <w:rPr>
          <w:sz w:val="20"/>
        </w:rPr>
      </w:pPr>
    </w:p>
    <w:p>
      <w:pPr>
        <w:pStyle w:val="BodyText"/>
        <w:rPr>
          <w:sz w:val="20"/>
        </w:rPr>
      </w:pPr>
    </w:p>
    <w:p>
      <w:pPr>
        <w:pStyle w:val="BodyText"/>
        <w:spacing w:before="9"/>
        <w:rPr>
          <w:sz w:val="13"/>
        </w:rPr>
      </w:pPr>
      <w:r>
        <w:rPr/>
        <w:pict>
          <v:group style="position:absolute;margin-left:112.919998pt;margin-top:9.874514pt;width:552pt;height:28.8pt;mso-position-horizontal-relative:page;mso-position-vertical-relative:paragraph;z-index:5344;mso-wrap-distance-left:0;mso-wrap-distance-right:0" coordorigin="2258,197" coordsize="11040,576">
            <v:shape style="position:absolute;left:2258;top:197;width:11040;height:576" type="#_x0000_t75" stroked="false">
              <v:imagedata r:id="rId78" o:title=""/>
            </v:shape>
            <v:shape style="position:absolute;left:2258;top:197;width:11040;height:576" type="#_x0000_t202" filled="false" stroked="false">
              <v:textbox inset="0,0,0,0">
                <w:txbxContent>
                  <w:p>
                    <w:pPr>
                      <w:spacing w:line="244" w:lineRule="auto" w:before="0"/>
                      <w:ind w:left="144" w:right="148"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w10:wrap type="topAndBottom"/>
          </v:group>
        </w:pict>
      </w:r>
    </w:p>
    <w:p>
      <w:pPr>
        <w:spacing w:after="0"/>
        <w:rPr>
          <w:sz w:val="13"/>
        </w:rPr>
        <w:sectPr>
          <w:pgSz w:w="15840" w:h="12240" w:orient="landscape"/>
          <w:pgMar w:header="0" w:footer="992" w:top="1140" w:bottom="1180" w:left="2020" w:right="2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spacing w:after="0"/>
        <w:sectPr>
          <w:pgSz w:w="15840" w:h="12240" w:orient="landscape"/>
          <w:pgMar w:header="0" w:footer="992" w:top="1140" w:bottom="1180" w:left="1920" w:right="1860"/>
        </w:sectPr>
      </w:pPr>
    </w:p>
    <w:p>
      <w:pPr>
        <w:pStyle w:val="BodyText"/>
        <w:spacing w:before="70"/>
        <w:ind w:left="1262" w:right="-18"/>
      </w:pPr>
      <w:r>
        <w:rPr/>
        <w:t>Continuación</w:t>
      </w:r>
    </w:p>
    <w:p>
      <w:pPr>
        <w:pStyle w:val="BodyText"/>
        <w:rPr>
          <w:sz w:val="10"/>
        </w:rPr>
      </w:pPr>
      <w:r>
        <w:rPr/>
        <w:br w:type="column"/>
      </w:r>
      <w:r>
        <w:rPr>
          <w:sz w:val="10"/>
        </w:rPr>
      </w:r>
    </w:p>
    <w:p>
      <w:pPr>
        <w:pStyle w:val="BodyText"/>
        <w:spacing w:before="10"/>
        <w:rPr>
          <w:sz w:val="14"/>
        </w:rPr>
      </w:pPr>
    </w:p>
    <w:p>
      <w:pPr>
        <w:spacing w:line="271" w:lineRule="auto" w:before="0"/>
        <w:ind w:left="1262" w:right="5834" w:firstLine="1"/>
        <w:jc w:val="center"/>
        <w:rPr>
          <w:b/>
          <w:sz w:val="10"/>
        </w:rPr>
      </w:pPr>
      <w:r>
        <w:rPr>
          <w:b/>
          <w:sz w:val="10"/>
        </w:rPr>
        <w:t>Calidad de la Gestión Gubernamental </w:t>
      </w:r>
      <w:r>
        <w:rPr>
          <w:b/>
          <w:w w:val="95"/>
          <w:sz w:val="10"/>
        </w:rPr>
        <w:t>Controles Internos (Manejo y Aplicación) Nezahualcóyotl Ejercicio fiscal 2008</w:t>
      </w:r>
    </w:p>
    <w:p>
      <w:pPr>
        <w:spacing w:after="0" w:line="271" w:lineRule="auto"/>
        <w:jc w:val="center"/>
        <w:rPr>
          <w:sz w:val="10"/>
        </w:rPr>
        <w:sectPr>
          <w:type w:val="continuous"/>
          <w:pgSz w:w="15840" w:h="12240" w:orient="landscape"/>
          <w:pgMar w:top="0" w:bottom="280" w:left="1920" w:right="1860"/>
          <w:cols w:num="2" w:equalWidth="0">
            <w:col w:w="2665" w:space="449"/>
            <w:col w:w="8946"/>
          </w:cols>
        </w:sectPr>
      </w:pPr>
    </w:p>
    <w:p>
      <w:pPr>
        <w:pStyle w:val="BodyText"/>
        <w:spacing w:line="20" w:lineRule="exact"/>
        <w:ind w:left="100"/>
        <w:rPr>
          <w:sz w:val="2"/>
        </w:rPr>
      </w:pPr>
      <w:r>
        <w:rPr>
          <w:sz w:val="2"/>
        </w:rPr>
        <w:pict>
          <v:group style="width:519.85pt;height:.4pt;mso-position-horizontal-relative:char;mso-position-vertical-relative:line" coordorigin="0,0" coordsize="10397,8">
            <v:shape style="position:absolute;left:4;top:4;width:10389;height:2" coordorigin="4,4" coordsize="10389,0" path="m4,4l4,4,10393,4e" filled="false" stroked="true" strokeweight=".39232pt" strokecolor="#000000">
              <v:path arrowok="t"/>
            </v:shape>
          </v:group>
        </w:pict>
      </w:r>
      <w:r>
        <w:rPr>
          <w:sz w:val="2"/>
        </w:rPr>
      </w:r>
    </w:p>
    <w:p>
      <w:pPr>
        <w:pStyle w:val="BodyText"/>
        <w:spacing w:before="11"/>
        <w:rPr>
          <w:b/>
          <w:sz w:val="19"/>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23"/>
        <w:gridCol w:w="1422"/>
        <w:gridCol w:w="1321"/>
        <w:gridCol w:w="1321"/>
        <w:gridCol w:w="1563"/>
        <w:gridCol w:w="1891"/>
        <w:gridCol w:w="1446"/>
        <w:gridCol w:w="1446"/>
      </w:tblGrid>
      <w:tr>
        <w:trPr>
          <w:trHeight w:val="130" w:hRule="exact"/>
        </w:trPr>
        <w:tc>
          <w:tcPr>
            <w:tcW w:w="2845" w:type="dxa"/>
            <w:gridSpan w:val="2"/>
            <w:tcBorders>
              <w:left w:val="single" w:sz="3" w:space="0" w:color="000000"/>
              <w:right w:val="single" w:sz="3" w:space="0" w:color="000000"/>
            </w:tcBorders>
            <w:shd w:val="clear" w:color="auto" w:fill="E6B8B7"/>
          </w:tcPr>
          <w:p>
            <w:pPr>
              <w:pStyle w:val="TableParagraph"/>
              <w:spacing w:before="1"/>
              <w:ind w:left="935" w:right="928"/>
              <w:jc w:val="center"/>
              <w:rPr>
                <w:b/>
                <w:sz w:val="10"/>
              </w:rPr>
            </w:pPr>
            <w:r>
              <w:rPr>
                <w:b/>
                <w:w w:val="95"/>
                <w:sz w:val="10"/>
              </w:rPr>
              <w:t>Ambiente de Control</w:t>
            </w:r>
          </w:p>
        </w:tc>
        <w:tc>
          <w:tcPr>
            <w:tcW w:w="2641" w:type="dxa"/>
            <w:gridSpan w:val="2"/>
            <w:tcBorders>
              <w:left w:val="single" w:sz="3" w:space="0" w:color="000000"/>
              <w:right w:val="single" w:sz="3" w:space="0" w:color="000000"/>
            </w:tcBorders>
            <w:shd w:val="clear" w:color="auto" w:fill="E6B8B7"/>
          </w:tcPr>
          <w:p>
            <w:pPr>
              <w:pStyle w:val="TableParagraph"/>
              <w:spacing w:before="1"/>
              <w:ind w:left="715"/>
              <w:rPr>
                <w:b/>
                <w:sz w:val="10"/>
              </w:rPr>
            </w:pPr>
            <w:r>
              <w:rPr>
                <w:b/>
                <w:w w:val="95"/>
                <w:sz w:val="10"/>
              </w:rPr>
              <w:t>Adminsitración de Riesgos</w:t>
            </w:r>
          </w:p>
        </w:tc>
        <w:tc>
          <w:tcPr>
            <w:tcW w:w="3454" w:type="dxa"/>
            <w:gridSpan w:val="2"/>
            <w:tcBorders>
              <w:left w:val="single" w:sz="3" w:space="0" w:color="000000"/>
              <w:right w:val="single" w:sz="3" w:space="0" w:color="000000"/>
            </w:tcBorders>
            <w:shd w:val="clear" w:color="auto" w:fill="E6B8B7"/>
          </w:tcPr>
          <w:p>
            <w:pPr>
              <w:pStyle w:val="TableParagraph"/>
              <w:spacing w:before="1"/>
              <w:ind w:left="207"/>
              <w:rPr>
                <w:b/>
                <w:sz w:val="10"/>
              </w:rPr>
            </w:pPr>
            <w:r>
              <w:rPr>
                <w:b/>
                <w:w w:val="95"/>
                <w:sz w:val="10"/>
              </w:rPr>
              <w:t>Supervisión de la aplicación eficiente de los mecanismos de control</w:t>
            </w:r>
          </w:p>
        </w:tc>
        <w:tc>
          <w:tcPr>
            <w:tcW w:w="2892" w:type="dxa"/>
            <w:gridSpan w:val="2"/>
            <w:tcBorders>
              <w:left w:val="single" w:sz="3" w:space="0" w:color="000000"/>
              <w:right w:val="single" w:sz="3" w:space="0" w:color="000000"/>
            </w:tcBorders>
            <w:shd w:val="clear" w:color="auto" w:fill="E6B8B7"/>
          </w:tcPr>
          <w:p>
            <w:pPr>
              <w:pStyle w:val="TableParagraph"/>
              <w:spacing w:before="1"/>
              <w:ind w:left="804"/>
              <w:rPr>
                <w:b/>
                <w:sz w:val="10"/>
              </w:rPr>
            </w:pPr>
            <w:r>
              <w:rPr>
                <w:b/>
                <w:w w:val="95"/>
                <w:sz w:val="10"/>
              </w:rPr>
              <w:t>Información y Comunicación</w:t>
            </w:r>
          </w:p>
        </w:tc>
      </w:tr>
      <w:tr>
        <w:trPr>
          <w:trHeight w:val="130" w:hRule="exact"/>
        </w:trPr>
        <w:tc>
          <w:tcPr>
            <w:tcW w:w="1423" w:type="dxa"/>
            <w:tcBorders>
              <w:left w:val="single" w:sz="3" w:space="0" w:color="000000"/>
              <w:right w:val="nil"/>
            </w:tcBorders>
            <w:shd w:val="clear" w:color="auto" w:fill="F1DCDB"/>
          </w:tcPr>
          <w:p>
            <w:pPr>
              <w:pStyle w:val="TableParagraph"/>
              <w:spacing w:before="1"/>
              <w:ind w:left="570" w:right="569"/>
              <w:jc w:val="center"/>
              <w:rPr>
                <w:b/>
                <w:sz w:val="10"/>
              </w:rPr>
            </w:pPr>
            <w:r>
              <w:rPr>
                <w:b/>
                <w:sz w:val="10"/>
              </w:rPr>
              <w:t>FISM</w:t>
            </w:r>
          </w:p>
        </w:tc>
        <w:tc>
          <w:tcPr>
            <w:tcW w:w="1422" w:type="dxa"/>
            <w:tcBorders>
              <w:left w:val="nil"/>
              <w:right w:val="single" w:sz="3" w:space="0" w:color="000000"/>
            </w:tcBorders>
            <w:shd w:val="clear" w:color="auto" w:fill="F1DCDB"/>
          </w:tcPr>
          <w:p>
            <w:pPr>
              <w:pStyle w:val="TableParagraph"/>
              <w:spacing w:before="1"/>
              <w:ind w:left="386"/>
              <w:rPr>
                <w:b/>
                <w:sz w:val="10"/>
              </w:rPr>
            </w:pPr>
            <w:r>
              <w:rPr>
                <w:b/>
                <w:sz w:val="10"/>
              </w:rPr>
              <w:t>FORTAMUNDF</w:t>
            </w:r>
          </w:p>
        </w:tc>
        <w:tc>
          <w:tcPr>
            <w:tcW w:w="1321" w:type="dxa"/>
            <w:tcBorders>
              <w:left w:val="single" w:sz="3" w:space="0" w:color="000000"/>
              <w:right w:val="nil"/>
            </w:tcBorders>
            <w:shd w:val="clear" w:color="auto" w:fill="F1DCDB"/>
          </w:tcPr>
          <w:p>
            <w:pPr>
              <w:pStyle w:val="TableParagraph"/>
              <w:spacing w:before="1"/>
              <w:ind w:left="519" w:right="519"/>
              <w:jc w:val="center"/>
              <w:rPr>
                <w:b/>
                <w:sz w:val="10"/>
              </w:rPr>
            </w:pPr>
            <w:r>
              <w:rPr>
                <w:b/>
                <w:sz w:val="10"/>
              </w:rPr>
              <w:t>FISM</w:t>
            </w:r>
          </w:p>
        </w:tc>
        <w:tc>
          <w:tcPr>
            <w:tcW w:w="1321" w:type="dxa"/>
            <w:tcBorders>
              <w:left w:val="nil"/>
              <w:right w:val="single" w:sz="3" w:space="0" w:color="000000"/>
            </w:tcBorders>
            <w:shd w:val="clear" w:color="auto" w:fill="F1DCDB"/>
          </w:tcPr>
          <w:p>
            <w:pPr>
              <w:pStyle w:val="TableParagraph"/>
              <w:spacing w:before="1"/>
              <w:ind w:left="336"/>
              <w:rPr>
                <w:b/>
                <w:sz w:val="10"/>
              </w:rPr>
            </w:pPr>
            <w:r>
              <w:rPr>
                <w:b/>
                <w:sz w:val="10"/>
              </w:rPr>
              <w:t>FORTAMUNDF</w:t>
            </w:r>
          </w:p>
        </w:tc>
        <w:tc>
          <w:tcPr>
            <w:tcW w:w="1563" w:type="dxa"/>
            <w:tcBorders>
              <w:left w:val="single" w:sz="3" w:space="0" w:color="000000"/>
              <w:right w:val="nil"/>
            </w:tcBorders>
            <w:shd w:val="clear" w:color="auto" w:fill="F1DCDB"/>
          </w:tcPr>
          <w:p>
            <w:pPr>
              <w:pStyle w:val="TableParagraph"/>
              <w:spacing w:before="1"/>
              <w:ind w:left="641" w:right="638"/>
              <w:jc w:val="center"/>
              <w:rPr>
                <w:b/>
                <w:sz w:val="10"/>
              </w:rPr>
            </w:pPr>
            <w:r>
              <w:rPr>
                <w:b/>
                <w:sz w:val="10"/>
              </w:rPr>
              <w:t>FISM</w:t>
            </w:r>
          </w:p>
        </w:tc>
        <w:tc>
          <w:tcPr>
            <w:tcW w:w="1891" w:type="dxa"/>
            <w:tcBorders>
              <w:left w:val="nil"/>
              <w:right w:val="single" w:sz="3" w:space="0" w:color="000000"/>
            </w:tcBorders>
            <w:shd w:val="clear" w:color="auto" w:fill="F1DCDB"/>
          </w:tcPr>
          <w:p>
            <w:pPr>
              <w:pStyle w:val="TableParagraph"/>
              <w:spacing w:before="1"/>
              <w:ind w:left="621"/>
              <w:rPr>
                <w:b/>
                <w:sz w:val="10"/>
              </w:rPr>
            </w:pPr>
            <w:r>
              <w:rPr>
                <w:b/>
                <w:sz w:val="10"/>
              </w:rPr>
              <w:t>FORTAMUNDF</w:t>
            </w:r>
          </w:p>
        </w:tc>
        <w:tc>
          <w:tcPr>
            <w:tcW w:w="1446" w:type="dxa"/>
            <w:tcBorders>
              <w:left w:val="single" w:sz="3" w:space="0" w:color="000000"/>
              <w:right w:val="nil"/>
            </w:tcBorders>
            <w:shd w:val="clear" w:color="auto" w:fill="F1DCDB"/>
          </w:tcPr>
          <w:p>
            <w:pPr>
              <w:pStyle w:val="TableParagraph"/>
              <w:spacing w:before="1"/>
              <w:ind w:left="583" w:right="579"/>
              <w:jc w:val="center"/>
              <w:rPr>
                <w:b/>
                <w:sz w:val="10"/>
              </w:rPr>
            </w:pPr>
            <w:r>
              <w:rPr>
                <w:b/>
                <w:sz w:val="10"/>
              </w:rPr>
              <w:t>FISM</w:t>
            </w:r>
          </w:p>
        </w:tc>
        <w:tc>
          <w:tcPr>
            <w:tcW w:w="1446" w:type="dxa"/>
            <w:tcBorders>
              <w:left w:val="nil"/>
              <w:right w:val="single" w:sz="3" w:space="0" w:color="000000"/>
            </w:tcBorders>
            <w:shd w:val="clear" w:color="auto" w:fill="F1DCDB"/>
          </w:tcPr>
          <w:p>
            <w:pPr>
              <w:pStyle w:val="TableParagraph"/>
              <w:spacing w:before="1"/>
              <w:ind w:left="400"/>
              <w:rPr>
                <w:b/>
                <w:sz w:val="10"/>
              </w:rPr>
            </w:pPr>
            <w:r>
              <w:rPr>
                <w:b/>
                <w:sz w:val="10"/>
              </w:rPr>
              <w:t>FORTAMUNDF</w:t>
            </w:r>
          </w:p>
        </w:tc>
      </w:tr>
      <w:tr>
        <w:trPr>
          <w:trHeight w:val="2339" w:hRule="exact"/>
        </w:trPr>
        <w:tc>
          <w:tcPr>
            <w:tcW w:w="1423" w:type="dxa"/>
            <w:tcBorders>
              <w:left w:val="single" w:sz="3" w:space="0" w:color="000000"/>
              <w:right w:val="single" w:sz="3" w:space="0" w:color="000000"/>
            </w:tcBorders>
          </w:tcPr>
          <w:p>
            <w:pPr>
              <w:pStyle w:val="TableParagraph"/>
              <w:spacing w:line="271" w:lineRule="auto" w:before="1"/>
              <w:ind w:left="14" w:right="-8"/>
              <w:rPr>
                <w:sz w:val="10"/>
              </w:rPr>
            </w:pPr>
            <w:r>
              <w:rPr>
                <w:sz w:val="10"/>
              </w:rPr>
              <w:t>El municipio no cuenta con manuales</w:t>
            </w:r>
            <w:r>
              <w:rPr>
                <w:spacing w:val="-15"/>
                <w:sz w:val="10"/>
              </w:rPr>
              <w:t> </w:t>
            </w:r>
            <w:r>
              <w:rPr>
                <w:sz w:val="10"/>
              </w:rPr>
              <w:t>de</w:t>
            </w:r>
            <w:r>
              <w:rPr>
                <w:spacing w:val="-15"/>
                <w:sz w:val="10"/>
              </w:rPr>
              <w:t> </w:t>
            </w:r>
            <w:r>
              <w:rPr>
                <w:sz w:val="10"/>
              </w:rPr>
              <w:t>organización</w:t>
            </w:r>
            <w:r>
              <w:rPr>
                <w:spacing w:val="-15"/>
                <w:sz w:val="10"/>
              </w:rPr>
              <w:t> </w:t>
            </w:r>
            <w:r>
              <w:rPr>
                <w:sz w:val="10"/>
              </w:rPr>
              <w:t>ni</w:t>
            </w:r>
            <w:r>
              <w:rPr>
                <w:spacing w:val="-15"/>
                <w:sz w:val="10"/>
              </w:rPr>
              <w:t> </w:t>
            </w:r>
            <w:r>
              <w:rPr>
                <w:sz w:val="10"/>
              </w:rPr>
              <w:t>de procedimientos que definan las </w:t>
            </w:r>
            <w:r>
              <w:rPr>
                <w:w w:val="95"/>
                <w:sz w:val="10"/>
              </w:rPr>
              <w:t>atribuciones y responsabilidades </w:t>
            </w:r>
            <w:r>
              <w:rPr>
                <w:sz w:val="10"/>
              </w:rPr>
              <w:t>de los servidores públicos; sin </w:t>
            </w:r>
            <w:r>
              <w:rPr>
                <w:w w:val="95"/>
                <w:sz w:val="10"/>
              </w:rPr>
              <w:t>embargo, la Tesorería Municipal </w:t>
            </w:r>
            <w:r>
              <w:rPr>
                <w:sz w:val="10"/>
              </w:rPr>
              <w:t>y</w:t>
            </w:r>
            <w:r>
              <w:rPr>
                <w:spacing w:val="-15"/>
                <w:sz w:val="10"/>
              </w:rPr>
              <w:t> </w:t>
            </w:r>
            <w:r>
              <w:rPr>
                <w:sz w:val="10"/>
              </w:rPr>
              <w:t>la</w:t>
            </w:r>
            <w:r>
              <w:rPr>
                <w:spacing w:val="-15"/>
                <w:sz w:val="10"/>
              </w:rPr>
              <w:t> </w:t>
            </w:r>
            <w:r>
              <w:rPr>
                <w:sz w:val="10"/>
              </w:rPr>
              <w:t>Subdirección</w:t>
            </w:r>
            <w:r>
              <w:rPr>
                <w:spacing w:val="-15"/>
                <w:sz w:val="10"/>
              </w:rPr>
              <w:t> </w:t>
            </w:r>
            <w:r>
              <w:rPr>
                <w:sz w:val="10"/>
              </w:rPr>
              <w:t>de</w:t>
            </w:r>
            <w:r>
              <w:rPr>
                <w:spacing w:val="-15"/>
                <w:sz w:val="10"/>
              </w:rPr>
              <w:t> </w:t>
            </w:r>
            <w:r>
              <w:rPr>
                <w:sz w:val="10"/>
              </w:rPr>
              <w:t>Programas de Inversión Federal y Estatal, </w:t>
            </w:r>
            <w:r>
              <w:rPr>
                <w:w w:val="95"/>
                <w:sz w:val="10"/>
              </w:rPr>
              <w:t>supervisan</w:t>
            </w:r>
            <w:r>
              <w:rPr>
                <w:spacing w:val="-6"/>
                <w:w w:val="95"/>
                <w:sz w:val="10"/>
              </w:rPr>
              <w:t> </w:t>
            </w:r>
            <w:r>
              <w:rPr>
                <w:w w:val="95"/>
                <w:sz w:val="10"/>
              </w:rPr>
              <w:t>y</w:t>
            </w:r>
            <w:r>
              <w:rPr>
                <w:spacing w:val="-8"/>
                <w:w w:val="95"/>
                <w:sz w:val="10"/>
              </w:rPr>
              <w:t> </w:t>
            </w:r>
            <w:r>
              <w:rPr>
                <w:w w:val="95"/>
                <w:sz w:val="10"/>
              </w:rPr>
              <w:t>vigilan</w:t>
            </w:r>
            <w:r>
              <w:rPr>
                <w:spacing w:val="-7"/>
                <w:w w:val="95"/>
                <w:sz w:val="10"/>
              </w:rPr>
              <w:t> </w:t>
            </w:r>
            <w:r>
              <w:rPr>
                <w:w w:val="95"/>
                <w:sz w:val="10"/>
              </w:rPr>
              <w:t>las</w:t>
            </w:r>
            <w:r>
              <w:rPr>
                <w:spacing w:val="-7"/>
                <w:w w:val="95"/>
                <w:sz w:val="10"/>
              </w:rPr>
              <w:t> </w:t>
            </w:r>
            <w:r>
              <w:rPr>
                <w:w w:val="95"/>
                <w:sz w:val="10"/>
              </w:rPr>
              <w:t>funciones </w:t>
            </w:r>
            <w:r>
              <w:rPr>
                <w:sz w:val="10"/>
              </w:rPr>
              <w:t>y responsabilidades de cada área, lo cual permite tener </w:t>
            </w:r>
            <w:r>
              <w:rPr>
                <w:w w:val="95"/>
                <w:sz w:val="10"/>
              </w:rPr>
              <w:t>objetivos definidos que aseguran </w:t>
            </w:r>
            <w:r>
              <w:rPr>
                <w:sz w:val="10"/>
              </w:rPr>
              <w:t>la corrección de errores y retroalimentación de los procesos,</w:t>
            </w:r>
            <w:r>
              <w:rPr>
                <w:spacing w:val="-15"/>
                <w:sz w:val="10"/>
              </w:rPr>
              <w:t> </w:t>
            </w:r>
            <w:r>
              <w:rPr>
                <w:sz w:val="10"/>
              </w:rPr>
              <w:t>con</w:t>
            </w:r>
            <w:r>
              <w:rPr>
                <w:spacing w:val="-15"/>
                <w:sz w:val="10"/>
              </w:rPr>
              <w:t> </w:t>
            </w:r>
            <w:r>
              <w:rPr>
                <w:sz w:val="10"/>
              </w:rPr>
              <w:t>el</w:t>
            </w:r>
            <w:r>
              <w:rPr>
                <w:spacing w:val="-15"/>
                <w:sz w:val="10"/>
              </w:rPr>
              <w:t> </w:t>
            </w:r>
            <w:r>
              <w:rPr>
                <w:sz w:val="10"/>
              </w:rPr>
              <w:t>fin</w:t>
            </w:r>
            <w:r>
              <w:rPr>
                <w:spacing w:val="-15"/>
                <w:sz w:val="10"/>
              </w:rPr>
              <w:t> </w:t>
            </w:r>
            <w:r>
              <w:rPr>
                <w:sz w:val="10"/>
              </w:rPr>
              <w:t>de</w:t>
            </w:r>
            <w:r>
              <w:rPr>
                <w:spacing w:val="-15"/>
                <w:sz w:val="10"/>
              </w:rPr>
              <w:t> </w:t>
            </w:r>
            <w:r>
              <w:rPr>
                <w:sz w:val="10"/>
              </w:rPr>
              <w:t>optimizar todas</w:t>
            </w:r>
            <w:r>
              <w:rPr>
                <w:spacing w:val="-16"/>
                <w:sz w:val="10"/>
              </w:rPr>
              <w:t> </w:t>
            </w:r>
            <w:r>
              <w:rPr>
                <w:sz w:val="10"/>
              </w:rPr>
              <w:t>y</w:t>
            </w:r>
            <w:r>
              <w:rPr>
                <w:spacing w:val="-16"/>
                <w:sz w:val="10"/>
              </w:rPr>
              <w:t> </w:t>
            </w:r>
            <w:r>
              <w:rPr>
                <w:sz w:val="10"/>
              </w:rPr>
              <w:t>cada</w:t>
            </w:r>
            <w:r>
              <w:rPr>
                <w:spacing w:val="-16"/>
                <w:sz w:val="10"/>
              </w:rPr>
              <w:t> </w:t>
            </w:r>
            <w:r>
              <w:rPr>
                <w:sz w:val="10"/>
              </w:rPr>
              <w:t>una</w:t>
            </w:r>
            <w:r>
              <w:rPr>
                <w:spacing w:val="-16"/>
                <w:sz w:val="10"/>
              </w:rPr>
              <w:t> </w:t>
            </w:r>
            <w:r>
              <w:rPr>
                <w:sz w:val="10"/>
              </w:rPr>
              <w:t>de</w:t>
            </w:r>
            <w:r>
              <w:rPr>
                <w:spacing w:val="-16"/>
                <w:sz w:val="10"/>
              </w:rPr>
              <w:t> </w:t>
            </w:r>
            <w:r>
              <w:rPr>
                <w:sz w:val="10"/>
              </w:rPr>
              <w:t>las</w:t>
            </w:r>
            <w:r>
              <w:rPr>
                <w:spacing w:val="-16"/>
                <w:sz w:val="10"/>
              </w:rPr>
              <w:t> </w:t>
            </w:r>
            <w:r>
              <w:rPr>
                <w:sz w:val="10"/>
              </w:rPr>
              <w:t>acciones administrativas</w:t>
            </w:r>
            <w:r>
              <w:rPr>
                <w:spacing w:val="-16"/>
                <w:sz w:val="10"/>
              </w:rPr>
              <w:t> </w:t>
            </w:r>
            <w:r>
              <w:rPr>
                <w:sz w:val="10"/>
              </w:rPr>
              <w:t>y</w:t>
            </w:r>
            <w:r>
              <w:rPr>
                <w:spacing w:val="-16"/>
                <w:sz w:val="10"/>
              </w:rPr>
              <w:t> </w:t>
            </w:r>
            <w:r>
              <w:rPr>
                <w:sz w:val="10"/>
              </w:rPr>
              <w:t>operativas</w:t>
            </w:r>
            <w:r>
              <w:rPr>
                <w:spacing w:val="-16"/>
                <w:sz w:val="10"/>
              </w:rPr>
              <w:t> </w:t>
            </w:r>
            <w:r>
              <w:rPr>
                <w:sz w:val="10"/>
              </w:rPr>
              <w:t>del </w:t>
            </w:r>
            <w:r>
              <w:rPr>
                <w:w w:val="95"/>
                <w:sz w:val="10"/>
              </w:rPr>
              <w:t>manejo del</w:t>
            </w:r>
            <w:r>
              <w:rPr>
                <w:spacing w:val="-18"/>
                <w:w w:val="95"/>
                <w:sz w:val="10"/>
              </w:rPr>
              <w:t> </w:t>
            </w:r>
            <w:r>
              <w:rPr>
                <w:w w:val="95"/>
                <w:sz w:val="10"/>
              </w:rPr>
              <w:t>FISM.</w:t>
            </w:r>
          </w:p>
        </w:tc>
        <w:tc>
          <w:tcPr>
            <w:tcW w:w="1422" w:type="dxa"/>
            <w:tcBorders>
              <w:left w:val="single" w:sz="3" w:space="0" w:color="000000"/>
              <w:right w:val="single" w:sz="3" w:space="0" w:color="000000"/>
            </w:tcBorders>
          </w:tcPr>
          <w:p>
            <w:pPr>
              <w:pStyle w:val="TableParagraph"/>
              <w:spacing w:line="271" w:lineRule="auto" w:before="1"/>
              <w:ind w:left="13" w:right="-6"/>
              <w:rPr>
                <w:sz w:val="10"/>
              </w:rPr>
            </w:pPr>
            <w:r>
              <w:rPr>
                <w:sz w:val="10"/>
              </w:rPr>
              <w:t>Se cuenta con programas de </w:t>
            </w:r>
            <w:r>
              <w:rPr>
                <w:w w:val="95"/>
                <w:sz w:val="10"/>
              </w:rPr>
              <w:t>capacitación para el personal.</w:t>
            </w:r>
          </w:p>
        </w:tc>
        <w:tc>
          <w:tcPr>
            <w:tcW w:w="1321" w:type="dxa"/>
            <w:tcBorders>
              <w:left w:val="single" w:sz="3" w:space="0" w:color="000000"/>
              <w:right w:val="single" w:sz="3" w:space="0" w:color="000000"/>
            </w:tcBorders>
          </w:tcPr>
          <w:p>
            <w:pPr>
              <w:pStyle w:val="TableParagraph"/>
              <w:spacing w:line="271" w:lineRule="auto" w:before="1"/>
              <w:ind w:left="13" w:right="25"/>
              <w:rPr>
                <w:sz w:val="10"/>
              </w:rPr>
            </w:pPr>
            <w:r>
              <w:rPr>
                <w:w w:val="95"/>
                <w:sz w:val="10"/>
              </w:rPr>
              <w:t>Se</w:t>
            </w:r>
            <w:r>
              <w:rPr>
                <w:spacing w:val="-8"/>
                <w:w w:val="95"/>
                <w:sz w:val="10"/>
              </w:rPr>
              <w:t> </w:t>
            </w:r>
            <w:r>
              <w:rPr>
                <w:w w:val="95"/>
                <w:sz w:val="10"/>
              </w:rPr>
              <w:t>cuenta</w:t>
            </w:r>
            <w:r>
              <w:rPr>
                <w:spacing w:val="-8"/>
                <w:w w:val="95"/>
                <w:sz w:val="10"/>
              </w:rPr>
              <w:t> </w:t>
            </w:r>
            <w:r>
              <w:rPr>
                <w:w w:val="95"/>
                <w:sz w:val="10"/>
              </w:rPr>
              <w:t>con</w:t>
            </w:r>
            <w:r>
              <w:rPr>
                <w:spacing w:val="-8"/>
                <w:w w:val="95"/>
                <w:sz w:val="10"/>
              </w:rPr>
              <w:t> </w:t>
            </w:r>
            <w:r>
              <w:rPr>
                <w:w w:val="95"/>
                <w:sz w:val="10"/>
              </w:rPr>
              <w:t>procedimientos </w:t>
            </w:r>
            <w:r>
              <w:rPr>
                <w:sz w:val="10"/>
              </w:rPr>
              <w:t>de</w:t>
            </w:r>
            <w:r>
              <w:rPr>
                <w:spacing w:val="-18"/>
                <w:sz w:val="10"/>
              </w:rPr>
              <w:t> </w:t>
            </w:r>
            <w:r>
              <w:rPr>
                <w:sz w:val="10"/>
              </w:rPr>
              <w:t>adjudicación</w:t>
            </w:r>
            <w:r>
              <w:rPr>
                <w:spacing w:val="-18"/>
                <w:sz w:val="10"/>
              </w:rPr>
              <w:t> </w:t>
            </w:r>
            <w:r>
              <w:rPr>
                <w:sz w:val="10"/>
              </w:rPr>
              <w:t>de</w:t>
            </w:r>
            <w:r>
              <w:rPr>
                <w:spacing w:val="-18"/>
                <w:sz w:val="10"/>
              </w:rPr>
              <w:t> </w:t>
            </w:r>
            <w:r>
              <w:rPr>
                <w:sz w:val="10"/>
              </w:rPr>
              <w:t>las</w:t>
            </w:r>
            <w:r>
              <w:rPr>
                <w:spacing w:val="-18"/>
                <w:sz w:val="10"/>
              </w:rPr>
              <w:t> </w:t>
            </w:r>
            <w:r>
              <w:rPr>
                <w:sz w:val="10"/>
              </w:rPr>
              <w:t>obras</w:t>
            </w:r>
            <w:r>
              <w:rPr>
                <w:spacing w:val="-18"/>
                <w:sz w:val="10"/>
              </w:rPr>
              <w:t> </w:t>
            </w:r>
            <w:r>
              <w:rPr>
                <w:sz w:val="10"/>
              </w:rPr>
              <w:t>y se cumplió con los rangos establecidos en el Libro Décimo</w:t>
            </w:r>
            <w:r>
              <w:rPr>
                <w:spacing w:val="-16"/>
                <w:sz w:val="10"/>
              </w:rPr>
              <w:t> </w:t>
            </w:r>
            <w:r>
              <w:rPr>
                <w:sz w:val="10"/>
              </w:rPr>
              <w:t>Segundo</w:t>
            </w:r>
            <w:r>
              <w:rPr>
                <w:spacing w:val="-16"/>
                <w:sz w:val="10"/>
              </w:rPr>
              <w:t> </w:t>
            </w:r>
            <w:r>
              <w:rPr>
                <w:sz w:val="10"/>
              </w:rPr>
              <w:t>del</w:t>
            </w:r>
            <w:r>
              <w:rPr>
                <w:spacing w:val="-17"/>
                <w:sz w:val="10"/>
              </w:rPr>
              <w:t> </w:t>
            </w:r>
            <w:r>
              <w:rPr>
                <w:sz w:val="10"/>
              </w:rPr>
              <w:t>Código Administrativo</w:t>
            </w:r>
            <w:r>
              <w:rPr>
                <w:spacing w:val="-16"/>
                <w:sz w:val="10"/>
              </w:rPr>
              <w:t> </w:t>
            </w:r>
            <w:r>
              <w:rPr>
                <w:sz w:val="10"/>
              </w:rPr>
              <w:t>del</w:t>
            </w:r>
            <w:r>
              <w:rPr>
                <w:spacing w:val="-16"/>
                <w:sz w:val="10"/>
              </w:rPr>
              <w:t> </w:t>
            </w:r>
            <w:r>
              <w:rPr>
                <w:sz w:val="10"/>
              </w:rPr>
              <w:t>Estado</w:t>
            </w:r>
            <w:r>
              <w:rPr>
                <w:spacing w:val="-16"/>
                <w:sz w:val="10"/>
              </w:rPr>
              <w:t> </w:t>
            </w:r>
            <w:r>
              <w:rPr>
                <w:sz w:val="10"/>
              </w:rPr>
              <w:t>de México.</w:t>
            </w:r>
          </w:p>
        </w:tc>
        <w:tc>
          <w:tcPr>
            <w:tcW w:w="1321" w:type="dxa"/>
            <w:tcBorders>
              <w:left w:val="single" w:sz="3" w:space="0" w:color="000000"/>
              <w:right w:val="single" w:sz="3" w:space="0" w:color="000000"/>
            </w:tcBorders>
          </w:tcPr>
          <w:p>
            <w:pPr>
              <w:pStyle w:val="TableParagraph"/>
              <w:spacing w:line="271" w:lineRule="auto" w:before="1"/>
              <w:ind w:left="13" w:right="25"/>
              <w:rPr>
                <w:sz w:val="10"/>
              </w:rPr>
            </w:pPr>
            <w:r>
              <w:rPr>
                <w:w w:val="95"/>
                <w:sz w:val="10"/>
              </w:rPr>
              <w:t>El municipio abrió una cuenta </w:t>
            </w:r>
            <w:r>
              <w:rPr>
                <w:sz w:val="10"/>
              </w:rPr>
              <w:t>bancaria específica para recibir y administrar los </w:t>
            </w:r>
            <w:r>
              <w:rPr>
                <w:w w:val="95"/>
                <w:sz w:val="10"/>
              </w:rPr>
              <w:t>recursos del FORTAMUN-DF </w:t>
            </w:r>
            <w:r>
              <w:rPr>
                <w:sz w:val="10"/>
              </w:rPr>
              <w:t>2008.</w:t>
            </w:r>
          </w:p>
        </w:tc>
        <w:tc>
          <w:tcPr>
            <w:tcW w:w="1563" w:type="dxa"/>
            <w:tcBorders>
              <w:left w:val="single" w:sz="3" w:space="0" w:color="000000"/>
              <w:right w:val="single" w:sz="3" w:space="0" w:color="000000"/>
            </w:tcBorders>
          </w:tcPr>
          <w:p>
            <w:pPr>
              <w:pStyle w:val="TableParagraph"/>
              <w:spacing w:line="271" w:lineRule="auto" w:before="1"/>
              <w:ind w:left="13" w:right="7"/>
              <w:rPr>
                <w:sz w:val="10"/>
              </w:rPr>
            </w:pPr>
            <w:r>
              <w:rPr>
                <w:sz w:val="10"/>
              </w:rPr>
              <w:t>El municipio recibe del Órgano </w:t>
            </w:r>
            <w:r>
              <w:rPr>
                <w:w w:val="95"/>
                <w:sz w:val="10"/>
              </w:rPr>
              <w:t>Superior</w:t>
            </w:r>
            <w:r>
              <w:rPr>
                <w:spacing w:val="-9"/>
                <w:w w:val="95"/>
                <w:sz w:val="10"/>
              </w:rPr>
              <w:t> </w:t>
            </w:r>
            <w:r>
              <w:rPr>
                <w:w w:val="95"/>
                <w:sz w:val="10"/>
              </w:rPr>
              <w:t>de</w:t>
            </w:r>
            <w:r>
              <w:rPr>
                <w:spacing w:val="-8"/>
                <w:w w:val="95"/>
                <w:sz w:val="10"/>
              </w:rPr>
              <w:t> </w:t>
            </w:r>
            <w:r>
              <w:rPr>
                <w:w w:val="95"/>
                <w:sz w:val="10"/>
              </w:rPr>
              <w:t>Fiscalización</w:t>
            </w:r>
            <w:r>
              <w:rPr>
                <w:spacing w:val="-8"/>
                <w:w w:val="95"/>
                <w:sz w:val="10"/>
              </w:rPr>
              <w:t> </w:t>
            </w:r>
            <w:r>
              <w:rPr>
                <w:w w:val="95"/>
                <w:sz w:val="10"/>
              </w:rPr>
              <w:t>del</w:t>
            </w:r>
            <w:r>
              <w:rPr>
                <w:spacing w:val="-8"/>
                <w:w w:val="95"/>
                <w:sz w:val="10"/>
              </w:rPr>
              <w:t> </w:t>
            </w:r>
            <w:r>
              <w:rPr>
                <w:w w:val="95"/>
                <w:sz w:val="10"/>
              </w:rPr>
              <w:t>Estado de México (OSFEM), propuestas de </w:t>
            </w:r>
            <w:r>
              <w:rPr>
                <w:sz w:val="10"/>
              </w:rPr>
              <w:t>indicadores</w:t>
            </w:r>
            <w:r>
              <w:rPr>
                <w:spacing w:val="-15"/>
                <w:sz w:val="10"/>
              </w:rPr>
              <w:t> </w:t>
            </w:r>
            <w:r>
              <w:rPr>
                <w:sz w:val="10"/>
              </w:rPr>
              <w:t>para</w:t>
            </w:r>
            <w:r>
              <w:rPr>
                <w:spacing w:val="-15"/>
                <w:sz w:val="10"/>
              </w:rPr>
              <w:t> </w:t>
            </w:r>
            <w:r>
              <w:rPr>
                <w:sz w:val="10"/>
              </w:rPr>
              <w:t>evaluar</w:t>
            </w:r>
            <w:r>
              <w:rPr>
                <w:spacing w:val="-15"/>
                <w:sz w:val="10"/>
              </w:rPr>
              <w:t> </w:t>
            </w:r>
            <w:r>
              <w:rPr>
                <w:sz w:val="10"/>
              </w:rPr>
              <w:t>y</w:t>
            </w:r>
            <w:r>
              <w:rPr>
                <w:spacing w:val="-15"/>
                <w:sz w:val="10"/>
              </w:rPr>
              <w:t> </w:t>
            </w:r>
            <w:r>
              <w:rPr>
                <w:sz w:val="10"/>
              </w:rPr>
              <w:t>medir</w:t>
            </w:r>
            <w:r>
              <w:rPr>
                <w:spacing w:val="-15"/>
                <w:sz w:val="10"/>
              </w:rPr>
              <w:t> </w:t>
            </w:r>
            <w:r>
              <w:rPr>
                <w:sz w:val="10"/>
              </w:rPr>
              <w:t>la </w:t>
            </w:r>
            <w:r>
              <w:rPr>
                <w:w w:val="95"/>
                <w:sz w:val="10"/>
              </w:rPr>
              <w:t>eficiencia</w:t>
            </w:r>
            <w:r>
              <w:rPr>
                <w:spacing w:val="-8"/>
                <w:w w:val="95"/>
                <w:sz w:val="10"/>
              </w:rPr>
              <w:t> </w:t>
            </w:r>
            <w:r>
              <w:rPr>
                <w:w w:val="95"/>
                <w:sz w:val="10"/>
              </w:rPr>
              <w:t>en</w:t>
            </w:r>
            <w:r>
              <w:rPr>
                <w:spacing w:val="-8"/>
                <w:w w:val="95"/>
                <w:sz w:val="10"/>
              </w:rPr>
              <w:t> </w:t>
            </w:r>
            <w:r>
              <w:rPr>
                <w:w w:val="95"/>
                <w:sz w:val="10"/>
              </w:rPr>
              <w:t>la</w:t>
            </w:r>
            <w:r>
              <w:rPr>
                <w:spacing w:val="-8"/>
                <w:w w:val="95"/>
                <w:sz w:val="10"/>
              </w:rPr>
              <w:t> </w:t>
            </w:r>
            <w:r>
              <w:rPr>
                <w:w w:val="95"/>
                <w:sz w:val="10"/>
              </w:rPr>
              <w:t>aplicación</w:t>
            </w:r>
            <w:r>
              <w:rPr>
                <w:spacing w:val="-8"/>
                <w:w w:val="95"/>
                <w:sz w:val="10"/>
              </w:rPr>
              <w:t> </w:t>
            </w:r>
            <w:r>
              <w:rPr>
                <w:w w:val="95"/>
                <w:sz w:val="10"/>
              </w:rPr>
              <w:t>del</w:t>
            </w:r>
            <w:r>
              <w:rPr>
                <w:spacing w:val="-9"/>
                <w:w w:val="95"/>
                <w:sz w:val="10"/>
              </w:rPr>
              <w:t> </w:t>
            </w:r>
            <w:r>
              <w:rPr>
                <w:w w:val="95"/>
                <w:sz w:val="10"/>
              </w:rPr>
              <w:t>FISM.</w:t>
            </w:r>
          </w:p>
        </w:tc>
        <w:tc>
          <w:tcPr>
            <w:tcW w:w="1891" w:type="dxa"/>
            <w:tcBorders>
              <w:left w:val="single" w:sz="3" w:space="0" w:color="000000"/>
              <w:right w:val="single" w:sz="3" w:space="0" w:color="000000"/>
            </w:tcBorders>
          </w:tcPr>
          <w:p>
            <w:pPr>
              <w:pStyle w:val="TableParagraph"/>
              <w:spacing w:line="271" w:lineRule="auto" w:before="1"/>
              <w:ind w:left="12" w:right="6"/>
              <w:rPr>
                <w:sz w:val="10"/>
              </w:rPr>
            </w:pPr>
            <w:r>
              <w:rPr>
                <w:w w:val="95"/>
                <w:sz w:val="10"/>
              </w:rPr>
              <w:t>La</w:t>
            </w:r>
            <w:r>
              <w:rPr>
                <w:spacing w:val="-12"/>
                <w:w w:val="95"/>
                <w:sz w:val="10"/>
              </w:rPr>
              <w:t> </w:t>
            </w:r>
            <w:r>
              <w:rPr>
                <w:w w:val="95"/>
                <w:sz w:val="10"/>
              </w:rPr>
              <w:t>Tesorería</w:t>
            </w:r>
            <w:r>
              <w:rPr>
                <w:spacing w:val="-11"/>
                <w:w w:val="95"/>
                <w:sz w:val="10"/>
              </w:rPr>
              <w:t> </w:t>
            </w:r>
            <w:r>
              <w:rPr>
                <w:w w:val="95"/>
                <w:sz w:val="10"/>
              </w:rPr>
              <w:t>Municipal</w:t>
            </w:r>
            <w:r>
              <w:rPr>
                <w:spacing w:val="-11"/>
                <w:w w:val="95"/>
                <w:sz w:val="10"/>
              </w:rPr>
              <w:t> </w:t>
            </w:r>
            <w:r>
              <w:rPr>
                <w:w w:val="95"/>
                <w:sz w:val="10"/>
              </w:rPr>
              <w:t>realiza</w:t>
            </w:r>
            <w:r>
              <w:rPr>
                <w:spacing w:val="-11"/>
                <w:w w:val="95"/>
                <w:sz w:val="10"/>
              </w:rPr>
              <w:t> </w:t>
            </w:r>
            <w:r>
              <w:rPr>
                <w:w w:val="95"/>
                <w:sz w:val="10"/>
              </w:rPr>
              <w:t>conciliaciones cada</w:t>
            </w:r>
            <w:r>
              <w:rPr>
                <w:spacing w:val="-7"/>
                <w:w w:val="95"/>
                <w:sz w:val="10"/>
              </w:rPr>
              <w:t> </w:t>
            </w:r>
            <w:r>
              <w:rPr>
                <w:w w:val="95"/>
                <w:sz w:val="10"/>
              </w:rPr>
              <w:t>mes</w:t>
            </w:r>
            <w:r>
              <w:rPr>
                <w:spacing w:val="-7"/>
                <w:w w:val="95"/>
                <w:sz w:val="10"/>
              </w:rPr>
              <w:t> </w:t>
            </w:r>
            <w:r>
              <w:rPr>
                <w:w w:val="95"/>
                <w:sz w:val="10"/>
              </w:rPr>
              <w:t>con</w:t>
            </w:r>
            <w:r>
              <w:rPr>
                <w:spacing w:val="-7"/>
                <w:w w:val="95"/>
                <w:sz w:val="10"/>
              </w:rPr>
              <w:t> </w:t>
            </w:r>
            <w:r>
              <w:rPr>
                <w:w w:val="95"/>
                <w:sz w:val="10"/>
              </w:rPr>
              <w:t>los</w:t>
            </w:r>
            <w:r>
              <w:rPr>
                <w:spacing w:val="-7"/>
                <w:w w:val="95"/>
                <w:sz w:val="10"/>
              </w:rPr>
              <w:t> </w:t>
            </w:r>
            <w:r>
              <w:rPr>
                <w:w w:val="95"/>
                <w:sz w:val="10"/>
              </w:rPr>
              <w:t>departamentos</w:t>
            </w:r>
            <w:r>
              <w:rPr>
                <w:spacing w:val="-7"/>
                <w:w w:val="95"/>
                <w:sz w:val="10"/>
              </w:rPr>
              <w:t> </w:t>
            </w:r>
            <w:r>
              <w:rPr>
                <w:w w:val="95"/>
                <w:sz w:val="10"/>
              </w:rPr>
              <w:t>ejecutores </w:t>
            </w:r>
            <w:r>
              <w:rPr>
                <w:sz w:val="10"/>
              </w:rPr>
              <w:t>del</w:t>
            </w:r>
            <w:r>
              <w:rPr>
                <w:spacing w:val="-16"/>
                <w:sz w:val="10"/>
              </w:rPr>
              <w:t> </w:t>
            </w:r>
            <w:r>
              <w:rPr>
                <w:sz w:val="10"/>
              </w:rPr>
              <w:t>ejercicio</w:t>
            </w:r>
            <w:r>
              <w:rPr>
                <w:spacing w:val="-16"/>
                <w:sz w:val="10"/>
              </w:rPr>
              <w:t> </w:t>
            </w:r>
            <w:r>
              <w:rPr>
                <w:sz w:val="10"/>
              </w:rPr>
              <w:t>del</w:t>
            </w:r>
            <w:r>
              <w:rPr>
                <w:spacing w:val="-16"/>
                <w:sz w:val="10"/>
              </w:rPr>
              <w:t> </w:t>
            </w:r>
            <w:r>
              <w:rPr>
                <w:sz w:val="10"/>
              </w:rPr>
              <w:t>fondo,</w:t>
            </w:r>
            <w:r>
              <w:rPr>
                <w:spacing w:val="-16"/>
                <w:sz w:val="10"/>
              </w:rPr>
              <w:t> </w:t>
            </w:r>
            <w:r>
              <w:rPr>
                <w:sz w:val="10"/>
              </w:rPr>
              <w:t>así</w:t>
            </w:r>
            <w:r>
              <w:rPr>
                <w:spacing w:val="-16"/>
                <w:sz w:val="10"/>
              </w:rPr>
              <w:t> </w:t>
            </w:r>
            <w:r>
              <w:rPr>
                <w:sz w:val="10"/>
              </w:rPr>
              <w:t>como</w:t>
            </w:r>
            <w:r>
              <w:rPr>
                <w:spacing w:val="-16"/>
                <w:sz w:val="10"/>
              </w:rPr>
              <w:t> </w:t>
            </w:r>
            <w:r>
              <w:rPr>
                <w:sz w:val="10"/>
              </w:rPr>
              <w:t>al</w:t>
            </w:r>
            <w:r>
              <w:rPr>
                <w:spacing w:val="-17"/>
                <w:sz w:val="10"/>
              </w:rPr>
              <w:t> </w:t>
            </w:r>
            <w:r>
              <w:rPr>
                <w:sz w:val="10"/>
              </w:rPr>
              <w:t>cierre</w:t>
            </w:r>
            <w:r>
              <w:rPr>
                <w:spacing w:val="-16"/>
                <w:sz w:val="10"/>
              </w:rPr>
              <w:t> </w:t>
            </w:r>
            <w:r>
              <w:rPr>
                <w:sz w:val="10"/>
              </w:rPr>
              <w:t>del ejercicio</w:t>
            </w:r>
            <w:r>
              <w:rPr>
                <w:spacing w:val="-18"/>
                <w:sz w:val="10"/>
              </w:rPr>
              <w:t> </w:t>
            </w:r>
            <w:r>
              <w:rPr>
                <w:sz w:val="10"/>
              </w:rPr>
              <w:t>presupuestal</w:t>
            </w:r>
            <w:r>
              <w:rPr>
                <w:spacing w:val="-19"/>
                <w:sz w:val="10"/>
              </w:rPr>
              <w:t> </w:t>
            </w:r>
            <w:r>
              <w:rPr>
                <w:sz w:val="10"/>
              </w:rPr>
              <w:t>para</w:t>
            </w:r>
            <w:r>
              <w:rPr>
                <w:spacing w:val="-18"/>
                <w:sz w:val="10"/>
              </w:rPr>
              <w:t> </w:t>
            </w:r>
            <w:r>
              <w:rPr>
                <w:sz w:val="10"/>
              </w:rPr>
              <w:t>avalar</w:t>
            </w:r>
            <w:r>
              <w:rPr>
                <w:spacing w:val="-18"/>
                <w:sz w:val="10"/>
              </w:rPr>
              <w:t> </w:t>
            </w:r>
            <w:r>
              <w:rPr>
                <w:sz w:val="10"/>
              </w:rPr>
              <w:t>las</w:t>
            </w:r>
            <w:r>
              <w:rPr>
                <w:spacing w:val="-18"/>
                <w:sz w:val="10"/>
              </w:rPr>
              <w:t> </w:t>
            </w:r>
            <w:r>
              <w:rPr>
                <w:sz w:val="10"/>
              </w:rPr>
              <w:t>cifras </w:t>
            </w:r>
            <w:r>
              <w:rPr>
                <w:w w:val="95"/>
                <w:sz w:val="10"/>
              </w:rPr>
              <w:t>presentadas</w:t>
            </w:r>
            <w:r>
              <w:rPr>
                <w:spacing w:val="-9"/>
                <w:w w:val="95"/>
                <w:sz w:val="10"/>
              </w:rPr>
              <w:t> </w:t>
            </w:r>
            <w:r>
              <w:rPr>
                <w:w w:val="95"/>
                <w:sz w:val="10"/>
              </w:rPr>
              <w:t>en</w:t>
            </w:r>
            <w:r>
              <w:rPr>
                <w:spacing w:val="-9"/>
                <w:w w:val="95"/>
                <w:sz w:val="10"/>
              </w:rPr>
              <w:t> </w:t>
            </w:r>
            <w:r>
              <w:rPr>
                <w:w w:val="95"/>
                <w:sz w:val="10"/>
              </w:rPr>
              <w:t>la</w:t>
            </w:r>
            <w:r>
              <w:rPr>
                <w:spacing w:val="-9"/>
                <w:w w:val="95"/>
                <w:sz w:val="10"/>
              </w:rPr>
              <w:t> </w:t>
            </w:r>
            <w:r>
              <w:rPr>
                <w:w w:val="95"/>
                <w:sz w:val="10"/>
              </w:rPr>
              <w:t>Cuenta</w:t>
            </w:r>
            <w:r>
              <w:rPr>
                <w:spacing w:val="-9"/>
                <w:w w:val="95"/>
                <w:sz w:val="10"/>
              </w:rPr>
              <w:t> </w:t>
            </w:r>
            <w:r>
              <w:rPr>
                <w:w w:val="95"/>
                <w:sz w:val="10"/>
              </w:rPr>
              <w:t>Pública</w:t>
            </w:r>
            <w:r>
              <w:rPr>
                <w:spacing w:val="-8"/>
                <w:w w:val="95"/>
                <w:sz w:val="10"/>
              </w:rPr>
              <w:t> </w:t>
            </w:r>
            <w:r>
              <w:rPr>
                <w:w w:val="95"/>
                <w:sz w:val="10"/>
              </w:rPr>
              <w:t>Municipal.</w:t>
            </w:r>
          </w:p>
        </w:tc>
        <w:tc>
          <w:tcPr>
            <w:tcW w:w="1446" w:type="dxa"/>
            <w:tcBorders>
              <w:left w:val="single" w:sz="3" w:space="0" w:color="000000"/>
              <w:right w:val="single" w:sz="3" w:space="0" w:color="000000"/>
            </w:tcBorders>
          </w:tcPr>
          <w:p>
            <w:pPr>
              <w:pStyle w:val="TableParagraph"/>
              <w:spacing w:line="271" w:lineRule="auto" w:before="1"/>
              <w:ind w:left="13" w:right="1"/>
              <w:rPr>
                <w:sz w:val="10"/>
              </w:rPr>
            </w:pPr>
            <w:r>
              <w:rPr>
                <w:sz w:val="10"/>
              </w:rPr>
              <w:t>No se publicó el tercer informe </w:t>
            </w:r>
            <w:r>
              <w:rPr>
                <w:w w:val="95"/>
                <w:sz w:val="10"/>
              </w:rPr>
              <w:t>trimestral</w:t>
            </w:r>
            <w:r>
              <w:rPr>
                <w:spacing w:val="-8"/>
                <w:w w:val="95"/>
                <w:sz w:val="10"/>
              </w:rPr>
              <w:t> </w:t>
            </w:r>
            <w:r>
              <w:rPr>
                <w:w w:val="95"/>
                <w:sz w:val="10"/>
              </w:rPr>
              <w:t>del</w:t>
            </w:r>
            <w:r>
              <w:rPr>
                <w:spacing w:val="-8"/>
                <w:w w:val="95"/>
                <w:sz w:val="10"/>
              </w:rPr>
              <w:t> </w:t>
            </w:r>
            <w:r>
              <w:rPr>
                <w:w w:val="95"/>
                <w:sz w:val="10"/>
              </w:rPr>
              <w:t>fondo</w:t>
            </w:r>
            <w:r>
              <w:rPr>
                <w:spacing w:val="-8"/>
                <w:w w:val="95"/>
                <w:sz w:val="10"/>
              </w:rPr>
              <w:t> </w:t>
            </w:r>
            <w:r>
              <w:rPr>
                <w:w w:val="95"/>
                <w:sz w:val="10"/>
              </w:rPr>
              <w:t>2008,</w:t>
            </w:r>
            <w:r>
              <w:rPr>
                <w:spacing w:val="-8"/>
                <w:w w:val="95"/>
                <w:sz w:val="10"/>
              </w:rPr>
              <w:t> </w:t>
            </w:r>
            <w:r>
              <w:rPr>
                <w:w w:val="95"/>
                <w:sz w:val="10"/>
              </w:rPr>
              <w:t>remitido </w:t>
            </w:r>
            <w:r>
              <w:rPr>
                <w:sz w:val="10"/>
              </w:rPr>
              <w:t>a la Secretaría de Hacienda y Crédito Público, en los órganos locales de difusión, en medios electrónicos ni publicaciones específicas.</w:t>
            </w:r>
          </w:p>
        </w:tc>
        <w:tc>
          <w:tcPr>
            <w:tcW w:w="1446" w:type="dxa"/>
            <w:tcBorders>
              <w:left w:val="single" w:sz="3" w:space="0" w:color="000000"/>
              <w:right w:val="single" w:sz="3" w:space="0" w:color="000000"/>
            </w:tcBorders>
          </w:tcPr>
          <w:p>
            <w:pPr>
              <w:pStyle w:val="TableParagraph"/>
              <w:spacing w:line="271" w:lineRule="auto" w:before="1"/>
              <w:ind w:left="13" w:right="-2"/>
              <w:rPr>
                <w:sz w:val="10"/>
              </w:rPr>
            </w:pPr>
            <w:r>
              <w:rPr>
                <w:sz w:val="10"/>
              </w:rPr>
              <w:t>Se tienen establecidas actividades de control para realizar de manera periódica y </w:t>
            </w:r>
            <w:r>
              <w:rPr>
                <w:w w:val="95"/>
                <w:sz w:val="10"/>
              </w:rPr>
              <w:t>sistemática</w:t>
            </w:r>
            <w:r>
              <w:rPr>
                <w:spacing w:val="-10"/>
                <w:w w:val="95"/>
                <w:sz w:val="10"/>
              </w:rPr>
              <w:t> </w:t>
            </w:r>
            <w:r>
              <w:rPr>
                <w:w w:val="95"/>
                <w:sz w:val="10"/>
              </w:rPr>
              <w:t>conciliaciones</w:t>
            </w:r>
            <w:r>
              <w:rPr>
                <w:spacing w:val="-10"/>
                <w:w w:val="95"/>
                <w:sz w:val="10"/>
              </w:rPr>
              <w:t> </w:t>
            </w:r>
            <w:r>
              <w:rPr>
                <w:w w:val="95"/>
                <w:sz w:val="10"/>
              </w:rPr>
              <w:t>entre</w:t>
            </w:r>
            <w:r>
              <w:rPr>
                <w:spacing w:val="-9"/>
                <w:w w:val="95"/>
                <w:sz w:val="10"/>
              </w:rPr>
              <w:t> </w:t>
            </w:r>
            <w:r>
              <w:rPr>
                <w:w w:val="95"/>
                <w:sz w:val="10"/>
              </w:rPr>
              <w:t>la </w:t>
            </w:r>
            <w:r>
              <w:rPr>
                <w:sz w:val="10"/>
              </w:rPr>
              <w:t>información</w:t>
            </w:r>
            <w:r>
              <w:rPr>
                <w:spacing w:val="-15"/>
                <w:sz w:val="10"/>
              </w:rPr>
              <w:t> </w:t>
            </w:r>
            <w:r>
              <w:rPr>
                <w:sz w:val="10"/>
              </w:rPr>
              <w:t>que</w:t>
            </w:r>
            <w:r>
              <w:rPr>
                <w:spacing w:val="-15"/>
                <w:sz w:val="10"/>
              </w:rPr>
              <w:t> </w:t>
            </w:r>
            <w:r>
              <w:rPr>
                <w:sz w:val="10"/>
              </w:rPr>
              <w:t>generan</w:t>
            </w:r>
            <w:r>
              <w:rPr>
                <w:spacing w:val="-15"/>
                <w:sz w:val="10"/>
              </w:rPr>
              <w:t> </w:t>
            </w:r>
            <w:r>
              <w:rPr>
                <w:sz w:val="10"/>
              </w:rPr>
              <w:t>el</w:t>
            </w:r>
            <w:r>
              <w:rPr>
                <w:spacing w:val="-16"/>
                <w:sz w:val="10"/>
              </w:rPr>
              <w:t> </w:t>
            </w:r>
            <w:r>
              <w:rPr>
                <w:sz w:val="10"/>
              </w:rPr>
              <w:t>área financiera en relación con los </w:t>
            </w:r>
            <w:r>
              <w:rPr>
                <w:w w:val="90"/>
                <w:sz w:val="10"/>
              </w:rPr>
              <w:t>recursos del</w:t>
            </w:r>
            <w:r>
              <w:rPr>
                <w:spacing w:val="22"/>
                <w:w w:val="90"/>
                <w:sz w:val="10"/>
              </w:rPr>
              <w:t> </w:t>
            </w:r>
            <w:r>
              <w:rPr>
                <w:w w:val="90"/>
                <w:sz w:val="10"/>
              </w:rPr>
              <w:t>FORTAMUN-DF.</w:t>
            </w:r>
          </w:p>
        </w:tc>
      </w:tr>
      <w:tr>
        <w:trPr>
          <w:trHeight w:val="1169" w:hRule="exact"/>
        </w:trPr>
        <w:tc>
          <w:tcPr>
            <w:tcW w:w="1423" w:type="dxa"/>
            <w:tcBorders>
              <w:left w:val="single" w:sz="3" w:space="0" w:color="000000"/>
              <w:right w:val="single" w:sz="3" w:space="0" w:color="000000"/>
            </w:tcBorders>
          </w:tcPr>
          <w:p>
            <w:pPr>
              <w:pStyle w:val="TableParagraph"/>
              <w:spacing w:line="271" w:lineRule="auto" w:before="2"/>
              <w:ind w:left="14" w:right="-8"/>
              <w:rPr>
                <w:sz w:val="10"/>
              </w:rPr>
            </w:pPr>
            <w:r>
              <w:rPr>
                <w:sz w:val="10"/>
              </w:rPr>
              <w:t>El municipio promovió la participación de la ciudadanía, en el destino, aplicación, vigilancia, programación, </w:t>
            </w:r>
            <w:r>
              <w:rPr>
                <w:w w:val="95"/>
                <w:sz w:val="10"/>
              </w:rPr>
              <w:t>ejecución, control y seguimiento </w:t>
            </w:r>
            <w:r>
              <w:rPr>
                <w:sz w:val="10"/>
              </w:rPr>
              <w:t>de las obras del fondo.</w:t>
            </w:r>
          </w:p>
        </w:tc>
        <w:tc>
          <w:tcPr>
            <w:tcW w:w="1422" w:type="dxa"/>
            <w:tcBorders>
              <w:left w:val="single" w:sz="3" w:space="0" w:color="000000"/>
              <w:right w:val="single" w:sz="3" w:space="0" w:color="000000"/>
            </w:tcBorders>
          </w:tcPr>
          <w:p>
            <w:pPr>
              <w:pStyle w:val="TableParagraph"/>
              <w:spacing w:line="271" w:lineRule="auto" w:before="2"/>
              <w:ind w:left="13" w:right="-6"/>
              <w:rPr>
                <w:sz w:val="10"/>
              </w:rPr>
            </w:pPr>
            <w:r>
              <w:rPr>
                <w:sz w:val="10"/>
              </w:rPr>
              <w:t>Se cuenta con actividades de control para garantizar la adecuada integración de los expedientes del personal de seguridad pública y lo </w:t>
            </w:r>
            <w:r>
              <w:rPr>
                <w:w w:val="95"/>
                <w:sz w:val="10"/>
              </w:rPr>
              <w:t>relacionado con los procesos de </w:t>
            </w:r>
            <w:r>
              <w:rPr>
                <w:sz w:val="10"/>
              </w:rPr>
              <w:t>adjudicación y contratación de adquisiciones.</w:t>
            </w:r>
          </w:p>
        </w:tc>
        <w:tc>
          <w:tcPr>
            <w:tcW w:w="1321" w:type="dxa"/>
            <w:tcBorders>
              <w:left w:val="single" w:sz="3" w:space="0" w:color="000000"/>
              <w:right w:val="single" w:sz="3" w:space="0" w:color="000000"/>
            </w:tcBorders>
          </w:tcPr>
          <w:p>
            <w:pPr>
              <w:pStyle w:val="TableParagraph"/>
              <w:spacing w:line="271" w:lineRule="auto" w:before="2"/>
              <w:ind w:left="13" w:right="-3"/>
              <w:rPr>
                <w:sz w:val="10"/>
              </w:rPr>
            </w:pPr>
            <w:r>
              <w:rPr>
                <w:sz w:val="10"/>
              </w:rPr>
              <w:t>No se ha implementado el evaluar</w:t>
            </w:r>
            <w:r>
              <w:rPr>
                <w:spacing w:val="-17"/>
                <w:sz w:val="10"/>
              </w:rPr>
              <w:t> </w:t>
            </w:r>
            <w:r>
              <w:rPr>
                <w:sz w:val="10"/>
              </w:rPr>
              <w:t>al</w:t>
            </w:r>
            <w:r>
              <w:rPr>
                <w:spacing w:val="-17"/>
                <w:sz w:val="10"/>
              </w:rPr>
              <w:t> </w:t>
            </w:r>
            <w:r>
              <w:rPr>
                <w:sz w:val="10"/>
              </w:rPr>
              <w:t>final</w:t>
            </w:r>
            <w:r>
              <w:rPr>
                <w:spacing w:val="-17"/>
                <w:sz w:val="10"/>
              </w:rPr>
              <w:t> </w:t>
            </w:r>
            <w:r>
              <w:rPr>
                <w:sz w:val="10"/>
              </w:rPr>
              <w:t>del</w:t>
            </w:r>
            <w:r>
              <w:rPr>
                <w:spacing w:val="-17"/>
                <w:sz w:val="10"/>
              </w:rPr>
              <w:t> </w:t>
            </w:r>
            <w:r>
              <w:rPr>
                <w:sz w:val="10"/>
              </w:rPr>
              <w:t>ejercicio</w:t>
            </w:r>
            <w:r>
              <w:rPr>
                <w:spacing w:val="-16"/>
                <w:sz w:val="10"/>
              </w:rPr>
              <w:t> </w:t>
            </w:r>
            <w:r>
              <w:rPr>
                <w:sz w:val="10"/>
              </w:rPr>
              <w:t>los resultados obtenidos con la aplicación</w:t>
            </w:r>
            <w:r>
              <w:rPr>
                <w:spacing w:val="-15"/>
                <w:sz w:val="10"/>
              </w:rPr>
              <w:t> </w:t>
            </w:r>
            <w:r>
              <w:rPr>
                <w:sz w:val="10"/>
              </w:rPr>
              <w:t>de</w:t>
            </w:r>
            <w:r>
              <w:rPr>
                <w:spacing w:val="-15"/>
                <w:sz w:val="10"/>
              </w:rPr>
              <w:t> </w:t>
            </w:r>
            <w:r>
              <w:rPr>
                <w:sz w:val="10"/>
              </w:rPr>
              <w:t>los</w:t>
            </w:r>
            <w:r>
              <w:rPr>
                <w:spacing w:val="-15"/>
                <w:sz w:val="10"/>
              </w:rPr>
              <w:t> </w:t>
            </w:r>
            <w:r>
              <w:rPr>
                <w:sz w:val="10"/>
              </w:rPr>
              <w:t>recursos</w:t>
            </w:r>
            <w:r>
              <w:rPr>
                <w:spacing w:val="-15"/>
                <w:sz w:val="10"/>
              </w:rPr>
              <w:t> </w:t>
            </w:r>
            <w:r>
              <w:rPr>
                <w:sz w:val="10"/>
              </w:rPr>
              <w:t>del FISM,</w:t>
            </w:r>
            <w:r>
              <w:rPr>
                <w:spacing w:val="-18"/>
                <w:sz w:val="10"/>
              </w:rPr>
              <w:t> </w:t>
            </w:r>
            <w:r>
              <w:rPr>
                <w:sz w:val="10"/>
              </w:rPr>
              <w:t>a</w:t>
            </w:r>
            <w:r>
              <w:rPr>
                <w:spacing w:val="-18"/>
                <w:sz w:val="10"/>
              </w:rPr>
              <w:t> </w:t>
            </w:r>
            <w:r>
              <w:rPr>
                <w:sz w:val="10"/>
              </w:rPr>
              <w:t>fin</w:t>
            </w:r>
            <w:r>
              <w:rPr>
                <w:spacing w:val="-18"/>
                <w:sz w:val="10"/>
              </w:rPr>
              <w:t> </w:t>
            </w:r>
            <w:r>
              <w:rPr>
                <w:sz w:val="10"/>
              </w:rPr>
              <w:t>de</w:t>
            </w:r>
            <w:r>
              <w:rPr>
                <w:spacing w:val="-18"/>
                <w:sz w:val="10"/>
              </w:rPr>
              <w:t> </w:t>
            </w:r>
            <w:r>
              <w:rPr>
                <w:sz w:val="10"/>
              </w:rPr>
              <w:t>retroalimentar</w:t>
            </w:r>
            <w:r>
              <w:rPr>
                <w:spacing w:val="-18"/>
                <w:sz w:val="10"/>
              </w:rPr>
              <w:t> </w:t>
            </w:r>
            <w:r>
              <w:rPr>
                <w:sz w:val="10"/>
              </w:rPr>
              <w:t>la operación del fondo para el </w:t>
            </w:r>
            <w:r>
              <w:rPr>
                <w:w w:val="90"/>
                <w:sz w:val="10"/>
              </w:rPr>
              <w:t>siguiente</w:t>
            </w:r>
            <w:r>
              <w:rPr>
                <w:spacing w:val="22"/>
                <w:w w:val="90"/>
                <w:sz w:val="10"/>
              </w:rPr>
              <w:t> </w:t>
            </w:r>
            <w:r>
              <w:rPr>
                <w:w w:val="90"/>
                <w:sz w:val="10"/>
              </w:rPr>
              <w:t>ejercicio.</w:t>
            </w:r>
          </w:p>
        </w:tc>
        <w:tc>
          <w:tcPr>
            <w:tcW w:w="1321" w:type="dxa"/>
            <w:tcBorders>
              <w:left w:val="single" w:sz="3" w:space="0" w:color="000000"/>
              <w:right w:val="single" w:sz="3" w:space="0" w:color="000000"/>
            </w:tcBorders>
          </w:tcPr>
          <w:p>
            <w:pPr>
              <w:pStyle w:val="TableParagraph"/>
              <w:spacing w:line="271" w:lineRule="auto" w:before="2"/>
              <w:ind w:left="14" w:right="-11"/>
              <w:rPr>
                <w:sz w:val="10"/>
              </w:rPr>
            </w:pPr>
            <w:r>
              <w:rPr>
                <w:w w:val="95"/>
                <w:sz w:val="10"/>
              </w:rPr>
              <w:t>Las cifras presentadas en los estados financieros, cierre de </w:t>
            </w:r>
            <w:r>
              <w:rPr>
                <w:sz w:val="10"/>
              </w:rPr>
              <w:t>ejercicio presupuestal y en la Cuenta Pública Municipal fueron conciliadas mensualmente entre las </w:t>
            </w:r>
            <w:r>
              <w:rPr>
                <w:w w:val="90"/>
                <w:sz w:val="10"/>
              </w:rPr>
              <w:t>dependencias  involucradas.</w:t>
            </w:r>
          </w:p>
        </w:tc>
        <w:tc>
          <w:tcPr>
            <w:tcW w:w="1563" w:type="dxa"/>
            <w:tcBorders>
              <w:left w:val="single" w:sz="3" w:space="0" w:color="000000"/>
              <w:right w:val="single" w:sz="3" w:space="0" w:color="000000"/>
            </w:tcBorders>
          </w:tcPr>
          <w:p>
            <w:pPr/>
          </w:p>
        </w:tc>
        <w:tc>
          <w:tcPr>
            <w:tcW w:w="1891" w:type="dxa"/>
            <w:tcBorders>
              <w:left w:val="single" w:sz="3" w:space="0" w:color="000000"/>
              <w:right w:val="single" w:sz="3" w:space="0" w:color="000000"/>
            </w:tcBorders>
          </w:tcPr>
          <w:p>
            <w:pPr>
              <w:pStyle w:val="TableParagraph"/>
              <w:spacing w:line="271" w:lineRule="auto" w:before="2"/>
              <w:ind w:left="13" w:right="27"/>
              <w:rPr>
                <w:sz w:val="10"/>
              </w:rPr>
            </w:pPr>
            <w:r>
              <w:rPr>
                <w:sz w:val="10"/>
              </w:rPr>
              <w:t>El</w:t>
            </w:r>
            <w:r>
              <w:rPr>
                <w:spacing w:val="-16"/>
                <w:sz w:val="10"/>
              </w:rPr>
              <w:t> </w:t>
            </w:r>
            <w:r>
              <w:rPr>
                <w:sz w:val="10"/>
              </w:rPr>
              <w:t>municipio</w:t>
            </w:r>
            <w:r>
              <w:rPr>
                <w:spacing w:val="-17"/>
                <w:sz w:val="10"/>
              </w:rPr>
              <w:t> </w:t>
            </w:r>
            <w:r>
              <w:rPr>
                <w:sz w:val="10"/>
              </w:rPr>
              <w:t>recibe</w:t>
            </w:r>
            <w:r>
              <w:rPr>
                <w:spacing w:val="-17"/>
                <w:sz w:val="10"/>
              </w:rPr>
              <w:t> </w:t>
            </w:r>
            <w:r>
              <w:rPr>
                <w:sz w:val="10"/>
              </w:rPr>
              <w:t>del</w:t>
            </w:r>
            <w:r>
              <w:rPr>
                <w:spacing w:val="-17"/>
                <w:sz w:val="10"/>
              </w:rPr>
              <w:t> </w:t>
            </w:r>
            <w:r>
              <w:rPr>
                <w:sz w:val="10"/>
              </w:rPr>
              <w:t>Órgano</w:t>
            </w:r>
            <w:r>
              <w:rPr>
                <w:spacing w:val="-17"/>
                <w:sz w:val="10"/>
              </w:rPr>
              <w:t> </w:t>
            </w:r>
            <w:r>
              <w:rPr>
                <w:sz w:val="10"/>
              </w:rPr>
              <w:t>Superior</w:t>
            </w:r>
            <w:r>
              <w:rPr>
                <w:spacing w:val="-17"/>
                <w:sz w:val="10"/>
              </w:rPr>
              <w:t> </w:t>
            </w:r>
            <w:r>
              <w:rPr>
                <w:sz w:val="10"/>
              </w:rPr>
              <w:t>de Fiscalización del Estado de México (OSFEM),</w:t>
            </w:r>
            <w:r>
              <w:rPr>
                <w:spacing w:val="-19"/>
                <w:sz w:val="10"/>
              </w:rPr>
              <w:t> </w:t>
            </w:r>
            <w:r>
              <w:rPr>
                <w:sz w:val="10"/>
              </w:rPr>
              <w:t>propuestas</w:t>
            </w:r>
            <w:r>
              <w:rPr>
                <w:spacing w:val="-19"/>
                <w:sz w:val="10"/>
              </w:rPr>
              <w:t> </w:t>
            </w:r>
            <w:r>
              <w:rPr>
                <w:sz w:val="10"/>
              </w:rPr>
              <w:t>de</w:t>
            </w:r>
            <w:r>
              <w:rPr>
                <w:spacing w:val="-19"/>
                <w:sz w:val="10"/>
              </w:rPr>
              <w:t> </w:t>
            </w:r>
            <w:r>
              <w:rPr>
                <w:sz w:val="10"/>
              </w:rPr>
              <w:t>indicadores</w:t>
            </w:r>
            <w:r>
              <w:rPr>
                <w:spacing w:val="-19"/>
                <w:sz w:val="10"/>
              </w:rPr>
              <w:t> </w:t>
            </w:r>
            <w:r>
              <w:rPr>
                <w:sz w:val="10"/>
              </w:rPr>
              <w:t>para evaluar</w:t>
            </w:r>
            <w:r>
              <w:rPr>
                <w:spacing w:val="-19"/>
                <w:sz w:val="10"/>
              </w:rPr>
              <w:t> </w:t>
            </w:r>
            <w:r>
              <w:rPr>
                <w:sz w:val="10"/>
              </w:rPr>
              <w:t>y</w:t>
            </w:r>
            <w:r>
              <w:rPr>
                <w:spacing w:val="-18"/>
                <w:sz w:val="10"/>
              </w:rPr>
              <w:t> </w:t>
            </w:r>
            <w:r>
              <w:rPr>
                <w:sz w:val="10"/>
              </w:rPr>
              <w:t>medir</w:t>
            </w:r>
            <w:r>
              <w:rPr>
                <w:spacing w:val="-18"/>
                <w:sz w:val="10"/>
              </w:rPr>
              <w:t> </w:t>
            </w:r>
            <w:r>
              <w:rPr>
                <w:sz w:val="10"/>
              </w:rPr>
              <w:t>la</w:t>
            </w:r>
            <w:r>
              <w:rPr>
                <w:spacing w:val="-18"/>
                <w:sz w:val="10"/>
              </w:rPr>
              <w:t> </w:t>
            </w:r>
            <w:r>
              <w:rPr>
                <w:sz w:val="10"/>
              </w:rPr>
              <w:t>eficiencia</w:t>
            </w:r>
            <w:r>
              <w:rPr>
                <w:spacing w:val="-18"/>
                <w:sz w:val="10"/>
              </w:rPr>
              <w:t> </w:t>
            </w:r>
            <w:r>
              <w:rPr>
                <w:sz w:val="10"/>
              </w:rPr>
              <w:t>en</w:t>
            </w:r>
            <w:r>
              <w:rPr>
                <w:spacing w:val="-18"/>
                <w:sz w:val="10"/>
              </w:rPr>
              <w:t> </w:t>
            </w:r>
            <w:r>
              <w:rPr>
                <w:sz w:val="10"/>
              </w:rPr>
              <w:t>la</w:t>
            </w:r>
            <w:r>
              <w:rPr>
                <w:spacing w:val="-18"/>
                <w:sz w:val="10"/>
              </w:rPr>
              <w:t> </w:t>
            </w:r>
            <w:r>
              <w:rPr>
                <w:sz w:val="10"/>
              </w:rPr>
              <w:t>aplicación </w:t>
            </w:r>
            <w:r>
              <w:rPr>
                <w:spacing w:val="-1"/>
                <w:w w:val="90"/>
                <w:sz w:val="10"/>
              </w:rPr>
              <w:t>del </w:t>
            </w:r>
            <w:r>
              <w:rPr>
                <w:spacing w:val="1"/>
                <w:w w:val="90"/>
                <w:sz w:val="10"/>
              </w:rPr>
              <w:t> </w:t>
            </w:r>
            <w:r>
              <w:rPr>
                <w:spacing w:val="-1"/>
                <w:w w:val="90"/>
                <w:sz w:val="10"/>
              </w:rPr>
              <w:t>FORTAMUN-DF.</w:t>
            </w:r>
          </w:p>
        </w:tc>
        <w:tc>
          <w:tcPr>
            <w:tcW w:w="1446" w:type="dxa"/>
            <w:tcBorders>
              <w:left w:val="single" w:sz="3" w:space="0" w:color="000000"/>
              <w:right w:val="single" w:sz="3" w:space="0" w:color="000000"/>
            </w:tcBorders>
          </w:tcPr>
          <w:p>
            <w:pPr>
              <w:pStyle w:val="TableParagraph"/>
              <w:spacing w:line="271" w:lineRule="auto" w:before="2"/>
              <w:ind w:left="13" w:right="44"/>
              <w:rPr>
                <w:sz w:val="10"/>
              </w:rPr>
            </w:pPr>
            <w:r>
              <w:rPr>
                <w:sz w:val="10"/>
              </w:rPr>
              <w:t>El municipio comunicó sólo el </w:t>
            </w:r>
            <w:r>
              <w:rPr>
                <w:w w:val="95"/>
                <w:sz w:val="10"/>
              </w:rPr>
              <w:t>tercer</w:t>
            </w:r>
            <w:r>
              <w:rPr>
                <w:spacing w:val="-7"/>
                <w:w w:val="95"/>
                <w:sz w:val="10"/>
              </w:rPr>
              <w:t> </w:t>
            </w:r>
            <w:r>
              <w:rPr>
                <w:w w:val="95"/>
                <w:sz w:val="10"/>
              </w:rPr>
              <w:t>trimestre</w:t>
            </w:r>
            <w:r>
              <w:rPr>
                <w:spacing w:val="-6"/>
                <w:w w:val="95"/>
                <w:sz w:val="10"/>
              </w:rPr>
              <w:t> </w:t>
            </w:r>
            <w:r>
              <w:rPr>
                <w:w w:val="95"/>
                <w:sz w:val="10"/>
              </w:rPr>
              <w:t>a</w:t>
            </w:r>
            <w:r>
              <w:rPr>
                <w:spacing w:val="-7"/>
                <w:w w:val="95"/>
                <w:sz w:val="10"/>
              </w:rPr>
              <w:t> </w:t>
            </w:r>
            <w:r>
              <w:rPr>
                <w:w w:val="95"/>
                <w:sz w:val="10"/>
              </w:rPr>
              <w:t>las</w:t>
            </w:r>
            <w:r>
              <w:rPr>
                <w:spacing w:val="-7"/>
                <w:w w:val="95"/>
                <w:sz w:val="10"/>
              </w:rPr>
              <w:t> </w:t>
            </w:r>
            <w:r>
              <w:rPr>
                <w:w w:val="95"/>
                <w:sz w:val="10"/>
              </w:rPr>
              <w:t>Secretarías de</w:t>
            </w:r>
            <w:r>
              <w:rPr>
                <w:spacing w:val="-9"/>
                <w:w w:val="95"/>
                <w:sz w:val="10"/>
              </w:rPr>
              <w:t> </w:t>
            </w:r>
            <w:r>
              <w:rPr>
                <w:w w:val="95"/>
                <w:sz w:val="10"/>
              </w:rPr>
              <w:t>Desarrollo</w:t>
            </w:r>
            <w:r>
              <w:rPr>
                <w:spacing w:val="-9"/>
                <w:w w:val="95"/>
                <w:sz w:val="10"/>
              </w:rPr>
              <w:t> </w:t>
            </w:r>
            <w:r>
              <w:rPr>
                <w:w w:val="95"/>
                <w:sz w:val="10"/>
              </w:rPr>
              <w:t>Social</w:t>
            </w:r>
            <w:r>
              <w:rPr>
                <w:spacing w:val="-9"/>
                <w:w w:val="95"/>
                <w:sz w:val="10"/>
              </w:rPr>
              <w:t> </w:t>
            </w:r>
            <w:r>
              <w:rPr>
                <w:w w:val="95"/>
                <w:sz w:val="10"/>
              </w:rPr>
              <w:t>(SEDESOL) </w:t>
            </w:r>
            <w:r>
              <w:rPr>
                <w:sz w:val="10"/>
              </w:rPr>
              <w:t>y</w:t>
            </w:r>
            <w:r>
              <w:rPr>
                <w:spacing w:val="-16"/>
                <w:sz w:val="10"/>
              </w:rPr>
              <w:t> </w:t>
            </w:r>
            <w:r>
              <w:rPr>
                <w:sz w:val="10"/>
              </w:rPr>
              <w:t>de</w:t>
            </w:r>
            <w:r>
              <w:rPr>
                <w:spacing w:val="-16"/>
                <w:sz w:val="10"/>
              </w:rPr>
              <w:t> </w:t>
            </w:r>
            <w:r>
              <w:rPr>
                <w:sz w:val="10"/>
              </w:rPr>
              <w:t>Hacienda</w:t>
            </w:r>
            <w:r>
              <w:rPr>
                <w:spacing w:val="-16"/>
                <w:sz w:val="10"/>
              </w:rPr>
              <w:t> </w:t>
            </w:r>
            <w:r>
              <w:rPr>
                <w:sz w:val="10"/>
              </w:rPr>
              <w:t>y</w:t>
            </w:r>
            <w:r>
              <w:rPr>
                <w:spacing w:val="-16"/>
                <w:sz w:val="10"/>
              </w:rPr>
              <w:t> </w:t>
            </w:r>
            <w:r>
              <w:rPr>
                <w:sz w:val="10"/>
              </w:rPr>
              <w:t>Crédito</w:t>
            </w:r>
            <w:r>
              <w:rPr>
                <w:spacing w:val="-16"/>
                <w:sz w:val="10"/>
              </w:rPr>
              <w:t> </w:t>
            </w:r>
            <w:r>
              <w:rPr>
                <w:sz w:val="10"/>
              </w:rPr>
              <w:t>Público (SHCP), sobre la utilización de </w:t>
            </w:r>
            <w:r>
              <w:rPr>
                <w:w w:val="95"/>
                <w:sz w:val="10"/>
              </w:rPr>
              <w:t>los</w:t>
            </w:r>
            <w:r>
              <w:rPr>
                <w:spacing w:val="-7"/>
                <w:w w:val="95"/>
                <w:sz w:val="10"/>
              </w:rPr>
              <w:t> </w:t>
            </w:r>
            <w:r>
              <w:rPr>
                <w:w w:val="95"/>
                <w:sz w:val="10"/>
              </w:rPr>
              <w:t>recursos</w:t>
            </w:r>
            <w:r>
              <w:rPr>
                <w:spacing w:val="-7"/>
                <w:w w:val="95"/>
                <w:sz w:val="10"/>
              </w:rPr>
              <w:t> </w:t>
            </w:r>
            <w:r>
              <w:rPr>
                <w:w w:val="95"/>
                <w:sz w:val="10"/>
              </w:rPr>
              <w:t>del</w:t>
            </w:r>
            <w:r>
              <w:rPr>
                <w:spacing w:val="-7"/>
                <w:w w:val="95"/>
                <w:sz w:val="10"/>
              </w:rPr>
              <w:t> </w:t>
            </w:r>
            <w:r>
              <w:rPr>
                <w:w w:val="95"/>
                <w:sz w:val="10"/>
              </w:rPr>
              <w:t>FISM</w:t>
            </w:r>
            <w:r>
              <w:rPr>
                <w:spacing w:val="-6"/>
                <w:w w:val="95"/>
                <w:sz w:val="10"/>
              </w:rPr>
              <w:t> </w:t>
            </w:r>
            <w:r>
              <w:rPr>
                <w:w w:val="95"/>
                <w:sz w:val="10"/>
              </w:rPr>
              <w:t>2008.</w:t>
            </w:r>
          </w:p>
        </w:tc>
        <w:tc>
          <w:tcPr>
            <w:tcW w:w="1446" w:type="dxa"/>
            <w:tcBorders>
              <w:left w:val="single" w:sz="3" w:space="0" w:color="000000"/>
              <w:right w:val="single" w:sz="3" w:space="0" w:color="000000"/>
            </w:tcBorders>
          </w:tcPr>
          <w:p>
            <w:pPr>
              <w:pStyle w:val="TableParagraph"/>
              <w:spacing w:line="271" w:lineRule="auto" w:before="2"/>
              <w:ind w:left="14" w:right="16"/>
              <w:rPr>
                <w:sz w:val="10"/>
              </w:rPr>
            </w:pPr>
            <w:r>
              <w:rPr>
                <w:sz w:val="10"/>
              </w:rPr>
              <w:t>El segundo y tercer informe trimestral</w:t>
            </w:r>
            <w:r>
              <w:rPr>
                <w:spacing w:val="-15"/>
                <w:sz w:val="10"/>
              </w:rPr>
              <w:t> </w:t>
            </w:r>
            <w:r>
              <w:rPr>
                <w:sz w:val="10"/>
              </w:rPr>
              <w:t>sobre</w:t>
            </w:r>
            <w:r>
              <w:rPr>
                <w:spacing w:val="-15"/>
                <w:sz w:val="10"/>
              </w:rPr>
              <w:t> </w:t>
            </w:r>
            <w:r>
              <w:rPr>
                <w:sz w:val="10"/>
              </w:rPr>
              <w:t>la</w:t>
            </w:r>
            <w:r>
              <w:rPr>
                <w:spacing w:val="-15"/>
                <w:sz w:val="10"/>
              </w:rPr>
              <w:t> </w:t>
            </w:r>
            <w:r>
              <w:rPr>
                <w:sz w:val="10"/>
              </w:rPr>
              <w:t>utilización</w:t>
            </w:r>
            <w:r>
              <w:rPr>
                <w:spacing w:val="-15"/>
                <w:sz w:val="10"/>
              </w:rPr>
              <w:t> </w:t>
            </w:r>
            <w:r>
              <w:rPr>
                <w:sz w:val="10"/>
              </w:rPr>
              <w:t>de </w:t>
            </w:r>
            <w:r>
              <w:rPr>
                <w:w w:val="95"/>
                <w:sz w:val="10"/>
              </w:rPr>
              <w:t>los recursos del FORTAMUN-DF </w:t>
            </w:r>
            <w:r>
              <w:rPr>
                <w:sz w:val="10"/>
              </w:rPr>
              <w:t>2008,</w:t>
            </w:r>
            <w:r>
              <w:rPr>
                <w:spacing w:val="-15"/>
                <w:sz w:val="10"/>
              </w:rPr>
              <w:t> </w:t>
            </w:r>
            <w:r>
              <w:rPr>
                <w:sz w:val="10"/>
              </w:rPr>
              <w:t>remitidos</w:t>
            </w:r>
            <w:r>
              <w:rPr>
                <w:spacing w:val="-15"/>
                <w:sz w:val="10"/>
              </w:rPr>
              <w:t> </w:t>
            </w:r>
            <w:r>
              <w:rPr>
                <w:sz w:val="10"/>
              </w:rPr>
              <w:t>a</w:t>
            </w:r>
            <w:r>
              <w:rPr>
                <w:spacing w:val="-15"/>
                <w:sz w:val="10"/>
              </w:rPr>
              <w:t> </w:t>
            </w:r>
            <w:r>
              <w:rPr>
                <w:sz w:val="10"/>
              </w:rPr>
              <w:t>la</w:t>
            </w:r>
            <w:r>
              <w:rPr>
                <w:spacing w:val="-15"/>
                <w:sz w:val="10"/>
              </w:rPr>
              <w:t> </w:t>
            </w:r>
            <w:r>
              <w:rPr>
                <w:spacing w:val="-3"/>
                <w:sz w:val="10"/>
              </w:rPr>
              <w:t>SHCP,</w:t>
            </w:r>
            <w:r>
              <w:rPr>
                <w:spacing w:val="-15"/>
                <w:sz w:val="10"/>
              </w:rPr>
              <w:t> </w:t>
            </w:r>
            <w:r>
              <w:rPr>
                <w:sz w:val="10"/>
              </w:rPr>
              <w:t>no</w:t>
            </w:r>
            <w:r>
              <w:rPr>
                <w:spacing w:val="-15"/>
                <w:sz w:val="10"/>
              </w:rPr>
              <w:t> </w:t>
            </w:r>
            <w:r>
              <w:rPr>
                <w:sz w:val="10"/>
              </w:rPr>
              <w:t>se </w:t>
            </w:r>
            <w:r>
              <w:rPr>
                <w:w w:val="95"/>
                <w:sz w:val="10"/>
              </w:rPr>
              <w:t>publicaron</w:t>
            </w:r>
            <w:r>
              <w:rPr>
                <w:spacing w:val="-8"/>
                <w:w w:val="95"/>
                <w:sz w:val="10"/>
              </w:rPr>
              <w:t> </w:t>
            </w:r>
            <w:r>
              <w:rPr>
                <w:w w:val="95"/>
                <w:sz w:val="10"/>
              </w:rPr>
              <w:t>en</w:t>
            </w:r>
            <w:r>
              <w:rPr>
                <w:spacing w:val="-8"/>
                <w:w w:val="95"/>
                <w:sz w:val="10"/>
              </w:rPr>
              <w:t> </w:t>
            </w:r>
            <w:r>
              <w:rPr>
                <w:w w:val="95"/>
                <w:sz w:val="10"/>
              </w:rPr>
              <w:t>los</w:t>
            </w:r>
            <w:r>
              <w:rPr>
                <w:spacing w:val="-8"/>
                <w:w w:val="95"/>
                <w:sz w:val="10"/>
              </w:rPr>
              <w:t> </w:t>
            </w:r>
            <w:r>
              <w:rPr>
                <w:w w:val="95"/>
                <w:sz w:val="10"/>
              </w:rPr>
              <w:t>órganos</w:t>
            </w:r>
            <w:r>
              <w:rPr>
                <w:spacing w:val="-8"/>
                <w:w w:val="95"/>
                <w:sz w:val="10"/>
              </w:rPr>
              <w:t> </w:t>
            </w:r>
            <w:r>
              <w:rPr>
                <w:w w:val="95"/>
                <w:sz w:val="10"/>
              </w:rPr>
              <w:t>locales </w:t>
            </w:r>
            <w:r>
              <w:rPr>
                <w:sz w:val="10"/>
              </w:rPr>
              <w:t>de difusión, ni en medios electrónicos y en publicaciones específicas.</w:t>
            </w:r>
          </w:p>
        </w:tc>
      </w:tr>
      <w:tr>
        <w:trPr>
          <w:trHeight w:val="1559" w:hRule="exact"/>
        </w:trPr>
        <w:tc>
          <w:tcPr>
            <w:tcW w:w="1423" w:type="dxa"/>
            <w:tcBorders>
              <w:left w:val="single" w:sz="3" w:space="0" w:color="000000"/>
              <w:right w:val="single" w:sz="3" w:space="0" w:color="000000"/>
            </w:tcBorders>
          </w:tcPr>
          <w:p>
            <w:pPr>
              <w:pStyle w:val="TableParagraph"/>
              <w:spacing w:line="271" w:lineRule="auto" w:before="2"/>
              <w:ind w:left="14" w:right="-19"/>
              <w:rPr>
                <w:sz w:val="10"/>
              </w:rPr>
            </w:pPr>
            <w:r>
              <w:rPr>
                <w:sz w:val="10"/>
              </w:rPr>
              <w:t>El municipio tiene instrumentadas medidas de control que aseguran que la </w:t>
            </w:r>
            <w:r>
              <w:rPr>
                <w:w w:val="95"/>
                <w:sz w:val="10"/>
              </w:rPr>
              <w:t>documentación generada en las </w:t>
            </w:r>
            <w:r>
              <w:rPr>
                <w:sz w:val="10"/>
              </w:rPr>
              <w:t>distintas etapas se integre al </w:t>
            </w:r>
            <w:r>
              <w:rPr>
                <w:w w:val="95"/>
                <w:sz w:val="10"/>
              </w:rPr>
              <w:t>expediente técnico de cada obra.</w:t>
            </w:r>
          </w:p>
        </w:tc>
        <w:tc>
          <w:tcPr>
            <w:tcW w:w="1422" w:type="dxa"/>
            <w:tcBorders>
              <w:left w:val="single" w:sz="3" w:space="0" w:color="000000"/>
              <w:right w:val="single" w:sz="3" w:space="0" w:color="000000"/>
            </w:tcBorders>
          </w:tcPr>
          <w:p>
            <w:pPr>
              <w:pStyle w:val="TableParagraph"/>
              <w:spacing w:line="271" w:lineRule="auto" w:before="2"/>
              <w:ind w:left="12" w:right="-6" w:firstLine="1"/>
              <w:rPr>
                <w:sz w:val="10"/>
              </w:rPr>
            </w:pPr>
            <w:r>
              <w:rPr>
                <w:sz w:val="10"/>
              </w:rPr>
              <w:t>La documentación original comprobatoria del gasto </w:t>
            </w:r>
            <w:r>
              <w:rPr>
                <w:w w:val="95"/>
                <w:sz w:val="10"/>
              </w:rPr>
              <w:t>realizado con el FORTAMUN-DF </w:t>
            </w:r>
            <w:r>
              <w:rPr>
                <w:sz w:val="10"/>
              </w:rPr>
              <w:t>2008, se encuentra cancelada con el sello de “Operado y Pagado”.</w:t>
            </w:r>
          </w:p>
        </w:tc>
        <w:tc>
          <w:tcPr>
            <w:tcW w:w="1321" w:type="dxa"/>
            <w:tcBorders>
              <w:left w:val="single" w:sz="3" w:space="0" w:color="000000"/>
              <w:right w:val="single" w:sz="3" w:space="0" w:color="000000"/>
            </w:tcBorders>
          </w:tcPr>
          <w:p>
            <w:pPr>
              <w:pStyle w:val="TableParagraph"/>
              <w:spacing w:line="271" w:lineRule="auto" w:before="2"/>
              <w:ind w:left="13" w:right="19"/>
              <w:rPr>
                <w:sz w:val="10"/>
              </w:rPr>
            </w:pPr>
            <w:r>
              <w:rPr>
                <w:sz w:val="10"/>
              </w:rPr>
              <w:t>La fuerza del municipio al manejar</w:t>
            </w:r>
            <w:r>
              <w:rPr>
                <w:spacing w:val="-14"/>
                <w:sz w:val="10"/>
              </w:rPr>
              <w:t> </w:t>
            </w:r>
            <w:r>
              <w:rPr>
                <w:sz w:val="10"/>
              </w:rPr>
              <w:t>el</w:t>
            </w:r>
            <w:r>
              <w:rPr>
                <w:spacing w:val="-14"/>
                <w:sz w:val="10"/>
              </w:rPr>
              <w:t> </w:t>
            </w:r>
            <w:r>
              <w:rPr>
                <w:sz w:val="10"/>
              </w:rPr>
              <w:t>fondo</w:t>
            </w:r>
            <w:r>
              <w:rPr>
                <w:spacing w:val="-14"/>
                <w:sz w:val="10"/>
              </w:rPr>
              <w:t> </w:t>
            </w:r>
            <w:r>
              <w:rPr>
                <w:sz w:val="10"/>
              </w:rPr>
              <w:t>se</w:t>
            </w:r>
            <w:r>
              <w:rPr>
                <w:spacing w:val="-14"/>
                <w:sz w:val="10"/>
              </w:rPr>
              <w:t> </w:t>
            </w:r>
            <w:r>
              <w:rPr>
                <w:sz w:val="10"/>
              </w:rPr>
              <w:t>sustenta en</w:t>
            </w:r>
            <w:r>
              <w:rPr>
                <w:spacing w:val="-17"/>
                <w:sz w:val="10"/>
              </w:rPr>
              <w:t> </w:t>
            </w:r>
            <w:r>
              <w:rPr>
                <w:sz w:val="10"/>
              </w:rPr>
              <w:t>la</w:t>
            </w:r>
            <w:r>
              <w:rPr>
                <w:spacing w:val="-17"/>
                <w:sz w:val="10"/>
              </w:rPr>
              <w:t> </w:t>
            </w:r>
            <w:r>
              <w:rPr>
                <w:sz w:val="10"/>
              </w:rPr>
              <w:t>puntual</w:t>
            </w:r>
            <w:r>
              <w:rPr>
                <w:spacing w:val="-17"/>
                <w:sz w:val="10"/>
              </w:rPr>
              <w:t> </w:t>
            </w:r>
            <w:r>
              <w:rPr>
                <w:sz w:val="10"/>
              </w:rPr>
              <w:t>transferencia</w:t>
            </w:r>
            <w:r>
              <w:rPr>
                <w:spacing w:val="-17"/>
                <w:sz w:val="10"/>
              </w:rPr>
              <w:t> </w:t>
            </w:r>
            <w:r>
              <w:rPr>
                <w:sz w:val="10"/>
              </w:rPr>
              <w:t>de </w:t>
            </w:r>
            <w:r>
              <w:rPr>
                <w:w w:val="95"/>
                <w:sz w:val="10"/>
              </w:rPr>
              <w:t>recursos,</w:t>
            </w:r>
            <w:r>
              <w:rPr>
                <w:spacing w:val="-9"/>
                <w:w w:val="95"/>
                <w:sz w:val="10"/>
              </w:rPr>
              <w:t> </w:t>
            </w:r>
            <w:r>
              <w:rPr>
                <w:w w:val="95"/>
                <w:sz w:val="10"/>
              </w:rPr>
              <w:t>registros</w:t>
            </w:r>
            <w:r>
              <w:rPr>
                <w:spacing w:val="-9"/>
                <w:w w:val="95"/>
                <w:sz w:val="10"/>
              </w:rPr>
              <w:t> </w:t>
            </w:r>
            <w:r>
              <w:rPr>
                <w:w w:val="95"/>
                <w:sz w:val="10"/>
              </w:rPr>
              <w:t>contables</w:t>
            </w:r>
            <w:r>
              <w:rPr>
                <w:spacing w:val="-9"/>
                <w:w w:val="95"/>
                <w:sz w:val="10"/>
              </w:rPr>
              <w:t> </w:t>
            </w:r>
            <w:r>
              <w:rPr>
                <w:w w:val="95"/>
                <w:sz w:val="10"/>
              </w:rPr>
              <w:t>y </w:t>
            </w:r>
            <w:r>
              <w:rPr>
                <w:sz w:val="10"/>
              </w:rPr>
              <w:t>el cumplimiento normativo, aunque</w:t>
            </w:r>
            <w:r>
              <w:rPr>
                <w:spacing w:val="-15"/>
                <w:sz w:val="10"/>
              </w:rPr>
              <w:t> </w:t>
            </w:r>
            <w:r>
              <w:rPr>
                <w:sz w:val="10"/>
              </w:rPr>
              <w:t>existe</w:t>
            </w:r>
            <w:r>
              <w:rPr>
                <w:spacing w:val="-15"/>
                <w:sz w:val="10"/>
              </w:rPr>
              <w:t> </w:t>
            </w:r>
            <w:r>
              <w:rPr>
                <w:sz w:val="10"/>
              </w:rPr>
              <w:t>dentro</w:t>
            </w:r>
            <w:r>
              <w:rPr>
                <w:spacing w:val="-14"/>
                <w:sz w:val="10"/>
              </w:rPr>
              <w:t> </w:t>
            </w:r>
            <w:r>
              <w:rPr>
                <w:sz w:val="10"/>
              </w:rPr>
              <w:t>de</w:t>
            </w:r>
            <w:r>
              <w:rPr>
                <w:spacing w:val="-15"/>
                <w:sz w:val="10"/>
              </w:rPr>
              <w:t> </w:t>
            </w:r>
            <w:r>
              <w:rPr>
                <w:sz w:val="10"/>
              </w:rPr>
              <w:t>este último rubro la necesidad de aplicar y conocer más la normativa</w:t>
            </w:r>
            <w:r>
              <w:rPr>
                <w:spacing w:val="-16"/>
                <w:sz w:val="10"/>
              </w:rPr>
              <w:t> </w:t>
            </w:r>
            <w:r>
              <w:rPr>
                <w:sz w:val="10"/>
              </w:rPr>
              <w:t>para</w:t>
            </w:r>
            <w:r>
              <w:rPr>
                <w:spacing w:val="-16"/>
                <w:sz w:val="10"/>
              </w:rPr>
              <w:t> </w:t>
            </w:r>
            <w:r>
              <w:rPr>
                <w:sz w:val="10"/>
              </w:rPr>
              <w:t>evitar</w:t>
            </w:r>
            <w:r>
              <w:rPr>
                <w:spacing w:val="-17"/>
                <w:sz w:val="10"/>
              </w:rPr>
              <w:t> </w:t>
            </w:r>
            <w:r>
              <w:rPr>
                <w:sz w:val="10"/>
              </w:rPr>
              <w:t>errores que pueden perjudicar la </w:t>
            </w:r>
            <w:r>
              <w:rPr>
                <w:w w:val="95"/>
                <w:sz w:val="10"/>
              </w:rPr>
              <w:t>administración</w:t>
            </w:r>
            <w:r>
              <w:rPr>
                <w:spacing w:val="-14"/>
                <w:w w:val="95"/>
                <w:sz w:val="10"/>
              </w:rPr>
              <w:t> </w:t>
            </w:r>
            <w:r>
              <w:rPr>
                <w:w w:val="95"/>
                <w:sz w:val="10"/>
              </w:rPr>
              <w:t>del</w:t>
            </w:r>
            <w:r>
              <w:rPr>
                <w:spacing w:val="-14"/>
                <w:w w:val="95"/>
                <w:sz w:val="10"/>
              </w:rPr>
              <w:t> </w:t>
            </w:r>
            <w:r>
              <w:rPr>
                <w:w w:val="95"/>
                <w:sz w:val="10"/>
              </w:rPr>
              <w:t>FISM.</w:t>
            </w:r>
          </w:p>
        </w:tc>
        <w:tc>
          <w:tcPr>
            <w:tcW w:w="1321" w:type="dxa"/>
            <w:tcBorders>
              <w:left w:val="single" w:sz="3" w:space="0" w:color="000000"/>
              <w:right w:val="single" w:sz="3" w:space="0" w:color="000000"/>
            </w:tcBorders>
          </w:tcPr>
          <w:p>
            <w:pPr>
              <w:pStyle w:val="TableParagraph"/>
              <w:spacing w:line="271" w:lineRule="auto" w:before="2"/>
              <w:ind w:left="13" w:right="28"/>
              <w:rPr>
                <w:sz w:val="10"/>
              </w:rPr>
            </w:pPr>
            <w:r>
              <w:rPr>
                <w:sz w:val="10"/>
              </w:rPr>
              <w:t>Se</w:t>
            </w:r>
            <w:r>
              <w:rPr>
                <w:spacing w:val="-17"/>
                <w:sz w:val="10"/>
              </w:rPr>
              <w:t> </w:t>
            </w:r>
            <w:r>
              <w:rPr>
                <w:sz w:val="10"/>
              </w:rPr>
              <w:t>cuenta</w:t>
            </w:r>
            <w:r>
              <w:rPr>
                <w:spacing w:val="-18"/>
                <w:sz w:val="10"/>
              </w:rPr>
              <w:t> </w:t>
            </w:r>
            <w:r>
              <w:rPr>
                <w:sz w:val="10"/>
              </w:rPr>
              <w:t>con</w:t>
            </w:r>
            <w:r>
              <w:rPr>
                <w:spacing w:val="-18"/>
                <w:sz w:val="10"/>
              </w:rPr>
              <w:t> </w:t>
            </w:r>
            <w:r>
              <w:rPr>
                <w:sz w:val="10"/>
              </w:rPr>
              <w:t>el</w:t>
            </w:r>
            <w:r>
              <w:rPr>
                <w:spacing w:val="-18"/>
                <w:sz w:val="10"/>
              </w:rPr>
              <w:t> </w:t>
            </w:r>
            <w:r>
              <w:rPr>
                <w:sz w:val="10"/>
              </w:rPr>
              <w:t>programa</w:t>
            </w:r>
            <w:r>
              <w:rPr>
                <w:spacing w:val="-17"/>
                <w:sz w:val="10"/>
              </w:rPr>
              <w:t> </w:t>
            </w:r>
            <w:r>
              <w:rPr>
                <w:sz w:val="10"/>
              </w:rPr>
              <w:t>de seguridad pública que contiene indicadores y el seguimiento de los mismos orienta las acciones en esta materia.</w:t>
            </w:r>
          </w:p>
        </w:tc>
        <w:tc>
          <w:tcPr>
            <w:tcW w:w="1563" w:type="dxa"/>
            <w:tcBorders>
              <w:left w:val="single" w:sz="3" w:space="0" w:color="000000"/>
              <w:right w:val="single" w:sz="3" w:space="0" w:color="000000"/>
            </w:tcBorders>
          </w:tcPr>
          <w:p>
            <w:pPr/>
          </w:p>
        </w:tc>
        <w:tc>
          <w:tcPr>
            <w:tcW w:w="1891" w:type="dxa"/>
            <w:tcBorders>
              <w:left w:val="single" w:sz="3" w:space="0" w:color="000000"/>
              <w:right w:val="single" w:sz="3" w:space="0" w:color="000000"/>
            </w:tcBorders>
          </w:tcPr>
          <w:p>
            <w:pPr/>
          </w:p>
        </w:tc>
        <w:tc>
          <w:tcPr>
            <w:tcW w:w="1446" w:type="dxa"/>
            <w:tcBorders>
              <w:left w:val="single" w:sz="3" w:space="0" w:color="000000"/>
              <w:right w:val="single" w:sz="3" w:space="0" w:color="000000"/>
            </w:tcBorders>
          </w:tcPr>
          <w:p>
            <w:pPr>
              <w:pStyle w:val="TableParagraph"/>
              <w:spacing w:line="271" w:lineRule="auto" w:before="2"/>
              <w:ind w:left="13" w:right="1"/>
              <w:rPr>
                <w:sz w:val="10"/>
              </w:rPr>
            </w:pPr>
            <w:r>
              <w:rPr>
                <w:sz w:val="10"/>
              </w:rPr>
              <w:t>El municipio maneja en forma </w:t>
            </w:r>
            <w:r>
              <w:rPr>
                <w:w w:val="95"/>
                <w:sz w:val="10"/>
              </w:rPr>
              <w:t>separada los recursos del Ramo </w:t>
            </w:r>
            <w:r>
              <w:rPr>
                <w:sz w:val="10"/>
              </w:rPr>
              <w:t>33 y los propios.</w:t>
            </w:r>
          </w:p>
        </w:tc>
        <w:tc>
          <w:tcPr>
            <w:tcW w:w="1446" w:type="dxa"/>
            <w:tcBorders>
              <w:left w:val="single" w:sz="3" w:space="0" w:color="000000"/>
              <w:right w:val="single" w:sz="3" w:space="0" w:color="000000"/>
            </w:tcBorders>
          </w:tcPr>
          <w:p>
            <w:pPr>
              <w:pStyle w:val="TableParagraph"/>
              <w:spacing w:line="271" w:lineRule="auto" w:before="2"/>
              <w:ind w:left="14" w:right="30"/>
              <w:rPr>
                <w:sz w:val="10"/>
              </w:rPr>
            </w:pPr>
            <w:r>
              <w:rPr>
                <w:sz w:val="10"/>
              </w:rPr>
              <w:t>El municipio no remitió a la </w:t>
            </w:r>
            <w:r>
              <w:rPr>
                <w:spacing w:val="-3"/>
                <w:sz w:val="10"/>
              </w:rPr>
              <w:t>SHCP,</w:t>
            </w:r>
            <w:r>
              <w:rPr>
                <w:spacing w:val="-15"/>
                <w:sz w:val="10"/>
              </w:rPr>
              <w:t> </w:t>
            </w:r>
            <w:r>
              <w:rPr>
                <w:sz w:val="10"/>
              </w:rPr>
              <w:t>a</w:t>
            </w:r>
            <w:r>
              <w:rPr>
                <w:spacing w:val="-15"/>
                <w:sz w:val="10"/>
              </w:rPr>
              <w:t> </w:t>
            </w:r>
            <w:r>
              <w:rPr>
                <w:sz w:val="10"/>
              </w:rPr>
              <w:t>través</w:t>
            </w:r>
            <w:r>
              <w:rPr>
                <w:spacing w:val="-15"/>
                <w:sz w:val="10"/>
              </w:rPr>
              <w:t> </w:t>
            </w:r>
            <w:r>
              <w:rPr>
                <w:sz w:val="10"/>
              </w:rPr>
              <w:t>del</w:t>
            </w:r>
            <w:r>
              <w:rPr>
                <w:spacing w:val="-15"/>
                <w:sz w:val="10"/>
              </w:rPr>
              <w:t> </w:t>
            </w:r>
            <w:r>
              <w:rPr>
                <w:sz w:val="10"/>
              </w:rPr>
              <w:t>Gobierno</w:t>
            </w:r>
            <w:r>
              <w:rPr>
                <w:spacing w:val="-15"/>
                <w:sz w:val="10"/>
              </w:rPr>
              <w:t> </w:t>
            </w:r>
            <w:r>
              <w:rPr>
                <w:sz w:val="10"/>
              </w:rPr>
              <w:t>del Estado</w:t>
            </w:r>
            <w:r>
              <w:rPr>
                <w:spacing w:val="-19"/>
                <w:sz w:val="10"/>
              </w:rPr>
              <w:t> </w:t>
            </w:r>
            <w:r>
              <w:rPr>
                <w:sz w:val="10"/>
              </w:rPr>
              <w:t>los</w:t>
            </w:r>
            <w:r>
              <w:rPr>
                <w:spacing w:val="-19"/>
                <w:sz w:val="10"/>
              </w:rPr>
              <w:t> </w:t>
            </w:r>
            <w:r>
              <w:rPr>
                <w:sz w:val="10"/>
              </w:rPr>
              <w:t>informes</w:t>
            </w:r>
            <w:r>
              <w:rPr>
                <w:spacing w:val="-19"/>
                <w:sz w:val="10"/>
              </w:rPr>
              <w:t> </w:t>
            </w:r>
            <w:r>
              <w:rPr>
                <w:sz w:val="10"/>
              </w:rPr>
              <w:t>del</w:t>
            </w:r>
            <w:r>
              <w:rPr>
                <w:spacing w:val="-19"/>
                <w:sz w:val="10"/>
              </w:rPr>
              <w:t> </w:t>
            </w:r>
            <w:r>
              <w:rPr>
                <w:sz w:val="10"/>
              </w:rPr>
              <w:t>primero</w:t>
            </w:r>
            <w:r>
              <w:rPr>
                <w:spacing w:val="-19"/>
                <w:sz w:val="10"/>
              </w:rPr>
              <w:t> </w:t>
            </w:r>
            <w:r>
              <w:rPr>
                <w:sz w:val="10"/>
              </w:rPr>
              <w:t>y cuarto trimestres, sobre la utilización de los recursos del </w:t>
            </w:r>
            <w:r>
              <w:rPr>
                <w:w w:val="90"/>
                <w:sz w:val="10"/>
              </w:rPr>
              <w:t>FORTAMUN-DF</w:t>
            </w:r>
            <w:r>
              <w:rPr>
                <w:spacing w:val="23"/>
                <w:w w:val="90"/>
                <w:sz w:val="10"/>
              </w:rPr>
              <w:t> </w:t>
            </w:r>
            <w:r>
              <w:rPr>
                <w:w w:val="90"/>
                <w:sz w:val="10"/>
              </w:rPr>
              <w:t>2008.</w:t>
            </w:r>
          </w:p>
        </w:tc>
      </w:tr>
    </w:tbl>
    <w:p>
      <w:pPr>
        <w:spacing w:after="0" w:line="271" w:lineRule="auto"/>
        <w:rPr>
          <w:sz w:val="10"/>
        </w:rPr>
        <w:sectPr>
          <w:type w:val="continuous"/>
          <w:pgSz w:w="15840" w:h="12240" w:orient="landscape"/>
          <w:pgMar w:top="0" w:bottom="280" w:left="1920" w:right="18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2"/>
        </w:rPr>
      </w:pPr>
    </w:p>
    <w:p>
      <w:pPr>
        <w:spacing w:after="0"/>
        <w:rPr>
          <w:sz w:val="22"/>
        </w:rPr>
        <w:sectPr>
          <w:pgSz w:w="15840" w:h="12240" w:orient="landscape"/>
          <w:pgMar w:header="0" w:footer="992" w:top="1140" w:bottom="1180" w:left="2260" w:right="2260"/>
        </w:sectPr>
      </w:pPr>
    </w:p>
    <w:p>
      <w:pPr>
        <w:pStyle w:val="BodyText"/>
        <w:spacing w:before="69"/>
        <w:jc w:val="right"/>
      </w:pPr>
      <w:r>
        <w:rPr/>
        <w:t>Anexo 31.</w:t>
      </w:r>
    </w:p>
    <w:p>
      <w:pPr>
        <w:pStyle w:val="BodyText"/>
        <w:spacing w:before="4"/>
        <w:rPr>
          <w:sz w:val="11"/>
        </w:rPr>
      </w:pPr>
      <w:r>
        <w:rPr/>
        <w:br w:type="column"/>
      </w:r>
      <w:r>
        <w:rPr>
          <w:sz w:val="11"/>
        </w:rPr>
      </w:r>
    </w:p>
    <w:p>
      <w:pPr>
        <w:spacing w:line="271" w:lineRule="auto" w:before="0"/>
        <w:ind w:left="956" w:right="4358" w:firstLine="1"/>
        <w:jc w:val="center"/>
        <w:rPr>
          <w:b/>
          <w:sz w:val="8"/>
        </w:rPr>
      </w:pPr>
      <w:r>
        <w:rPr>
          <w:b/>
          <w:w w:val="145"/>
          <w:sz w:val="8"/>
        </w:rPr>
        <w:t>Calidad de la Gestión Gubernamental Controles Internos  (Manejo y Aplicación) San Felipe del Progreso  Ejercicio fiscal</w:t>
      </w:r>
      <w:r>
        <w:rPr>
          <w:b/>
          <w:spacing w:val="10"/>
          <w:w w:val="145"/>
          <w:sz w:val="8"/>
        </w:rPr>
        <w:t> </w:t>
      </w:r>
      <w:r>
        <w:rPr>
          <w:b/>
          <w:w w:val="145"/>
          <w:sz w:val="8"/>
        </w:rPr>
        <w:t>2008</w:t>
      </w:r>
    </w:p>
    <w:p>
      <w:pPr>
        <w:spacing w:after="0" w:line="271" w:lineRule="auto"/>
        <w:jc w:val="center"/>
        <w:rPr>
          <w:sz w:val="8"/>
        </w:rPr>
        <w:sectPr>
          <w:type w:val="continuous"/>
          <w:pgSz w:w="15840" w:h="12240" w:orient="landscape"/>
          <w:pgMar w:top="0" w:bottom="280" w:left="2260" w:right="2260"/>
          <w:cols w:num="2" w:equalWidth="0">
            <w:col w:w="3444" w:space="40"/>
            <w:col w:w="7836"/>
          </w:cols>
        </w:sectPr>
      </w:pPr>
    </w:p>
    <w:p>
      <w:pPr>
        <w:pStyle w:val="BodyText"/>
        <w:spacing w:line="20" w:lineRule="exact"/>
        <w:ind w:left="2469"/>
        <w:rPr>
          <w:sz w:val="2"/>
        </w:rPr>
      </w:pPr>
      <w:r>
        <w:rPr>
          <w:sz w:val="2"/>
        </w:rPr>
        <w:pict>
          <v:group style="width:322.850pt;height:.35pt;mso-position-horizontal-relative:char;mso-position-vertical-relative:line" coordorigin="0,0" coordsize="6457,7">
            <v:shape style="position:absolute;left:3;top:3;width:6450;height:2" coordorigin="3,3" coordsize="6450,0" path="m3,3l3,3,6453,3e" filled="false" stroked="true" strokeweight=".302496pt" strokecolor="#000000">
              <v:path arrowok="t"/>
            </v:shape>
          </v:group>
        </w:pict>
      </w:r>
      <w:r>
        <w:rPr>
          <w:sz w:val="2"/>
        </w:rPr>
      </w:r>
    </w:p>
    <w:p>
      <w:pPr>
        <w:pStyle w:val="BodyText"/>
        <w:spacing w:before="8"/>
        <w:rPr>
          <w:b/>
          <w:sz w:val="15"/>
        </w:rPr>
      </w:pPr>
    </w:p>
    <w:tbl>
      <w:tblPr>
        <w:tblW w:w="0" w:type="auto"/>
        <w:jc w:val="left"/>
        <w:tblInd w:w="24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779"/>
        <w:gridCol w:w="1439"/>
        <w:gridCol w:w="1810"/>
        <w:gridCol w:w="1418"/>
      </w:tblGrid>
      <w:tr>
        <w:trPr>
          <w:trHeight w:val="406" w:hRule="exact"/>
        </w:trPr>
        <w:tc>
          <w:tcPr>
            <w:tcW w:w="1779" w:type="dxa"/>
            <w:tcBorders>
              <w:left w:val="single" w:sz="3" w:space="0" w:color="000000"/>
              <w:right w:val="single" w:sz="3" w:space="0" w:color="000000"/>
            </w:tcBorders>
            <w:shd w:val="clear" w:color="auto" w:fill="E6B8B7"/>
          </w:tcPr>
          <w:p>
            <w:pPr>
              <w:pStyle w:val="TableParagraph"/>
              <w:rPr>
                <w:b/>
                <w:sz w:val="8"/>
              </w:rPr>
            </w:pPr>
          </w:p>
          <w:p>
            <w:pPr>
              <w:pStyle w:val="TableParagraph"/>
              <w:rPr>
                <w:b/>
                <w:sz w:val="8"/>
              </w:rPr>
            </w:pPr>
          </w:p>
          <w:p>
            <w:pPr>
              <w:pStyle w:val="TableParagraph"/>
              <w:spacing w:before="4"/>
              <w:rPr>
                <w:b/>
                <w:sz w:val="10"/>
              </w:rPr>
            </w:pPr>
          </w:p>
          <w:p>
            <w:pPr>
              <w:pStyle w:val="TableParagraph"/>
              <w:spacing w:before="1"/>
              <w:ind w:left="300" w:right="290"/>
              <w:jc w:val="center"/>
              <w:rPr>
                <w:b/>
                <w:sz w:val="8"/>
              </w:rPr>
            </w:pPr>
            <w:r>
              <w:rPr>
                <w:b/>
                <w:w w:val="145"/>
                <w:sz w:val="8"/>
              </w:rPr>
              <w:t>Ambiente de Control</w:t>
            </w:r>
          </w:p>
        </w:tc>
        <w:tc>
          <w:tcPr>
            <w:tcW w:w="1439" w:type="dxa"/>
            <w:tcBorders>
              <w:left w:val="single" w:sz="3" w:space="0" w:color="000000"/>
              <w:right w:val="single" w:sz="3" w:space="0" w:color="000000"/>
            </w:tcBorders>
            <w:shd w:val="clear" w:color="auto" w:fill="E6B8B7"/>
          </w:tcPr>
          <w:p>
            <w:pPr>
              <w:pStyle w:val="TableParagraph"/>
              <w:spacing w:line="271" w:lineRule="auto" w:before="1"/>
              <w:ind w:left="491" w:right="192" w:hanging="285"/>
              <w:rPr>
                <w:b/>
                <w:sz w:val="8"/>
              </w:rPr>
            </w:pPr>
            <w:r>
              <w:rPr>
                <w:b/>
                <w:w w:val="145"/>
                <w:sz w:val="8"/>
              </w:rPr>
              <w:t>Administración de Riesgos</w:t>
            </w:r>
          </w:p>
        </w:tc>
        <w:tc>
          <w:tcPr>
            <w:tcW w:w="1810" w:type="dxa"/>
            <w:tcBorders>
              <w:left w:val="single" w:sz="3" w:space="0" w:color="000000"/>
              <w:right w:val="single" w:sz="3" w:space="0" w:color="000000"/>
            </w:tcBorders>
            <w:shd w:val="clear" w:color="auto" w:fill="E6B8B7"/>
          </w:tcPr>
          <w:p>
            <w:pPr>
              <w:pStyle w:val="TableParagraph"/>
              <w:spacing w:line="271" w:lineRule="auto" w:before="1"/>
              <w:ind w:left="22" w:right="15" w:firstLine="4"/>
              <w:jc w:val="center"/>
              <w:rPr>
                <w:b/>
                <w:sz w:val="8"/>
              </w:rPr>
            </w:pPr>
            <w:r>
              <w:rPr>
                <w:b/>
                <w:w w:val="145"/>
                <w:sz w:val="8"/>
              </w:rPr>
              <w:t>Supervisión de la aplicación eficiente de los mecanismos de control</w:t>
            </w:r>
          </w:p>
        </w:tc>
        <w:tc>
          <w:tcPr>
            <w:tcW w:w="1418" w:type="dxa"/>
            <w:tcBorders>
              <w:left w:val="single" w:sz="3" w:space="0" w:color="000000"/>
              <w:right w:val="nil"/>
            </w:tcBorders>
            <w:shd w:val="clear" w:color="auto" w:fill="E6B8B7"/>
          </w:tcPr>
          <w:p>
            <w:pPr>
              <w:pStyle w:val="TableParagraph"/>
              <w:spacing w:line="271" w:lineRule="auto" w:before="1"/>
              <w:ind w:left="303" w:right="291" w:firstLine="19"/>
              <w:rPr>
                <w:b/>
                <w:sz w:val="8"/>
              </w:rPr>
            </w:pPr>
            <w:r>
              <w:rPr>
                <w:b/>
                <w:w w:val="145"/>
                <w:sz w:val="8"/>
              </w:rPr>
              <w:t>Información y Comunicación</w:t>
            </w:r>
          </w:p>
        </w:tc>
      </w:tr>
      <w:tr>
        <w:trPr>
          <w:trHeight w:val="104" w:hRule="exact"/>
        </w:trPr>
        <w:tc>
          <w:tcPr>
            <w:tcW w:w="1779" w:type="dxa"/>
            <w:tcBorders>
              <w:left w:val="single" w:sz="3" w:space="0" w:color="000000"/>
              <w:right w:val="single" w:sz="3" w:space="0" w:color="000000"/>
            </w:tcBorders>
            <w:shd w:val="clear" w:color="auto" w:fill="F1DCDB"/>
          </w:tcPr>
          <w:p>
            <w:pPr>
              <w:pStyle w:val="TableParagraph"/>
              <w:spacing w:before="1"/>
              <w:ind w:left="298" w:right="290"/>
              <w:jc w:val="center"/>
              <w:rPr>
                <w:b/>
                <w:sz w:val="8"/>
              </w:rPr>
            </w:pPr>
            <w:r>
              <w:rPr>
                <w:b/>
                <w:w w:val="145"/>
                <w:sz w:val="8"/>
              </w:rPr>
              <w:t>FISM</w:t>
            </w:r>
          </w:p>
        </w:tc>
        <w:tc>
          <w:tcPr>
            <w:tcW w:w="1439" w:type="dxa"/>
            <w:tcBorders>
              <w:left w:val="single" w:sz="3" w:space="0" w:color="000000"/>
              <w:right w:val="single" w:sz="3" w:space="0" w:color="000000"/>
            </w:tcBorders>
            <w:shd w:val="clear" w:color="auto" w:fill="F1DCDB"/>
          </w:tcPr>
          <w:p>
            <w:pPr>
              <w:pStyle w:val="TableParagraph"/>
              <w:spacing w:before="1"/>
              <w:ind w:left="561" w:right="551"/>
              <w:jc w:val="center"/>
              <w:rPr>
                <w:b/>
                <w:sz w:val="8"/>
              </w:rPr>
            </w:pPr>
            <w:r>
              <w:rPr>
                <w:b/>
                <w:w w:val="145"/>
                <w:sz w:val="8"/>
              </w:rPr>
              <w:t>FISM</w:t>
            </w:r>
          </w:p>
        </w:tc>
        <w:tc>
          <w:tcPr>
            <w:tcW w:w="1810" w:type="dxa"/>
            <w:tcBorders>
              <w:left w:val="single" w:sz="3" w:space="0" w:color="000000"/>
              <w:right w:val="single" w:sz="3" w:space="0" w:color="000000"/>
            </w:tcBorders>
            <w:shd w:val="clear" w:color="auto" w:fill="F1DCDB"/>
          </w:tcPr>
          <w:p>
            <w:pPr>
              <w:pStyle w:val="TableParagraph"/>
              <w:spacing w:before="1"/>
              <w:ind w:left="747" w:right="737"/>
              <w:jc w:val="center"/>
              <w:rPr>
                <w:b/>
                <w:sz w:val="8"/>
              </w:rPr>
            </w:pPr>
            <w:r>
              <w:rPr>
                <w:b/>
                <w:w w:val="145"/>
                <w:sz w:val="8"/>
              </w:rPr>
              <w:t>FISM</w:t>
            </w:r>
          </w:p>
        </w:tc>
        <w:tc>
          <w:tcPr>
            <w:tcW w:w="1418" w:type="dxa"/>
            <w:tcBorders>
              <w:left w:val="single" w:sz="3" w:space="0" w:color="000000"/>
              <w:right w:val="nil"/>
            </w:tcBorders>
            <w:shd w:val="clear" w:color="auto" w:fill="F1DCDB"/>
          </w:tcPr>
          <w:p>
            <w:pPr>
              <w:pStyle w:val="TableParagraph"/>
              <w:spacing w:before="1"/>
              <w:ind w:left="550" w:right="546"/>
              <w:jc w:val="center"/>
              <w:rPr>
                <w:b/>
                <w:sz w:val="8"/>
              </w:rPr>
            </w:pPr>
            <w:r>
              <w:rPr>
                <w:b/>
                <w:w w:val="145"/>
                <w:sz w:val="8"/>
              </w:rPr>
              <w:t>FISM</w:t>
            </w:r>
          </w:p>
        </w:tc>
      </w:tr>
      <w:tr>
        <w:trPr>
          <w:trHeight w:val="934" w:hRule="exact"/>
        </w:trPr>
        <w:tc>
          <w:tcPr>
            <w:tcW w:w="1779" w:type="dxa"/>
            <w:tcBorders>
              <w:left w:val="single" w:sz="3" w:space="0" w:color="000000"/>
              <w:right w:val="single" w:sz="3" w:space="0" w:color="000000"/>
            </w:tcBorders>
          </w:tcPr>
          <w:p>
            <w:pPr>
              <w:pStyle w:val="TableParagraph"/>
              <w:spacing w:line="271" w:lineRule="auto" w:before="1"/>
              <w:ind w:left="17" w:right="78"/>
              <w:rPr>
                <w:sz w:val="8"/>
              </w:rPr>
            </w:pPr>
            <w:r>
              <w:rPr>
                <w:w w:val="145"/>
                <w:sz w:val="8"/>
              </w:rPr>
              <w:t>El municipio cuenta con un Código de Conducta específico que delimita la actuación ética que deben observar los servidores públicos.</w:t>
            </w:r>
          </w:p>
        </w:tc>
        <w:tc>
          <w:tcPr>
            <w:tcW w:w="1439" w:type="dxa"/>
            <w:tcBorders>
              <w:left w:val="single" w:sz="3" w:space="0" w:color="000000"/>
              <w:right w:val="single" w:sz="3" w:space="0" w:color="000000"/>
            </w:tcBorders>
          </w:tcPr>
          <w:p>
            <w:pPr>
              <w:pStyle w:val="TableParagraph"/>
              <w:spacing w:line="271" w:lineRule="auto" w:before="1"/>
              <w:ind w:left="16" w:right="15" w:firstLine="1"/>
              <w:rPr>
                <w:sz w:val="8"/>
              </w:rPr>
            </w:pPr>
            <w:r>
              <w:rPr>
                <w:w w:val="145"/>
                <w:sz w:val="8"/>
              </w:rPr>
              <w:t>Se tienen implantadas medidas de control para conocer el déficit de servicios básicos y de esta manera hacer congruente la distribución</w:t>
            </w:r>
          </w:p>
          <w:p>
            <w:pPr>
              <w:pStyle w:val="TableParagraph"/>
              <w:spacing w:line="268" w:lineRule="auto"/>
              <w:ind w:left="17" w:right="375"/>
              <w:rPr>
                <w:sz w:val="8"/>
              </w:rPr>
            </w:pPr>
            <w:r>
              <w:rPr>
                <w:w w:val="145"/>
                <w:sz w:val="8"/>
              </w:rPr>
              <w:t>programática de los recursos.</w:t>
            </w:r>
          </w:p>
        </w:tc>
        <w:tc>
          <w:tcPr>
            <w:tcW w:w="1810" w:type="dxa"/>
            <w:tcBorders>
              <w:left w:val="single" w:sz="3" w:space="0" w:color="000000"/>
              <w:right w:val="single" w:sz="3" w:space="0" w:color="000000"/>
            </w:tcBorders>
          </w:tcPr>
          <w:p>
            <w:pPr>
              <w:pStyle w:val="TableParagraph"/>
              <w:spacing w:line="271" w:lineRule="auto" w:before="1"/>
              <w:ind w:left="15" w:right="78" w:firstLine="1"/>
              <w:rPr>
                <w:sz w:val="8"/>
              </w:rPr>
            </w:pPr>
            <w:r>
              <w:rPr>
                <w:w w:val="145"/>
                <w:sz w:val="8"/>
              </w:rPr>
              <w:t>El municipio cuenta con una estructura formal que define las atribuciones y responsabilidades de todas las unidades administrativas que intervienen en el desarrollo de las operaciones.</w:t>
            </w:r>
          </w:p>
        </w:tc>
        <w:tc>
          <w:tcPr>
            <w:tcW w:w="1418" w:type="dxa"/>
            <w:tcBorders>
              <w:left w:val="single" w:sz="3" w:space="0" w:color="000000"/>
              <w:right w:val="single" w:sz="3" w:space="0" w:color="000000"/>
            </w:tcBorders>
          </w:tcPr>
          <w:p>
            <w:pPr>
              <w:pStyle w:val="TableParagraph"/>
              <w:spacing w:line="271" w:lineRule="auto" w:before="1"/>
              <w:ind w:left="16" w:right="45" w:firstLine="1"/>
              <w:rPr>
                <w:sz w:val="8"/>
              </w:rPr>
            </w:pPr>
            <w:r>
              <w:rPr>
                <w:w w:val="145"/>
                <w:sz w:val="8"/>
              </w:rPr>
              <w:t>El municipio cuenta con sistemas de archivo eficientes, que garantizan la adecuada guarda y custodia de la documentación del fondo.</w:t>
            </w:r>
          </w:p>
        </w:tc>
      </w:tr>
      <w:tr>
        <w:trPr>
          <w:trHeight w:val="1245" w:hRule="exact"/>
        </w:trPr>
        <w:tc>
          <w:tcPr>
            <w:tcW w:w="1779" w:type="dxa"/>
            <w:tcBorders>
              <w:left w:val="single" w:sz="3" w:space="0" w:color="000000"/>
              <w:right w:val="single" w:sz="3" w:space="0" w:color="000000"/>
            </w:tcBorders>
          </w:tcPr>
          <w:p>
            <w:pPr>
              <w:pStyle w:val="TableParagraph"/>
              <w:spacing w:line="271" w:lineRule="auto" w:before="1"/>
              <w:ind w:left="17" w:right="29"/>
              <w:rPr>
                <w:sz w:val="8"/>
              </w:rPr>
            </w:pPr>
            <w:r>
              <w:rPr>
                <w:w w:val="145"/>
                <w:sz w:val="8"/>
              </w:rPr>
              <w:t>El municipio cuenta con una descripción de puestos o funciones del personal a cargo del FISM, que establece el nivel de discrecionalidad y supervisión con que deben desempeñarse los servidores</w:t>
            </w:r>
            <w:r>
              <w:rPr>
                <w:spacing w:val="-1"/>
                <w:w w:val="145"/>
                <w:sz w:val="8"/>
              </w:rPr>
              <w:t> </w:t>
            </w:r>
            <w:r>
              <w:rPr>
                <w:w w:val="145"/>
                <w:sz w:val="8"/>
              </w:rPr>
              <w:t>públicos.</w:t>
            </w:r>
          </w:p>
        </w:tc>
        <w:tc>
          <w:tcPr>
            <w:tcW w:w="1439" w:type="dxa"/>
            <w:tcBorders>
              <w:left w:val="single" w:sz="3" w:space="0" w:color="000000"/>
              <w:right w:val="single" w:sz="3" w:space="0" w:color="000000"/>
            </w:tcBorders>
          </w:tcPr>
          <w:p>
            <w:pPr>
              <w:pStyle w:val="TableParagraph"/>
              <w:spacing w:line="271" w:lineRule="auto" w:before="1"/>
              <w:ind w:left="16" w:right="40" w:firstLine="1"/>
              <w:rPr>
                <w:sz w:val="8"/>
              </w:rPr>
            </w:pPr>
            <w:r>
              <w:rPr>
                <w:w w:val="145"/>
                <w:sz w:val="8"/>
              </w:rPr>
              <w:t>No se tienen implantadas medidas de control para garantizar que los recursos del fondo se orienten a obras y acciones contempladas dentro de los rubros que establece el artículo 33 de la Ley de Coordinación Fiscal</w:t>
            </w:r>
          </w:p>
        </w:tc>
        <w:tc>
          <w:tcPr>
            <w:tcW w:w="1810" w:type="dxa"/>
            <w:tcBorders>
              <w:left w:val="single" w:sz="3" w:space="0" w:color="000000"/>
              <w:right w:val="single" w:sz="3" w:space="0" w:color="000000"/>
            </w:tcBorders>
          </w:tcPr>
          <w:p>
            <w:pPr>
              <w:pStyle w:val="TableParagraph"/>
              <w:spacing w:line="271" w:lineRule="auto" w:before="1"/>
              <w:ind w:left="16"/>
              <w:rPr>
                <w:sz w:val="8"/>
              </w:rPr>
            </w:pPr>
            <w:r>
              <w:rPr>
                <w:w w:val="145"/>
                <w:sz w:val="8"/>
              </w:rPr>
              <w:t>Las acciones promovidas por la Contraloría Municipal no tienen el carácter preventivo deseable, con objeto de que su participación coadyuve a la optimización en la operación del fondo.</w:t>
            </w:r>
          </w:p>
        </w:tc>
        <w:tc>
          <w:tcPr>
            <w:tcW w:w="1418" w:type="dxa"/>
            <w:tcBorders>
              <w:left w:val="single" w:sz="3" w:space="0" w:color="000000"/>
              <w:right w:val="single" w:sz="3" w:space="0" w:color="000000"/>
            </w:tcBorders>
          </w:tcPr>
          <w:p>
            <w:pPr>
              <w:pStyle w:val="TableParagraph"/>
              <w:spacing w:line="271" w:lineRule="auto" w:before="1"/>
              <w:ind w:left="16" w:right="103" w:firstLine="1"/>
              <w:rPr>
                <w:sz w:val="8"/>
              </w:rPr>
            </w:pPr>
            <w:r>
              <w:rPr>
                <w:w w:val="145"/>
                <w:sz w:val="8"/>
              </w:rPr>
              <w:t>Los sistemas de información que operan en el municipio les permite cumplir con sus responsabilidades de integrar y consolidar la información financiera; ésta cuenta con una estructura definida mediante un catálogo de cuentas específico.</w:t>
            </w:r>
          </w:p>
        </w:tc>
      </w:tr>
      <w:tr>
        <w:trPr>
          <w:trHeight w:val="1038" w:hRule="exact"/>
        </w:trPr>
        <w:tc>
          <w:tcPr>
            <w:tcW w:w="1779" w:type="dxa"/>
            <w:tcBorders>
              <w:left w:val="single" w:sz="3" w:space="0" w:color="000000"/>
              <w:right w:val="single" w:sz="3" w:space="0" w:color="000000"/>
            </w:tcBorders>
          </w:tcPr>
          <w:p>
            <w:pPr>
              <w:pStyle w:val="TableParagraph"/>
              <w:spacing w:line="273" w:lineRule="auto" w:before="1"/>
              <w:ind w:left="17" w:right="78"/>
              <w:rPr>
                <w:sz w:val="8"/>
              </w:rPr>
            </w:pPr>
            <w:r>
              <w:rPr>
                <w:w w:val="145"/>
                <w:sz w:val="8"/>
              </w:rPr>
              <w:t>Se cuenta con programas de capacitación para el personal.</w:t>
            </w:r>
          </w:p>
        </w:tc>
        <w:tc>
          <w:tcPr>
            <w:tcW w:w="1439" w:type="dxa"/>
            <w:tcBorders>
              <w:left w:val="single" w:sz="3" w:space="0" w:color="000000"/>
              <w:right w:val="single" w:sz="3" w:space="0" w:color="000000"/>
            </w:tcBorders>
          </w:tcPr>
          <w:p>
            <w:pPr>
              <w:pStyle w:val="TableParagraph"/>
              <w:spacing w:line="271" w:lineRule="auto" w:before="1"/>
              <w:ind w:left="16" w:right="92" w:firstLine="1"/>
              <w:rPr>
                <w:sz w:val="8"/>
              </w:rPr>
            </w:pPr>
            <w:r>
              <w:rPr>
                <w:w w:val="145"/>
                <w:sz w:val="8"/>
              </w:rPr>
              <w:t>El control de los rendimientos financieros generados es adecuado, lo que les permite identificarlos y programar su aplicación.</w:t>
            </w:r>
          </w:p>
        </w:tc>
        <w:tc>
          <w:tcPr>
            <w:tcW w:w="1810" w:type="dxa"/>
            <w:tcBorders>
              <w:left w:val="single" w:sz="3" w:space="0" w:color="000000"/>
              <w:right w:val="single" w:sz="3" w:space="0" w:color="000000"/>
            </w:tcBorders>
          </w:tcPr>
          <w:p>
            <w:pPr>
              <w:pStyle w:val="TableParagraph"/>
              <w:spacing w:line="271" w:lineRule="auto" w:before="1"/>
              <w:ind w:left="16" w:right="24"/>
              <w:rPr>
                <w:sz w:val="8"/>
              </w:rPr>
            </w:pPr>
            <w:r>
              <w:rPr>
                <w:w w:val="145"/>
                <w:sz w:val="8"/>
              </w:rPr>
              <w:t>La Tesorería Municipal no realiza conciliaciones en forma mensual con los departamentos ejecutores del fondo, ni al cierre del ejercicio presupuestal para avalar las  cifras presentadas en la cuenta pública</w:t>
            </w:r>
            <w:r>
              <w:rPr>
                <w:spacing w:val="2"/>
                <w:w w:val="145"/>
                <w:sz w:val="8"/>
              </w:rPr>
              <w:t> </w:t>
            </w:r>
            <w:r>
              <w:rPr>
                <w:w w:val="145"/>
                <w:sz w:val="8"/>
              </w:rPr>
              <w:t>municipal.</w:t>
            </w:r>
          </w:p>
        </w:tc>
        <w:tc>
          <w:tcPr>
            <w:tcW w:w="1418" w:type="dxa"/>
            <w:tcBorders>
              <w:left w:val="single" w:sz="3" w:space="0" w:color="000000"/>
              <w:right w:val="single" w:sz="3" w:space="0" w:color="000000"/>
            </w:tcBorders>
          </w:tcPr>
          <w:p>
            <w:pPr>
              <w:pStyle w:val="TableParagraph"/>
              <w:spacing w:line="271" w:lineRule="auto" w:before="1"/>
              <w:ind w:left="15" w:right="8" w:firstLine="1"/>
              <w:rPr>
                <w:sz w:val="8"/>
              </w:rPr>
            </w:pPr>
            <w:r>
              <w:rPr>
                <w:w w:val="145"/>
                <w:sz w:val="8"/>
              </w:rPr>
              <w:t>Los mecanismos que se tienen  establecidos  para el control del avance físico financiero de las obras  son adecuados y permiten que la información financiera sea fácilmente identificada, capturada y procesada.</w:t>
            </w:r>
          </w:p>
        </w:tc>
      </w:tr>
      <w:tr>
        <w:trPr>
          <w:trHeight w:val="934" w:hRule="exact"/>
        </w:trPr>
        <w:tc>
          <w:tcPr>
            <w:tcW w:w="1779" w:type="dxa"/>
            <w:tcBorders>
              <w:left w:val="single" w:sz="3" w:space="0" w:color="000000"/>
              <w:right w:val="single" w:sz="3" w:space="0" w:color="000000"/>
            </w:tcBorders>
          </w:tcPr>
          <w:p>
            <w:pPr>
              <w:pStyle w:val="TableParagraph"/>
              <w:spacing w:line="271" w:lineRule="auto" w:before="1"/>
              <w:ind w:left="16" w:right="23"/>
              <w:rPr>
                <w:sz w:val="8"/>
              </w:rPr>
            </w:pPr>
            <w:r>
              <w:rPr>
                <w:w w:val="145"/>
                <w:sz w:val="8"/>
              </w:rPr>
              <w:t>El municipio cuenta con manuales de organización y procedimientos que definen las atribuciones y responsabilidades de los servidores públicos, con el fin de optimizar las acciones administrativas y operativas del manejo del</w:t>
            </w:r>
            <w:r>
              <w:rPr>
                <w:spacing w:val="3"/>
                <w:w w:val="145"/>
                <w:sz w:val="8"/>
              </w:rPr>
              <w:t> </w:t>
            </w:r>
            <w:r>
              <w:rPr>
                <w:w w:val="145"/>
                <w:sz w:val="8"/>
              </w:rPr>
              <w:t>FISM.</w:t>
            </w:r>
          </w:p>
        </w:tc>
        <w:tc>
          <w:tcPr>
            <w:tcW w:w="1439" w:type="dxa"/>
            <w:tcBorders>
              <w:left w:val="single" w:sz="3" w:space="0" w:color="000000"/>
              <w:right w:val="single" w:sz="3" w:space="0" w:color="000000"/>
            </w:tcBorders>
          </w:tcPr>
          <w:p>
            <w:pPr>
              <w:pStyle w:val="TableParagraph"/>
              <w:spacing w:line="271" w:lineRule="auto" w:before="1"/>
              <w:ind w:left="16" w:right="73" w:firstLine="1"/>
              <w:rPr>
                <w:sz w:val="8"/>
              </w:rPr>
            </w:pPr>
            <w:r>
              <w:rPr>
                <w:w w:val="145"/>
                <w:sz w:val="8"/>
              </w:rPr>
              <w:t>Los registros implantados para el seguimiento y control de las obras y acciones financiadas con los recursos del fondo muestran de manera fehaciente los avances físico-financieros.</w:t>
            </w:r>
          </w:p>
        </w:tc>
        <w:tc>
          <w:tcPr>
            <w:tcW w:w="1810" w:type="dxa"/>
            <w:tcBorders>
              <w:left w:val="single" w:sz="3" w:space="0" w:color="000000"/>
              <w:right w:val="single" w:sz="3" w:space="0" w:color="000000"/>
            </w:tcBorders>
          </w:tcPr>
          <w:p>
            <w:pPr>
              <w:pStyle w:val="TableParagraph"/>
              <w:spacing w:line="271" w:lineRule="auto" w:before="1"/>
              <w:ind w:left="16"/>
              <w:rPr>
                <w:sz w:val="8"/>
              </w:rPr>
            </w:pPr>
            <w:r>
              <w:rPr>
                <w:w w:val="145"/>
                <w:sz w:val="8"/>
              </w:rPr>
              <w:t>El municipio recibe del Órgano Superior de Fiscalización del Estado de México (OSFEM), propuestas de indicadores para evaluar y medir la eficiencia en la aplicación del FISM.</w:t>
            </w:r>
          </w:p>
        </w:tc>
        <w:tc>
          <w:tcPr>
            <w:tcW w:w="1418" w:type="dxa"/>
            <w:tcBorders>
              <w:left w:val="single" w:sz="3" w:space="0" w:color="000000"/>
              <w:right w:val="single" w:sz="3" w:space="0" w:color="000000"/>
            </w:tcBorders>
          </w:tcPr>
          <w:p>
            <w:pPr>
              <w:pStyle w:val="TableParagraph"/>
              <w:spacing w:line="271" w:lineRule="auto" w:before="1"/>
              <w:ind w:left="16" w:right="46" w:firstLine="1"/>
              <w:rPr>
                <w:sz w:val="8"/>
              </w:rPr>
            </w:pPr>
            <w:r>
              <w:rPr>
                <w:w w:val="145"/>
                <w:sz w:val="8"/>
              </w:rPr>
              <w:t>El sistema de información financiera permite conocer y registrar los activos fijos y los bienes patrimoniales de manera oportuna y</w:t>
            </w:r>
            <w:r>
              <w:rPr>
                <w:spacing w:val="2"/>
                <w:w w:val="145"/>
                <w:sz w:val="8"/>
              </w:rPr>
              <w:t> </w:t>
            </w:r>
            <w:r>
              <w:rPr>
                <w:w w:val="145"/>
                <w:sz w:val="8"/>
              </w:rPr>
              <w:t>confiable.</w:t>
            </w:r>
          </w:p>
        </w:tc>
      </w:tr>
      <w:tr>
        <w:trPr>
          <w:trHeight w:val="1038" w:hRule="exact"/>
        </w:trPr>
        <w:tc>
          <w:tcPr>
            <w:tcW w:w="1779" w:type="dxa"/>
            <w:tcBorders>
              <w:left w:val="single" w:sz="3" w:space="0" w:color="000000"/>
              <w:right w:val="single" w:sz="3" w:space="0" w:color="000000"/>
            </w:tcBorders>
          </w:tcPr>
          <w:p>
            <w:pPr>
              <w:pStyle w:val="TableParagraph"/>
              <w:rPr>
                <w:b/>
                <w:sz w:val="8"/>
              </w:rPr>
            </w:pPr>
          </w:p>
          <w:p>
            <w:pPr>
              <w:pStyle w:val="TableParagraph"/>
              <w:rPr>
                <w:b/>
                <w:sz w:val="8"/>
              </w:rPr>
            </w:pPr>
          </w:p>
          <w:p>
            <w:pPr>
              <w:pStyle w:val="TableParagraph"/>
              <w:spacing w:before="2"/>
              <w:rPr>
                <w:b/>
                <w:sz w:val="11"/>
              </w:rPr>
            </w:pPr>
          </w:p>
          <w:p>
            <w:pPr>
              <w:pStyle w:val="TableParagraph"/>
              <w:spacing w:line="271" w:lineRule="auto"/>
              <w:ind w:left="16" w:right="78"/>
              <w:rPr>
                <w:sz w:val="8"/>
              </w:rPr>
            </w:pPr>
            <w:r>
              <w:rPr>
                <w:w w:val="145"/>
                <w:sz w:val="8"/>
              </w:rPr>
              <w:t>El municipio promovió la participación de la ciudadanía, en el destino, aplicación, vigilancia, programación, ejecución, control y seguimiento de las obras del fondo.</w:t>
            </w:r>
          </w:p>
        </w:tc>
        <w:tc>
          <w:tcPr>
            <w:tcW w:w="1439" w:type="dxa"/>
            <w:tcBorders>
              <w:left w:val="single" w:sz="3" w:space="0" w:color="000000"/>
              <w:right w:val="single" w:sz="3" w:space="0" w:color="000000"/>
            </w:tcBorders>
          </w:tcPr>
          <w:p>
            <w:pPr>
              <w:pStyle w:val="TableParagraph"/>
              <w:spacing w:line="271" w:lineRule="auto" w:before="2"/>
              <w:ind w:left="16" w:right="27" w:firstLine="1"/>
              <w:rPr>
                <w:sz w:val="8"/>
              </w:rPr>
            </w:pPr>
            <w:r>
              <w:rPr>
                <w:w w:val="145"/>
                <w:sz w:val="8"/>
              </w:rPr>
              <w:t>Se cuenta con procedimientos de adjudicación de las obras y se cumplió con los rangos establecidos en el Libro Décimo Segundo del Código Administrativo del Estado de</w:t>
            </w:r>
            <w:r>
              <w:rPr>
                <w:spacing w:val="5"/>
                <w:w w:val="145"/>
                <w:sz w:val="8"/>
              </w:rPr>
              <w:t> </w:t>
            </w:r>
            <w:r>
              <w:rPr>
                <w:w w:val="145"/>
                <w:sz w:val="8"/>
              </w:rPr>
              <w:t>México.</w:t>
            </w:r>
          </w:p>
        </w:tc>
        <w:tc>
          <w:tcPr>
            <w:tcW w:w="1810" w:type="dxa"/>
            <w:tcBorders>
              <w:left w:val="single" w:sz="3" w:space="0" w:color="000000"/>
              <w:right w:val="single" w:sz="3" w:space="0" w:color="000000"/>
            </w:tcBorders>
          </w:tcPr>
          <w:p>
            <w:pPr/>
          </w:p>
        </w:tc>
        <w:tc>
          <w:tcPr>
            <w:tcW w:w="1418" w:type="dxa"/>
            <w:tcBorders>
              <w:left w:val="single" w:sz="3" w:space="0" w:color="000000"/>
              <w:right w:val="single" w:sz="3" w:space="0" w:color="000000"/>
            </w:tcBorders>
          </w:tcPr>
          <w:p>
            <w:pPr>
              <w:pStyle w:val="TableParagraph"/>
              <w:spacing w:line="271" w:lineRule="auto" w:before="2"/>
              <w:ind w:left="16" w:right="44" w:firstLine="1"/>
              <w:rPr>
                <w:sz w:val="8"/>
              </w:rPr>
            </w:pPr>
            <w:r>
              <w:rPr>
                <w:w w:val="145"/>
                <w:sz w:val="8"/>
              </w:rPr>
              <w:t>No se tienen establecidas actividades de control para realizar de manera periódica y sistemática conciliaciones entre la información que generan el área de obras públicas y el área financiera en relación con los recursos del FISM.</w:t>
            </w:r>
          </w:p>
        </w:tc>
      </w:tr>
      <w:tr>
        <w:trPr>
          <w:trHeight w:val="1142" w:hRule="exact"/>
        </w:trPr>
        <w:tc>
          <w:tcPr>
            <w:tcW w:w="1779" w:type="dxa"/>
            <w:tcBorders>
              <w:left w:val="single" w:sz="3" w:space="0" w:color="000000"/>
              <w:right w:val="single" w:sz="3" w:space="0" w:color="000000"/>
            </w:tcBorders>
          </w:tcPr>
          <w:p>
            <w:pPr>
              <w:pStyle w:val="TableParagraph"/>
              <w:spacing w:line="271" w:lineRule="auto" w:before="2"/>
              <w:ind w:left="16" w:right="9"/>
              <w:rPr>
                <w:sz w:val="8"/>
              </w:rPr>
            </w:pPr>
            <w:r>
              <w:rPr>
                <w:w w:val="145"/>
                <w:sz w:val="8"/>
              </w:rPr>
              <w:t>Se cuenta con un área especial que se encarga de procesar la información por medio de un check list que asegura la  correcta integración de los expedientes técnicos relacionados con los procesos de adjudicación y contratación de obra pública.</w:t>
            </w:r>
          </w:p>
        </w:tc>
        <w:tc>
          <w:tcPr>
            <w:tcW w:w="1439" w:type="dxa"/>
            <w:tcBorders>
              <w:left w:val="single" w:sz="3" w:space="0" w:color="000000"/>
              <w:right w:val="single" w:sz="3" w:space="0" w:color="000000"/>
            </w:tcBorders>
          </w:tcPr>
          <w:p>
            <w:pPr>
              <w:pStyle w:val="TableParagraph"/>
              <w:spacing w:line="271" w:lineRule="auto" w:before="2"/>
              <w:ind w:left="16" w:right="15" w:firstLine="1"/>
              <w:rPr>
                <w:sz w:val="8"/>
              </w:rPr>
            </w:pPr>
            <w:r>
              <w:rPr>
                <w:w w:val="145"/>
                <w:sz w:val="8"/>
              </w:rPr>
              <w:t>No se ha implantado como una medida de control el evaluar al final del  ejercicio los resultados obtenidos  con  la aplicación de los recursos del FISM 2008, a fin de retroalimentar la operación del fondo para el siguiente ejercicio.</w:t>
            </w:r>
          </w:p>
        </w:tc>
        <w:tc>
          <w:tcPr>
            <w:tcW w:w="1810" w:type="dxa"/>
            <w:tcBorders>
              <w:left w:val="single" w:sz="3" w:space="0" w:color="000000"/>
              <w:right w:val="single" w:sz="3" w:space="0" w:color="000000"/>
            </w:tcBorders>
          </w:tcPr>
          <w:p>
            <w:pPr/>
          </w:p>
        </w:tc>
        <w:tc>
          <w:tcPr>
            <w:tcW w:w="1418" w:type="dxa"/>
            <w:tcBorders>
              <w:left w:val="single" w:sz="3" w:space="0" w:color="000000"/>
              <w:right w:val="single" w:sz="3" w:space="0" w:color="000000"/>
            </w:tcBorders>
          </w:tcPr>
          <w:p>
            <w:pPr>
              <w:pStyle w:val="TableParagraph"/>
              <w:spacing w:line="271" w:lineRule="auto" w:before="2"/>
              <w:ind w:left="16" w:right="58" w:firstLine="1"/>
              <w:rPr>
                <w:sz w:val="8"/>
              </w:rPr>
            </w:pPr>
            <w:r>
              <w:rPr>
                <w:w w:val="145"/>
                <w:sz w:val="8"/>
              </w:rPr>
              <w:t>El municipio no cuenta con evidencia de haber comunicado los informes trimestrales del ejercicio del fondo 2008, a las Secretarías de Desarrollo Social (SEDESOL) y de Hacienda y Crédito</w:t>
            </w:r>
          </w:p>
          <w:p>
            <w:pPr>
              <w:pStyle w:val="TableParagraph"/>
              <w:ind w:left="16" w:right="45"/>
              <w:rPr>
                <w:sz w:val="8"/>
              </w:rPr>
            </w:pPr>
            <w:r>
              <w:rPr>
                <w:w w:val="145"/>
                <w:sz w:val="8"/>
              </w:rPr>
              <w:t>Público (SHCP).</w:t>
            </w:r>
          </w:p>
        </w:tc>
      </w:tr>
    </w:tbl>
    <w:p>
      <w:pPr>
        <w:spacing w:after="0"/>
        <w:rPr>
          <w:sz w:val="8"/>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spacing w:before="2"/>
        <w:rPr>
          <w:b/>
          <w:sz w:val="23"/>
        </w:rPr>
      </w:pPr>
    </w:p>
    <w:p>
      <w:pPr>
        <w:pStyle w:val="BodyText"/>
        <w:ind w:left="1912"/>
        <w:rPr>
          <w:sz w:val="20"/>
        </w:rPr>
      </w:pPr>
      <w:r>
        <w:rPr>
          <w:sz w:val="20"/>
        </w:rPr>
        <w:pict>
          <v:group style="width:378.75pt;height:40.8pt;mso-position-horizontal-relative:char;mso-position-vertical-relative:line" coordorigin="0,0" coordsize="7575,816">
            <v:shape style="position:absolute;left:486;top:0;width:6480;height:816" type="#_x0000_t75" stroked="false">
              <v:imagedata r:id="rId79" o:title=""/>
            </v:shape>
            <v:shape style="position:absolute;left:3;top:710;width:7569;height:2" coordorigin="3,710" coordsize="7569,0" path="m3,710l3,710,7571,710e" filled="false" stroked="true" strokeweight=".275304pt" strokecolor="#000000">
              <v:path arrowok="t"/>
            </v:shape>
            <v:shape style="position:absolute;left:0;top:0;width:7574;height:816" type="#_x0000_t202" filled="false" stroked="false">
              <v:textbox inset="0,0,0,0">
                <w:txbxContent>
                  <w:p>
                    <w:pPr>
                      <w:spacing w:line="244" w:lineRule="auto" w:before="0"/>
                      <w:ind w:left="630" w:right="742" w:firstLine="0"/>
                      <w:jc w:val="left"/>
                      <w:rPr>
                        <w:sz w:val="20"/>
                      </w:rPr>
                    </w:pPr>
                    <w:r>
                      <w:rPr>
                        <w:b/>
                        <w:w w:val="105"/>
                        <w:sz w:val="20"/>
                      </w:rPr>
                      <w:t>Fuente</w:t>
                    </w:r>
                    <w:r>
                      <w:rPr>
                        <w:w w:val="105"/>
                        <w:sz w:val="20"/>
                      </w:rPr>
                      <w:t>:</w:t>
                    </w:r>
                    <w:r>
                      <w:rPr>
                        <w:spacing w:val="-27"/>
                        <w:w w:val="105"/>
                        <w:sz w:val="20"/>
                      </w:rPr>
                      <w:t> </w:t>
                    </w:r>
                    <w:r>
                      <w:rPr>
                        <w:w w:val="105"/>
                        <w:sz w:val="20"/>
                      </w:rPr>
                      <w:t>Elaboración</w:t>
                    </w:r>
                    <w:r>
                      <w:rPr>
                        <w:spacing w:val="-26"/>
                        <w:w w:val="105"/>
                        <w:sz w:val="20"/>
                      </w:rPr>
                      <w:t> </w:t>
                    </w:r>
                    <w:r>
                      <w:rPr>
                        <w:w w:val="105"/>
                        <w:sz w:val="20"/>
                      </w:rPr>
                      <w:t>propia</w:t>
                    </w:r>
                    <w:r>
                      <w:rPr>
                        <w:spacing w:val="-26"/>
                        <w:w w:val="105"/>
                        <w:sz w:val="20"/>
                      </w:rPr>
                      <w:t> </w:t>
                    </w:r>
                    <w:r>
                      <w:rPr>
                        <w:w w:val="105"/>
                        <w:sz w:val="20"/>
                      </w:rPr>
                      <w:t>con</w:t>
                    </w:r>
                    <w:r>
                      <w:rPr>
                        <w:spacing w:val="-26"/>
                        <w:w w:val="105"/>
                        <w:sz w:val="20"/>
                      </w:rPr>
                      <w:t> </w:t>
                    </w:r>
                    <w:r>
                      <w:rPr>
                        <w:w w:val="105"/>
                        <w:sz w:val="20"/>
                      </w:rPr>
                      <w:t>base</w:t>
                    </w:r>
                    <w:r>
                      <w:rPr>
                        <w:spacing w:val="-26"/>
                        <w:w w:val="105"/>
                        <w:sz w:val="20"/>
                      </w:rPr>
                      <w:t> </w:t>
                    </w:r>
                    <w:r>
                      <w:rPr>
                        <w:w w:val="105"/>
                        <w:sz w:val="20"/>
                      </w:rPr>
                      <w:t>en</w:t>
                    </w:r>
                    <w:r>
                      <w:rPr>
                        <w:spacing w:val="-26"/>
                        <w:w w:val="105"/>
                        <w:sz w:val="20"/>
                      </w:rPr>
                      <w:t> </w:t>
                    </w:r>
                    <w:r>
                      <w:rPr>
                        <w:w w:val="105"/>
                        <w:sz w:val="20"/>
                      </w:rPr>
                      <w:t>el</w:t>
                    </w:r>
                    <w:r>
                      <w:rPr>
                        <w:spacing w:val="-24"/>
                        <w:w w:val="105"/>
                        <w:sz w:val="20"/>
                      </w:rPr>
                      <w:t> </w:t>
                    </w:r>
                    <w:r>
                      <w:rPr>
                        <w:w w:val="105"/>
                        <w:sz w:val="20"/>
                      </w:rPr>
                      <w:t>Informe</w:t>
                    </w:r>
                    <w:r>
                      <w:rPr>
                        <w:spacing w:val="-28"/>
                        <w:w w:val="105"/>
                        <w:sz w:val="20"/>
                      </w:rPr>
                      <w:t> </w:t>
                    </w:r>
                    <w:r>
                      <w:rPr>
                        <w:w w:val="105"/>
                        <w:sz w:val="20"/>
                      </w:rPr>
                      <w:t>de</w:t>
                    </w:r>
                    <w:r>
                      <w:rPr>
                        <w:spacing w:val="-26"/>
                        <w:w w:val="105"/>
                        <w:sz w:val="20"/>
                      </w:rPr>
                      <w:t> </w:t>
                    </w:r>
                    <w:r>
                      <w:rPr>
                        <w:w w:val="105"/>
                        <w:sz w:val="20"/>
                      </w:rPr>
                      <w:t>Resultados</w:t>
                    </w:r>
                    <w:r>
                      <w:rPr>
                        <w:spacing w:val="-27"/>
                        <w:w w:val="105"/>
                        <w:sz w:val="20"/>
                      </w:rPr>
                      <w:t> </w:t>
                    </w:r>
                    <w:r>
                      <w:rPr>
                        <w:w w:val="105"/>
                        <w:sz w:val="20"/>
                      </w:rPr>
                      <w:t>de </w:t>
                    </w:r>
                    <w:r>
                      <w:rPr>
                        <w:spacing w:val="-1"/>
                        <w:w w:val="99"/>
                        <w:position w:val="1"/>
                        <w:sz w:val="20"/>
                      </w:rPr>
                      <w:t>l</w:t>
                    </w:r>
                    <w:r>
                      <w:rPr>
                        <w:w w:val="99"/>
                        <w:position w:val="1"/>
                        <w:sz w:val="20"/>
                      </w:rPr>
                      <w:t>a</w:t>
                    </w:r>
                    <w:r>
                      <w:rPr>
                        <w:spacing w:val="-1"/>
                        <w:position w:val="1"/>
                        <w:sz w:val="20"/>
                      </w:rPr>
                      <w:t> </w:t>
                    </w:r>
                    <w:r>
                      <w:rPr>
                        <w:w w:val="99"/>
                        <w:position w:val="1"/>
                        <w:sz w:val="20"/>
                      </w:rPr>
                      <w:t>F</w:t>
                    </w:r>
                    <w:r>
                      <w:rPr>
                        <w:spacing w:val="-1"/>
                        <w:w w:val="99"/>
                        <w:position w:val="1"/>
                        <w:sz w:val="20"/>
                      </w:rPr>
                      <w:t>i</w:t>
                    </w:r>
                    <w:r>
                      <w:rPr>
                        <w:spacing w:val="1"/>
                        <w:w w:val="99"/>
                        <w:position w:val="1"/>
                        <w:sz w:val="20"/>
                      </w:rPr>
                      <w:t>sc</w:t>
                    </w:r>
                    <w:r>
                      <w:rPr>
                        <w:spacing w:val="1"/>
                        <w:w w:val="99"/>
                        <w:position w:val="1"/>
                        <w:sz w:val="20"/>
                      </w:rPr>
                      <w:t>a</w:t>
                    </w:r>
                    <w:r>
                      <w:rPr>
                        <w:spacing w:val="-1"/>
                        <w:w w:val="99"/>
                        <w:position w:val="1"/>
                        <w:sz w:val="20"/>
                      </w:rPr>
                      <w:t>l</w:t>
                    </w:r>
                    <w:r>
                      <w:rPr>
                        <w:spacing w:val="2"/>
                        <w:w w:val="99"/>
                        <w:position w:val="1"/>
                        <w:sz w:val="20"/>
                      </w:rPr>
                      <w:t>i</w:t>
                    </w:r>
                    <w:r>
                      <w:rPr>
                        <w:spacing w:val="-2"/>
                        <w:w w:val="99"/>
                        <w:position w:val="1"/>
                        <w:sz w:val="20"/>
                      </w:rPr>
                      <w:t>z</w:t>
                    </w:r>
                    <w:r>
                      <w:rPr>
                        <w:w w:val="99"/>
                        <w:position w:val="1"/>
                        <w:sz w:val="20"/>
                      </w:rPr>
                      <w:t>ac</w:t>
                    </w:r>
                    <w:r>
                      <w:rPr>
                        <w:spacing w:val="1"/>
                        <w:w w:val="99"/>
                        <w:position w:val="1"/>
                        <w:sz w:val="20"/>
                      </w:rPr>
                      <w:t>i</w:t>
                    </w:r>
                    <w:r>
                      <w:rPr>
                        <w:w w:val="99"/>
                        <w:position w:val="1"/>
                        <w:sz w:val="20"/>
                      </w:rPr>
                      <w:t>ón</w:t>
                    </w:r>
                    <w:r>
                      <w:rPr>
                        <w:spacing w:val="1"/>
                        <w:position w:val="1"/>
                        <w:sz w:val="20"/>
                      </w:rPr>
                      <w:t> </w:t>
                    </w:r>
                    <w:r>
                      <w:rPr>
                        <w:spacing w:val="-1"/>
                        <w:w w:val="99"/>
                        <w:position w:val="1"/>
                        <w:sz w:val="20"/>
                      </w:rPr>
                      <w:t>S</w:t>
                    </w:r>
                    <w:r>
                      <w:rPr>
                        <w:spacing w:val="1"/>
                        <w:w w:val="99"/>
                        <w:position w:val="1"/>
                        <w:sz w:val="20"/>
                      </w:rPr>
                      <w:t>u</w:t>
                    </w:r>
                    <w:r>
                      <w:rPr>
                        <w:w w:val="99"/>
                        <w:position w:val="1"/>
                        <w:sz w:val="20"/>
                      </w:rPr>
                      <w:t>p</w:t>
                    </w:r>
                    <w:r>
                      <w:rPr>
                        <w:spacing w:val="-1"/>
                        <w:w w:val="99"/>
                        <w:position w:val="1"/>
                        <w:sz w:val="20"/>
                      </w:rPr>
                      <w:t>e</w:t>
                    </w:r>
                    <w:r>
                      <w:rPr>
                        <w:w w:val="99"/>
                        <w:position w:val="1"/>
                        <w:sz w:val="20"/>
                      </w:rPr>
                      <w:t>r</w:t>
                    </w:r>
                    <w:r>
                      <w:rPr>
                        <w:spacing w:val="-1"/>
                        <w:w w:val="99"/>
                        <w:position w:val="1"/>
                        <w:sz w:val="20"/>
                      </w:rPr>
                      <w:t>i</w:t>
                    </w:r>
                    <w:r>
                      <w:rPr>
                        <w:spacing w:val="-73"/>
                        <w:w w:val="99"/>
                        <w:position w:val="1"/>
                        <w:sz w:val="20"/>
                      </w:rPr>
                      <w:t>o</w:t>
                    </w:r>
                    <w:r>
                      <w:rPr>
                        <w:b/>
                        <w:spacing w:val="-20"/>
                        <w:w w:val="182"/>
                        <w:sz w:val="7"/>
                      </w:rPr>
                      <w:t>C</w:t>
                    </w:r>
                    <w:r>
                      <w:rPr>
                        <w:spacing w:val="-47"/>
                        <w:w w:val="99"/>
                        <w:position w:val="1"/>
                        <w:sz w:val="20"/>
                      </w:rPr>
                      <w:t>r</w:t>
                    </w:r>
                    <w:r>
                      <w:rPr>
                        <w:b/>
                        <w:spacing w:val="-1"/>
                        <w:w w:val="182"/>
                        <w:sz w:val="7"/>
                      </w:rPr>
                      <w:t>a</w:t>
                    </w:r>
                    <w:r>
                      <w:rPr>
                        <w:b/>
                        <w:spacing w:val="-2"/>
                        <w:w w:val="182"/>
                        <w:sz w:val="7"/>
                      </w:rPr>
                      <w:t>l</w:t>
                    </w:r>
                    <w:r>
                      <w:rPr>
                        <w:spacing w:val="-110"/>
                        <w:w w:val="99"/>
                        <w:position w:val="1"/>
                        <w:sz w:val="20"/>
                      </w:rPr>
                      <w:t>d</w:t>
                    </w:r>
                    <w:r>
                      <w:rPr>
                        <w:b/>
                        <w:spacing w:val="-1"/>
                        <w:w w:val="182"/>
                        <w:sz w:val="7"/>
                      </w:rPr>
                      <w:t>i</w:t>
                    </w:r>
                    <w:r>
                      <w:rPr>
                        <w:b/>
                        <w:spacing w:val="-5"/>
                        <w:w w:val="182"/>
                        <w:sz w:val="7"/>
                      </w:rPr>
                      <w:t>d</w:t>
                    </w:r>
                    <w:r>
                      <w:rPr>
                        <w:spacing w:val="-106"/>
                        <w:w w:val="99"/>
                        <w:position w:val="1"/>
                        <w:sz w:val="20"/>
                      </w:rPr>
                      <w:t>e</w:t>
                    </w:r>
                    <w:r>
                      <w:rPr>
                        <w:b/>
                        <w:spacing w:val="-1"/>
                        <w:w w:val="182"/>
                        <w:sz w:val="7"/>
                      </w:rPr>
                      <w:t>a</w:t>
                    </w:r>
                    <w:r>
                      <w:rPr>
                        <w:b/>
                        <w:w w:val="182"/>
                        <w:sz w:val="7"/>
                      </w:rPr>
                      <w:t>d</w:t>
                    </w:r>
                    <w:r>
                      <w:rPr>
                        <w:b/>
                        <w:spacing w:val="-6"/>
                        <w:sz w:val="7"/>
                      </w:rPr>
                      <w:t> </w:t>
                    </w:r>
                    <w:r>
                      <w:rPr>
                        <w:spacing w:val="-22"/>
                        <w:w w:val="99"/>
                        <w:position w:val="1"/>
                        <w:sz w:val="20"/>
                      </w:rPr>
                      <w:t>l</w:t>
                    </w:r>
                    <w:r>
                      <w:rPr>
                        <w:b/>
                        <w:spacing w:val="-58"/>
                        <w:w w:val="182"/>
                        <w:sz w:val="7"/>
                      </w:rPr>
                      <w:t>d</w:t>
                    </w:r>
                    <w:r>
                      <w:rPr>
                        <w:spacing w:val="-54"/>
                        <w:w w:val="99"/>
                        <w:position w:val="1"/>
                        <w:sz w:val="20"/>
                      </w:rPr>
                      <w:t>a</w:t>
                    </w:r>
                    <w:r>
                      <w:rPr>
                        <w:b/>
                        <w:spacing w:val="-18"/>
                        <w:w w:val="182"/>
                        <w:sz w:val="7"/>
                      </w:rPr>
                      <w:t>e</w:t>
                    </w:r>
                    <w:r>
                      <w:rPr>
                        <w:spacing w:val="-48"/>
                        <w:w w:val="99"/>
                        <w:position w:val="1"/>
                        <w:sz w:val="20"/>
                      </w:rPr>
                      <w:t>s</w:t>
                    </w:r>
                    <w:r>
                      <w:rPr>
                        <w:b/>
                        <w:spacing w:val="1"/>
                        <w:w w:val="182"/>
                        <w:sz w:val="7"/>
                      </w:rPr>
                      <w:t>l</w:t>
                    </w:r>
                    <w:r>
                      <w:rPr>
                        <w:b/>
                        <w:spacing w:val="-5"/>
                        <w:w w:val="182"/>
                        <w:sz w:val="7"/>
                      </w:rPr>
                      <w:t>a</w:t>
                    </w:r>
                    <w:r>
                      <w:rPr>
                        <w:spacing w:val="-61"/>
                        <w:w w:val="99"/>
                        <w:position w:val="1"/>
                        <w:sz w:val="20"/>
                      </w:rPr>
                      <w:t>c</w:t>
                    </w:r>
                    <w:r>
                      <w:rPr>
                        <w:b/>
                        <w:spacing w:val="-39"/>
                        <w:w w:val="182"/>
                        <w:sz w:val="7"/>
                      </w:rPr>
                      <w:t>G</w:t>
                    </w:r>
                    <w:r>
                      <w:rPr>
                        <w:spacing w:val="-73"/>
                        <w:w w:val="99"/>
                        <w:position w:val="1"/>
                        <w:sz w:val="20"/>
                      </w:rPr>
                      <w:t>u</w:t>
                    </w:r>
                    <w:r>
                      <w:rPr>
                        <w:b/>
                        <w:spacing w:val="-1"/>
                        <w:w w:val="182"/>
                        <w:sz w:val="7"/>
                      </w:rPr>
                      <w:t>e</w:t>
                    </w:r>
                    <w:r>
                      <w:rPr>
                        <w:b/>
                        <w:spacing w:val="-70"/>
                        <w:w w:val="182"/>
                        <w:sz w:val="7"/>
                      </w:rPr>
                      <w:t>s</w:t>
                    </w:r>
                    <w:r>
                      <w:rPr>
                        <w:spacing w:val="-41"/>
                        <w:w w:val="99"/>
                        <w:position w:val="1"/>
                        <w:sz w:val="20"/>
                      </w:rPr>
                      <w:t>e</w:t>
                    </w:r>
                    <w:r>
                      <w:rPr>
                        <w:b/>
                        <w:spacing w:val="-1"/>
                        <w:w w:val="182"/>
                        <w:sz w:val="7"/>
                      </w:rPr>
                      <w:t>t</w:t>
                    </w:r>
                    <w:r>
                      <w:rPr>
                        <w:spacing w:val="-111"/>
                        <w:w w:val="99"/>
                        <w:position w:val="1"/>
                        <w:sz w:val="20"/>
                      </w:rPr>
                      <w:t>n</w:t>
                    </w:r>
                    <w:r>
                      <w:rPr>
                        <w:b/>
                        <w:spacing w:val="-1"/>
                        <w:w w:val="182"/>
                        <w:sz w:val="7"/>
                      </w:rPr>
                      <w:t>i</w:t>
                    </w:r>
                    <w:r>
                      <w:rPr>
                        <w:b/>
                        <w:spacing w:val="-3"/>
                        <w:w w:val="182"/>
                        <w:sz w:val="7"/>
                      </w:rPr>
                      <w:t>ó</w:t>
                    </w:r>
                    <w:r>
                      <w:rPr>
                        <w:spacing w:val="-53"/>
                        <w:w w:val="99"/>
                        <w:position w:val="1"/>
                        <w:sz w:val="20"/>
                      </w:rPr>
                      <w:t>t</w:t>
                    </w:r>
                    <w:r>
                      <w:rPr>
                        <w:b/>
                        <w:spacing w:val="-26"/>
                        <w:w w:val="182"/>
                        <w:sz w:val="7"/>
                      </w:rPr>
                      <w:t>n</w:t>
                    </w:r>
                    <w:r>
                      <w:rPr>
                        <w:spacing w:val="-50"/>
                        <w:w w:val="99"/>
                        <w:position w:val="1"/>
                        <w:sz w:val="20"/>
                      </w:rPr>
                      <w:t>a</w:t>
                    </w:r>
                    <w:r>
                      <w:rPr>
                        <w:b/>
                        <w:spacing w:val="-52"/>
                        <w:w w:val="182"/>
                        <w:sz w:val="7"/>
                      </w:rPr>
                      <w:t>G</w:t>
                    </w:r>
                    <w:r>
                      <w:rPr>
                        <w:spacing w:val="-49"/>
                        <w:w w:val="99"/>
                        <w:position w:val="1"/>
                        <w:sz w:val="20"/>
                      </w:rPr>
                      <w:t>s</w:t>
                    </w:r>
                    <w:r>
                      <w:rPr>
                        <w:b/>
                        <w:w w:val="182"/>
                        <w:sz w:val="7"/>
                      </w:rPr>
                      <w:t>u</w:t>
                    </w:r>
                    <w:r>
                      <w:rPr>
                        <w:b/>
                        <w:spacing w:val="-52"/>
                        <w:w w:val="182"/>
                        <w:sz w:val="7"/>
                      </w:rPr>
                      <w:t>b</w:t>
                    </w:r>
                    <w:r>
                      <w:rPr>
                        <w:spacing w:val="-60"/>
                        <w:w w:val="99"/>
                        <w:position w:val="1"/>
                        <w:sz w:val="20"/>
                      </w:rPr>
                      <w:t>p</w:t>
                    </w:r>
                    <w:r>
                      <w:rPr>
                        <w:b/>
                        <w:spacing w:val="-10"/>
                        <w:w w:val="182"/>
                        <w:sz w:val="7"/>
                      </w:rPr>
                      <w:t>e</w:t>
                    </w:r>
                    <w:r>
                      <w:rPr>
                        <w:spacing w:val="-102"/>
                        <w:w w:val="99"/>
                        <w:position w:val="1"/>
                        <w:sz w:val="20"/>
                      </w:rPr>
                      <w:t>ú</w:t>
                    </w:r>
                    <w:r>
                      <w:rPr>
                        <w:b/>
                        <w:w w:val="182"/>
                        <w:sz w:val="7"/>
                      </w:rPr>
                      <w:t>r</w:t>
                    </w:r>
                    <w:r>
                      <w:rPr>
                        <w:b/>
                        <w:spacing w:val="-28"/>
                        <w:w w:val="182"/>
                        <w:sz w:val="7"/>
                      </w:rPr>
                      <w:t>n</w:t>
                    </w:r>
                    <w:r>
                      <w:rPr>
                        <w:spacing w:val="-84"/>
                        <w:w w:val="99"/>
                        <w:position w:val="1"/>
                        <w:sz w:val="20"/>
                      </w:rPr>
                      <w:t>b</w:t>
                    </w:r>
                    <w:r>
                      <w:rPr>
                        <w:b/>
                        <w:w w:val="182"/>
                        <w:sz w:val="7"/>
                      </w:rPr>
                      <w:t>a</w:t>
                    </w:r>
                    <w:r>
                      <w:rPr>
                        <w:b/>
                        <w:spacing w:val="-103"/>
                        <w:w w:val="182"/>
                        <w:sz w:val="7"/>
                      </w:rPr>
                      <w:t>m</w:t>
                    </w:r>
                    <w:r>
                      <w:rPr>
                        <w:spacing w:val="1"/>
                        <w:w w:val="99"/>
                        <w:position w:val="1"/>
                        <w:sz w:val="20"/>
                      </w:rPr>
                      <w:t>l</w:t>
                    </w:r>
                    <w:r>
                      <w:rPr>
                        <w:spacing w:val="-1"/>
                        <w:w w:val="99"/>
                        <w:position w:val="1"/>
                        <w:sz w:val="20"/>
                      </w:rPr>
                      <w:t>i</w:t>
                    </w:r>
                    <w:r>
                      <w:rPr>
                        <w:spacing w:val="-87"/>
                        <w:w w:val="99"/>
                        <w:position w:val="1"/>
                        <w:sz w:val="20"/>
                      </w:rPr>
                      <w:t>c</w:t>
                    </w:r>
                    <w:r>
                      <w:rPr>
                        <w:b/>
                        <w:spacing w:val="-1"/>
                        <w:w w:val="182"/>
                        <w:sz w:val="7"/>
                      </w:rPr>
                      <w:t>e</w:t>
                    </w:r>
                    <w:r>
                      <w:rPr>
                        <w:b/>
                        <w:spacing w:val="-62"/>
                        <w:w w:val="182"/>
                        <w:sz w:val="7"/>
                      </w:rPr>
                      <w:t>n</w:t>
                    </w:r>
                    <w:r>
                      <w:rPr>
                        <w:spacing w:val="-49"/>
                        <w:w w:val="99"/>
                        <w:position w:val="1"/>
                        <w:sz w:val="20"/>
                      </w:rPr>
                      <w:t>a</w:t>
                    </w:r>
                    <w:r>
                      <w:rPr>
                        <w:b/>
                        <w:spacing w:val="-1"/>
                        <w:w w:val="182"/>
                        <w:sz w:val="7"/>
                      </w:rPr>
                      <w:t>t</w:t>
                    </w:r>
                    <w:r>
                      <w:rPr>
                        <w:b/>
                        <w:spacing w:val="-65"/>
                        <w:w w:val="182"/>
                        <w:sz w:val="7"/>
                      </w:rPr>
                      <w:t>a</w:t>
                    </w:r>
                    <w:r>
                      <w:rPr>
                        <w:spacing w:val="-36"/>
                        <w:w w:val="99"/>
                        <w:position w:val="1"/>
                        <w:sz w:val="20"/>
                      </w:rPr>
                      <w:t>s</w:t>
                    </w:r>
                    <w:r>
                      <w:rPr>
                        <w:b/>
                        <w:w w:val="182"/>
                        <w:sz w:val="7"/>
                      </w:rPr>
                      <w:t>l</w:t>
                    </w:r>
                    <w:r>
                      <w:rPr>
                        <w:b/>
                        <w:sz w:val="7"/>
                      </w:rPr>
                      <w:t>  </w:t>
                    </w:r>
                    <w:r>
                      <w:rPr>
                        <w:b/>
                        <w:spacing w:val="-3"/>
                        <w:sz w:val="7"/>
                      </w:rPr>
                      <w:t> </w:t>
                    </w:r>
                    <w:r>
                      <w:rPr>
                        <w:spacing w:val="1"/>
                        <w:w w:val="99"/>
                        <w:position w:val="1"/>
                        <w:sz w:val="20"/>
                      </w:rPr>
                      <w:t>2</w:t>
                    </w:r>
                    <w:r>
                      <w:rPr>
                        <w:w w:val="99"/>
                        <w:position w:val="1"/>
                        <w:sz w:val="20"/>
                      </w:rPr>
                      <w:t>0</w:t>
                    </w:r>
                    <w:r>
                      <w:rPr>
                        <w:spacing w:val="-1"/>
                        <w:w w:val="99"/>
                        <w:position w:val="1"/>
                        <w:sz w:val="20"/>
                      </w:rPr>
                      <w:t>0</w:t>
                    </w:r>
                    <w:r>
                      <w:rPr>
                        <w:spacing w:val="3"/>
                        <w:w w:val="99"/>
                        <w:position w:val="1"/>
                        <w:sz w:val="20"/>
                      </w:rPr>
                      <w:t>8</w:t>
                    </w:r>
                    <w:r>
                      <w:rPr>
                        <w:spacing w:val="3"/>
                        <w:w w:val="99"/>
                        <w:position w:val="1"/>
                        <w:sz w:val="20"/>
                      </w:rPr>
                      <w:t>-</w:t>
                    </w:r>
                    <w:r>
                      <w:rPr>
                        <w:spacing w:val="-1"/>
                        <w:w w:val="99"/>
                        <w:position w:val="1"/>
                        <w:sz w:val="20"/>
                      </w:rPr>
                      <w:t>201</w:t>
                    </w:r>
                    <w:r>
                      <w:rPr>
                        <w:spacing w:val="2"/>
                        <w:w w:val="99"/>
                        <w:position w:val="1"/>
                        <w:sz w:val="20"/>
                      </w:rPr>
                      <w:t>4</w:t>
                    </w:r>
                    <w:r>
                      <w:rPr>
                        <w:w w:val="99"/>
                        <w:position w:val="1"/>
                        <w:sz w:val="20"/>
                      </w:rPr>
                      <w:t>.</w:t>
                    </w:r>
                  </w:p>
                  <w:p>
                    <w:pPr>
                      <w:spacing w:line="391" w:lineRule="auto" w:before="27"/>
                      <w:ind w:left="2511" w:right="2487" w:firstLine="19"/>
                      <w:jc w:val="left"/>
                      <w:rPr>
                        <w:b/>
                        <w:sz w:val="7"/>
                      </w:rPr>
                    </w:pPr>
                    <w:r>
                      <w:rPr>
                        <w:b/>
                        <w:w w:val="185"/>
                        <w:sz w:val="7"/>
                      </w:rPr>
                      <w:t>Controles Internos (Manejo y Aplicación) Ecatepec de Morelos Ejercicio fiscal 2009</w:t>
                    </w:r>
                  </w:p>
                </w:txbxContent>
              </v:textbox>
              <w10:wrap type="none"/>
            </v:shape>
          </v:group>
        </w:pict>
      </w:r>
      <w:r>
        <w:rPr>
          <w:sz w:val="20"/>
        </w:rPr>
      </w:r>
    </w:p>
    <w:p>
      <w:pPr>
        <w:spacing w:line="188" w:lineRule="exact" w:before="0"/>
        <w:ind w:left="2602" w:right="1340" w:firstLine="0"/>
        <w:jc w:val="left"/>
        <w:rPr>
          <w:b/>
          <w:sz w:val="7"/>
        </w:rPr>
      </w:pPr>
      <w:r>
        <w:rPr/>
        <w:pict>
          <v:shape style="position:absolute;margin-left:208.548019pt;margin-top:2.448857pt;width:379pt;height:357.6pt;mso-position-horizontal-relative:page;mso-position-vertical-relative:paragraph;z-index:5656"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099"/>
                    <w:gridCol w:w="1907"/>
                    <w:gridCol w:w="1834"/>
                    <w:gridCol w:w="1726"/>
                  </w:tblGrid>
                  <w:tr>
                    <w:trPr>
                      <w:trHeight w:val="98" w:hRule="exact"/>
                    </w:trPr>
                    <w:tc>
                      <w:tcPr>
                        <w:tcW w:w="2099" w:type="dxa"/>
                        <w:tcBorders>
                          <w:left w:val="single" w:sz="4" w:space="0" w:color="000000"/>
                          <w:right w:val="nil"/>
                        </w:tcBorders>
                        <w:shd w:val="clear" w:color="auto" w:fill="E6B8B7"/>
                      </w:tcPr>
                      <w:p>
                        <w:pPr/>
                      </w:p>
                    </w:tc>
                    <w:tc>
                      <w:tcPr>
                        <w:tcW w:w="1907" w:type="dxa"/>
                        <w:tcBorders>
                          <w:left w:val="nil"/>
                          <w:right w:val="single" w:sz="4" w:space="0" w:color="000000"/>
                        </w:tcBorders>
                        <w:shd w:val="clear" w:color="auto" w:fill="E6B8B7"/>
                      </w:tcPr>
                      <w:p>
                        <w:pPr>
                          <w:pStyle w:val="TableParagraph"/>
                          <w:spacing w:before="6"/>
                          <w:ind w:left="-45"/>
                          <w:rPr>
                            <w:b/>
                            <w:sz w:val="7"/>
                          </w:rPr>
                        </w:pPr>
                        <w:r>
                          <w:rPr>
                            <w:b/>
                            <w:spacing w:val="-1"/>
                            <w:w w:val="182"/>
                            <w:sz w:val="7"/>
                          </w:rPr>
                          <w:t>M</w:t>
                        </w:r>
                      </w:p>
                    </w:tc>
                    <w:tc>
                      <w:tcPr>
                        <w:tcW w:w="1834" w:type="dxa"/>
                        <w:tcBorders>
                          <w:left w:val="single" w:sz="4" w:space="0" w:color="000000"/>
                          <w:right w:val="nil"/>
                        </w:tcBorders>
                        <w:shd w:val="clear" w:color="auto" w:fill="E6B8B7"/>
                      </w:tcPr>
                      <w:p>
                        <w:pPr>
                          <w:pStyle w:val="TableParagraph"/>
                          <w:spacing w:before="6"/>
                          <w:ind w:right="-41"/>
                          <w:jc w:val="right"/>
                          <w:rPr>
                            <w:b/>
                            <w:sz w:val="7"/>
                          </w:rPr>
                        </w:pPr>
                        <w:r>
                          <w:rPr>
                            <w:b/>
                            <w:w w:val="180"/>
                            <w:sz w:val="7"/>
                          </w:rPr>
                          <w:t>FORTAM</w:t>
                        </w:r>
                      </w:p>
                    </w:tc>
                    <w:tc>
                      <w:tcPr>
                        <w:tcW w:w="1726" w:type="dxa"/>
                        <w:tcBorders>
                          <w:left w:val="nil"/>
                          <w:right w:val="single" w:sz="4" w:space="0" w:color="000000"/>
                        </w:tcBorders>
                        <w:shd w:val="clear" w:color="auto" w:fill="E6B8B7"/>
                      </w:tcPr>
                      <w:p>
                        <w:pPr>
                          <w:pStyle w:val="TableParagraph"/>
                          <w:spacing w:before="6"/>
                          <w:ind w:left="40"/>
                          <w:rPr>
                            <w:b/>
                            <w:sz w:val="7"/>
                          </w:rPr>
                        </w:pPr>
                        <w:r>
                          <w:rPr>
                            <w:b/>
                            <w:w w:val="185"/>
                            <w:sz w:val="7"/>
                          </w:rPr>
                          <w:t>UNDF</w:t>
                        </w:r>
                      </w:p>
                    </w:tc>
                  </w:tr>
                  <w:tr>
                    <w:trPr>
                      <w:trHeight w:val="98" w:hRule="exact"/>
                    </w:trPr>
                    <w:tc>
                      <w:tcPr>
                        <w:tcW w:w="2099" w:type="dxa"/>
                        <w:tcBorders>
                          <w:left w:val="single" w:sz="4" w:space="0" w:color="000000"/>
                          <w:right w:val="single" w:sz="4" w:space="0" w:color="000000"/>
                        </w:tcBorders>
                        <w:shd w:val="clear" w:color="auto" w:fill="F1DCDB"/>
                      </w:tcPr>
                      <w:p>
                        <w:pPr>
                          <w:pStyle w:val="TableParagraph"/>
                          <w:spacing w:before="6"/>
                          <w:ind w:left="707" w:right="701"/>
                          <w:jc w:val="center"/>
                          <w:rPr>
                            <w:b/>
                            <w:sz w:val="7"/>
                          </w:rPr>
                        </w:pPr>
                        <w:r>
                          <w:rPr>
                            <w:b/>
                            <w:w w:val="185"/>
                            <w:sz w:val="7"/>
                          </w:rPr>
                          <w:t>Fortalezas</w:t>
                        </w:r>
                      </w:p>
                    </w:tc>
                    <w:tc>
                      <w:tcPr>
                        <w:tcW w:w="1907" w:type="dxa"/>
                        <w:tcBorders>
                          <w:left w:val="single" w:sz="4" w:space="0" w:color="000000"/>
                          <w:right w:val="single" w:sz="4" w:space="0" w:color="000000"/>
                        </w:tcBorders>
                        <w:shd w:val="clear" w:color="auto" w:fill="F1DCDB"/>
                      </w:tcPr>
                      <w:p>
                        <w:pPr>
                          <w:pStyle w:val="TableParagraph"/>
                          <w:spacing w:before="6"/>
                          <w:ind w:left="593" w:right="13"/>
                          <w:rPr>
                            <w:b/>
                            <w:sz w:val="7"/>
                          </w:rPr>
                        </w:pPr>
                        <w:r>
                          <w:rPr>
                            <w:b/>
                            <w:w w:val="185"/>
                            <w:sz w:val="7"/>
                          </w:rPr>
                          <w:t>Debilidades</w:t>
                        </w:r>
                      </w:p>
                    </w:tc>
                    <w:tc>
                      <w:tcPr>
                        <w:tcW w:w="1834" w:type="dxa"/>
                        <w:tcBorders>
                          <w:left w:val="single" w:sz="4" w:space="0" w:color="000000"/>
                          <w:right w:val="single" w:sz="4" w:space="0" w:color="000000"/>
                        </w:tcBorders>
                        <w:shd w:val="clear" w:color="auto" w:fill="F1DCDB"/>
                      </w:tcPr>
                      <w:p>
                        <w:pPr>
                          <w:pStyle w:val="TableParagraph"/>
                          <w:spacing w:before="6"/>
                          <w:ind w:left="599" w:right="5"/>
                          <w:rPr>
                            <w:b/>
                            <w:sz w:val="7"/>
                          </w:rPr>
                        </w:pPr>
                        <w:r>
                          <w:rPr>
                            <w:b/>
                            <w:w w:val="185"/>
                            <w:sz w:val="7"/>
                          </w:rPr>
                          <w:t>Fortalezas</w:t>
                        </w:r>
                      </w:p>
                    </w:tc>
                    <w:tc>
                      <w:tcPr>
                        <w:tcW w:w="1726" w:type="dxa"/>
                        <w:tcBorders>
                          <w:left w:val="single" w:sz="4" w:space="0" w:color="000000"/>
                          <w:right w:val="single" w:sz="4" w:space="0" w:color="000000"/>
                        </w:tcBorders>
                        <w:shd w:val="clear" w:color="auto" w:fill="F1DCDB"/>
                      </w:tcPr>
                      <w:p>
                        <w:pPr>
                          <w:pStyle w:val="TableParagraph"/>
                          <w:spacing w:before="6"/>
                          <w:ind w:left="504" w:right="15"/>
                          <w:rPr>
                            <w:b/>
                            <w:sz w:val="7"/>
                          </w:rPr>
                        </w:pPr>
                        <w:r>
                          <w:rPr>
                            <w:b/>
                            <w:w w:val="185"/>
                            <w:sz w:val="7"/>
                          </w:rPr>
                          <w:t>Debilidades</w:t>
                        </w:r>
                      </w:p>
                    </w:tc>
                  </w:tr>
                  <w:tr>
                    <w:trPr>
                      <w:trHeight w:val="1175" w:hRule="exact"/>
                    </w:trPr>
                    <w:tc>
                      <w:tcPr>
                        <w:tcW w:w="2099" w:type="dxa"/>
                        <w:tcBorders>
                          <w:left w:val="single" w:sz="4" w:space="0" w:color="000000"/>
                          <w:right w:val="single" w:sz="4" w:space="0" w:color="000000"/>
                        </w:tcBorders>
                      </w:tcPr>
                      <w:p>
                        <w:pPr>
                          <w:pStyle w:val="TableParagraph"/>
                          <w:spacing w:line="292" w:lineRule="auto" w:before="6"/>
                          <w:ind w:left="17" w:right="-20" w:firstLine="1"/>
                          <w:rPr>
                            <w:sz w:val="7"/>
                          </w:rPr>
                        </w:pPr>
                        <w:r>
                          <w:rPr>
                            <w:w w:val="185"/>
                            <w:sz w:val="7"/>
                          </w:rPr>
                          <w:t>El municipio dispone de un manual de procedimientos para la ejecución del FISM y del personal, mobiliario, equipo, vehículos y los medios de trabajo necesarios para efectuar las operaciones del fondo, así como de los mecanismos para garantizar el cumplimiento de la normativa en el proceso de licitación y contratación de las obras.</w:t>
                        </w:r>
                      </w:p>
                    </w:tc>
                    <w:tc>
                      <w:tcPr>
                        <w:tcW w:w="1907" w:type="dxa"/>
                        <w:tcBorders>
                          <w:left w:val="single" w:sz="4" w:space="0" w:color="000000"/>
                          <w:right w:val="single" w:sz="4" w:space="0" w:color="000000"/>
                        </w:tcBorders>
                      </w:tcPr>
                      <w:p>
                        <w:pPr>
                          <w:pStyle w:val="TableParagraph"/>
                          <w:spacing w:line="292" w:lineRule="auto" w:before="6"/>
                          <w:ind w:left="17" w:right="9"/>
                          <w:rPr>
                            <w:sz w:val="7"/>
                          </w:rPr>
                        </w:pPr>
                        <w:r>
                          <w:rPr>
                            <w:w w:val="185"/>
                            <w:sz w:val="7"/>
                          </w:rPr>
                          <w:t>El manual de procedimientos para la ejecución del FISM no incluye las actividades referentes a la transparencia de la gestión del fondo, como es la difusión de las obras y acciones al inicio y cierre del ejercicio, así como</w:t>
                        </w:r>
                        <w:r>
                          <w:rPr>
                            <w:spacing w:val="-7"/>
                            <w:w w:val="185"/>
                            <w:sz w:val="7"/>
                          </w:rPr>
                          <w:t> </w:t>
                        </w:r>
                        <w:r>
                          <w:rPr>
                            <w:w w:val="185"/>
                            <w:sz w:val="7"/>
                          </w:rPr>
                          <w:t>la</w:t>
                        </w:r>
                        <w:r>
                          <w:rPr>
                            <w:spacing w:val="-7"/>
                            <w:w w:val="185"/>
                            <w:sz w:val="7"/>
                          </w:rPr>
                          <w:t> </w:t>
                        </w:r>
                        <w:r>
                          <w:rPr>
                            <w:w w:val="185"/>
                            <w:sz w:val="7"/>
                          </w:rPr>
                          <w:t>entrega</w:t>
                        </w:r>
                        <w:r>
                          <w:rPr>
                            <w:spacing w:val="-7"/>
                            <w:w w:val="185"/>
                            <w:sz w:val="7"/>
                          </w:rPr>
                          <w:t> </w:t>
                        </w:r>
                        <w:r>
                          <w:rPr>
                            <w:w w:val="185"/>
                            <w:sz w:val="7"/>
                          </w:rPr>
                          <w:t>y</w:t>
                        </w:r>
                        <w:r>
                          <w:rPr>
                            <w:spacing w:val="-7"/>
                            <w:w w:val="185"/>
                            <w:sz w:val="7"/>
                          </w:rPr>
                          <w:t> </w:t>
                        </w:r>
                        <w:r>
                          <w:rPr>
                            <w:w w:val="185"/>
                            <w:sz w:val="7"/>
                          </w:rPr>
                          <w:t>publicación</w:t>
                        </w:r>
                        <w:r>
                          <w:rPr>
                            <w:spacing w:val="-7"/>
                            <w:w w:val="185"/>
                            <w:sz w:val="7"/>
                          </w:rPr>
                          <w:t> </w:t>
                        </w:r>
                        <w:r>
                          <w:rPr>
                            <w:w w:val="185"/>
                            <w:sz w:val="7"/>
                          </w:rPr>
                          <w:t>de informes trimestrales, sobre el fondo, a la SHCP y a la SEDESOL.</w:t>
                        </w:r>
                      </w:p>
                    </w:tc>
                    <w:tc>
                      <w:tcPr>
                        <w:tcW w:w="1834" w:type="dxa"/>
                        <w:tcBorders>
                          <w:left w:val="single" w:sz="4" w:space="0" w:color="000000"/>
                          <w:right w:val="single" w:sz="4" w:space="0" w:color="000000"/>
                        </w:tcBorders>
                      </w:tcPr>
                      <w:p>
                        <w:pPr>
                          <w:pStyle w:val="TableParagraph"/>
                          <w:spacing w:line="292" w:lineRule="auto" w:before="6"/>
                          <w:ind w:left="18" w:right="5"/>
                          <w:rPr>
                            <w:sz w:val="7"/>
                          </w:rPr>
                        </w:pPr>
                        <w:r>
                          <w:rPr>
                            <w:w w:val="185"/>
                            <w:sz w:val="7"/>
                          </w:rPr>
                          <w:t>El municipio tiene el personal, el mobiliario, el equipo, los vehículos y los medios de trabajo necesarios para efectuar las operaciones del fondo.</w:t>
                        </w:r>
                      </w:p>
                    </w:tc>
                    <w:tc>
                      <w:tcPr>
                        <w:tcW w:w="1726" w:type="dxa"/>
                        <w:tcBorders>
                          <w:left w:val="single" w:sz="4" w:space="0" w:color="000000"/>
                          <w:right w:val="single" w:sz="4" w:space="0" w:color="000000"/>
                        </w:tcBorders>
                      </w:tcPr>
                      <w:p>
                        <w:pPr>
                          <w:pStyle w:val="TableParagraph"/>
                          <w:rPr>
                            <w:b/>
                            <w:sz w:val="9"/>
                          </w:rPr>
                        </w:pPr>
                      </w:p>
                      <w:p>
                        <w:pPr>
                          <w:pStyle w:val="TableParagraph"/>
                          <w:spacing w:line="292" w:lineRule="auto"/>
                          <w:ind w:left="17" w:right="15"/>
                          <w:rPr>
                            <w:sz w:val="7"/>
                          </w:rPr>
                        </w:pPr>
                        <w:r>
                          <w:rPr>
                            <w:w w:val="185"/>
                            <w:sz w:val="7"/>
                          </w:rPr>
                          <w:t>Se carece de un manual de procedimientos para operar el</w:t>
                        </w:r>
                        <w:r>
                          <w:rPr>
                            <w:spacing w:val="-9"/>
                            <w:w w:val="185"/>
                            <w:sz w:val="7"/>
                          </w:rPr>
                          <w:t> </w:t>
                        </w:r>
                        <w:r>
                          <w:rPr>
                            <w:w w:val="185"/>
                            <w:sz w:val="7"/>
                          </w:rPr>
                          <w:t>fondo,</w:t>
                        </w:r>
                        <w:r>
                          <w:rPr>
                            <w:spacing w:val="-9"/>
                            <w:w w:val="185"/>
                            <w:sz w:val="7"/>
                          </w:rPr>
                          <w:t> </w:t>
                        </w:r>
                        <w:r>
                          <w:rPr>
                            <w:w w:val="185"/>
                            <w:sz w:val="7"/>
                          </w:rPr>
                          <w:t>que</w:t>
                        </w:r>
                        <w:r>
                          <w:rPr>
                            <w:spacing w:val="-9"/>
                            <w:w w:val="185"/>
                            <w:sz w:val="7"/>
                          </w:rPr>
                          <w:t> </w:t>
                        </w:r>
                        <w:r>
                          <w:rPr>
                            <w:w w:val="185"/>
                            <w:sz w:val="7"/>
                          </w:rPr>
                          <w:t>defina</w:t>
                        </w:r>
                        <w:r>
                          <w:rPr>
                            <w:spacing w:val="-8"/>
                            <w:w w:val="185"/>
                            <w:sz w:val="7"/>
                          </w:rPr>
                          <w:t> </w:t>
                        </w:r>
                        <w:r>
                          <w:rPr>
                            <w:w w:val="185"/>
                            <w:sz w:val="7"/>
                          </w:rPr>
                          <w:t>políticas, procedimientos</w:t>
                        </w:r>
                        <w:r>
                          <w:rPr>
                            <w:spacing w:val="-16"/>
                            <w:w w:val="185"/>
                            <w:sz w:val="7"/>
                          </w:rPr>
                          <w:t> </w:t>
                        </w:r>
                        <w:r>
                          <w:rPr>
                            <w:w w:val="185"/>
                            <w:sz w:val="7"/>
                          </w:rPr>
                          <w:t>y</w:t>
                        </w:r>
                        <w:r>
                          <w:rPr>
                            <w:spacing w:val="-16"/>
                            <w:w w:val="185"/>
                            <w:sz w:val="7"/>
                          </w:rPr>
                          <w:t> </w:t>
                        </w:r>
                        <w:r>
                          <w:rPr>
                            <w:w w:val="185"/>
                            <w:sz w:val="7"/>
                          </w:rPr>
                          <w:t>actividades, de los puestos y las áreas que intervienen en su operación.</w:t>
                        </w:r>
                      </w:p>
                    </w:tc>
                  </w:tr>
                  <w:tr>
                    <w:trPr>
                      <w:trHeight w:val="587" w:hRule="exact"/>
                    </w:trPr>
                    <w:tc>
                      <w:tcPr>
                        <w:tcW w:w="2099" w:type="dxa"/>
                        <w:tcBorders>
                          <w:left w:val="single" w:sz="4" w:space="0" w:color="000000"/>
                          <w:right w:val="single" w:sz="4" w:space="0" w:color="000000"/>
                        </w:tcBorders>
                      </w:tcPr>
                      <w:p>
                        <w:pPr/>
                      </w:p>
                    </w:tc>
                    <w:tc>
                      <w:tcPr>
                        <w:tcW w:w="1907" w:type="dxa"/>
                        <w:tcBorders>
                          <w:left w:val="single" w:sz="4" w:space="0" w:color="000000"/>
                          <w:right w:val="single" w:sz="4" w:space="0" w:color="000000"/>
                        </w:tcBorders>
                      </w:tcPr>
                      <w:p>
                        <w:pPr>
                          <w:pStyle w:val="TableParagraph"/>
                          <w:spacing w:line="290" w:lineRule="auto" w:before="6"/>
                          <w:ind w:left="16" w:right="13" w:firstLine="1"/>
                          <w:rPr>
                            <w:sz w:val="7"/>
                          </w:rPr>
                        </w:pPr>
                        <w:r>
                          <w:rPr>
                            <w:w w:val="185"/>
                            <w:sz w:val="7"/>
                          </w:rPr>
                          <w:t>No existe un área coordinadora de la gestión del FISM y no se dispone de mecanismos que garanticen el uso de una sola cuenta bancaria para el manejo de los recursos del fondo</w:t>
                        </w:r>
                      </w:p>
                    </w:tc>
                    <w:tc>
                      <w:tcPr>
                        <w:tcW w:w="1834" w:type="dxa"/>
                        <w:tcBorders>
                          <w:left w:val="single" w:sz="4" w:space="0" w:color="000000"/>
                          <w:right w:val="single" w:sz="4" w:space="0" w:color="000000"/>
                        </w:tcBorders>
                      </w:tcPr>
                      <w:p>
                        <w:pPr>
                          <w:pStyle w:val="TableParagraph"/>
                          <w:spacing w:line="290" w:lineRule="auto" w:before="6"/>
                          <w:ind w:left="18" w:right="5"/>
                          <w:rPr>
                            <w:sz w:val="7"/>
                          </w:rPr>
                        </w:pPr>
                        <w:r>
                          <w:rPr>
                            <w:w w:val="185"/>
                            <w:sz w:val="7"/>
                          </w:rPr>
                          <w:t>Dispone de mecanismos que garantizan el cumplimiento de la normativa en el proceso de licitación y contratación de las obras.</w:t>
                        </w:r>
                      </w:p>
                    </w:tc>
                    <w:tc>
                      <w:tcPr>
                        <w:tcW w:w="1726" w:type="dxa"/>
                        <w:tcBorders>
                          <w:left w:val="single" w:sz="4" w:space="0" w:color="000000"/>
                          <w:right w:val="single" w:sz="4" w:space="0" w:color="000000"/>
                        </w:tcBorders>
                      </w:tcPr>
                      <w:p>
                        <w:pPr>
                          <w:pStyle w:val="TableParagraph"/>
                          <w:spacing w:line="290" w:lineRule="auto" w:before="6"/>
                          <w:ind w:left="17" w:right="20"/>
                          <w:rPr>
                            <w:sz w:val="7"/>
                          </w:rPr>
                        </w:pPr>
                        <w:r>
                          <w:rPr>
                            <w:w w:val="185"/>
                            <w:sz w:val="7"/>
                          </w:rPr>
                          <w:t>No existe un área coordinadora de la gestión del fondo.</w:t>
                        </w:r>
                      </w:p>
                    </w:tc>
                  </w:tr>
                  <w:tr>
                    <w:trPr>
                      <w:trHeight w:val="1371" w:hRule="exact"/>
                    </w:trPr>
                    <w:tc>
                      <w:tcPr>
                        <w:tcW w:w="2099" w:type="dxa"/>
                        <w:tcBorders>
                          <w:left w:val="single" w:sz="4" w:space="0" w:color="000000"/>
                          <w:right w:val="single" w:sz="4" w:space="0" w:color="000000"/>
                        </w:tcBorders>
                      </w:tcPr>
                      <w:p>
                        <w:pPr/>
                      </w:p>
                    </w:tc>
                    <w:tc>
                      <w:tcPr>
                        <w:tcW w:w="1907" w:type="dxa"/>
                        <w:tcBorders>
                          <w:left w:val="single" w:sz="4" w:space="0" w:color="000000"/>
                          <w:right w:val="single" w:sz="4" w:space="0" w:color="000000"/>
                        </w:tcBorders>
                      </w:tcPr>
                      <w:p>
                        <w:pPr>
                          <w:pStyle w:val="TableParagraph"/>
                          <w:rPr>
                            <w:b/>
                            <w:sz w:val="9"/>
                          </w:rPr>
                        </w:pPr>
                      </w:p>
                      <w:p>
                        <w:pPr>
                          <w:pStyle w:val="TableParagraph"/>
                          <w:spacing w:line="292" w:lineRule="auto" w:before="1"/>
                          <w:ind w:left="17" w:right="13"/>
                          <w:rPr>
                            <w:sz w:val="7"/>
                          </w:rPr>
                        </w:pPr>
                        <w:r>
                          <w:rPr>
                            <w:w w:val="185"/>
                            <w:sz w:val="7"/>
                          </w:rPr>
                          <w:t>El municipio no tiene mecanismos que promuevan y apoyen la constitución y operación de un órgano de planeación</w:t>
                        </w:r>
                        <w:r>
                          <w:rPr>
                            <w:spacing w:val="-12"/>
                            <w:w w:val="185"/>
                            <w:sz w:val="7"/>
                          </w:rPr>
                          <w:t> </w:t>
                        </w:r>
                        <w:r>
                          <w:rPr>
                            <w:w w:val="185"/>
                            <w:sz w:val="7"/>
                          </w:rPr>
                          <w:t>participativa</w:t>
                        </w:r>
                        <w:r>
                          <w:rPr>
                            <w:spacing w:val="-11"/>
                            <w:w w:val="185"/>
                            <w:sz w:val="7"/>
                          </w:rPr>
                          <w:t> </w:t>
                        </w:r>
                        <w:r>
                          <w:rPr>
                            <w:w w:val="185"/>
                            <w:sz w:val="7"/>
                          </w:rPr>
                          <w:t>como</w:t>
                        </w:r>
                        <w:r>
                          <w:rPr>
                            <w:spacing w:val="-11"/>
                            <w:w w:val="185"/>
                            <w:sz w:val="7"/>
                          </w:rPr>
                          <w:t> </w:t>
                        </w:r>
                        <w:r>
                          <w:rPr>
                            <w:w w:val="185"/>
                            <w:sz w:val="7"/>
                          </w:rPr>
                          <w:t>es la Comisión de Planeación para el Desarrollo Municipal que, entre otras funciones, integre la propuesta</w:t>
                        </w:r>
                        <w:r>
                          <w:rPr>
                            <w:spacing w:val="-7"/>
                            <w:w w:val="185"/>
                            <w:sz w:val="7"/>
                          </w:rPr>
                          <w:t> </w:t>
                        </w:r>
                        <w:r>
                          <w:rPr>
                            <w:w w:val="185"/>
                            <w:sz w:val="7"/>
                          </w:rPr>
                          <w:t>de</w:t>
                        </w:r>
                        <w:r>
                          <w:rPr>
                            <w:spacing w:val="-7"/>
                            <w:w w:val="185"/>
                            <w:sz w:val="7"/>
                          </w:rPr>
                          <w:t> </w:t>
                        </w:r>
                        <w:r>
                          <w:rPr>
                            <w:w w:val="185"/>
                            <w:sz w:val="7"/>
                          </w:rPr>
                          <w:t>obras</w:t>
                        </w:r>
                        <w:r>
                          <w:rPr>
                            <w:spacing w:val="-7"/>
                            <w:w w:val="185"/>
                            <w:sz w:val="7"/>
                          </w:rPr>
                          <w:t> </w:t>
                        </w:r>
                        <w:r>
                          <w:rPr>
                            <w:w w:val="185"/>
                            <w:sz w:val="7"/>
                          </w:rPr>
                          <w:t>y</w:t>
                        </w:r>
                        <w:r>
                          <w:rPr>
                            <w:spacing w:val="-7"/>
                            <w:w w:val="185"/>
                            <w:sz w:val="7"/>
                          </w:rPr>
                          <w:t> </w:t>
                        </w:r>
                        <w:r>
                          <w:rPr>
                            <w:w w:val="185"/>
                            <w:sz w:val="7"/>
                          </w:rPr>
                          <w:t>acciones</w:t>
                        </w:r>
                        <w:r>
                          <w:rPr>
                            <w:spacing w:val="-7"/>
                            <w:w w:val="185"/>
                            <w:sz w:val="7"/>
                          </w:rPr>
                          <w:t> </w:t>
                        </w:r>
                        <w:r>
                          <w:rPr>
                            <w:w w:val="185"/>
                            <w:sz w:val="7"/>
                          </w:rPr>
                          <w:t>a efectuarse</w:t>
                        </w:r>
                        <w:r>
                          <w:rPr>
                            <w:spacing w:val="-7"/>
                            <w:w w:val="185"/>
                            <w:sz w:val="7"/>
                          </w:rPr>
                          <w:t> </w:t>
                        </w:r>
                        <w:r>
                          <w:rPr>
                            <w:w w:val="185"/>
                            <w:sz w:val="7"/>
                          </w:rPr>
                          <w:t>con</w:t>
                        </w:r>
                        <w:r>
                          <w:rPr>
                            <w:spacing w:val="-8"/>
                            <w:w w:val="185"/>
                            <w:sz w:val="7"/>
                          </w:rPr>
                          <w:t> </w:t>
                        </w:r>
                        <w:r>
                          <w:rPr>
                            <w:w w:val="185"/>
                            <w:sz w:val="7"/>
                          </w:rPr>
                          <w:t>el</w:t>
                        </w:r>
                        <w:r>
                          <w:rPr>
                            <w:spacing w:val="-8"/>
                            <w:w w:val="185"/>
                            <w:sz w:val="7"/>
                          </w:rPr>
                          <w:t> </w:t>
                        </w:r>
                        <w:r>
                          <w:rPr>
                            <w:w w:val="185"/>
                            <w:sz w:val="7"/>
                          </w:rPr>
                          <w:t>FISM,</w:t>
                        </w:r>
                        <w:r>
                          <w:rPr>
                            <w:spacing w:val="-7"/>
                            <w:w w:val="185"/>
                            <w:sz w:val="7"/>
                          </w:rPr>
                          <w:t> </w:t>
                        </w:r>
                        <w:r>
                          <w:rPr>
                            <w:w w:val="185"/>
                            <w:sz w:val="7"/>
                          </w:rPr>
                          <w:t>y</w:t>
                        </w:r>
                        <w:r>
                          <w:rPr>
                            <w:spacing w:val="-8"/>
                            <w:w w:val="185"/>
                            <w:sz w:val="7"/>
                          </w:rPr>
                          <w:t> </w:t>
                        </w:r>
                        <w:r>
                          <w:rPr>
                            <w:w w:val="185"/>
                            <w:sz w:val="7"/>
                          </w:rPr>
                          <w:t>realice el seguimiento y la evaluación del</w:t>
                        </w:r>
                        <w:r>
                          <w:rPr>
                            <w:spacing w:val="-10"/>
                            <w:w w:val="185"/>
                            <w:sz w:val="7"/>
                          </w:rPr>
                          <w:t> </w:t>
                        </w:r>
                        <w:r>
                          <w:rPr>
                            <w:w w:val="185"/>
                            <w:sz w:val="7"/>
                          </w:rPr>
                          <w:t>fondo.</w:t>
                        </w:r>
                      </w:p>
                    </w:tc>
                    <w:tc>
                      <w:tcPr>
                        <w:tcW w:w="1834" w:type="dxa"/>
                        <w:tcBorders>
                          <w:left w:val="single" w:sz="4" w:space="0" w:color="000000"/>
                          <w:right w:val="single" w:sz="4" w:space="0" w:color="000000"/>
                        </w:tcBorders>
                      </w:tcPr>
                      <w:p>
                        <w:pPr/>
                      </w:p>
                    </w:tc>
                    <w:tc>
                      <w:tcPr>
                        <w:tcW w:w="1726" w:type="dxa"/>
                        <w:tcBorders>
                          <w:left w:val="single" w:sz="4" w:space="0" w:color="000000"/>
                          <w:right w:val="single" w:sz="4" w:space="0" w:color="000000"/>
                        </w:tcBorders>
                      </w:tcPr>
                      <w:p>
                        <w:pPr>
                          <w:pStyle w:val="TableParagraph"/>
                          <w:spacing w:line="292" w:lineRule="auto" w:before="6"/>
                          <w:ind w:left="17" w:right="2"/>
                          <w:rPr>
                            <w:sz w:val="7"/>
                          </w:rPr>
                        </w:pPr>
                        <w:r>
                          <w:rPr>
                            <w:w w:val="185"/>
                            <w:sz w:val="7"/>
                          </w:rPr>
                          <w:t>El municipio no dispone de una estrategia para el saneamiento de la deuda por concepto de los derechos de agua, ya que desconoce su importe.</w:t>
                        </w:r>
                      </w:p>
                    </w:tc>
                  </w:tr>
                  <w:tr>
                    <w:trPr>
                      <w:trHeight w:val="881" w:hRule="exact"/>
                    </w:trPr>
                    <w:tc>
                      <w:tcPr>
                        <w:tcW w:w="2099" w:type="dxa"/>
                        <w:tcBorders>
                          <w:left w:val="single" w:sz="4" w:space="0" w:color="000000"/>
                          <w:right w:val="single" w:sz="4" w:space="0" w:color="000000"/>
                        </w:tcBorders>
                      </w:tcPr>
                      <w:p>
                        <w:pPr/>
                      </w:p>
                    </w:tc>
                    <w:tc>
                      <w:tcPr>
                        <w:tcW w:w="1907" w:type="dxa"/>
                        <w:tcBorders>
                          <w:left w:val="single" w:sz="4" w:space="0" w:color="000000"/>
                          <w:right w:val="single" w:sz="4" w:space="0" w:color="000000"/>
                        </w:tcBorders>
                      </w:tcPr>
                      <w:p>
                        <w:pPr>
                          <w:pStyle w:val="TableParagraph"/>
                          <w:spacing w:line="292" w:lineRule="auto" w:before="6"/>
                          <w:ind w:left="17" w:right="7"/>
                          <w:rPr>
                            <w:sz w:val="7"/>
                          </w:rPr>
                        </w:pPr>
                        <w:r>
                          <w:rPr>
                            <w:w w:val="185"/>
                            <w:sz w:val="7"/>
                          </w:rPr>
                          <w:t>Se carece, igualmente, de mecanismos suficientes para garantizar</w:t>
                        </w:r>
                        <w:r>
                          <w:rPr>
                            <w:spacing w:val="-8"/>
                            <w:w w:val="185"/>
                            <w:sz w:val="7"/>
                          </w:rPr>
                          <w:t> </w:t>
                        </w:r>
                        <w:r>
                          <w:rPr>
                            <w:w w:val="185"/>
                            <w:sz w:val="7"/>
                          </w:rPr>
                          <w:t>el</w:t>
                        </w:r>
                        <w:r>
                          <w:rPr>
                            <w:spacing w:val="-8"/>
                            <w:w w:val="185"/>
                            <w:sz w:val="7"/>
                          </w:rPr>
                          <w:t> </w:t>
                        </w:r>
                        <w:r>
                          <w:rPr>
                            <w:w w:val="185"/>
                            <w:sz w:val="7"/>
                          </w:rPr>
                          <w:t>pago</w:t>
                        </w:r>
                        <w:r>
                          <w:rPr>
                            <w:spacing w:val="-8"/>
                            <w:w w:val="185"/>
                            <w:sz w:val="7"/>
                          </w:rPr>
                          <w:t> </w:t>
                        </w:r>
                        <w:r>
                          <w:rPr>
                            <w:w w:val="185"/>
                            <w:sz w:val="7"/>
                          </w:rPr>
                          <w:t>oportuno</w:t>
                        </w:r>
                        <w:r>
                          <w:rPr>
                            <w:spacing w:val="-8"/>
                            <w:w w:val="185"/>
                            <w:sz w:val="7"/>
                          </w:rPr>
                          <w:t> </w:t>
                        </w:r>
                        <w:r>
                          <w:rPr>
                            <w:w w:val="185"/>
                            <w:sz w:val="7"/>
                          </w:rPr>
                          <w:t>a</w:t>
                        </w:r>
                        <w:r>
                          <w:rPr>
                            <w:spacing w:val="-7"/>
                            <w:w w:val="185"/>
                            <w:sz w:val="7"/>
                          </w:rPr>
                          <w:t> </w:t>
                        </w:r>
                        <w:r>
                          <w:rPr>
                            <w:w w:val="185"/>
                            <w:sz w:val="7"/>
                          </w:rPr>
                          <w:t>los contratistas y la atención de los requerimientos normativos en materia de impacto ambiental, así como para evitar el desvío de recursos a otras cuentas del municipio.</w:t>
                        </w:r>
                      </w:p>
                    </w:tc>
                    <w:tc>
                      <w:tcPr>
                        <w:tcW w:w="1834" w:type="dxa"/>
                        <w:tcBorders>
                          <w:left w:val="single" w:sz="4" w:space="0" w:color="000000"/>
                          <w:right w:val="single" w:sz="4" w:space="0" w:color="000000"/>
                        </w:tcBorders>
                      </w:tcPr>
                      <w:p>
                        <w:pPr/>
                      </w:p>
                    </w:tc>
                    <w:tc>
                      <w:tcPr>
                        <w:tcW w:w="1726" w:type="dxa"/>
                        <w:tcBorders>
                          <w:left w:val="single" w:sz="4" w:space="0" w:color="000000"/>
                          <w:right w:val="single" w:sz="4" w:space="0" w:color="000000"/>
                        </w:tcBorders>
                      </w:tcPr>
                      <w:p>
                        <w:pPr>
                          <w:pStyle w:val="TableParagraph"/>
                          <w:spacing w:line="292" w:lineRule="auto" w:before="6"/>
                          <w:ind w:left="19" w:right="-5" w:hanging="2"/>
                          <w:rPr>
                            <w:sz w:val="7"/>
                          </w:rPr>
                        </w:pPr>
                        <w:r>
                          <w:rPr>
                            <w:w w:val="185"/>
                            <w:sz w:val="7"/>
                          </w:rPr>
                          <w:t>Utiliza para el cálculo del ISR sólo la percepción por concepto de sueldo.</w:t>
                        </w:r>
                      </w:p>
                    </w:tc>
                  </w:tr>
                  <w:tr>
                    <w:trPr>
                      <w:trHeight w:val="881" w:hRule="exact"/>
                    </w:trPr>
                    <w:tc>
                      <w:tcPr>
                        <w:tcW w:w="2099" w:type="dxa"/>
                        <w:tcBorders>
                          <w:left w:val="single" w:sz="4" w:space="0" w:color="000000"/>
                          <w:right w:val="single" w:sz="4" w:space="0" w:color="000000"/>
                        </w:tcBorders>
                      </w:tcPr>
                      <w:p>
                        <w:pPr/>
                      </w:p>
                    </w:tc>
                    <w:tc>
                      <w:tcPr>
                        <w:tcW w:w="1907" w:type="dxa"/>
                        <w:tcBorders>
                          <w:left w:val="single" w:sz="4" w:space="0" w:color="000000"/>
                          <w:right w:val="single" w:sz="4" w:space="0" w:color="000000"/>
                        </w:tcBorders>
                      </w:tcPr>
                      <w:p>
                        <w:pPr>
                          <w:pStyle w:val="TableParagraph"/>
                          <w:spacing w:line="292" w:lineRule="auto" w:before="6"/>
                          <w:ind w:left="16" w:right="7" w:firstLine="1"/>
                          <w:rPr>
                            <w:sz w:val="7"/>
                          </w:rPr>
                        </w:pPr>
                        <w:r>
                          <w:rPr>
                            <w:w w:val="185"/>
                            <w:sz w:val="7"/>
                          </w:rPr>
                          <w:t>El municipio no dispone de procedimientos que apoyen el desarrollo de una transparente gestión del FISM; además, el registro contable no es específico para el fondo, por lo que</w:t>
                        </w:r>
                        <w:r>
                          <w:rPr>
                            <w:spacing w:val="-8"/>
                            <w:w w:val="185"/>
                            <w:sz w:val="7"/>
                          </w:rPr>
                          <w:t> </w:t>
                        </w:r>
                        <w:r>
                          <w:rPr>
                            <w:w w:val="185"/>
                            <w:sz w:val="7"/>
                          </w:rPr>
                          <w:t>no</w:t>
                        </w:r>
                        <w:r>
                          <w:rPr>
                            <w:spacing w:val="-8"/>
                            <w:w w:val="185"/>
                            <w:sz w:val="7"/>
                          </w:rPr>
                          <w:t> </w:t>
                        </w:r>
                        <w:r>
                          <w:rPr>
                            <w:w w:val="185"/>
                            <w:sz w:val="7"/>
                          </w:rPr>
                          <w:t>tiene</w:t>
                        </w:r>
                        <w:r>
                          <w:rPr>
                            <w:spacing w:val="-8"/>
                            <w:w w:val="185"/>
                            <w:sz w:val="7"/>
                          </w:rPr>
                          <w:t> </w:t>
                        </w:r>
                        <w:r>
                          <w:rPr>
                            <w:w w:val="185"/>
                            <w:sz w:val="7"/>
                          </w:rPr>
                          <w:t>la</w:t>
                        </w:r>
                        <w:r>
                          <w:rPr>
                            <w:spacing w:val="-8"/>
                            <w:w w:val="185"/>
                            <w:sz w:val="7"/>
                          </w:rPr>
                          <w:t> </w:t>
                        </w:r>
                        <w:r>
                          <w:rPr>
                            <w:w w:val="185"/>
                            <w:sz w:val="7"/>
                          </w:rPr>
                          <w:t>calidad</w:t>
                        </w:r>
                        <w:r>
                          <w:rPr>
                            <w:spacing w:val="-8"/>
                            <w:w w:val="185"/>
                            <w:sz w:val="7"/>
                          </w:rPr>
                          <w:t> </w:t>
                        </w:r>
                        <w:r>
                          <w:rPr>
                            <w:w w:val="185"/>
                            <w:sz w:val="7"/>
                          </w:rPr>
                          <w:t>necesaria para atender los requerimientos de su</w:t>
                        </w:r>
                        <w:r>
                          <w:rPr>
                            <w:spacing w:val="-21"/>
                            <w:w w:val="185"/>
                            <w:sz w:val="7"/>
                          </w:rPr>
                          <w:t> </w:t>
                        </w:r>
                        <w:r>
                          <w:rPr>
                            <w:w w:val="185"/>
                            <w:sz w:val="7"/>
                          </w:rPr>
                          <w:t>operación.</w:t>
                        </w:r>
                      </w:p>
                    </w:tc>
                    <w:tc>
                      <w:tcPr>
                        <w:tcW w:w="1834" w:type="dxa"/>
                        <w:tcBorders>
                          <w:left w:val="single" w:sz="4" w:space="0" w:color="000000"/>
                          <w:right w:val="single" w:sz="4" w:space="0" w:color="000000"/>
                        </w:tcBorders>
                      </w:tcPr>
                      <w:p>
                        <w:pPr/>
                      </w:p>
                    </w:tc>
                    <w:tc>
                      <w:tcPr>
                        <w:tcW w:w="1726" w:type="dxa"/>
                        <w:tcBorders>
                          <w:left w:val="single" w:sz="4" w:space="0" w:color="000000"/>
                          <w:right w:val="single" w:sz="4" w:space="0" w:color="000000"/>
                        </w:tcBorders>
                      </w:tcPr>
                      <w:p>
                        <w:pPr>
                          <w:pStyle w:val="TableParagraph"/>
                          <w:spacing w:line="292" w:lineRule="auto" w:before="6"/>
                          <w:ind w:left="17" w:right="17"/>
                          <w:rPr>
                            <w:sz w:val="7"/>
                          </w:rPr>
                        </w:pPr>
                        <w:r>
                          <w:rPr>
                            <w:w w:val="185"/>
                            <w:sz w:val="7"/>
                          </w:rPr>
                          <w:t>El municipio no dispone de controles suficientes para garantiza</w:t>
                        </w:r>
                        <w:r>
                          <w:rPr>
                            <w:spacing w:val="-8"/>
                            <w:w w:val="185"/>
                            <w:sz w:val="7"/>
                          </w:rPr>
                          <w:t> </w:t>
                        </w:r>
                        <w:r>
                          <w:rPr>
                            <w:w w:val="185"/>
                            <w:sz w:val="7"/>
                          </w:rPr>
                          <w:t>que</w:t>
                        </w:r>
                        <w:r>
                          <w:rPr>
                            <w:spacing w:val="-10"/>
                            <w:w w:val="185"/>
                            <w:sz w:val="7"/>
                          </w:rPr>
                          <w:t> </w:t>
                        </w:r>
                        <w:r>
                          <w:rPr>
                            <w:w w:val="185"/>
                            <w:sz w:val="7"/>
                          </w:rPr>
                          <w:t>sólo</w:t>
                        </w:r>
                        <w:r>
                          <w:rPr>
                            <w:spacing w:val="-8"/>
                            <w:w w:val="185"/>
                            <w:sz w:val="7"/>
                          </w:rPr>
                          <w:t> </w:t>
                        </w:r>
                        <w:r>
                          <w:rPr>
                            <w:w w:val="185"/>
                            <w:sz w:val="7"/>
                          </w:rPr>
                          <w:t>se</w:t>
                        </w:r>
                        <w:r>
                          <w:rPr>
                            <w:spacing w:val="-8"/>
                            <w:w w:val="185"/>
                            <w:sz w:val="7"/>
                          </w:rPr>
                          <w:t> </w:t>
                        </w:r>
                        <w:r>
                          <w:rPr>
                            <w:w w:val="185"/>
                            <w:sz w:val="7"/>
                          </w:rPr>
                          <w:t>paguen plazas</w:t>
                        </w:r>
                        <w:r>
                          <w:rPr>
                            <w:spacing w:val="-12"/>
                            <w:w w:val="185"/>
                            <w:sz w:val="7"/>
                          </w:rPr>
                          <w:t> </w:t>
                        </w:r>
                        <w:r>
                          <w:rPr>
                            <w:w w:val="185"/>
                            <w:sz w:val="7"/>
                          </w:rPr>
                          <w:t>y</w:t>
                        </w:r>
                        <w:r>
                          <w:rPr>
                            <w:spacing w:val="-12"/>
                            <w:w w:val="185"/>
                            <w:sz w:val="7"/>
                          </w:rPr>
                          <w:t> </w:t>
                        </w:r>
                        <w:r>
                          <w:rPr>
                            <w:w w:val="185"/>
                            <w:sz w:val="7"/>
                          </w:rPr>
                          <w:t>sueldos</w:t>
                        </w:r>
                        <w:r>
                          <w:rPr>
                            <w:spacing w:val="-12"/>
                            <w:w w:val="185"/>
                            <w:sz w:val="7"/>
                          </w:rPr>
                          <w:t> </w:t>
                        </w:r>
                        <w:r>
                          <w:rPr>
                            <w:w w:val="185"/>
                            <w:sz w:val="7"/>
                          </w:rPr>
                          <w:t>autorizados, ya que no tiene una plantilla y</w:t>
                        </w:r>
                        <w:r>
                          <w:rPr>
                            <w:spacing w:val="-17"/>
                            <w:w w:val="185"/>
                            <w:sz w:val="7"/>
                          </w:rPr>
                          <w:t> </w:t>
                        </w:r>
                        <w:r>
                          <w:rPr>
                            <w:w w:val="185"/>
                            <w:sz w:val="7"/>
                          </w:rPr>
                          <w:t>tabulador</w:t>
                        </w:r>
                        <w:r>
                          <w:rPr>
                            <w:spacing w:val="-17"/>
                            <w:w w:val="185"/>
                            <w:sz w:val="7"/>
                          </w:rPr>
                          <w:t> </w:t>
                        </w:r>
                        <w:r>
                          <w:rPr>
                            <w:w w:val="185"/>
                            <w:sz w:val="7"/>
                          </w:rPr>
                          <w:t>aprobados.</w:t>
                        </w:r>
                      </w:p>
                    </w:tc>
                  </w:tr>
                  <w:tr>
                    <w:trPr>
                      <w:trHeight w:val="392" w:hRule="exact"/>
                    </w:trPr>
                    <w:tc>
                      <w:tcPr>
                        <w:tcW w:w="2099" w:type="dxa"/>
                        <w:tcBorders>
                          <w:left w:val="single" w:sz="4" w:space="0" w:color="000000"/>
                          <w:right w:val="single" w:sz="4" w:space="0" w:color="000000"/>
                        </w:tcBorders>
                      </w:tcPr>
                      <w:p>
                        <w:pPr/>
                      </w:p>
                    </w:tc>
                    <w:tc>
                      <w:tcPr>
                        <w:tcW w:w="1907" w:type="dxa"/>
                        <w:tcBorders>
                          <w:left w:val="single" w:sz="4" w:space="0" w:color="000000"/>
                          <w:right w:val="single" w:sz="4" w:space="0" w:color="000000"/>
                        </w:tcBorders>
                      </w:tcPr>
                      <w:p>
                        <w:pPr/>
                      </w:p>
                    </w:tc>
                    <w:tc>
                      <w:tcPr>
                        <w:tcW w:w="1834" w:type="dxa"/>
                        <w:tcBorders>
                          <w:left w:val="single" w:sz="4" w:space="0" w:color="000000"/>
                          <w:right w:val="single" w:sz="4" w:space="0" w:color="000000"/>
                        </w:tcBorders>
                      </w:tcPr>
                      <w:p>
                        <w:pPr/>
                      </w:p>
                    </w:tc>
                    <w:tc>
                      <w:tcPr>
                        <w:tcW w:w="1726" w:type="dxa"/>
                        <w:tcBorders>
                          <w:left w:val="single" w:sz="4" w:space="0" w:color="000000"/>
                          <w:right w:val="single" w:sz="4" w:space="0" w:color="000000"/>
                        </w:tcBorders>
                      </w:tcPr>
                      <w:p>
                        <w:pPr>
                          <w:pStyle w:val="TableParagraph"/>
                          <w:spacing w:line="292" w:lineRule="auto" w:before="6"/>
                          <w:ind w:left="17" w:right="-20"/>
                          <w:rPr>
                            <w:sz w:val="7"/>
                          </w:rPr>
                        </w:pPr>
                        <w:r>
                          <w:rPr>
                            <w:w w:val="185"/>
                            <w:sz w:val="7"/>
                          </w:rPr>
                          <w:t>Carece de un programa de seguridad pública que oriente las acciones del municipio en esta materia.</w:t>
                        </w:r>
                      </w:p>
                    </w:tc>
                  </w:tr>
                  <w:tr>
                    <w:trPr>
                      <w:trHeight w:val="783" w:hRule="exact"/>
                    </w:trPr>
                    <w:tc>
                      <w:tcPr>
                        <w:tcW w:w="2099" w:type="dxa"/>
                        <w:tcBorders>
                          <w:left w:val="single" w:sz="4" w:space="0" w:color="000000"/>
                          <w:right w:val="single" w:sz="4" w:space="0" w:color="000000"/>
                        </w:tcBorders>
                      </w:tcPr>
                      <w:p>
                        <w:pPr/>
                      </w:p>
                    </w:tc>
                    <w:tc>
                      <w:tcPr>
                        <w:tcW w:w="1907" w:type="dxa"/>
                        <w:tcBorders>
                          <w:left w:val="single" w:sz="4" w:space="0" w:color="000000"/>
                          <w:right w:val="single" w:sz="4" w:space="0" w:color="000000"/>
                        </w:tcBorders>
                      </w:tcPr>
                      <w:p>
                        <w:pPr/>
                      </w:p>
                    </w:tc>
                    <w:tc>
                      <w:tcPr>
                        <w:tcW w:w="1834" w:type="dxa"/>
                        <w:tcBorders>
                          <w:left w:val="single" w:sz="4" w:space="0" w:color="000000"/>
                          <w:right w:val="single" w:sz="4" w:space="0" w:color="000000"/>
                        </w:tcBorders>
                      </w:tcPr>
                      <w:p>
                        <w:pPr/>
                      </w:p>
                    </w:tc>
                    <w:tc>
                      <w:tcPr>
                        <w:tcW w:w="1726" w:type="dxa"/>
                        <w:tcBorders>
                          <w:left w:val="single" w:sz="4" w:space="0" w:color="000000"/>
                          <w:right w:val="single" w:sz="4" w:space="0" w:color="000000"/>
                        </w:tcBorders>
                      </w:tcPr>
                      <w:p>
                        <w:pPr>
                          <w:pStyle w:val="TableParagraph"/>
                          <w:spacing w:line="292" w:lineRule="auto" w:before="6"/>
                          <w:ind w:left="16" w:right="-19" w:firstLine="1"/>
                          <w:rPr>
                            <w:sz w:val="7"/>
                          </w:rPr>
                        </w:pPr>
                        <w:r>
                          <w:rPr>
                            <w:w w:val="185"/>
                            <w:sz w:val="7"/>
                          </w:rPr>
                          <w:t>El municipio no tiene los mecanismos suficientes para asegurar el cumplimiento de la normativa en el proceso de adjudicación de las adquisiciones, específicamente, compra de útiles escolares.</w:t>
                        </w:r>
                      </w:p>
                    </w:tc>
                  </w:tr>
                  <w:tr>
                    <w:trPr>
                      <w:trHeight w:val="391" w:hRule="exact"/>
                    </w:trPr>
                    <w:tc>
                      <w:tcPr>
                        <w:tcW w:w="2099" w:type="dxa"/>
                        <w:tcBorders>
                          <w:left w:val="single" w:sz="4" w:space="0" w:color="000000"/>
                          <w:right w:val="single" w:sz="4" w:space="0" w:color="000000"/>
                        </w:tcBorders>
                      </w:tcPr>
                      <w:p>
                        <w:pPr/>
                      </w:p>
                    </w:tc>
                    <w:tc>
                      <w:tcPr>
                        <w:tcW w:w="1907" w:type="dxa"/>
                        <w:tcBorders>
                          <w:left w:val="single" w:sz="4" w:space="0" w:color="000000"/>
                          <w:right w:val="single" w:sz="4" w:space="0" w:color="000000"/>
                        </w:tcBorders>
                      </w:tcPr>
                      <w:p>
                        <w:pPr/>
                      </w:p>
                    </w:tc>
                    <w:tc>
                      <w:tcPr>
                        <w:tcW w:w="1834" w:type="dxa"/>
                        <w:tcBorders>
                          <w:left w:val="single" w:sz="4" w:space="0" w:color="000000"/>
                          <w:right w:val="single" w:sz="4" w:space="0" w:color="000000"/>
                        </w:tcBorders>
                      </w:tcPr>
                      <w:p>
                        <w:pPr/>
                      </w:p>
                    </w:tc>
                    <w:tc>
                      <w:tcPr>
                        <w:tcW w:w="1726" w:type="dxa"/>
                        <w:tcBorders>
                          <w:left w:val="single" w:sz="4" w:space="0" w:color="000000"/>
                          <w:right w:val="single" w:sz="4" w:space="0" w:color="000000"/>
                        </w:tcBorders>
                      </w:tcPr>
                      <w:p>
                        <w:pPr>
                          <w:pStyle w:val="TableParagraph"/>
                          <w:spacing w:line="292" w:lineRule="auto" w:before="6"/>
                          <w:ind w:left="17" w:right="15"/>
                          <w:rPr>
                            <w:sz w:val="7"/>
                          </w:rPr>
                        </w:pPr>
                        <w:r>
                          <w:rPr>
                            <w:w w:val="185"/>
                            <w:sz w:val="7"/>
                          </w:rPr>
                          <w:t>No dispone de procedimientos para apoyar una gestión transparente del fondo.</w:t>
                        </w:r>
                      </w:p>
                    </w:tc>
                  </w:tr>
                  <w:tr>
                    <w:trPr>
                      <w:trHeight w:val="490" w:hRule="exact"/>
                    </w:trPr>
                    <w:tc>
                      <w:tcPr>
                        <w:tcW w:w="2099" w:type="dxa"/>
                        <w:tcBorders>
                          <w:left w:val="single" w:sz="4" w:space="0" w:color="000000"/>
                          <w:right w:val="single" w:sz="4" w:space="0" w:color="000000"/>
                        </w:tcBorders>
                      </w:tcPr>
                      <w:p>
                        <w:pPr/>
                      </w:p>
                    </w:tc>
                    <w:tc>
                      <w:tcPr>
                        <w:tcW w:w="1907" w:type="dxa"/>
                        <w:tcBorders>
                          <w:left w:val="single" w:sz="4" w:space="0" w:color="000000"/>
                          <w:right w:val="single" w:sz="4" w:space="0" w:color="000000"/>
                        </w:tcBorders>
                      </w:tcPr>
                      <w:p>
                        <w:pPr/>
                      </w:p>
                    </w:tc>
                    <w:tc>
                      <w:tcPr>
                        <w:tcW w:w="1834" w:type="dxa"/>
                        <w:tcBorders>
                          <w:left w:val="single" w:sz="4" w:space="0" w:color="000000"/>
                          <w:right w:val="single" w:sz="4" w:space="0" w:color="000000"/>
                        </w:tcBorders>
                      </w:tcPr>
                      <w:p>
                        <w:pPr/>
                      </w:p>
                    </w:tc>
                    <w:tc>
                      <w:tcPr>
                        <w:tcW w:w="1726" w:type="dxa"/>
                        <w:tcBorders>
                          <w:left w:val="single" w:sz="4" w:space="0" w:color="000000"/>
                          <w:right w:val="single" w:sz="4" w:space="0" w:color="000000"/>
                        </w:tcBorders>
                      </w:tcPr>
                      <w:p>
                        <w:pPr>
                          <w:pStyle w:val="TableParagraph"/>
                          <w:spacing w:line="290" w:lineRule="auto" w:before="6"/>
                          <w:ind w:left="16" w:right="6" w:firstLine="1"/>
                          <w:rPr>
                            <w:sz w:val="7"/>
                          </w:rPr>
                        </w:pPr>
                        <w:r>
                          <w:rPr>
                            <w:w w:val="185"/>
                            <w:sz w:val="7"/>
                          </w:rPr>
                          <w:t>Faltan</w:t>
                        </w:r>
                        <w:r>
                          <w:rPr>
                            <w:spacing w:val="-8"/>
                            <w:w w:val="185"/>
                            <w:sz w:val="7"/>
                          </w:rPr>
                          <w:t> </w:t>
                        </w:r>
                        <w:r>
                          <w:rPr>
                            <w:w w:val="185"/>
                            <w:sz w:val="7"/>
                          </w:rPr>
                          <w:t>controles</w:t>
                        </w:r>
                        <w:r>
                          <w:rPr>
                            <w:spacing w:val="-9"/>
                            <w:w w:val="185"/>
                            <w:sz w:val="7"/>
                          </w:rPr>
                          <w:t> </w:t>
                        </w:r>
                        <w:r>
                          <w:rPr>
                            <w:w w:val="185"/>
                            <w:sz w:val="7"/>
                          </w:rPr>
                          <w:t>para</w:t>
                        </w:r>
                        <w:r>
                          <w:rPr>
                            <w:spacing w:val="-8"/>
                            <w:w w:val="185"/>
                            <w:sz w:val="7"/>
                          </w:rPr>
                          <w:t> </w:t>
                        </w:r>
                        <w:r>
                          <w:rPr>
                            <w:w w:val="185"/>
                            <w:sz w:val="7"/>
                          </w:rPr>
                          <w:t>evitar</w:t>
                        </w:r>
                        <w:r>
                          <w:rPr>
                            <w:spacing w:val="-8"/>
                            <w:w w:val="185"/>
                            <w:sz w:val="7"/>
                          </w:rPr>
                          <w:t> </w:t>
                        </w:r>
                        <w:r>
                          <w:rPr>
                            <w:w w:val="185"/>
                            <w:sz w:val="7"/>
                          </w:rPr>
                          <w:t>la transferencia de recursos a otras</w:t>
                        </w:r>
                        <w:r>
                          <w:rPr>
                            <w:spacing w:val="-12"/>
                            <w:w w:val="185"/>
                            <w:sz w:val="7"/>
                          </w:rPr>
                          <w:t> </w:t>
                        </w:r>
                        <w:r>
                          <w:rPr>
                            <w:w w:val="185"/>
                            <w:sz w:val="7"/>
                          </w:rPr>
                          <w:t>cuentas</w:t>
                        </w:r>
                        <w:r>
                          <w:rPr>
                            <w:spacing w:val="-11"/>
                            <w:w w:val="185"/>
                            <w:sz w:val="7"/>
                          </w:rPr>
                          <w:t> </w:t>
                        </w:r>
                        <w:r>
                          <w:rPr>
                            <w:w w:val="185"/>
                            <w:sz w:val="7"/>
                          </w:rPr>
                          <w:t>del</w:t>
                        </w:r>
                        <w:r>
                          <w:rPr>
                            <w:spacing w:val="-12"/>
                            <w:w w:val="185"/>
                            <w:sz w:val="7"/>
                          </w:rPr>
                          <w:t> </w:t>
                        </w:r>
                        <w:r>
                          <w:rPr>
                            <w:w w:val="185"/>
                            <w:sz w:val="7"/>
                          </w:rPr>
                          <w:t>municipio.</w:t>
                        </w:r>
                      </w:p>
                    </w:tc>
                  </w:tr>
                </w:tbl>
                <w:p>
                  <w:pPr>
                    <w:pStyle w:val="BodyText"/>
                  </w:pPr>
                </w:p>
              </w:txbxContent>
            </v:textbox>
            <w10:wrap type="none"/>
          </v:shape>
        </w:pict>
      </w:r>
      <w:r>
        <w:rPr>
          <w:w w:val="110"/>
          <w:sz w:val="24"/>
        </w:rPr>
        <w:t>Anexo 32. </w:t>
      </w:r>
      <w:r>
        <w:rPr>
          <w:b/>
          <w:w w:val="160"/>
          <w:position w:val="1"/>
          <w:sz w:val="7"/>
        </w:rPr>
        <w:t>FIS</w:t>
      </w:r>
    </w:p>
    <w:p>
      <w:pPr>
        <w:spacing w:after="0" w:line="188" w:lineRule="exact"/>
        <w:jc w:val="left"/>
        <w:rPr>
          <w:sz w:val="7"/>
        </w:rPr>
        <w:sectPr>
          <w:pgSz w:w="15840" w:h="12240" w:orient="landscape"/>
          <w:pgMar w:header="0" w:footer="992" w:top="1140" w:bottom="1180" w:left="2260" w:right="2260"/>
        </w:sectPr>
      </w:pPr>
    </w:p>
    <w:p>
      <w:pPr>
        <w:pStyle w:val="BodyText"/>
        <w:rPr>
          <w:b/>
          <w:sz w:val="20"/>
        </w:rPr>
      </w:pPr>
    </w:p>
    <w:p>
      <w:pPr>
        <w:pStyle w:val="BodyText"/>
        <w:spacing w:before="10"/>
        <w:rPr>
          <w:b/>
          <w:sz w:val="23"/>
        </w:rPr>
      </w:pPr>
    </w:p>
    <w:p>
      <w:pPr>
        <w:spacing w:before="85"/>
        <w:ind w:left="286" w:right="0" w:firstLine="0"/>
        <w:jc w:val="center"/>
        <w:rPr>
          <w:b/>
          <w:sz w:val="13"/>
        </w:rPr>
      </w:pPr>
      <w:r>
        <w:rPr/>
        <w:pict>
          <v:group style="position:absolute;margin-left:214.919998pt;margin-top:13.351613pt;width:369pt;height:43.5pt;mso-position-horizontal-relative:page;mso-position-vertical-relative:paragraph;z-index:-677488" coordorigin="4298,267" coordsize="7380,870">
            <v:shape style="position:absolute;left:4298;top:320;width:7380;height:816" type="#_x0000_t75" stroked="false">
              <v:imagedata r:id="rId80" o:title=""/>
            </v:shape>
            <v:shape style="position:absolute;left:4526;top:706;width:7068;height:2" coordorigin="4526,706" coordsize="7068,0" path="m4526,706l4526,706,11593,706e" filled="false" stroked="true" strokeweight=".500353pt" strokecolor="#000000">
              <v:path arrowok="t"/>
            </v:shape>
            <v:shape style="position:absolute;left:4443;top:342;width:7087;height:318" type="#_x0000_t202" filled="false" stroked="false">
              <v:textbox inset="0,0,0,0">
                <w:txbxContent>
                  <w:p>
                    <w:pPr>
                      <w:spacing w:line="317" w:lineRule="exact" w:before="0"/>
                      <w:ind w:left="0" w:right="-2" w:firstLine="0"/>
                      <w:jc w:val="left"/>
                      <w:rPr>
                        <w:sz w:val="20"/>
                      </w:rPr>
                    </w:pPr>
                    <w:r>
                      <w:rPr>
                        <w:b/>
                        <w:w w:val="99"/>
                        <w:sz w:val="20"/>
                      </w:rPr>
                      <w:t>Fu</w:t>
                    </w:r>
                    <w:r>
                      <w:rPr>
                        <w:b/>
                        <w:w w:val="99"/>
                        <w:sz w:val="20"/>
                      </w:rPr>
                      <w:t>en</w:t>
                    </w:r>
                    <w:r>
                      <w:rPr>
                        <w:b/>
                        <w:spacing w:val="1"/>
                        <w:w w:val="99"/>
                        <w:sz w:val="20"/>
                      </w:rPr>
                      <w:t>t</w:t>
                    </w:r>
                    <w:r>
                      <w:rPr>
                        <w:b/>
                        <w:w w:val="99"/>
                        <w:sz w:val="20"/>
                      </w:rPr>
                      <w:t>e</w:t>
                    </w:r>
                    <w:r>
                      <w:rPr>
                        <w:b/>
                        <w:spacing w:val="-62"/>
                        <w:w w:val="99"/>
                        <w:sz w:val="20"/>
                      </w:rPr>
                      <w:t>:</w:t>
                    </w:r>
                    <w:r>
                      <w:rPr>
                        <w:w w:val="100"/>
                        <w:position w:val="-10"/>
                        <w:sz w:val="24"/>
                      </w:rPr>
                      <w:t>A</w:t>
                    </w:r>
                    <w:r>
                      <w:rPr>
                        <w:spacing w:val="-109"/>
                        <w:w w:val="99"/>
                        <w:position w:val="-10"/>
                        <w:sz w:val="24"/>
                      </w:rPr>
                      <w:t>n</w:t>
                    </w:r>
                    <w:r>
                      <w:rPr>
                        <w:spacing w:val="-24"/>
                        <w:w w:val="99"/>
                        <w:sz w:val="20"/>
                      </w:rPr>
                      <w:t>E</w:t>
                    </w:r>
                    <w:r>
                      <w:rPr>
                        <w:spacing w:val="-111"/>
                        <w:w w:val="99"/>
                        <w:position w:val="-10"/>
                        <w:sz w:val="24"/>
                      </w:rPr>
                      <w:t>e</w:t>
                    </w:r>
                    <w:r>
                      <w:rPr>
                        <w:spacing w:val="-1"/>
                        <w:w w:val="99"/>
                        <w:sz w:val="20"/>
                      </w:rPr>
                      <w:t>l</w:t>
                    </w:r>
                    <w:r>
                      <w:rPr>
                        <w:spacing w:val="-43"/>
                        <w:w w:val="99"/>
                        <w:sz w:val="20"/>
                      </w:rPr>
                      <w:t>a</w:t>
                    </w:r>
                    <w:r>
                      <w:rPr>
                        <w:spacing w:val="-76"/>
                        <w:position w:val="-10"/>
                        <w:sz w:val="24"/>
                      </w:rPr>
                      <w:t>x</w:t>
                    </w:r>
                    <w:r>
                      <w:rPr>
                        <w:spacing w:val="-38"/>
                        <w:w w:val="99"/>
                        <w:sz w:val="20"/>
                      </w:rPr>
                      <w:t>b</w:t>
                    </w:r>
                    <w:r>
                      <w:rPr>
                        <w:spacing w:val="-96"/>
                        <w:w w:val="99"/>
                        <w:position w:val="-10"/>
                        <w:sz w:val="24"/>
                      </w:rPr>
                      <w:t>o</w:t>
                    </w:r>
                    <w:r>
                      <w:rPr>
                        <w:spacing w:val="-1"/>
                        <w:w w:val="99"/>
                        <w:sz w:val="20"/>
                      </w:rPr>
                      <w:t>o</w:t>
                    </w:r>
                    <w:r>
                      <w:rPr>
                        <w:spacing w:val="-11"/>
                        <w:w w:val="99"/>
                        <w:sz w:val="20"/>
                      </w:rPr>
                      <w:t>r</w:t>
                    </w:r>
                    <w:r>
                      <w:rPr>
                        <w:spacing w:val="-122"/>
                        <w:w w:val="99"/>
                        <w:position w:val="-10"/>
                        <w:sz w:val="24"/>
                      </w:rPr>
                      <w:t>3</w:t>
                    </w:r>
                    <w:r>
                      <w:rPr>
                        <w:w w:val="99"/>
                        <w:sz w:val="20"/>
                      </w:rPr>
                      <w:t>a</w:t>
                    </w:r>
                    <w:r>
                      <w:rPr>
                        <w:spacing w:val="-88"/>
                        <w:w w:val="99"/>
                        <w:sz w:val="20"/>
                      </w:rPr>
                      <w:t>c</w:t>
                    </w:r>
                    <w:r>
                      <w:rPr>
                        <w:spacing w:val="-46"/>
                        <w:w w:val="99"/>
                        <w:position w:val="-10"/>
                        <w:sz w:val="24"/>
                      </w:rPr>
                      <w:t>3</w:t>
                    </w:r>
                    <w:r>
                      <w:rPr>
                        <w:spacing w:val="-1"/>
                        <w:w w:val="99"/>
                        <w:sz w:val="20"/>
                      </w:rPr>
                      <w:t>i</w:t>
                    </w:r>
                    <w:r>
                      <w:rPr>
                        <w:spacing w:val="-66"/>
                        <w:w w:val="100"/>
                        <w:position w:val="-10"/>
                        <w:sz w:val="24"/>
                      </w:rPr>
                      <w:t>.</w:t>
                    </w:r>
                    <w:r>
                      <w:rPr>
                        <w:w w:val="99"/>
                        <w:sz w:val="20"/>
                      </w:rPr>
                      <w:t>ón</w:t>
                    </w:r>
                    <w:r>
                      <w:rPr>
                        <w:sz w:val="20"/>
                      </w:rPr>
                      <w:t> </w:t>
                    </w:r>
                    <w:r>
                      <w:rPr>
                        <w:spacing w:val="10"/>
                        <w:sz w:val="20"/>
                      </w:rPr>
                      <w:t> </w:t>
                    </w:r>
                    <w:r>
                      <w:rPr>
                        <w:w w:val="99"/>
                        <w:sz w:val="20"/>
                      </w:rPr>
                      <w:t>pr</w:t>
                    </w:r>
                    <w:r>
                      <w:rPr>
                        <w:spacing w:val="2"/>
                        <w:w w:val="99"/>
                        <w:sz w:val="20"/>
                      </w:rPr>
                      <w:t>o</w:t>
                    </w:r>
                    <w:r>
                      <w:rPr>
                        <w:spacing w:val="1"/>
                        <w:w w:val="99"/>
                        <w:sz w:val="20"/>
                      </w:rPr>
                      <w:t>p</w:t>
                    </w:r>
                    <w:r>
                      <w:rPr>
                        <w:spacing w:val="-1"/>
                        <w:w w:val="99"/>
                        <w:sz w:val="20"/>
                      </w:rPr>
                      <w:t>i</w:t>
                    </w:r>
                    <w:r>
                      <w:rPr>
                        <w:w w:val="99"/>
                        <w:sz w:val="20"/>
                      </w:rPr>
                      <w:t>a</w:t>
                    </w:r>
                    <w:r>
                      <w:rPr>
                        <w:sz w:val="20"/>
                      </w:rPr>
                      <w:t> </w:t>
                    </w:r>
                    <w:r>
                      <w:rPr>
                        <w:spacing w:val="10"/>
                        <w:sz w:val="20"/>
                      </w:rPr>
                      <w:t> </w:t>
                    </w:r>
                    <w:r>
                      <w:rPr>
                        <w:spacing w:val="1"/>
                        <w:w w:val="99"/>
                        <w:sz w:val="20"/>
                      </w:rPr>
                      <w:t>c</w:t>
                    </w:r>
                    <w:r>
                      <w:rPr>
                        <w:w w:val="99"/>
                        <w:sz w:val="20"/>
                      </w:rPr>
                      <w:t>on</w:t>
                    </w:r>
                    <w:r>
                      <w:rPr>
                        <w:sz w:val="20"/>
                      </w:rPr>
                      <w:t> </w:t>
                    </w:r>
                    <w:r>
                      <w:rPr>
                        <w:spacing w:val="10"/>
                        <w:sz w:val="20"/>
                      </w:rPr>
                      <w:t> </w:t>
                    </w:r>
                    <w:r>
                      <w:rPr>
                        <w:spacing w:val="1"/>
                        <w:w w:val="99"/>
                        <w:sz w:val="20"/>
                      </w:rPr>
                      <w:t>b</w:t>
                    </w:r>
                    <w:r>
                      <w:rPr>
                        <w:w w:val="99"/>
                        <w:sz w:val="20"/>
                      </w:rPr>
                      <w:t>as</w:t>
                    </w:r>
                    <w:r>
                      <w:rPr>
                        <w:w w:val="99"/>
                        <w:sz w:val="20"/>
                      </w:rPr>
                      <w:t>e</w:t>
                    </w:r>
                    <w:r>
                      <w:rPr>
                        <w:sz w:val="20"/>
                      </w:rPr>
                      <w:t> </w:t>
                    </w:r>
                    <w:r>
                      <w:rPr>
                        <w:spacing w:val="10"/>
                        <w:sz w:val="20"/>
                      </w:rPr>
                      <w:t> </w:t>
                    </w:r>
                    <w:r>
                      <w:rPr>
                        <w:w w:val="99"/>
                        <w:sz w:val="20"/>
                      </w:rPr>
                      <w:t>en</w:t>
                    </w:r>
                    <w:r>
                      <w:rPr>
                        <w:sz w:val="20"/>
                      </w:rPr>
                      <w:t> </w:t>
                    </w:r>
                    <w:r>
                      <w:rPr>
                        <w:spacing w:val="12"/>
                        <w:sz w:val="20"/>
                      </w:rPr>
                      <w:t> </w:t>
                    </w:r>
                    <w:r>
                      <w:rPr>
                        <w:w w:val="99"/>
                        <w:sz w:val="20"/>
                      </w:rPr>
                      <w:t>el</w:t>
                    </w:r>
                    <w:r>
                      <w:rPr>
                        <w:sz w:val="20"/>
                      </w:rPr>
                      <w:t> </w:t>
                    </w:r>
                    <w:r>
                      <w:rPr>
                        <w:spacing w:val="9"/>
                        <w:sz w:val="20"/>
                      </w:rPr>
                      <w:t> </w:t>
                    </w:r>
                    <w:r>
                      <w:rPr>
                        <w:spacing w:val="2"/>
                        <w:w w:val="99"/>
                        <w:sz w:val="20"/>
                      </w:rPr>
                      <w:t>I</w:t>
                    </w:r>
                    <w:r>
                      <w:rPr>
                        <w:w w:val="99"/>
                        <w:sz w:val="20"/>
                      </w:rPr>
                      <w:t>n</w:t>
                    </w:r>
                    <w:r>
                      <w:rPr>
                        <w:spacing w:val="1"/>
                        <w:w w:val="99"/>
                        <w:sz w:val="20"/>
                      </w:rPr>
                      <w:t>f</w:t>
                    </w:r>
                    <w:r>
                      <w:rPr>
                        <w:w w:val="99"/>
                        <w:sz w:val="20"/>
                      </w:rPr>
                      <w:t>or</w:t>
                    </w:r>
                    <w:r>
                      <w:rPr>
                        <w:spacing w:val="4"/>
                        <w:w w:val="99"/>
                        <w:sz w:val="20"/>
                      </w:rPr>
                      <w:t>m</w:t>
                    </w:r>
                    <w:r>
                      <w:rPr>
                        <w:w w:val="99"/>
                        <w:sz w:val="20"/>
                      </w:rPr>
                      <w:t>e</w:t>
                    </w:r>
                    <w:r>
                      <w:rPr>
                        <w:sz w:val="20"/>
                      </w:rPr>
                      <w:t> </w:t>
                    </w:r>
                    <w:r>
                      <w:rPr>
                        <w:spacing w:val="10"/>
                        <w:sz w:val="20"/>
                      </w:rPr>
                      <w:t> </w:t>
                    </w:r>
                    <w:r>
                      <w:rPr>
                        <w:w w:val="99"/>
                        <w:sz w:val="20"/>
                      </w:rPr>
                      <w:t>de</w:t>
                    </w:r>
                    <w:r>
                      <w:rPr>
                        <w:sz w:val="20"/>
                      </w:rPr>
                      <w:t> </w:t>
                    </w:r>
                    <w:r>
                      <w:rPr>
                        <w:spacing w:val="10"/>
                        <w:sz w:val="20"/>
                      </w:rPr>
                      <w:t> </w:t>
                    </w:r>
                    <w:r>
                      <w:rPr>
                        <w:w w:val="99"/>
                        <w:sz w:val="20"/>
                      </w:rPr>
                      <w:t>Res</w:t>
                    </w:r>
                    <w:r>
                      <w:rPr>
                        <w:w w:val="99"/>
                        <w:sz w:val="20"/>
                      </w:rPr>
                      <w:t>u</w:t>
                    </w:r>
                    <w:r>
                      <w:rPr>
                        <w:spacing w:val="-2"/>
                        <w:w w:val="99"/>
                        <w:sz w:val="20"/>
                      </w:rPr>
                      <w:t>l</w:t>
                    </w:r>
                    <w:r>
                      <w:rPr>
                        <w:w w:val="99"/>
                        <w:sz w:val="20"/>
                      </w:rPr>
                      <w:t>ta</w:t>
                    </w:r>
                    <w:r>
                      <w:rPr>
                        <w:spacing w:val="1"/>
                        <w:w w:val="99"/>
                        <w:sz w:val="20"/>
                      </w:rPr>
                      <w:t>d</w:t>
                    </w:r>
                    <w:r>
                      <w:rPr>
                        <w:w w:val="99"/>
                        <w:sz w:val="20"/>
                      </w:rPr>
                      <w:t>os</w:t>
                    </w:r>
                    <w:r>
                      <w:rPr>
                        <w:sz w:val="20"/>
                      </w:rPr>
                      <w:t> </w:t>
                    </w:r>
                    <w:r>
                      <w:rPr>
                        <w:spacing w:val="11"/>
                        <w:sz w:val="20"/>
                      </w:rPr>
                      <w:t> </w:t>
                    </w:r>
                    <w:r>
                      <w:rPr>
                        <w:w w:val="99"/>
                        <w:sz w:val="20"/>
                      </w:rPr>
                      <w:t>de</w:t>
                    </w:r>
                    <w:r>
                      <w:rPr>
                        <w:sz w:val="20"/>
                      </w:rPr>
                      <w:t> </w:t>
                    </w:r>
                    <w:r>
                      <w:rPr>
                        <w:spacing w:val="10"/>
                        <w:sz w:val="20"/>
                      </w:rPr>
                      <w:t> </w:t>
                    </w:r>
                    <w:r>
                      <w:rPr>
                        <w:spacing w:val="1"/>
                        <w:w w:val="99"/>
                        <w:sz w:val="20"/>
                      </w:rPr>
                      <w:t>l</w:t>
                    </w:r>
                    <w:r>
                      <w:rPr>
                        <w:w w:val="99"/>
                        <w:sz w:val="20"/>
                      </w:rPr>
                      <w:t>a</w:t>
                    </w:r>
                  </w:p>
                </w:txbxContent>
              </v:textbox>
              <w10:wrap type="none"/>
            </v:shape>
            <v:shape style="position:absolute;left:6473;top:267;width:3178;height:133" type="#_x0000_t202" filled="false" stroked="false">
              <v:textbox inset="0,0,0,0">
                <w:txbxContent>
                  <w:p>
                    <w:pPr>
                      <w:spacing w:line="133" w:lineRule="exact" w:before="0"/>
                      <w:ind w:left="0" w:right="-3" w:firstLine="0"/>
                      <w:jc w:val="left"/>
                      <w:rPr>
                        <w:b/>
                        <w:sz w:val="13"/>
                      </w:rPr>
                    </w:pPr>
                    <w:r>
                      <w:rPr>
                        <w:b/>
                        <w:w w:val="125"/>
                        <w:sz w:val="13"/>
                      </w:rPr>
                      <w:t>Controles Internos (Manejo y Aplicación)</w:t>
                    </w:r>
                  </w:p>
                </w:txbxContent>
              </v:textbox>
              <w10:wrap type="none"/>
            </v:shape>
            <v:shape style="position:absolute;left:4443;top:559;width:5104;height:215" type="#_x0000_t202" filled="false" stroked="false">
              <v:textbox inset="0,0,0,0">
                <w:txbxContent>
                  <w:p>
                    <w:pPr>
                      <w:spacing w:line="215" w:lineRule="exact" w:before="0"/>
                      <w:ind w:left="0" w:right="-20" w:firstLine="0"/>
                      <w:jc w:val="left"/>
                      <w:rPr>
                        <w:sz w:val="20"/>
                      </w:rPr>
                    </w:pPr>
                    <w:r>
                      <w:rPr>
                        <w:w w:val="99"/>
                        <w:sz w:val="20"/>
                      </w:rPr>
                      <w:t>F</w:t>
                    </w:r>
                    <w:r>
                      <w:rPr>
                        <w:spacing w:val="-1"/>
                        <w:w w:val="99"/>
                        <w:sz w:val="20"/>
                      </w:rPr>
                      <w:t>i</w:t>
                    </w:r>
                    <w:r>
                      <w:rPr>
                        <w:spacing w:val="1"/>
                        <w:w w:val="99"/>
                        <w:sz w:val="20"/>
                      </w:rPr>
                      <w:t>sc</w:t>
                    </w:r>
                    <w:r>
                      <w:rPr>
                        <w:w w:val="99"/>
                        <w:sz w:val="20"/>
                      </w:rPr>
                      <w:t>a</w:t>
                    </w:r>
                    <w:r>
                      <w:rPr>
                        <w:spacing w:val="-2"/>
                        <w:w w:val="99"/>
                        <w:sz w:val="20"/>
                      </w:rPr>
                      <w:t>l</w:t>
                    </w:r>
                    <w:r>
                      <w:rPr>
                        <w:spacing w:val="2"/>
                        <w:w w:val="99"/>
                        <w:sz w:val="20"/>
                      </w:rPr>
                      <w:t>i</w:t>
                    </w:r>
                    <w:r>
                      <w:rPr>
                        <w:spacing w:val="-2"/>
                        <w:w w:val="99"/>
                        <w:sz w:val="20"/>
                      </w:rPr>
                      <w:t>z</w:t>
                    </w:r>
                    <w:r>
                      <w:rPr>
                        <w:w w:val="99"/>
                        <w:sz w:val="20"/>
                      </w:rPr>
                      <w:t>ac</w:t>
                    </w:r>
                    <w:r>
                      <w:rPr>
                        <w:spacing w:val="1"/>
                        <w:w w:val="99"/>
                        <w:sz w:val="20"/>
                      </w:rPr>
                      <w:t>i</w:t>
                    </w:r>
                    <w:r>
                      <w:rPr>
                        <w:w w:val="99"/>
                        <w:sz w:val="20"/>
                      </w:rPr>
                      <w:t>ón</w:t>
                    </w:r>
                    <w:r>
                      <w:rPr>
                        <w:spacing w:val="1"/>
                        <w:sz w:val="20"/>
                      </w:rPr>
                      <w:t> </w:t>
                    </w:r>
                    <w:r>
                      <w:rPr>
                        <w:spacing w:val="-1"/>
                        <w:w w:val="99"/>
                        <w:sz w:val="20"/>
                      </w:rPr>
                      <w:t>S</w:t>
                    </w:r>
                    <w:r>
                      <w:rPr>
                        <w:w w:val="99"/>
                        <w:sz w:val="20"/>
                      </w:rPr>
                      <w:t>u</w:t>
                    </w:r>
                    <w:r>
                      <w:rPr>
                        <w:spacing w:val="1"/>
                        <w:w w:val="99"/>
                        <w:sz w:val="20"/>
                      </w:rPr>
                      <w:t>p</w:t>
                    </w:r>
                    <w:r>
                      <w:rPr>
                        <w:w w:val="99"/>
                        <w:sz w:val="20"/>
                      </w:rPr>
                      <w:t>eri</w:t>
                    </w:r>
                    <w:r>
                      <w:rPr>
                        <w:spacing w:val="-1"/>
                        <w:w w:val="99"/>
                        <w:sz w:val="20"/>
                      </w:rPr>
                      <w:t>o</w:t>
                    </w:r>
                    <w:r>
                      <w:rPr>
                        <w:w w:val="99"/>
                        <w:sz w:val="20"/>
                      </w:rPr>
                      <w:t>r</w:t>
                    </w:r>
                    <w:r>
                      <w:rPr>
                        <w:spacing w:val="2"/>
                        <w:sz w:val="20"/>
                      </w:rPr>
                      <w:t> </w:t>
                    </w:r>
                    <w:r>
                      <w:rPr>
                        <w:w w:val="99"/>
                        <w:sz w:val="20"/>
                      </w:rPr>
                      <w:t>de</w:t>
                    </w:r>
                    <w:r>
                      <w:rPr>
                        <w:spacing w:val="1"/>
                        <w:sz w:val="20"/>
                      </w:rPr>
                      <w:t> </w:t>
                    </w:r>
                    <w:r>
                      <w:rPr>
                        <w:spacing w:val="-1"/>
                        <w:w w:val="99"/>
                        <w:sz w:val="20"/>
                      </w:rPr>
                      <w:t>l</w:t>
                    </w:r>
                    <w:r>
                      <w:rPr>
                        <w:spacing w:val="-27"/>
                        <w:w w:val="99"/>
                        <w:sz w:val="20"/>
                      </w:rPr>
                      <w:t>a</w:t>
                    </w:r>
                    <w:r>
                      <w:rPr>
                        <w:b/>
                        <w:spacing w:val="-17"/>
                        <w:w w:val="123"/>
                        <w:position w:val="7"/>
                        <w:sz w:val="13"/>
                      </w:rPr>
                      <w:t>I</w:t>
                    </w:r>
                    <w:r>
                      <w:rPr>
                        <w:spacing w:val="-84"/>
                        <w:w w:val="99"/>
                        <w:sz w:val="20"/>
                      </w:rPr>
                      <w:t>s</w:t>
                    </w:r>
                    <w:r>
                      <w:rPr>
                        <w:b/>
                        <w:w w:val="123"/>
                        <w:position w:val="7"/>
                        <w:sz w:val="13"/>
                      </w:rPr>
                      <w:t>x</w:t>
                    </w:r>
                    <w:r>
                      <w:rPr>
                        <w:b/>
                        <w:spacing w:val="-4"/>
                        <w:w w:val="123"/>
                        <w:position w:val="7"/>
                        <w:sz w:val="13"/>
                      </w:rPr>
                      <w:t>t</w:t>
                    </w:r>
                    <w:r>
                      <w:rPr>
                        <w:spacing w:val="-97"/>
                        <w:w w:val="99"/>
                        <w:sz w:val="20"/>
                      </w:rPr>
                      <w:t>c</w:t>
                    </w:r>
                    <w:r>
                      <w:rPr>
                        <w:b/>
                        <w:w w:val="123"/>
                        <w:position w:val="7"/>
                        <w:sz w:val="13"/>
                      </w:rPr>
                      <w:t>l</w:t>
                    </w:r>
                    <w:r>
                      <w:rPr>
                        <w:b/>
                        <w:spacing w:val="-38"/>
                        <w:w w:val="123"/>
                        <w:position w:val="7"/>
                        <w:sz w:val="13"/>
                      </w:rPr>
                      <w:t>a</w:t>
                    </w:r>
                    <w:r>
                      <w:rPr>
                        <w:spacing w:val="-74"/>
                        <w:w w:val="99"/>
                        <w:sz w:val="20"/>
                      </w:rPr>
                      <w:t>u</w:t>
                    </w:r>
                    <w:r>
                      <w:rPr>
                        <w:b/>
                        <w:spacing w:val="-26"/>
                        <w:w w:val="123"/>
                        <w:position w:val="7"/>
                        <w:sz w:val="13"/>
                      </w:rPr>
                      <w:t>h</w:t>
                    </w:r>
                    <w:r>
                      <w:rPr>
                        <w:spacing w:val="-86"/>
                        <w:w w:val="99"/>
                        <w:sz w:val="20"/>
                      </w:rPr>
                      <w:t>e</w:t>
                    </w:r>
                    <w:r>
                      <w:rPr>
                        <w:b/>
                        <w:spacing w:val="-14"/>
                        <w:w w:val="123"/>
                        <w:position w:val="7"/>
                        <w:sz w:val="13"/>
                      </w:rPr>
                      <w:t>u</w:t>
                    </w:r>
                    <w:r>
                      <w:rPr>
                        <w:spacing w:val="-97"/>
                        <w:w w:val="99"/>
                        <w:sz w:val="20"/>
                      </w:rPr>
                      <w:t>n</w:t>
                    </w:r>
                    <w:r>
                      <w:rPr>
                        <w:b/>
                        <w:w w:val="123"/>
                        <w:position w:val="7"/>
                        <w:sz w:val="13"/>
                      </w:rPr>
                      <w:t>a</w:t>
                    </w:r>
                    <w:r>
                      <w:rPr>
                        <w:b/>
                        <w:spacing w:val="-83"/>
                        <w:w w:val="123"/>
                        <w:position w:val="7"/>
                        <w:sz w:val="13"/>
                      </w:rPr>
                      <w:t>c</w:t>
                    </w:r>
                    <w:r>
                      <w:rPr>
                        <w:w w:val="99"/>
                        <w:sz w:val="20"/>
                      </w:rPr>
                      <w:t>t</w:t>
                    </w:r>
                    <w:r>
                      <w:rPr>
                        <w:spacing w:val="-84"/>
                        <w:w w:val="99"/>
                        <w:sz w:val="20"/>
                      </w:rPr>
                      <w:t>a</w:t>
                    </w:r>
                    <w:r>
                      <w:rPr>
                        <w:b/>
                        <w:spacing w:val="-7"/>
                        <w:w w:val="123"/>
                        <w:position w:val="7"/>
                        <w:sz w:val="13"/>
                      </w:rPr>
                      <w:t>a</w:t>
                    </w:r>
                    <w:r>
                      <w:rPr>
                        <w:spacing w:val="-2"/>
                        <w:w w:val="99"/>
                        <w:sz w:val="20"/>
                      </w:rPr>
                      <w:t>s</w:t>
                    </w:r>
                    <w:r>
                      <w:rPr>
                        <w:b/>
                        <w:spacing w:val="-49"/>
                        <w:w w:val="123"/>
                        <w:position w:val="7"/>
                        <w:sz w:val="13"/>
                      </w:rPr>
                      <w:t>E</w:t>
                    </w:r>
                    <w:r>
                      <w:rPr>
                        <w:spacing w:val="-62"/>
                        <w:w w:val="99"/>
                        <w:sz w:val="20"/>
                      </w:rPr>
                      <w:t>p</w:t>
                    </w:r>
                    <w:r>
                      <w:rPr>
                        <w:b/>
                        <w:spacing w:val="-1"/>
                        <w:w w:val="123"/>
                        <w:position w:val="7"/>
                        <w:sz w:val="13"/>
                      </w:rPr>
                      <w:t>j</w:t>
                    </w:r>
                    <w:r>
                      <w:rPr>
                        <w:b/>
                        <w:spacing w:val="-71"/>
                        <w:w w:val="123"/>
                        <w:position w:val="7"/>
                        <w:sz w:val="13"/>
                      </w:rPr>
                      <w:t>e</w:t>
                    </w:r>
                    <w:r>
                      <w:rPr>
                        <w:spacing w:val="-40"/>
                        <w:w w:val="99"/>
                        <w:sz w:val="20"/>
                      </w:rPr>
                      <w:t>ú</w:t>
                    </w:r>
                    <w:r>
                      <w:rPr>
                        <w:b/>
                        <w:spacing w:val="-23"/>
                        <w:w w:val="123"/>
                        <w:position w:val="7"/>
                        <w:sz w:val="13"/>
                      </w:rPr>
                      <w:t>r</w:t>
                    </w:r>
                    <w:r>
                      <w:rPr>
                        <w:spacing w:val="-88"/>
                        <w:w w:val="99"/>
                        <w:sz w:val="20"/>
                      </w:rPr>
                      <w:t>b</w:t>
                    </w:r>
                    <w:r>
                      <w:rPr>
                        <w:b/>
                        <w:spacing w:val="-3"/>
                        <w:w w:val="123"/>
                        <w:position w:val="7"/>
                        <w:sz w:val="13"/>
                      </w:rPr>
                      <w:t>c</w:t>
                    </w:r>
                    <w:r>
                      <w:rPr>
                        <w:spacing w:val="-41"/>
                        <w:w w:val="99"/>
                        <w:sz w:val="20"/>
                      </w:rPr>
                      <w:t>l</w:t>
                    </w:r>
                    <w:r>
                      <w:rPr>
                        <w:b/>
                        <w:spacing w:val="-3"/>
                        <w:w w:val="123"/>
                        <w:position w:val="7"/>
                        <w:sz w:val="13"/>
                      </w:rPr>
                      <w:t>i</w:t>
                    </w:r>
                    <w:r>
                      <w:rPr>
                        <w:spacing w:val="-42"/>
                        <w:w w:val="99"/>
                        <w:sz w:val="20"/>
                      </w:rPr>
                      <w:t>i</w:t>
                    </w:r>
                    <w:r>
                      <w:rPr>
                        <w:b/>
                        <w:spacing w:val="-49"/>
                        <w:w w:val="123"/>
                        <w:position w:val="7"/>
                        <w:sz w:val="13"/>
                      </w:rPr>
                      <w:t>c</w:t>
                    </w:r>
                    <w:r>
                      <w:rPr>
                        <w:spacing w:val="-51"/>
                        <w:w w:val="99"/>
                        <w:sz w:val="20"/>
                      </w:rPr>
                      <w:t>c</w:t>
                    </w:r>
                    <w:r>
                      <w:rPr>
                        <w:b/>
                        <w:w w:val="123"/>
                        <w:position w:val="7"/>
                        <w:sz w:val="13"/>
                      </w:rPr>
                      <w:t>i</w:t>
                    </w:r>
                    <w:r>
                      <w:rPr>
                        <w:b/>
                        <w:spacing w:val="-92"/>
                        <w:w w:val="123"/>
                        <w:position w:val="7"/>
                        <w:sz w:val="13"/>
                      </w:rPr>
                      <w:t>o</w:t>
                    </w:r>
                    <w:r>
                      <w:rPr>
                        <w:w w:val="99"/>
                        <w:sz w:val="20"/>
                      </w:rPr>
                      <w:t>a</w:t>
                    </w:r>
                    <w:r>
                      <w:rPr>
                        <w:spacing w:val="-74"/>
                        <w:w w:val="99"/>
                        <w:sz w:val="20"/>
                      </w:rPr>
                      <w:t>s</w:t>
                    </w:r>
                    <w:r>
                      <w:rPr>
                        <w:b/>
                        <w:spacing w:val="-1"/>
                        <w:w w:val="123"/>
                        <w:position w:val="7"/>
                        <w:sz w:val="13"/>
                      </w:rPr>
                      <w:t>f</w:t>
                    </w:r>
                    <w:r>
                      <w:rPr>
                        <w:b/>
                        <w:w w:val="123"/>
                        <w:position w:val="7"/>
                        <w:sz w:val="13"/>
                      </w:rPr>
                      <w:t>i</w:t>
                    </w:r>
                    <w:r>
                      <w:rPr>
                        <w:b/>
                        <w:spacing w:val="-59"/>
                        <w:w w:val="123"/>
                        <w:position w:val="7"/>
                        <w:sz w:val="13"/>
                      </w:rPr>
                      <w:t>s</w:t>
                    </w:r>
                    <w:r>
                      <w:rPr>
                        <w:spacing w:val="-53"/>
                        <w:w w:val="99"/>
                        <w:sz w:val="20"/>
                      </w:rPr>
                      <w:t>2</w:t>
                    </w:r>
                    <w:r>
                      <w:rPr>
                        <w:b/>
                        <w:spacing w:val="-38"/>
                        <w:w w:val="123"/>
                        <w:position w:val="7"/>
                        <w:sz w:val="13"/>
                      </w:rPr>
                      <w:t>c</w:t>
                    </w:r>
                    <w:r>
                      <w:rPr>
                        <w:spacing w:val="-74"/>
                        <w:w w:val="99"/>
                        <w:sz w:val="20"/>
                      </w:rPr>
                      <w:t>0</w:t>
                    </w:r>
                    <w:r>
                      <w:rPr>
                        <w:b/>
                        <w:spacing w:val="-15"/>
                        <w:w w:val="123"/>
                        <w:position w:val="7"/>
                        <w:sz w:val="13"/>
                      </w:rPr>
                      <w:t>a</w:t>
                    </w:r>
                    <w:r>
                      <w:rPr>
                        <w:spacing w:val="-96"/>
                        <w:w w:val="99"/>
                        <w:sz w:val="20"/>
                      </w:rPr>
                      <w:t>0</w:t>
                    </w:r>
                    <w:r>
                      <w:rPr>
                        <w:b/>
                        <w:w w:val="123"/>
                        <w:position w:val="7"/>
                        <w:sz w:val="13"/>
                      </w:rPr>
                      <w:t>l</w:t>
                    </w:r>
                    <w:r>
                      <w:rPr>
                        <w:b/>
                        <w:spacing w:val="9"/>
                        <w:position w:val="7"/>
                        <w:sz w:val="13"/>
                      </w:rPr>
                      <w:t> </w:t>
                    </w:r>
                    <w:r>
                      <w:rPr>
                        <w:b/>
                        <w:spacing w:val="-84"/>
                        <w:w w:val="123"/>
                        <w:position w:val="7"/>
                        <w:sz w:val="13"/>
                      </w:rPr>
                      <w:t>2</w:t>
                    </w:r>
                    <w:r>
                      <w:rPr>
                        <w:spacing w:val="-27"/>
                        <w:w w:val="99"/>
                        <w:sz w:val="20"/>
                      </w:rPr>
                      <w:t>8</w:t>
                    </w:r>
                    <w:r>
                      <w:rPr>
                        <w:b/>
                        <w:spacing w:val="-59"/>
                        <w:w w:val="123"/>
                        <w:position w:val="7"/>
                        <w:sz w:val="13"/>
                      </w:rPr>
                      <w:t>0</w:t>
                    </w:r>
                    <w:r>
                      <w:rPr>
                        <w:spacing w:val="-8"/>
                        <w:w w:val="99"/>
                        <w:sz w:val="20"/>
                      </w:rPr>
                      <w:t>-</w:t>
                    </w:r>
                    <w:r>
                      <w:rPr>
                        <w:b/>
                        <w:spacing w:val="-82"/>
                        <w:w w:val="123"/>
                        <w:position w:val="7"/>
                        <w:sz w:val="13"/>
                      </w:rPr>
                      <w:t>0</w:t>
                    </w:r>
                    <w:r>
                      <w:rPr>
                        <w:spacing w:val="-29"/>
                        <w:w w:val="99"/>
                        <w:sz w:val="20"/>
                      </w:rPr>
                      <w:t>2</w:t>
                    </w:r>
                    <w:r>
                      <w:rPr>
                        <w:b/>
                        <w:spacing w:val="-59"/>
                        <w:w w:val="123"/>
                        <w:position w:val="7"/>
                        <w:sz w:val="13"/>
                      </w:rPr>
                      <w:t>9</w:t>
                    </w:r>
                    <w:r>
                      <w:rPr>
                        <w:spacing w:val="1"/>
                        <w:w w:val="99"/>
                        <w:sz w:val="20"/>
                      </w:rPr>
                      <w:t>0</w:t>
                    </w:r>
                    <w:r>
                      <w:rPr>
                        <w:w w:val="99"/>
                        <w:sz w:val="20"/>
                      </w:rPr>
                      <w:t>14</w:t>
                    </w:r>
                  </w:p>
                </w:txbxContent>
              </v:textbox>
              <w10:wrap type="none"/>
            </v:shape>
            <w10:wrap type="none"/>
          </v:group>
        </w:pict>
      </w:r>
      <w:r>
        <w:rPr>
          <w:b/>
          <w:w w:val="125"/>
          <w:sz w:val="13"/>
        </w:rPr>
        <w:t>Calidad de la Gestión Gubernamental</w:t>
      </w:r>
    </w:p>
    <w:p>
      <w:pPr>
        <w:pStyle w:val="BodyText"/>
        <w:rPr>
          <w:b/>
          <w:sz w:val="20"/>
        </w:rPr>
      </w:pPr>
    </w:p>
    <w:p>
      <w:pPr>
        <w:pStyle w:val="BodyText"/>
        <w:rPr>
          <w:b/>
          <w:sz w:val="20"/>
        </w:rPr>
      </w:pPr>
    </w:p>
    <w:p>
      <w:pPr>
        <w:pStyle w:val="BodyText"/>
        <w:spacing w:before="9"/>
        <w:rPr>
          <w:b/>
          <w:sz w:val="29"/>
        </w:rPr>
      </w:pPr>
    </w:p>
    <w:tbl>
      <w:tblPr>
        <w:tblW w:w="0" w:type="auto"/>
        <w:jc w:val="left"/>
        <w:tblInd w:w="2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26"/>
        <w:gridCol w:w="3538"/>
      </w:tblGrid>
      <w:tr>
        <w:trPr>
          <w:trHeight w:val="168" w:hRule="exact"/>
        </w:trPr>
        <w:tc>
          <w:tcPr>
            <w:tcW w:w="7064" w:type="dxa"/>
            <w:gridSpan w:val="2"/>
            <w:tcBorders>
              <w:left w:val="single" w:sz="5" w:space="0" w:color="000000"/>
              <w:right w:val="single" w:sz="5" w:space="0" w:color="000000"/>
            </w:tcBorders>
            <w:shd w:val="clear" w:color="auto" w:fill="E6B8B7"/>
          </w:tcPr>
          <w:p>
            <w:pPr>
              <w:pStyle w:val="TableParagraph"/>
              <w:spacing w:before="1"/>
              <w:ind w:left="3317" w:right="3306"/>
              <w:jc w:val="center"/>
              <w:rPr>
                <w:b/>
                <w:sz w:val="13"/>
              </w:rPr>
            </w:pPr>
            <w:r>
              <w:rPr>
                <w:b/>
                <w:w w:val="125"/>
                <w:sz w:val="13"/>
              </w:rPr>
              <w:t>FISM</w:t>
            </w:r>
          </w:p>
        </w:tc>
      </w:tr>
      <w:tr>
        <w:trPr>
          <w:trHeight w:val="169" w:hRule="exact"/>
        </w:trPr>
        <w:tc>
          <w:tcPr>
            <w:tcW w:w="3526" w:type="dxa"/>
            <w:tcBorders>
              <w:left w:val="single" w:sz="5" w:space="0" w:color="000000"/>
              <w:right w:val="single" w:sz="5" w:space="0" w:color="000000"/>
            </w:tcBorders>
            <w:shd w:val="clear" w:color="auto" w:fill="F1DCDB"/>
          </w:tcPr>
          <w:p>
            <w:pPr>
              <w:pStyle w:val="TableParagraph"/>
              <w:spacing w:before="1"/>
              <w:ind w:left="22"/>
              <w:rPr>
                <w:b/>
                <w:sz w:val="13"/>
              </w:rPr>
            </w:pPr>
            <w:r>
              <w:rPr>
                <w:b/>
                <w:w w:val="125"/>
                <w:sz w:val="13"/>
              </w:rPr>
              <w:t>Fortalezas</w:t>
            </w:r>
          </w:p>
        </w:tc>
        <w:tc>
          <w:tcPr>
            <w:tcW w:w="3538" w:type="dxa"/>
            <w:tcBorders>
              <w:left w:val="single" w:sz="5" w:space="0" w:color="000000"/>
              <w:right w:val="single" w:sz="5" w:space="0" w:color="000000"/>
            </w:tcBorders>
            <w:shd w:val="clear" w:color="auto" w:fill="F1DCDB"/>
          </w:tcPr>
          <w:p>
            <w:pPr>
              <w:pStyle w:val="TableParagraph"/>
              <w:spacing w:before="1"/>
              <w:ind w:left="22"/>
              <w:rPr>
                <w:b/>
                <w:sz w:val="13"/>
              </w:rPr>
            </w:pPr>
            <w:r>
              <w:rPr>
                <w:b/>
                <w:w w:val="125"/>
                <w:sz w:val="13"/>
              </w:rPr>
              <w:t>Debilidades</w:t>
            </w:r>
          </w:p>
        </w:tc>
      </w:tr>
      <w:tr>
        <w:trPr>
          <w:trHeight w:val="1009" w:hRule="exact"/>
        </w:trPr>
        <w:tc>
          <w:tcPr>
            <w:tcW w:w="3526" w:type="dxa"/>
            <w:tcBorders>
              <w:left w:val="single" w:sz="5" w:space="0" w:color="000000"/>
              <w:right w:val="single" w:sz="5" w:space="0" w:color="000000"/>
            </w:tcBorders>
          </w:tcPr>
          <w:p>
            <w:pPr>
              <w:pStyle w:val="TableParagraph"/>
              <w:spacing w:line="271" w:lineRule="auto" w:before="1"/>
              <w:ind w:left="22"/>
              <w:rPr>
                <w:sz w:val="13"/>
              </w:rPr>
            </w:pPr>
            <w:r>
              <w:rPr>
                <w:w w:val="125"/>
                <w:sz w:val="13"/>
              </w:rPr>
              <w:t>El personal responsable del fondo participó en talleres de capacitación y su rotación no fue relevante; además, se promovió la participación social en la aplicación de los recursos del FISM 2009.</w:t>
            </w:r>
          </w:p>
        </w:tc>
        <w:tc>
          <w:tcPr>
            <w:tcW w:w="3538" w:type="dxa"/>
            <w:tcBorders>
              <w:left w:val="single" w:sz="5" w:space="0" w:color="000000"/>
              <w:right w:val="single" w:sz="5" w:space="0" w:color="000000"/>
            </w:tcBorders>
          </w:tcPr>
          <w:p>
            <w:pPr>
              <w:pStyle w:val="TableParagraph"/>
              <w:spacing w:line="271" w:lineRule="auto" w:before="1"/>
              <w:ind w:left="22"/>
              <w:rPr>
                <w:sz w:val="13"/>
              </w:rPr>
            </w:pPr>
            <w:r>
              <w:rPr>
                <w:w w:val="125"/>
                <w:sz w:val="13"/>
              </w:rPr>
              <w:t>El municipio careció de manuales de organización y de procedimientos para la operación del FISM.</w:t>
            </w:r>
          </w:p>
        </w:tc>
      </w:tr>
      <w:tr>
        <w:trPr>
          <w:trHeight w:val="751" w:hRule="exact"/>
        </w:trPr>
        <w:tc>
          <w:tcPr>
            <w:tcW w:w="3526" w:type="dxa"/>
            <w:tcBorders>
              <w:left w:val="single" w:sz="5" w:space="0" w:color="000000"/>
              <w:right w:val="single" w:sz="5" w:space="0" w:color="000000"/>
            </w:tcBorders>
          </w:tcPr>
          <w:p>
            <w:pPr/>
          </w:p>
        </w:tc>
        <w:tc>
          <w:tcPr>
            <w:tcW w:w="3538" w:type="dxa"/>
            <w:tcBorders>
              <w:left w:val="single" w:sz="5" w:space="0" w:color="000000"/>
              <w:right w:val="single" w:sz="5" w:space="0" w:color="000000"/>
            </w:tcBorders>
          </w:tcPr>
          <w:p>
            <w:pPr>
              <w:pStyle w:val="TableParagraph"/>
              <w:spacing w:line="271" w:lineRule="auto" w:before="2"/>
              <w:ind w:left="22"/>
              <w:rPr>
                <w:sz w:val="13"/>
              </w:rPr>
            </w:pPr>
            <w:r>
              <w:rPr>
                <w:w w:val="125"/>
                <w:sz w:val="13"/>
              </w:rPr>
              <w:t>Existen deficiencias en la coordinación de las áreas responsables de la aplicación de los recursos del fondo.</w:t>
            </w:r>
          </w:p>
        </w:tc>
      </w:tr>
      <w:tr>
        <w:trPr>
          <w:trHeight w:val="739" w:hRule="exact"/>
        </w:trPr>
        <w:tc>
          <w:tcPr>
            <w:tcW w:w="3526" w:type="dxa"/>
            <w:tcBorders>
              <w:left w:val="single" w:sz="5" w:space="0" w:color="000000"/>
              <w:right w:val="single" w:sz="5" w:space="0" w:color="000000"/>
            </w:tcBorders>
          </w:tcPr>
          <w:p>
            <w:pPr/>
          </w:p>
        </w:tc>
        <w:tc>
          <w:tcPr>
            <w:tcW w:w="3538" w:type="dxa"/>
            <w:tcBorders>
              <w:left w:val="single" w:sz="5" w:space="0" w:color="000000"/>
              <w:right w:val="single" w:sz="5" w:space="0" w:color="000000"/>
            </w:tcBorders>
          </w:tcPr>
          <w:p>
            <w:pPr>
              <w:pStyle w:val="TableParagraph"/>
              <w:spacing w:line="271" w:lineRule="auto" w:before="1"/>
              <w:ind w:left="23" w:hanging="2"/>
              <w:rPr>
                <w:sz w:val="13"/>
              </w:rPr>
            </w:pPr>
            <w:r>
              <w:rPr>
                <w:w w:val="125"/>
                <w:sz w:val="13"/>
              </w:rPr>
              <w:t>En la cuenta bancaria del FISM 2009, se operaron recursos de fuentes de financiamiento distintas.</w:t>
            </w:r>
          </w:p>
        </w:tc>
      </w:tr>
      <w:tr>
        <w:trPr>
          <w:trHeight w:val="694" w:hRule="exact"/>
        </w:trPr>
        <w:tc>
          <w:tcPr>
            <w:tcW w:w="3526" w:type="dxa"/>
            <w:tcBorders>
              <w:left w:val="single" w:sz="5" w:space="0" w:color="000000"/>
              <w:right w:val="single" w:sz="5" w:space="0" w:color="000000"/>
            </w:tcBorders>
          </w:tcPr>
          <w:p>
            <w:pPr/>
          </w:p>
        </w:tc>
        <w:tc>
          <w:tcPr>
            <w:tcW w:w="3538" w:type="dxa"/>
            <w:tcBorders>
              <w:left w:val="single" w:sz="5" w:space="0" w:color="000000"/>
              <w:right w:val="single" w:sz="5" w:space="0" w:color="000000"/>
            </w:tcBorders>
          </w:tcPr>
          <w:p>
            <w:pPr>
              <w:pStyle w:val="TableParagraph"/>
              <w:spacing w:line="268" w:lineRule="auto" w:before="2"/>
              <w:ind w:left="23" w:hanging="2"/>
              <w:rPr>
                <w:sz w:val="13"/>
              </w:rPr>
            </w:pPr>
            <w:r>
              <w:rPr>
                <w:w w:val="125"/>
                <w:sz w:val="13"/>
              </w:rPr>
              <w:t>Se aplicaron recursos en obras y acciones que no se encuentran previstas dentro de los rubros de la Ley de Coordinación Fiscal.</w:t>
            </w:r>
          </w:p>
        </w:tc>
      </w:tr>
      <w:tr>
        <w:trPr>
          <w:trHeight w:val="786" w:hRule="exact"/>
        </w:trPr>
        <w:tc>
          <w:tcPr>
            <w:tcW w:w="3526" w:type="dxa"/>
            <w:tcBorders>
              <w:left w:val="single" w:sz="5" w:space="0" w:color="000000"/>
              <w:right w:val="single" w:sz="5" w:space="0" w:color="000000"/>
            </w:tcBorders>
          </w:tcPr>
          <w:p>
            <w:pPr/>
          </w:p>
        </w:tc>
        <w:tc>
          <w:tcPr>
            <w:tcW w:w="3538" w:type="dxa"/>
            <w:tcBorders>
              <w:left w:val="single" w:sz="5" w:space="0" w:color="000000"/>
              <w:right w:val="single" w:sz="5" w:space="0" w:color="000000"/>
            </w:tcBorders>
          </w:tcPr>
          <w:p>
            <w:pPr>
              <w:pStyle w:val="TableParagraph"/>
              <w:spacing w:line="268" w:lineRule="auto" w:before="2"/>
              <w:ind w:left="21" w:firstLine="1"/>
              <w:rPr>
                <w:sz w:val="13"/>
              </w:rPr>
            </w:pPr>
            <w:r>
              <w:rPr>
                <w:w w:val="125"/>
                <w:sz w:val="13"/>
              </w:rPr>
              <w:t>Al final del ejercicio, no se evaluaron, los resultados del FISM; los registros contables, presupuestales y patrimoniales del fondo muestran diferencias que no fueron conciliadas.</w:t>
            </w:r>
          </w:p>
        </w:tc>
      </w:tr>
      <w:tr>
        <w:trPr>
          <w:trHeight w:val="504" w:hRule="exact"/>
        </w:trPr>
        <w:tc>
          <w:tcPr>
            <w:tcW w:w="3526" w:type="dxa"/>
            <w:tcBorders>
              <w:left w:val="single" w:sz="5" w:space="0" w:color="000000"/>
              <w:right w:val="single" w:sz="5" w:space="0" w:color="000000"/>
            </w:tcBorders>
          </w:tcPr>
          <w:p>
            <w:pPr/>
          </w:p>
        </w:tc>
        <w:tc>
          <w:tcPr>
            <w:tcW w:w="3538" w:type="dxa"/>
            <w:tcBorders>
              <w:left w:val="single" w:sz="5" w:space="0" w:color="000000"/>
              <w:right w:val="single" w:sz="5" w:space="0" w:color="000000"/>
            </w:tcBorders>
          </w:tcPr>
          <w:p>
            <w:pPr>
              <w:pStyle w:val="TableParagraph"/>
              <w:spacing w:line="268" w:lineRule="auto" w:before="1"/>
              <w:ind w:left="24" w:hanging="3"/>
              <w:rPr>
                <w:sz w:val="13"/>
              </w:rPr>
            </w:pPr>
            <w:r>
              <w:rPr>
                <w:w w:val="125"/>
                <w:sz w:val="13"/>
              </w:rPr>
              <w:t>El programa de supervisión no asegura la correcta aplicación de los recursos del fondo.</w:t>
            </w:r>
          </w:p>
        </w:tc>
      </w:tr>
      <w:tr>
        <w:trPr>
          <w:trHeight w:val="504" w:hRule="exact"/>
        </w:trPr>
        <w:tc>
          <w:tcPr>
            <w:tcW w:w="3526" w:type="dxa"/>
            <w:tcBorders>
              <w:left w:val="single" w:sz="5" w:space="0" w:color="000000"/>
              <w:right w:val="single" w:sz="5" w:space="0" w:color="000000"/>
            </w:tcBorders>
          </w:tcPr>
          <w:p>
            <w:pPr/>
          </w:p>
        </w:tc>
        <w:tc>
          <w:tcPr>
            <w:tcW w:w="3538" w:type="dxa"/>
            <w:tcBorders>
              <w:left w:val="single" w:sz="5" w:space="0" w:color="000000"/>
              <w:right w:val="single" w:sz="5" w:space="0" w:color="000000"/>
            </w:tcBorders>
          </w:tcPr>
          <w:p>
            <w:pPr>
              <w:pStyle w:val="TableParagraph"/>
              <w:spacing w:line="268" w:lineRule="auto" w:before="1"/>
              <w:ind w:left="22"/>
              <w:rPr>
                <w:sz w:val="13"/>
              </w:rPr>
            </w:pPr>
            <w:r>
              <w:rPr>
                <w:w w:val="125"/>
                <w:sz w:val="13"/>
              </w:rPr>
              <w:t>Las acciones promovidas por la Contraloría Municipal no tienen el carácter preventivo deseable.</w:t>
            </w:r>
          </w:p>
        </w:tc>
      </w:tr>
      <w:tr>
        <w:trPr>
          <w:trHeight w:val="1009" w:hRule="exact"/>
        </w:trPr>
        <w:tc>
          <w:tcPr>
            <w:tcW w:w="3526" w:type="dxa"/>
            <w:tcBorders>
              <w:left w:val="single" w:sz="5" w:space="0" w:color="000000"/>
              <w:right w:val="single" w:sz="5" w:space="0" w:color="000000"/>
            </w:tcBorders>
          </w:tcPr>
          <w:p>
            <w:pPr/>
          </w:p>
        </w:tc>
        <w:tc>
          <w:tcPr>
            <w:tcW w:w="3538" w:type="dxa"/>
            <w:tcBorders>
              <w:left w:val="single" w:sz="5" w:space="0" w:color="000000"/>
              <w:right w:val="single" w:sz="5" w:space="0" w:color="000000"/>
            </w:tcBorders>
          </w:tcPr>
          <w:p>
            <w:pPr>
              <w:pStyle w:val="TableParagraph"/>
              <w:spacing w:line="268" w:lineRule="auto" w:before="2"/>
              <w:ind w:left="21" w:firstLine="1"/>
              <w:rPr>
                <w:sz w:val="13"/>
              </w:rPr>
            </w:pPr>
            <w:r>
              <w:rPr>
                <w:w w:val="125"/>
                <w:sz w:val="13"/>
              </w:rPr>
              <w:t>El municipio careció de sistemas de archivo eficiente y no publicó en el órgano local de difusión, en medios electrónicos o en publicaciones específicas los informes del FISM 2009 entregados a la Secretaría de Hacienda y Crédito Público.</w:t>
            </w:r>
          </w:p>
        </w:tc>
      </w:tr>
      <w:tr>
        <w:trPr>
          <w:trHeight w:val="785" w:hRule="exact"/>
        </w:trPr>
        <w:tc>
          <w:tcPr>
            <w:tcW w:w="3526" w:type="dxa"/>
            <w:tcBorders>
              <w:left w:val="single" w:sz="5" w:space="0" w:color="000000"/>
              <w:right w:val="single" w:sz="5" w:space="0" w:color="000000"/>
            </w:tcBorders>
          </w:tcPr>
          <w:p>
            <w:pPr/>
          </w:p>
        </w:tc>
        <w:tc>
          <w:tcPr>
            <w:tcW w:w="3538" w:type="dxa"/>
            <w:tcBorders>
              <w:left w:val="single" w:sz="5" w:space="0" w:color="000000"/>
              <w:right w:val="single" w:sz="5" w:space="0" w:color="000000"/>
            </w:tcBorders>
          </w:tcPr>
          <w:p>
            <w:pPr>
              <w:pStyle w:val="TableParagraph"/>
              <w:spacing w:line="268" w:lineRule="auto" w:before="1"/>
              <w:ind w:left="22"/>
              <w:rPr>
                <w:sz w:val="13"/>
              </w:rPr>
            </w:pPr>
            <w:r>
              <w:rPr>
                <w:w w:val="125"/>
                <w:sz w:val="13"/>
              </w:rPr>
              <w:t>No dió a conocer a los habitantes del municipio los resultados alcanzados con la aplicación de los recursos del fondo.</w:t>
            </w:r>
          </w:p>
        </w:tc>
      </w:tr>
    </w:tbl>
    <w:p>
      <w:pPr>
        <w:spacing w:after="0" w:line="268" w:lineRule="auto"/>
        <w:rPr>
          <w:sz w:val="13"/>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spacing w:before="8"/>
        <w:rPr>
          <w:b/>
          <w:sz w:val="27"/>
        </w:rPr>
      </w:pPr>
    </w:p>
    <w:p>
      <w:pPr>
        <w:spacing w:line="232" w:lineRule="exact" w:before="76"/>
        <w:ind w:left="2182" w:right="1340" w:firstLine="0"/>
        <w:jc w:val="left"/>
        <w:rPr>
          <w:sz w:val="20"/>
        </w:rPr>
      </w:pPr>
      <w:r>
        <w:rPr/>
        <w:drawing>
          <wp:anchor distT="0" distB="0" distL="0" distR="0" allowOverlap="1" layoutInCell="1" locked="0" behindDoc="1" simplePos="0" relativeHeight="267757991">
            <wp:simplePos x="0" y="0"/>
            <wp:positionH relativeFrom="page">
              <wp:posOffset>2729483</wp:posOffset>
            </wp:positionH>
            <wp:positionV relativeFrom="paragraph">
              <wp:posOffset>50038</wp:posOffset>
            </wp:positionV>
            <wp:extent cx="4686300" cy="518160"/>
            <wp:effectExtent l="0" t="0" r="0" b="0"/>
            <wp:wrapNone/>
            <wp:docPr id="17" name="image30.png" descr=""/>
            <wp:cNvGraphicFramePr>
              <a:graphicFrameLocks noChangeAspect="1"/>
            </wp:cNvGraphicFramePr>
            <a:graphic>
              <a:graphicData uri="http://schemas.openxmlformats.org/drawingml/2006/picture">
                <pic:pic>
                  <pic:nvPicPr>
                    <pic:cNvPr id="18" name="image30.png"/>
                    <pic:cNvPicPr/>
                  </pic:nvPicPr>
                  <pic:blipFill>
                    <a:blip r:embed="rId80" cstate="print"/>
                    <a:stretch>
                      <a:fillRect/>
                    </a:stretch>
                  </pic:blipFill>
                  <pic:spPr>
                    <a:xfrm>
                      <a:off x="0" y="0"/>
                      <a:ext cx="4686300" cy="518160"/>
                    </a:xfrm>
                    <a:prstGeom prst="rect">
                      <a:avLst/>
                    </a:prstGeom>
                  </pic:spPr>
                </pic:pic>
              </a:graphicData>
            </a:graphic>
          </wp:anchor>
        </w:drawing>
      </w:r>
      <w:r>
        <w:rPr>
          <w:b/>
          <w:w w:val="105"/>
          <w:sz w:val="20"/>
        </w:rPr>
        <w:t>Fuente: </w:t>
      </w:r>
      <w:r>
        <w:rPr>
          <w:w w:val="105"/>
          <w:sz w:val="20"/>
        </w:rPr>
        <w:t>Elaboración propia con base en el Informe de Resultados de la </w:t>
      </w:r>
      <w:r>
        <w:rPr>
          <w:w w:val="99"/>
          <w:sz w:val="20"/>
        </w:rPr>
        <w:t>F</w:t>
      </w:r>
      <w:r>
        <w:rPr>
          <w:spacing w:val="-1"/>
          <w:w w:val="99"/>
          <w:sz w:val="20"/>
        </w:rPr>
        <w:t>i</w:t>
      </w:r>
      <w:r>
        <w:rPr>
          <w:spacing w:val="1"/>
          <w:w w:val="99"/>
          <w:sz w:val="20"/>
        </w:rPr>
        <w:t>sc</w:t>
      </w:r>
      <w:r>
        <w:rPr>
          <w:w w:val="99"/>
          <w:sz w:val="20"/>
        </w:rPr>
        <w:t>a</w:t>
      </w:r>
      <w:r>
        <w:rPr>
          <w:spacing w:val="-2"/>
          <w:w w:val="99"/>
          <w:sz w:val="20"/>
        </w:rPr>
        <w:t>l</w:t>
      </w:r>
      <w:r>
        <w:rPr>
          <w:spacing w:val="2"/>
          <w:w w:val="99"/>
          <w:sz w:val="20"/>
        </w:rPr>
        <w:t>i</w:t>
      </w:r>
      <w:r>
        <w:rPr>
          <w:spacing w:val="-2"/>
          <w:w w:val="99"/>
          <w:sz w:val="20"/>
        </w:rPr>
        <w:t>z</w:t>
      </w:r>
      <w:r>
        <w:rPr>
          <w:w w:val="99"/>
          <w:sz w:val="20"/>
        </w:rPr>
        <w:t>ac</w:t>
      </w:r>
      <w:r>
        <w:rPr>
          <w:spacing w:val="1"/>
          <w:w w:val="99"/>
          <w:sz w:val="20"/>
        </w:rPr>
        <w:t>i</w:t>
      </w:r>
      <w:r>
        <w:rPr>
          <w:w w:val="99"/>
          <w:sz w:val="20"/>
        </w:rPr>
        <w:t>ón</w:t>
      </w:r>
      <w:r>
        <w:rPr>
          <w:sz w:val="20"/>
        </w:rPr>
        <w:t> </w:t>
      </w:r>
      <w:r>
        <w:rPr>
          <w:spacing w:val="-1"/>
          <w:w w:val="99"/>
          <w:sz w:val="20"/>
        </w:rPr>
        <w:t>S</w:t>
      </w:r>
      <w:r>
        <w:rPr>
          <w:w w:val="99"/>
          <w:sz w:val="20"/>
        </w:rPr>
        <w:t>u</w:t>
      </w:r>
      <w:r>
        <w:rPr>
          <w:spacing w:val="1"/>
          <w:w w:val="99"/>
          <w:sz w:val="20"/>
        </w:rPr>
        <w:t>p</w:t>
      </w:r>
      <w:r>
        <w:rPr>
          <w:w w:val="99"/>
          <w:sz w:val="20"/>
        </w:rPr>
        <w:t>eri</w:t>
      </w:r>
      <w:r>
        <w:rPr>
          <w:spacing w:val="-39"/>
          <w:w w:val="99"/>
          <w:sz w:val="20"/>
        </w:rPr>
        <w:t>o</w:t>
      </w:r>
      <w:r>
        <w:rPr>
          <w:b/>
          <w:spacing w:val="-93"/>
          <w:w w:val="112"/>
          <w:position w:val="9"/>
          <w:sz w:val="16"/>
        </w:rPr>
        <w:t>C</w:t>
      </w:r>
      <w:r>
        <w:rPr>
          <w:w w:val="99"/>
          <w:sz w:val="20"/>
        </w:rPr>
        <w:t>r</w:t>
      </w:r>
      <w:r>
        <w:rPr>
          <w:sz w:val="20"/>
        </w:rPr>
        <w:t> </w:t>
      </w:r>
      <w:r>
        <w:rPr>
          <w:b/>
          <w:spacing w:val="-70"/>
          <w:w w:val="112"/>
          <w:position w:val="9"/>
          <w:sz w:val="16"/>
        </w:rPr>
        <w:t>a</w:t>
      </w:r>
      <w:r>
        <w:rPr>
          <w:spacing w:val="-41"/>
          <w:w w:val="99"/>
          <w:sz w:val="20"/>
        </w:rPr>
        <w:t>d</w:t>
      </w:r>
      <w:r>
        <w:rPr>
          <w:b/>
          <w:spacing w:val="-10"/>
          <w:w w:val="112"/>
          <w:position w:val="9"/>
          <w:sz w:val="16"/>
        </w:rPr>
        <w:t>l</w:t>
      </w:r>
      <w:r>
        <w:rPr>
          <w:spacing w:val="-101"/>
          <w:w w:val="99"/>
          <w:sz w:val="20"/>
        </w:rPr>
        <w:t>e</w:t>
      </w:r>
      <w:r>
        <w:rPr>
          <w:b/>
          <w:w w:val="112"/>
          <w:position w:val="9"/>
          <w:sz w:val="16"/>
        </w:rPr>
        <w:t>i</w:t>
      </w:r>
      <w:r>
        <w:rPr>
          <w:b/>
          <w:spacing w:val="-3"/>
          <w:w w:val="112"/>
          <w:position w:val="9"/>
          <w:sz w:val="16"/>
        </w:rPr>
        <w:t>d</w:t>
      </w:r>
      <w:r>
        <w:rPr>
          <w:spacing w:val="-41"/>
          <w:w w:val="99"/>
          <w:sz w:val="20"/>
        </w:rPr>
        <w:t>l</w:t>
      </w:r>
      <w:r>
        <w:rPr>
          <w:b/>
          <w:spacing w:val="-61"/>
          <w:w w:val="112"/>
          <w:position w:val="9"/>
          <w:sz w:val="16"/>
        </w:rPr>
        <w:t>a</w:t>
      </w:r>
      <w:r>
        <w:rPr>
          <w:spacing w:val="-50"/>
          <w:w w:val="99"/>
          <w:sz w:val="20"/>
        </w:rPr>
        <w:t>a</w:t>
      </w:r>
      <w:r>
        <w:rPr>
          <w:b/>
          <w:spacing w:val="-59"/>
          <w:w w:val="112"/>
          <w:position w:val="9"/>
          <w:sz w:val="16"/>
        </w:rPr>
        <w:t>d</w:t>
      </w:r>
      <w:r>
        <w:rPr>
          <w:spacing w:val="9"/>
          <w:w w:val="99"/>
          <w:sz w:val="20"/>
        </w:rPr>
        <w:t>s</w:t>
      </w:r>
      <w:r>
        <w:rPr>
          <w:b/>
          <w:spacing w:val="-64"/>
          <w:w w:val="112"/>
          <w:position w:val="9"/>
          <w:sz w:val="16"/>
        </w:rPr>
        <w:t>d</w:t>
      </w:r>
      <w:r>
        <w:rPr>
          <w:spacing w:val="-36"/>
          <w:w w:val="99"/>
          <w:sz w:val="20"/>
        </w:rPr>
        <w:t>c</w:t>
      </w:r>
      <w:r>
        <w:rPr>
          <w:b/>
          <w:spacing w:val="-64"/>
          <w:w w:val="112"/>
          <w:position w:val="9"/>
          <w:sz w:val="16"/>
        </w:rPr>
        <w:t>e</w:t>
      </w:r>
      <w:r>
        <w:rPr>
          <w:w w:val="99"/>
          <w:sz w:val="20"/>
        </w:rPr>
        <w:t>u</w:t>
      </w:r>
      <w:r>
        <w:rPr>
          <w:spacing w:val="-107"/>
          <w:w w:val="99"/>
          <w:sz w:val="20"/>
        </w:rPr>
        <w:t>e</w:t>
      </w:r>
      <w:r>
        <w:rPr>
          <w:b/>
          <w:w w:val="112"/>
          <w:position w:val="9"/>
          <w:sz w:val="16"/>
        </w:rPr>
        <w:t>l</w:t>
      </w:r>
      <w:r>
        <w:rPr>
          <w:b/>
          <w:spacing w:val="-45"/>
          <w:w w:val="112"/>
          <w:position w:val="9"/>
          <w:sz w:val="16"/>
        </w:rPr>
        <w:t>a</w:t>
      </w:r>
      <w:r>
        <w:rPr>
          <w:spacing w:val="-16"/>
          <w:w w:val="99"/>
          <w:sz w:val="20"/>
        </w:rPr>
        <w:t>n</w:t>
      </w:r>
      <w:r>
        <w:rPr>
          <w:b/>
          <w:spacing w:val="-125"/>
          <w:w w:val="112"/>
          <w:position w:val="9"/>
          <w:sz w:val="16"/>
        </w:rPr>
        <w:t>G</w:t>
      </w:r>
      <w:r>
        <w:rPr>
          <w:w w:val="99"/>
          <w:sz w:val="20"/>
        </w:rPr>
        <w:t>t</w:t>
      </w:r>
      <w:r>
        <w:rPr>
          <w:spacing w:val="-41"/>
          <w:w w:val="99"/>
          <w:sz w:val="20"/>
        </w:rPr>
        <w:t>a</w:t>
      </w:r>
      <w:r>
        <w:rPr>
          <w:b/>
          <w:spacing w:val="-61"/>
          <w:w w:val="112"/>
          <w:position w:val="9"/>
          <w:sz w:val="16"/>
        </w:rPr>
        <w:t>e</w:t>
      </w:r>
      <w:r>
        <w:rPr>
          <w:spacing w:val="-38"/>
          <w:w w:val="99"/>
          <w:sz w:val="20"/>
        </w:rPr>
        <w:t>s</w:t>
      </w:r>
      <w:r>
        <w:rPr>
          <w:b/>
          <w:spacing w:val="-6"/>
          <w:w w:val="112"/>
          <w:position w:val="9"/>
          <w:sz w:val="16"/>
        </w:rPr>
        <w:t>s</w:t>
      </w:r>
      <w:r>
        <w:rPr>
          <w:spacing w:val="-106"/>
          <w:w w:val="99"/>
          <w:sz w:val="20"/>
        </w:rPr>
        <w:t>p</w:t>
      </w:r>
      <w:r>
        <w:rPr>
          <w:b/>
          <w:w w:val="112"/>
          <w:position w:val="9"/>
          <w:sz w:val="16"/>
        </w:rPr>
        <w:t>t</w:t>
      </w:r>
      <w:r>
        <w:rPr>
          <w:b/>
          <w:spacing w:val="-3"/>
          <w:w w:val="112"/>
          <w:position w:val="9"/>
          <w:sz w:val="16"/>
        </w:rPr>
        <w:t>i</w:t>
      </w:r>
      <w:r>
        <w:rPr>
          <w:spacing w:val="-106"/>
          <w:w w:val="99"/>
          <w:sz w:val="20"/>
        </w:rPr>
        <w:t>ú</w:t>
      </w:r>
      <w:r>
        <w:rPr>
          <w:b/>
          <w:spacing w:val="-4"/>
          <w:w w:val="112"/>
          <w:position w:val="9"/>
          <w:sz w:val="16"/>
        </w:rPr>
        <w:t>ó</w:t>
      </w:r>
      <w:r>
        <w:rPr>
          <w:spacing w:val="-107"/>
          <w:w w:val="99"/>
          <w:sz w:val="20"/>
        </w:rPr>
        <w:t>b</w:t>
      </w:r>
      <w:r>
        <w:rPr>
          <w:b/>
          <w:spacing w:val="-5"/>
          <w:w w:val="112"/>
          <w:position w:val="9"/>
          <w:sz w:val="16"/>
        </w:rPr>
        <w:t>n</w:t>
      </w:r>
      <w:r>
        <w:rPr>
          <w:spacing w:val="1"/>
          <w:w w:val="99"/>
          <w:sz w:val="20"/>
        </w:rPr>
        <w:t>l</w:t>
      </w:r>
      <w:r>
        <w:rPr>
          <w:spacing w:val="-35"/>
          <w:w w:val="99"/>
          <w:sz w:val="20"/>
        </w:rPr>
        <w:t>i</w:t>
      </w:r>
      <w:r>
        <w:rPr>
          <w:b/>
          <w:spacing w:val="-107"/>
          <w:w w:val="112"/>
          <w:position w:val="9"/>
          <w:sz w:val="16"/>
        </w:rPr>
        <w:t>G</w:t>
      </w:r>
      <w:r>
        <w:rPr>
          <w:spacing w:val="1"/>
          <w:w w:val="99"/>
          <w:sz w:val="20"/>
        </w:rPr>
        <w:t>c</w:t>
      </w:r>
      <w:r>
        <w:rPr>
          <w:spacing w:val="-105"/>
          <w:w w:val="99"/>
          <w:sz w:val="20"/>
        </w:rPr>
        <w:t>a</w:t>
      </w:r>
      <w:r>
        <w:rPr>
          <w:b/>
          <w:spacing w:val="-6"/>
          <w:w w:val="112"/>
          <w:position w:val="9"/>
          <w:sz w:val="16"/>
        </w:rPr>
        <w:t>u</w:t>
      </w:r>
      <w:r>
        <w:rPr>
          <w:spacing w:val="-94"/>
          <w:w w:val="99"/>
          <w:sz w:val="20"/>
        </w:rPr>
        <w:t>s</w:t>
      </w:r>
      <w:r>
        <w:rPr>
          <w:b/>
          <w:w w:val="112"/>
          <w:position w:val="9"/>
          <w:sz w:val="16"/>
        </w:rPr>
        <w:t>b</w:t>
      </w:r>
      <w:r>
        <w:rPr>
          <w:b/>
          <w:spacing w:val="-62"/>
          <w:w w:val="112"/>
          <w:position w:val="9"/>
          <w:sz w:val="16"/>
        </w:rPr>
        <w:t>e</w:t>
      </w:r>
      <w:r>
        <w:rPr>
          <w:spacing w:val="-49"/>
          <w:w w:val="99"/>
          <w:sz w:val="20"/>
        </w:rPr>
        <w:t>2</w:t>
      </w:r>
      <w:r>
        <w:rPr>
          <w:b/>
          <w:spacing w:val="-22"/>
          <w:w w:val="112"/>
          <w:position w:val="9"/>
          <w:sz w:val="16"/>
        </w:rPr>
        <w:t>r</w:t>
      </w:r>
      <w:r>
        <w:rPr>
          <w:spacing w:val="-89"/>
          <w:w w:val="99"/>
          <w:sz w:val="20"/>
        </w:rPr>
        <w:t>0</w:t>
      </w:r>
      <w:r>
        <w:rPr>
          <w:b/>
          <w:spacing w:val="-21"/>
          <w:w w:val="112"/>
          <w:position w:val="9"/>
          <w:sz w:val="16"/>
        </w:rPr>
        <w:t>n</w:t>
      </w:r>
      <w:r>
        <w:rPr>
          <w:spacing w:val="-91"/>
          <w:w w:val="99"/>
          <w:sz w:val="20"/>
        </w:rPr>
        <w:t>0</w:t>
      </w:r>
      <w:r>
        <w:rPr>
          <w:b/>
          <w:spacing w:val="-10"/>
          <w:w w:val="112"/>
          <w:position w:val="9"/>
          <w:sz w:val="16"/>
        </w:rPr>
        <w:t>a</w:t>
      </w:r>
      <w:r>
        <w:rPr>
          <w:spacing w:val="-100"/>
          <w:w w:val="99"/>
          <w:sz w:val="20"/>
        </w:rPr>
        <w:t>8</w:t>
      </w:r>
      <w:r>
        <w:rPr>
          <w:b/>
          <w:spacing w:val="-57"/>
          <w:w w:val="112"/>
          <w:position w:val="9"/>
          <w:sz w:val="16"/>
        </w:rPr>
        <w:t>m</w:t>
      </w:r>
      <w:r>
        <w:rPr>
          <w:spacing w:val="-10"/>
          <w:w w:val="99"/>
          <w:sz w:val="20"/>
        </w:rPr>
        <w:t>-</w:t>
      </w:r>
      <w:r>
        <w:rPr>
          <w:b/>
          <w:spacing w:val="-90"/>
          <w:w w:val="112"/>
          <w:position w:val="9"/>
          <w:sz w:val="16"/>
        </w:rPr>
        <w:t>e</w:t>
      </w:r>
      <w:r>
        <w:rPr>
          <w:spacing w:val="-21"/>
          <w:w w:val="99"/>
          <w:sz w:val="20"/>
        </w:rPr>
        <w:t>2</w:t>
      </w:r>
      <w:r>
        <w:rPr>
          <w:b/>
          <w:spacing w:val="-88"/>
          <w:w w:val="112"/>
          <w:position w:val="9"/>
          <w:sz w:val="16"/>
        </w:rPr>
        <w:t>n</w:t>
      </w:r>
      <w:r>
        <w:rPr>
          <w:spacing w:val="-23"/>
          <w:w w:val="99"/>
          <w:sz w:val="20"/>
        </w:rPr>
        <w:t>0</w:t>
      </w:r>
      <w:r>
        <w:rPr>
          <w:b/>
          <w:spacing w:val="-36"/>
          <w:w w:val="112"/>
          <w:position w:val="9"/>
          <w:sz w:val="16"/>
        </w:rPr>
        <w:t>t</w:t>
      </w:r>
      <w:r>
        <w:rPr>
          <w:spacing w:val="-75"/>
          <w:w w:val="99"/>
          <w:sz w:val="20"/>
        </w:rPr>
        <w:t>1</w:t>
      </w:r>
      <w:r>
        <w:rPr>
          <w:b/>
          <w:spacing w:val="-26"/>
          <w:w w:val="112"/>
          <w:position w:val="9"/>
          <w:sz w:val="16"/>
        </w:rPr>
        <w:t>a</w:t>
      </w:r>
      <w:r>
        <w:rPr>
          <w:spacing w:val="-85"/>
          <w:w w:val="99"/>
          <w:sz w:val="20"/>
        </w:rPr>
        <w:t>4</w:t>
      </w:r>
      <w:r>
        <w:rPr>
          <w:b/>
          <w:w w:val="112"/>
          <w:position w:val="9"/>
          <w:sz w:val="16"/>
        </w:rPr>
        <w:t>l</w:t>
      </w:r>
      <w:r>
        <w:rPr>
          <w:b/>
          <w:position w:val="9"/>
          <w:sz w:val="16"/>
        </w:rPr>
        <w:t> </w:t>
      </w:r>
      <w:r>
        <w:rPr>
          <w:w w:val="99"/>
          <w:sz w:val="20"/>
        </w:rPr>
        <w:t>.</w:t>
      </w:r>
    </w:p>
    <w:p>
      <w:pPr>
        <w:spacing w:line="100" w:lineRule="exact" w:before="0"/>
        <w:ind w:left="9" w:right="46" w:firstLine="0"/>
        <w:jc w:val="center"/>
        <w:rPr>
          <w:b/>
          <w:sz w:val="16"/>
        </w:rPr>
      </w:pPr>
      <w:r>
        <w:rPr>
          <w:b/>
          <w:w w:val="110"/>
          <w:sz w:val="16"/>
        </w:rPr>
        <w:t>Controles Internos   (Manejo y Aplicación)</w:t>
      </w:r>
    </w:p>
    <w:p>
      <w:pPr>
        <w:spacing w:line="135" w:lineRule="exact" w:before="19"/>
        <w:ind w:left="7" w:right="46" w:firstLine="0"/>
        <w:jc w:val="center"/>
        <w:rPr>
          <w:b/>
          <w:sz w:val="16"/>
        </w:rPr>
      </w:pPr>
      <w:r>
        <w:rPr>
          <w:b/>
          <w:w w:val="110"/>
          <w:sz w:val="16"/>
        </w:rPr>
        <w:t>Nezahualcóyotl Ejercicio fiscal  2009</w:t>
      </w:r>
    </w:p>
    <w:p>
      <w:pPr>
        <w:pStyle w:val="BodyText"/>
        <w:tabs>
          <w:tab w:pos="1101" w:val="left" w:leader="none"/>
          <w:tab w:pos="7308" w:val="left" w:leader="none"/>
        </w:tabs>
        <w:spacing w:line="227" w:lineRule="exact"/>
        <w:ind w:right="46"/>
        <w:jc w:val="center"/>
      </w:pPr>
      <w:r>
        <w:rPr>
          <w:strike/>
          <w:w w:val="100"/>
        </w:rPr>
        <w:t> </w:t>
      </w:r>
      <w:r>
        <w:rPr>
          <w:strike/>
        </w:rPr>
        <w:tab/>
        <w:t>Anexo</w:t>
      </w:r>
      <w:r>
        <w:rPr>
          <w:strike/>
          <w:spacing w:val="-5"/>
        </w:rPr>
        <w:t> </w:t>
      </w:r>
      <w:r>
        <w:rPr>
          <w:strike/>
        </w:rPr>
        <w:t>34.</w:t>
        <w:tab/>
      </w:r>
    </w:p>
    <w:p>
      <w:pPr>
        <w:pStyle w:val="BodyText"/>
        <w:spacing w:before="5"/>
        <w:rPr>
          <w:sz w:val="20"/>
        </w:rPr>
      </w:pPr>
    </w:p>
    <w:tbl>
      <w:tblPr>
        <w:tblW w:w="0" w:type="auto"/>
        <w:jc w:val="left"/>
        <w:tblInd w:w="197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546"/>
        <w:gridCol w:w="3760"/>
      </w:tblGrid>
      <w:tr>
        <w:trPr>
          <w:trHeight w:val="205" w:hRule="exact"/>
        </w:trPr>
        <w:tc>
          <w:tcPr>
            <w:tcW w:w="7306" w:type="dxa"/>
            <w:gridSpan w:val="2"/>
            <w:tcBorders>
              <w:left w:val="single" w:sz="5" w:space="0" w:color="000000"/>
              <w:right w:val="single" w:sz="5" w:space="0" w:color="000000"/>
            </w:tcBorders>
            <w:shd w:val="clear" w:color="auto" w:fill="E6B8B7"/>
          </w:tcPr>
          <w:p>
            <w:pPr>
              <w:pStyle w:val="TableParagraph"/>
              <w:spacing w:line="184" w:lineRule="exact"/>
              <w:ind w:left="3012" w:right="2999"/>
              <w:jc w:val="center"/>
              <w:rPr>
                <w:b/>
                <w:sz w:val="16"/>
              </w:rPr>
            </w:pPr>
            <w:r>
              <w:rPr>
                <w:b/>
                <w:w w:val="110"/>
                <w:sz w:val="16"/>
              </w:rPr>
              <w:t>FORTAMUNDF</w:t>
            </w:r>
          </w:p>
        </w:tc>
      </w:tr>
      <w:tr>
        <w:trPr>
          <w:trHeight w:val="203" w:hRule="exact"/>
        </w:trPr>
        <w:tc>
          <w:tcPr>
            <w:tcW w:w="3546" w:type="dxa"/>
            <w:tcBorders>
              <w:left w:val="single" w:sz="5" w:space="0" w:color="000000"/>
              <w:right w:val="single" w:sz="5" w:space="0" w:color="000000"/>
            </w:tcBorders>
            <w:shd w:val="clear" w:color="auto" w:fill="F1DCDB"/>
          </w:tcPr>
          <w:p>
            <w:pPr>
              <w:pStyle w:val="TableParagraph"/>
              <w:spacing w:line="183" w:lineRule="exact"/>
              <w:ind w:left="25" w:right="113"/>
              <w:rPr>
                <w:b/>
                <w:sz w:val="16"/>
              </w:rPr>
            </w:pPr>
            <w:r>
              <w:rPr>
                <w:b/>
                <w:w w:val="110"/>
                <w:sz w:val="16"/>
              </w:rPr>
              <w:t>Fortalezas</w:t>
            </w:r>
          </w:p>
        </w:tc>
        <w:tc>
          <w:tcPr>
            <w:tcW w:w="3760" w:type="dxa"/>
            <w:tcBorders>
              <w:left w:val="single" w:sz="5" w:space="0" w:color="000000"/>
              <w:right w:val="single" w:sz="5" w:space="0" w:color="000000"/>
            </w:tcBorders>
            <w:shd w:val="clear" w:color="auto" w:fill="F1DCDB"/>
          </w:tcPr>
          <w:p>
            <w:pPr>
              <w:pStyle w:val="TableParagraph"/>
              <w:spacing w:line="183" w:lineRule="exact"/>
              <w:ind w:left="26" w:right="82"/>
              <w:rPr>
                <w:b/>
                <w:sz w:val="16"/>
              </w:rPr>
            </w:pPr>
            <w:r>
              <w:rPr>
                <w:b/>
                <w:w w:val="110"/>
                <w:sz w:val="16"/>
              </w:rPr>
              <w:t>Debilidades</w:t>
            </w:r>
          </w:p>
        </w:tc>
      </w:tr>
      <w:tr>
        <w:trPr>
          <w:trHeight w:val="1220" w:hRule="exact"/>
        </w:trPr>
        <w:tc>
          <w:tcPr>
            <w:tcW w:w="3546" w:type="dxa"/>
            <w:tcBorders>
              <w:left w:val="single" w:sz="5" w:space="0" w:color="000000"/>
              <w:right w:val="single" w:sz="5" w:space="0" w:color="000000"/>
            </w:tcBorders>
          </w:tcPr>
          <w:p>
            <w:pPr>
              <w:pStyle w:val="TableParagraph"/>
              <w:spacing w:line="266" w:lineRule="auto"/>
              <w:ind w:left="24" w:right="113" w:firstLine="1"/>
              <w:rPr>
                <w:sz w:val="16"/>
              </w:rPr>
            </w:pPr>
            <w:r>
              <w:rPr>
                <w:w w:val="110"/>
                <w:sz w:val="16"/>
              </w:rPr>
              <w:t>Existen comités de obra para dar seguimiento al programa de construcción de obras.</w:t>
            </w:r>
          </w:p>
        </w:tc>
        <w:tc>
          <w:tcPr>
            <w:tcW w:w="3760" w:type="dxa"/>
            <w:tcBorders>
              <w:left w:val="single" w:sz="5" w:space="0" w:color="000000"/>
              <w:right w:val="single" w:sz="5" w:space="0" w:color="000000"/>
            </w:tcBorders>
          </w:tcPr>
          <w:p>
            <w:pPr>
              <w:pStyle w:val="TableParagraph"/>
              <w:spacing w:line="264" w:lineRule="auto"/>
              <w:ind w:left="26" w:right="82"/>
              <w:rPr>
                <w:sz w:val="16"/>
              </w:rPr>
            </w:pPr>
            <w:r>
              <w:rPr>
                <w:w w:val="110"/>
                <w:sz w:val="16"/>
              </w:rPr>
              <w:t>El personal que participa en las funciones vinculadas con el fondo no conoce el manual de organización para orientar las acciones de acuerdo con los puestos y perfiles de los servidores  públicos municipales.</w:t>
            </w:r>
          </w:p>
        </w:tc>
      </w:tr>
      <w:tr>
        <w:trPr>
          <w:trHeight w:val="1220" w:hRule="exact"/>
        </w:trPr>
        <w:tc>
          <w:tcPr>
            <w:tcW w:w="3546" w:type="dxa"/>
            <w:tcBorders>
              <w:left w:val="single" w:sz="5" w:space="0" w:color="000000"/>
              <w:right w:val="single" w:sz="5" w:space="0" w:color="000000"/>
            </w:tcBorders>
          </w:tcPr>
          <w:p>
            <w:pPr>
              <w:pStyle w:val="TableParagraph"/>
              <w:spacing w:line="264" w:lineRule="auto"/>
              <w:ind w:left="24" w:right="132" w:firstLine="1"/>
              <w:rPr>
                <w:sz w:val="16"/>
              </w:rPr>
            </w:pPr>
            <w:r>
              <w:rPr>
                <w:w w:val="110"/>
                <w:sz w:val="16"/>
              </w:rPr>
              <w:t>Por medio del paquete PROGRESS y hoja electrónica el municipio tiene un sistema  de información presupuestal para monitorear el costo de las obras y sus avances</w:t>
            </w:r>
            <w:r>
              <w:rPr>
                <w:spacing w:val="30"/>
                <w:w w:val="110"/>
                <w:sz w:val="16"/>
              </w:rPr>
              <w:t> </w:t>
            </w:r>
            <w:r>
              <w:rPr>
                <w:w w:val="110"/>
                <w:sz w:val="16"/>
              </w:rPr>
              <w:t>físicos.</w:t>
            </w:r>
          </w:p>
        </w:tc>
        <w:tc>
          <w:tcPr>
            <w:tcW w:w="3760" w:type="dxa"/>
            <w:tcBorders>
              <w:left w:val="single" w:sz="5" w:space="0" w:color="000000"/>
              <w:right w:val="single" w:sz="5" w:space="0" w:color="000000"/>
            </w:tcBorders>
          </w:tcPr>
          <w:p>
            <w:pPr>
              <w:pStyle w:val="TableParagraph"/>
              <w:spacing w:line="266" w:lineRule="auto"/>
              <w:ind w:left="24" w:right="82" w:firstLine="1"/>
              <w:rPr>
                <w:sz w:val="16"/>
              </w:rPr>
            </w:pPr>
            <w:r>
              <w:rPr>
                <w:w w:val="110"/>
                <w:sz w:val="16"/>
              </w:rPr>
              <w:t>No se dispone de mecanismos o actividades de control para evaluar los conocimientos del personal que participa en la gestión del FORTAMUN-DF.</w:t>
            </w:r>
          </w:p>
        </w:tc>
      </w:tr>
      <w:tr>
        <w:trPr>
          <w:trHeight w:val="610" w:hRule="exact"/>
        </w:trPr>
        <w:tc>
          <w:tcPr>
            <w:tcW w:w="3546" w:type="dxa"/>
            <w:tcBorders>
              <w:left w:val="single" w:sz="5" w:space="0" w:color="000000"/>
              <w:right w:val="single" w:sz="5" w:space="0" w:color="000000"/>
            </w:tcBorders>
          </w:tcPr>
          <w:p>
            <w:pPr>
              <w:pStyle w:val="TableParagraph"/>
              <w:spacing w:line="264" w:lineRule="auto"/>
              <w:ind w:left="25" w:right="113"/>
              <w:rPr>
                <w:sz w:val="16"/>
              </w:rPr>
            </w:pPr>
            <w:r>
              <w:rPr>
                <w:w w:val="110"/>
                <w:sz w:val="16"/>
              </w:rPr>
              <w:t>Los recursos se transfirieron en tiempo y forma, sin limitaciones ni  restricciones.</w:t>
            </w:r>
          </w:p>
        </w:tc>
        <w:tc>
          <w:tcPr>
            <w:tcW w:w="3760" w:type="dxa"/>
            <w:tcBorders>
              <w:left w:val="single" w:sz="5" w:space="0" w:color="000000"/>
              <w:right w:val="single" w:sz="5" w:space="0" w:color="000000"/>
            </w:tcBorders>
          </w:tcPr>
          <w:p>
            <w:pPr/>
          </w:p>
        </w:tc>
      </w:tr>
      <w:tr>
        <w:trPr>
          <w:trHeight w:val="1423" w:hRule="exact"/>
        </w:trPr>
        <w:tc>
          <w:tcPr>
            <w:tcW w:w="3546" w:type="dxa"/>
            <w:tcBorders>
              <w:left w:val="single" w:sz="5" w:space="0" w:color="000000"/>
              <w:right w:val="single" w:sz="5" w:space="0" w:color="000000"/>
            </w:tcBorders>
          </w:tcPr>
          <w:p>
            <w:pPr>
              <w:pStyle w:val="TableParagraph"/>
              <w:spacing w:line="264" w:lineRule="auto"/>
              <w:ind w:left="24" w:right="113" w:firstLine="1"/>
              <w:rPr>
                <w:sz w:val="16"/>
              </w:rPr>
            </w:pPr>
            <w:r>
              <w:rPr>
                <w:w w:val="110"/>
                <w:sz w:val="16"/>
              </w:rPr>
              <w:t>El personal responsable de la contratación de obra conoce el proceso de licitación, debido a la capacitación que recibe del Órgano Superior de Fiscalización del Estado de México y la Secretaría de la Contraloría.</w:t>
            </w:r>
          </w:p>
        </w:tc>
        <w:tc>
          <w:tcPr>
            <w:tcW w:w="3760" w:type="dxa"/>
            <w:tcBorders>
              <w:left w:val="single" w:sz="5" w:space="0" w:color="000000"/>
              <w:right w:val="single" w:sz="5" w:space="0" w:color="000000"/>
            </w:tcBorders>
          </w:tcPr>
          <w:p>
            <w:pPr/>
          </w:p>
        </w:tc>
      </w:tr>
      <w:tr>
        <w:trPr>
          <w:trHeight w:val="1423" w:hRule="exact"/>
        </w:trPr>
        <w:tc>
          <w:tcPr>
            <w:tcW w:w="3546" w:type="dxa"/>
            <w:tcBorders>
              <w:left w:val="single" w:sz="5" w:space="0" w:color="000000"/>
              <w:right w:val="single" w:sz="5" w:space="0" w:color="000000"/>
            </w:tcBorders>
          </w:tcPr>
          <w:p>
            <w:pPr>
              <w:pStyle w:val="TableParagraph"/>
              <w:spacing w:line="266" w:lineRule="auto"/>
              <w:ind w:left="24" w:right="151" w:firstLine="1"/>
              <w:rPr>
                <w:sz w:val="16"/>
              </w:rPr>
            </w:pPr>
            <w:r>
              <w:rPr>
                <w:w w:val="110"/>
                <w:sz w:val="16"/>
              </w:rPr>
              <w:t>Se verifica la disponibilidad de recursos para la expedición de cheques; se  celebran reuniones entre la presidencia, la tesorería y el área de obras públicas para revisar los avances del fondo, y supervisarlas</w:t>
            </w:r>
            <w:r>
              <w:rPr>
                <w:spacing w:val="47"/>
                <w:w w:val="110"/>
                <w:sz w:val="16"/>
              </w:rPr>
              <w:t> </w:t>
            </w:r>
            <w:r>
              <w:rPr>
                <w:w w:val="110"/>
                <w:sz w:val="16"/>
              </w:rPr>
              <w:t>físicamente.</w:t>
            </w:r>
          </w:p>
        </w:tc>
        <w:tc>
          <w:tcPr>
            <w:tcW w:w="3760" w:type="dxa"/>
            <w:tcBorders>
              <w:left w:val="single" w:sz="5" w:space="0" w:color="000000"/>
              <w:right w:val="single" w:sz="5" w:space="0" w:color="000000"/>
            </w:tcBorders>
          </w:tcPr>
          <w:p>
            <w:pPr/>
          </w:p>
        </w:tc>
      </w:tr>
    </w:tbl>
    <w:p>
      <w:pPr>
        <w:spacing w:after="0"/>
        <w:sectPr>
          <w:pgSz w:w="15840" w:h="12240" w:orient="landscape"/>
          <w:pgMar w:header="0" w:footer="992" w:top="1140" w:bottom="1180" w:left="2260" w:right="2260"/>
        </w:sectPr>
      </w:pPr>
    </w:p>
    <w:p>
      <w:pPr>
        <w:pStyle w:val="BodyText"/>
        <w:rPr>
          <w:sz w:val="20"/>
        </w:rPr>
      </w:pPr>
    </w:p>
    <w:p>
      <w:pPr>
        <w:pStyle w:val="BodyText"/>
        <w:rPr>
          <w:sz w:val="20"/>
        </w:rPr>
      </w:pPr>
    </w:p>
    <w:p>
      <w:pPr>
        <w:pStyle w:val="BodyText"/>
        <w:rPr>
          <w:sz w:val="20"/>
        </w:rPr>
      </w:pPr>
    </w:p>
    <w:p>
      <w:pPr>
        <w:pStyle w:val="BodyText"/>
        <w:spacing w:before="10"/>
        <w:rPr>
          <w:sz w:val="18"/>
        </w:rPr>
      </w:pPr>
    </w:p>
    <w:p>
      <w:pPr>
        <w:pStyle w:val="BodyText"/>
        <w:ind w:left="1858"/>
        <w:rPr>
          <w:sz w:val="20"/>
        </w:rPr>
      </w:pPr>
      <w:r>
        <w:rPr>
          <w:sz w:val="20"/>
        </w:rPr>
        <w:pict>
          <v:group style="width:369pt;height:40.8pt;mso-position-horizontal-relative:char;mso-position-vertical-relative:line" coordorigin="0,0" coordsize="7380,816">
            <v:shape style="position:absolute;left:0;top:0;width:7380;height:816" type="#_x0000_t75" stroked="false">
              <v:imagedata r:id="rId80" o:title=""/>
            </v:shape>
            <v:shape style="position:absolute;left:0;top:0;width:7380;height:816" type="#_x0000_t202" filled="false" stroked="false">
              <v:textbox inset="0,0,0,0">
                <w:txbxContent>
                  <w:p>
                    <w:pPr>
                      <w:spacing w:line="242" w:lineRule="auto" w:before="0"/>
                      <w:ind w:left="144" w:right="0" w:firstLine="0"/>
                      <w:jc w:val="left"/>
                      <w:rPr>
                        <w:sz w:val="20"/>
                      </w:rPr>
                    </w:pPr>
                    <w:r>
                      <w:rPr>
                        <w:b/>
                        <w:sz w:val="20"/>
                      </w:rPr>
                      <w:t>Fuente: </w:t>
                    </w:r>
                    <w:r>
                      <w:rPr>
                        <w:sz w:val="20"/>
                      </w:rPr>
                      <w:t>Elaboración propia con base en el Informe de Resultados de la Fiscalización Superior de las cuentas públicas 2008-2014</w:t>
                    </w:r>
                  </w:p>
                  <w:p>
                    <w:pPr>
                      <w:spacing w:before="6"/>
                      <w:ind w:left="1465" w:right="0" w:firstLine="0"/>
                      <w:jc w:val="left"/>
                      <w:rPr>
                        <w:sz w:val="24"/>
                      </w:rPr>
                    </w:pPr>
                    <w:r>
                      <w:rPr>
                        <w:sz w:val="24"/>
                      </w:rPr>
                      <w:t>Anexo 35.</w:t>
                    </w:r>
                  </w:p>
                </w:txbxContent>
              </v:textbox>
              <w10:wrap type="none"/>
            </v:shape>
          </v:group>
        </w:pict>
      </w:r>
      <w:r>
        <w:rPr>
          <w:sz w:val="20"/>
        </w:rPr>
      </w:r>
    </w:p>
    <w:p>
      <w:pPr>
        <w:pStyle w:val="BodyText"/>
        <w:rPr>
          <w:sz w:val="20"/>
        </w:rPr>
      </w:pPr>
    </w:p>
    <w:p>
      <w:pPr>
        <w:pStyle w:val="BodyText"/>
        <w:spacing w:before="3"/>
        <w:rPr>
          <w:sz w:val="19"/>
        </w:rPr>
      </w:pPr>
    </w:p>
    <w:p>
      <w:pPr>
        <w:spacing w:line="266" w:lineRule="auto" w:before="0"/>
        <w:ind w:left="3117" w:right="3647" w:firstLine="2"/>
        <w:jc w:val="center"/>
        <w:rPr>
          <w:b/>
          <w:sz w:val="21"/>
        </w:rPr>
      </w:pPr>
      <w:r>
        <w:rPr>
          <w:b/>
          <w:sz w:val="21"/>
        </w:rPr>
        <w:t>Calidad de la Gestión Gubernamental Controles Internos  (Manejo y Aplicación) San Felipe del Progreso  Ejercicio fiscal</w:t>
      </w:r>
      <w:r>
        <w:rPr>
          <w:b/>
          <w:spacing w:val="33"/>
          <w:sz w:val="21"/>
        </w:rPr>
        <w:t> </w:t>
      </w:r>
      <w:r>
        <w:rPr>
          <w:b/>
          <w:sz w:val="21"/>
        </w:rPr>
        <w:t>2009</w:t>
      </w:r>
    </w:p>
    <w:p>
      <w:pPr>
        <w:pStyle w:val="BodyText"/>
        <w:spacing w:line="20" w:lineRule="exact"/>
        <w:ind w:left="1299"/>
        <w:rPr>
          <w:sz w:val="2"/>
        </w:rPr>
      </w:pPr>
      <w:r>
        <w:rPr>
          <w:sz w:val="2"/>
        </w:rPr>
        <w:pict>
          <v:group style="width:408.8pt;height:.8pt;mso-position-horizontal-relative:char;mso-position-vertical-relative:line" coordorigin="0,0" coordsize="8176,16">
            <v:shape style="position:absolute;left:8;top:8;width:8160;height:2" coordorigin="8,8" coordsize="8160,0" path="m8,8l8,8,8167,8e" filled="false" stroked="true" strokeweight=".789698pt" strokecolor="#000000">
              <v:path arrowok="t"/>
            </v:shape>
          </v:group>
        </w:pict>
      </w:r>
      <w:r>
        <w:rPr>
          <w:sz w:val="2"/>
        </w:rPr>
      </w:r>
    </w:p>
    <w:p>
      <w:pPr>
        <w:pStyle w:val="BodyText"/>
        <w:rPr>
          <w:b/>
          <w:sz w:val="20"/>
        </w:rPr>
      </w:pPr>
    </w:p>
    <w:p>
      <w:pPr>
        <w:pStyle w:val="BodyText"/>
        <w:spacing w:before="6"/>
        <w:rPr>
          <w:b/>
          <w:sz w:val="23"/>
        </w:rPr>
      </w:pPr>
    </w:p>
    <w:tbl>
      <w:tblPr>
        <w:tblW w:w="0" w:type="auto"/>
        <w:jc w:val="left"/>
        <w:tblInd w:w="12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211"/>
        <w:gridCol w:w="3944"/>
      </w:tblGrid>
      <w:tr>
        <w:trPr>
          <w:trHeight w:val="267" w:hRule="exact"/>
        </w:trPr>
        <w:tc>
          <w:tcPr>
            <w:tcW w:w="8155" w:type="dxa"/>
            <w:gridSpan w:val="2"/>
            <w:shd w:val="clear" w:color="auto" w:fill="E6B8B7"/>
          </w:tcPr>
          <w:p>
            <w:pPr>
              <w:pStyle w:val="TableParagraph"/>
              <w:spacing w:line="241" w:lineRule="exact"/>
              <w:ind w:left="3807" w:right="3789"/>
              <w:jc w:val="center"/>
              <w:rPr>
                <w:b/>
                <w:sz w:val="21"/>
              </w:rPr>
            </w:pPr>
            <w:r>
              <w:rPr>
                <w:b/>
                <w:sz w:val="21"/>
              </w:rPr>
              <w:t>FISM</w:t>
            </w:r>
          </w:p>
        </w:tc>
      </w:tr>
      <w:tr>
        <w:trPr>
          <w:trHeight w:val="268" w:hRule="exact"/>
        </w:trPr>
        <w:tc>
          <w:tcPr>
            <w:tcW w:w="4211" w:type="dxa"/>
            <w:shd w:val="clear" w:color="auto" w:fill="F1DCDB"/>
          </w:tcPr>
          <w:p>
            <w:pPr>
              <w:pStyle w:val="TableParagraph"/>
              <w:spacing w:before="1"/>
              <w:ind w:left="30" w:right="112"/>
              <w:rPr>
                <w:b/>
                <w:sz w:val="21"/>
              </w:rPr>
            </w:pPr>
            <w:r>
              <w:rPr>
                <w:b/>
                <w:sz w:val="21"/>
              </w:rPr>
              <w:t>Fortalezas</w:t>
            </w:r>
          </w:p>
        </w:tc>
        <w:tc>
          <w:tcPr>
            <w:tcW w:w="3944" w:type="dxa"/>
            <w:shd w:val="clear" w:color="auto" w:fill="F1DCDB"/>
          </w:tcPr>
          <w:p>
            <w:pPr>
              <w:pStyle w:val="TableParagraph"/>
              <w:spacing w:before="1"/>
              <w:ind w:left="32" w:right="55"/>
              <w:rPr>
                <w:b/>
                <w:sz w:val="21"/>
              </w:rPr>
            </w:pPr>
            <w:r>
              <w:rPr>
                <w:b/>
                <w:sz w:val="21"/>
              </w:rPr>
              <w:t>Debilidades</w:t>
            </w:r>
          </w:p>
        </w:tc>
      </w:tr>
      <w:tr>
        <w:trPr>
          <w:trHeight w:val="1606" w:hRule="exact"/>
        </w:trPr>
        <w:tc>
          <w:tcPr>
            <w:tcW w:w="4211" w:type="dxa"/>
          </w:tcPr>
          <w:p>
            <w:pPr>
              <w:pStyle w:val="TableParagraph"/>
              <w:spacing w:line="266" w:lineRule="auto"/>
              <w:ind w:left="28" w:right="112" w:firstLine="1"/>
              <w:rPr>
                <w:sz w:val="21"/>
              </w:rPr>
            </w:pPr>
            <w:r>
              <w:rPr>
                <w:sz w:val="21"/>
              </w:rPr>
              <w:t>Se dispone de lineamientos para planear o priorizar las obras sociales.</w:t>
            </w:r>
          </w:p>
        </w:tc>
        <w:tc>
          <w:tcPr>
            <w:tcW w:w="3944" w:type="dxa"/>
          </w:tcPr>
          <w:p>
            <w:pPr>
              <w:pStyle w:val="TableParagraph"/>
              <w:spacing w:line="266" w:lineRule="auto"/>
              <w:ind w:left="29" w:right="55" w:firstLine="2"/>
              <w:rPr>
                <w:sz w:val="21"/>
              </w:rPr>
            </w:pPr>
            <w:r>
              <w:rPr>
                <w:sz w:val="21"/>
              </w:rPr>
              <w:t>No existen manuales de organización y procedimientos que orienten las acciones, de acuerdo con los puestos y perfiles de los servidores públicos municipales.</w:t>
            </w:r>
          </w:p>
        </w:tc>
      </w:tr>
      <w:tr>
        <w:trPr>
          <w:trHeight w:val="1070" w:hRule="exact"/>
        </w:trPr>
        <w:tc>
          <w:tcPr>
            <w:tcW w:w="4211" w:type="dxa"/>
          </w:tcPr>
          <w:p>
            <w:pPr>
              <w:pStyle w:val="TableParagraph"/>
              <w:spacing w:line="266" w:lineRule="auto"/>
              <w:ind w:left="28" w:right="112" w:firstLine="1"/>
              <w:rPr>
                <w:sz w:val="21"/>
              </w:rPr>
            </w:pPr>
            <w:r>
              <w:rPr>
                <w:sz w:val="21"/>
              </w:rPr>
              <w:t>Existen comités de obra para dar seguimiento al programa de construcción de obras.</w:t>
            </w:r>
          </w:p>
        </w:tc>
        <w:tc>
          <w:tcPr>
            <w:tcW w:w="3944" w:type="dxa"/>
          </w:tcPr>
          <w:p>
            <w:pPr>
              <w:pStyle w:val="TableParagraph"/>
              <w:spacing w:line="266" w:lineRule="auto"/>
              <w:ind w:left="33" w:hanging="2"/>
              <w:rPr>
                <w:sz w:val="21"/>
              </w:rPr>
            </w:pPr>
            <w:r>
              <w:rPr>
                <w:sz w:val="21"/>
              </w:rPr>
              <w:t>No se dispone de mecanismos o actividades de control para evaluar los conocimientos del personal que participa en la gestión del FISM.</w:t>
            </w:r>
          </w:p>
        </w:tc>
      </w:tr>
      <w:tr>
        <w:trPr>
          <w:trHeight w:val="1133" w:hRule="exact"/>
        </w:trPr>
        <w:tc>
          <w:tcPr>
            <w:tcW w:w="4211" w:type="dxa"/>
          </w:tcPr>
          <w:p>
            <w:pPr>
              <w:pStyle w:val="TableParagraph"/>
              <w:spacing w:line="266" w:lineRule="auto"/>
              <w:ind w:left="28" w:right="112" w:firstLine="1"/>
              <w:rPr>
                <w:sz w:val="21"/>
              </w:rPr>
            </w:pPr>
            <w:r>
              <w:rPr>
                <w:sz w:val="21"/>
              </w:rPr>
              <w:t>Hay un área encargada de realizar los procesos de licitación y contratación de obra pública que tiene conocimiento de la normativa aplicable.</w:t>
            </w:r>
          </w:p>
        </w:tc>
        <w:tc>
          <w:tcPr>
            <w:tcW w:w="3944" w:type="dxa"/>
          </w:tcPr>
          <w:p>
            <w:pPr/>
          </w:p>
        </w:tc>
      </w:tr>
    </w:tbl>
    <w:p>
      <w:pPr>
        <w:spacing w:after="0"/>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1"/>
        </w:rPr>
      </w:pPr>
    </w:p>
    <w:p>
      <w:pPr>
        <w:pStyle w:val="BodyText"/>
        <w:ind w:left="1318"/>
        <w:rPr>
          <w:sz w:val="20"/>
        </w:rPr>
      </w:pPr>
      <w:r>
        <w:rPr>
          <w:sz w:val="20"/>
        </w:rPr>
        <w:pict>
          <v:group style="width:408pt;height:40.8pt;mso-position-horizontal-relative:char;mso-position-vertical-relative:line" coordorigin="0,0" coordsize="8160,816">
            <v:shape style="position:absolute;left:0;top:0;width:8160;height:816" type="#_x0000_t75" stroked="false">
              <v:imagedata r:id="rId81" o:title=""/>
            </v:shape>
            <v:shape style="position:absolute;left:0;top:0;width:8160;height:816" type="#_x0000_t202" filled="false" stroked="false">
              <v:textbox inset="0,0,0,0">
                <w:txbxContent>
                  <w:p>
                    <w:pPr>
                      <w:spacing w:line="228" w:lineRule="exact" w:before="0"/>
                      <w:ind w:left="144" w:right="142"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v:group>
        </w:pict>
      </w:r>
      <w:r>
        <w:rPr>
          <w:sz w:val="20"/>
        </w:rPr>
      </w:r>
    </w:p>
    <w:p>
      <w:pPr>
        <w:spacing w:line="261" w:lineRule="auto" w:before="84"/>
        <w:ind w:left="3830" w:right="3566" w:firstLine="187"/>
        <w:jc w:val="left"/>
        <w:rPr>
          <w:b/>
          <w:sz w:val="19"/>
        </w:rPr>
      </w:pPr>
      <w:r>
        <w:rPr>
          <w:b/>
          <w:w w:val="105"/>
          <w:sz w:val="19"/>
        </w:rPr>
        <w:t>Calidad de la Gestión Gubernamental Controles Internos (Manejo y Aplicación) San José del Rincón Ejercicio fiscal 2009</w:t>
      </w:r>
    </w:p>
    <w:p>
      <w:pPr>
        <w:pStyle w:val="BodyText"/>
        <w:spacing w:line="20" w:lineRule="exact"/>
        <w:ind w:left="1428"/>
        <w:rPr>
          <w:sz w:val="2"/>
        </w:rPr>
      </w:pPr>
      <w:r>
        <w:rPr>
          <w:sz w:val="2"/>
        </w:rPr>
        <w:pict>
          <v:group style="width:432.7pt;height:.7pt;mso-position-horizontal-relative:char;mso-position-vertical-relative:line" coordorigin="0,0" coordsize="8654,14">
            <v:shape style="position:absolute;left:7;top:7;width:8640;height:2" coordorigin="7,7" coordsize="8640,0" path="m7,7l7,7,8646,7e" filled="false" stroked="true" strokeweight=".700235pt" strokecolor="#000000">
              <v:path arrowok="t"/>
            </v:shape>
          </v:group>
        </w:pict>
      </w:r>
      <w:r>
        <w:rPr>
          <w:sz w:val="2"/>
        </w:rPr>
      </w:r>
    </w:p>
    <w:p>
      <w:pPr>
        <w:pStyle w:val="BodyText"/>
        <w:spacing w:before="44"/>
        <w:ind w:left="3563" w:right="1340"/>
      </w:pPr>
      <w:r>
        <w:rPr/>
        <w:t>Anexo 36.</w:t>
      </w:r>
    </w:p>
    <w:p>
      <w:pPr>
        <w:pStyle w:val="BodyText"/>
        <w:spacing w:before="9"/>
        <w:rPr>
          <w:sz w:val="10"/>
        </w:rPr>
      </w:pPr>
    </w:p>
    <w:tbl>
      <w:tblPr>
        <w:tblW w:w="0" w:type="auto"/>
        <w:jc w:val="left"/>
        <w:tblInd w:w="14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424"/>
        <w:gridCol w:w="4212"/>
      </w:tblGrid>
      <w:tr>
        <w:trPr>
          <w:trHeight w:val="236" w:hRule="exact"/>
        </w:trPr>
        <w:tc>
          <w:tcPr>
            <w:tcW w:w="8636" w:type="dxa"/>
            <w:gridSpan w:val="2"/>
            <w:tcBorders>
              <w:left w:val="single" w:sz="6" w:space="0" w:color="000000"/>
              <w:right w:val="single" w:sz="6" w:space="0" w:color="000000"/>
            </w:tcBorders>
            <w:shd w:val="clear" w:color="auto" w:fill="E6B8B7"/>
          </w:tcPr>
          <w:p>
            <w:pPr>
              <w:pStyle w:val="TableParagraph"/>
              <w:spacing w:line="215" w:lineRule="exact"/>
              <w:ind w:left="4057" w:right="4046"/>
              <w:jc w:val="center"/>
              <w:rPr>
                <w:b/>
                <w:sz w:val="19"/>
              </w:rPr>
            </w:pPr>
            <w:r>
              <w:rPr>
                <w:b/>
                <w:w w:val="105"/>
                <w:sz w:val="19"/>
              </w:rPr>
              <w:t>FISM</w:t>
            </w:r>
          </w:p>
        </w:tc>
      </w:tr>
      <w:tr>
        <w:trPr>
          <w:trHeight w:val="238" w:hRule="exact"/>
        </w:trPr>
        <w:tc>
          <w:tcPr>
            <w:tcW w:w="4424" w:type="dxa"/>
            <w:tcBorders>
              <w:left w:val="single" w:sz="6" w:space="0" w:color="000000"/>
              <w:right w:val="single" w:sz="6" w:space="0" w:color="000000"/>
            </w:tcBorders>
            <w:shd w:val="clear" w:color="auto" w:fill="F1DCDB"/>
          </w:tcPr>
          <w:p>
            <w:pPr>
              <w:pStyle w:val="TableParagraph"/>
              <w:spacing w:line="216" w:lineRule="exact"/>
              <w:ind w:left="27" w:right="725"/>
              <w:rPr>
                <w:b/>
                <w:sz w:val="19"/>
              </w:rPr>
            </w:pPr>
            <w:r>
              <w:rPr>
                <w:b/>
                <w:w w:val="105"/>
                <w:sz w:val="19"/>
              </w:rPr>
              <w:t>Fortalezas</w:t>
            </w:r>
          </w:p>
        </w:tc>
        <w:tc>
          <w:tcPr>
            <w:tcW w:w="4212" w:type="dxa"/>
            <w:tcBorders>
              <w:left w:val="single" w:sz="6" w:space="0" w:color="000000"/>
              <w:right w:val="single" w:sz="6" w:space="0" w:color="000000"/>
            </w:tcBorders>
            <w:shd w:val="clear" w:color="auto" w:fill="F1DCDB"/>
          </w:tcPr>
          <w:p>
            <w:pPr>
              <w:pStyle w:val="TableParagraph"/>
              <w:spacing w:line="216" w:lineRule="exact"/>
              <w:ind w:left="28" w:right="80"/>
              <w:rPr>
                <w:b/>
                <w:sz w:val="19"/>
              </w:rPr>
            </w:pPr>
            <w:r>
              <w:rPr>
                <w:b/>
                <w:w w:val="105"/>
                <w:sz w:val="19"/>
              </w:rPr>
              <w:t>Debilidades</w:t>
            </w:r>
          </w:p>
        </w:tc>
      </w:tr>
      <w:tr>
        <w:trPr>
          <w:trHeight w:val="948" w:hRule="exact"/>
        </w:trPr>
        <w:tc>
          <w:tcPr>
            <w:tcW w:w="4424" w:type="dxa"/>
            <w:tcBorders>
              <w:left w:val="single" w:sz="6" w:space="0" w:color="000000"/>
              <w:right w:val="single" w:sz="6" w:space="0" w:color="000000"/>
            </w:tcBorders>
          </w:tcPr>
          <w:p>
            <w:pPr>
              <w:pStyle w:val="TableParagraph"/>
              <w:spacing w:line="261" w:lineRule="auto"/>
              <w:ind w:left="26" w:right="725" w:firstLine="1"/>
              <w:rPr>
                <w:sz w:val="19"/>
              </w:rPr>
            </w:pPr>
            <w:r>
              <w:rPr>
                <w:w w:val="105"/>
                <w:sz w:val="19"/>
              </w:rPr>
              <w:t>El municipio cuenta con manuales de organización y de procedimientos para la operación del FISM.</w:t>
            </w:r>
          </w:p>
        </w:tc>
        <w:tc>
          <w:tcPr>
            <w:tcW w:w="4212" w:type="dxa"/>
            <w:tcBorders>
              <w:left w:val="single" w:sz="6" w:space="0" w:color="000000"/>
              <w:right w:val="single" w:sz="6" w:space="0" w:color="000000"/>
            </w:tcBorders>
          </w:tcPr>
          <w:p>
            <w:pPr>
              <w:pStyle w:val="TableParagraph"/>
              <w:spacing w:line="261" w:lineRule="auto"/>
              <w:ind w:left="27" w:right="80" w:firstLine="1"/>
              <w:rPr>
                <w:sz w:val="19"/>
              </w:rPr>
            </w:pPr>
            <w:r>
              <w:rPr>
                <w:w w:val="105"/>
                <w:sz w:val="19"/>
              </w:rPr>
              <w:t>Existen deficiencias en la coordinación entre las áreas responsables de la aplicación de los recursos del fondo.</w:t>
            </w:r>
          </w:p>
        </w:tc>
      </w:tr>
      <w:tr>
        <w:trPr>
          <w:trHeight w:val="712" w:hRule="exact"/>
        </w:trPr>
        <w:tc>
          <w:tcPr>
            <w:tcW w:w="4424" w:type="dxa"/>
            <w:tcBorders>
              <w:left w:val="single" w:sz="6" w:space="0" w:color="000000"/>
              <w:right w:val="single" w:sz="6" w:space="0" w:color="000000"/>
            </w:tcBorders>
          </w:tcPr>
          <w:p>
            <w:pPr>
              <w:pStyle w:val="TableParagraph"/>
              <w:spacing w:line="259" w:lineRule="auto"/>
              <w:ind w:left="29" w:right="258" w:hanging="2"/>
              <w:rPr>
                <w:sz w:val="19"/>
              </w:rPr>
            </w:pPr>
            <w:r>
              <w:rPr>
                <w:w w:val="105"/>
                <w:sz w:val="19"/>
              </w:rPr>
              <w:t>El personal responsable del fondo participó en talleres de capacitación.</w:t>
            </w:r>
          </w:p>
        </w:tc>
        <w:tc>
          <w:tcPr>
            <w:tcW w:w="4212" w:type="dxa"/>
            <w:tcBorders>
              <w:left w:val="single" w:sz="6" w:space="0" w:color="000000"/>
              <w:right w:val="single" w:sz="6" w:space="0" w:color="000000"/>
            </w:tcBorders>
          </w:tcPr>
          <w:p>
            <w:pPr>
              <w:pStyle w:val="TableParagraph"/>
              <w:spacing w:line="261" w:lineRule="auto"/>
              <w:ind w:left="28" w:right="11" w:firstLine="53"/>
              <w:rPr>
                <w:sz w:val="19"/>
              </w:rPr>
            </w:pPr>
            <w:r>
              <w:rPr>
                <w:w w:val="105"/>
                <w:sz w:val="19"/>
              </w:rPr>
              <w:t>En la cuenta bancaria del FISM 2009 se operaron</w:t>
            </w:r>
            <w:r>
              <w:rPr>
                <w:spacing w:val="-17"/>
                <w:w w:val="105"/>
                <w:sz w:val="19"/>
              </w:rPr>
              <w:t> </w:t>
            </w:r>
            <w:r>
              <w:rPr>
                <w:w w:val="105"/>
                <w:sz w:val="19"/>
              </w:rPr>
              <w:t>recursos</w:t>
            </w:r>
            <w:r>
              <w:rPr>
                <w:spacing w:val="-17"/>
                <w:w w:val="105"/>
                <w:sz w:val="19"/>
              </w:rPr>
              <w:t> </w:t>
            </w:r>
            <w:r>
              <w:rPr>
                <w:w w:val="105"/>
                <w:sz w:val="19"/>
              </w:rPr>
              <w:t>de</w:t>
            </w:r>
            <w:r>
              <w:rPr>
                <w:spacing w:val="-18"/>
                <w:w w:val="105"/>
                <w:sz w:val="19"/>
              </w:rPr>
              <w:t> </w:t>
            </w:r>
            <w:r>
              <w:rPr>
                <w:w w:val="105"/>
                <w:sz w:val="19"/>
              </w:rPr>
              <w:t>fuentes</w:t>
            </w:r>
            <w:r>
              <w:rPr>
                <w:spacing w:val="-18"/>
                <w:w w:val="105"/>
                <w:sz w:val="19"/>
              </w:rPr>
              <w:t> </w:t>
            </w:r>
            <w:r>
              <w:rPr>
                <w:w w:val="105"/>
                <w:sz w:val="19"/>
              </w:rPr>
              <w:t>de</w:t>
            </w:r>
            <w:r>
              <w:rPr>
                <w:spacing w:val="-17"/>
                <w:w w:val="105"/>
                <w:sz w:val="19"/>
              </w:rPr>
              <w:t> </w:t>
            </w:r>
            <w:r>
              <w:rPr>
                <w:w w:val="105"/>
                <w:sz w:val="19"/>
              </w:rPr>
              <w:t>financiamiento distintas.</w:t>
            </w:r>
          </w:p>
        </w:tc>
      </w:tr>
      <w:tr>
        <w:trPr>
          <w:trHeight w:val="580" w:hRule="exact"/>
        </w:trPr>
        <w:tc>
          <w:tcPr>
            <w:tcW w:w="4424" w:type="dxa"/>
            <w:tcBorders>
              <w:left w:val="single" w:sz="6" w:space="0" w:color="000000"/>
              <w:right w:val="single" w:sz="6" w:space="0" w:color="000000"/>
            </w:tcBorders>
          </w:tcPr>
          <w:p>
            <w:pPr>
              <w:pStyle w:val="TableParagraph"/>
              <w:spacing w:line="261" w:lineRule="auto"/>
              <w:ind w:left="27" w:right="435"/>
              <w:rPr>
                <w:sz w:val="19"/>
              </w:rPr>
            </w:pPr>
            <w:r>
              <w:rPr>
                <w:w w:val="105"/>
                <w:sz w:val="19"/>
              </w:rPr>
              <w:t>La rotación del personal que interviene en la operación del fondo no es relevante.</w:t>
            </w:r>
          </w:p>
        </w:tc>
        <w:tc>
          <w:tcPr>
            <w:tcW w:w="4212" w:type="dxa"/>
            <w:tcBorders>
              <w:left w:val="single" w:sz="6" w:space="0" w:color="000000"/>
              <w:right w:val="single" w:sz="6" w:space="0" w:color="000000"/>
            </w:tcBorders>
          </w:tcPr>
          <w:p>
            <w:pPr>
              <w:pStyle w:val="TableParagraph"/>
              <w:spacing w:line="261" w:lineRule="auto"/>
              <w:ind w:left="28" w:right="90"/>
              <w:rPr>
                <w:sz w:val="19"/>
              </w:rPr>
            </w:pPr>
            <w:r>
              <w:rPr>
                <w:w w:val="105"/>
                <w:sz w:val="19"/>
              </w:rPr>
              <w:t>No se implementó evaluar al final del ejercicio los resultados del FISM.</w:t>
            </w:r>
          </w:p>
        </w:tc>
      </w:tr>
      <w:tr>
        <w:trPr>
          <w:trHeight w:val="1186" w:hRule="exact"/>
        </w:trPr>
        <w:tc>
          <w:tcPr>
            <w:tcW w:w="4424" w:type="dxa"/>
            <w:tcBorders>
              <w:left w:val="single" w:sz="6" w:space="0" w:color="000000"/>
              <w:right w:val="single" w:sz="6" w:space="0" w:color="000000"/>
            </w:tcBorders>
          </w:tcPr>
          <w:p>
            <w:pPr>
              <w:pStyle w:val="TableParagraph"/>
              <w:spacing w:line="261" w:lineRule="auto"/>
              <w:ind w:left="26" w:right="68" w:firstLine="1"/>
              <w:jc w:val="both"/>
              <w:rPr>
                <w:sz w:val="19"/>
              </w:rPr>
            </w:pPr>
            <w:r>
              <w:rPr>
                <w:w w:val="105"/>
                <w:sz w:val="19"/>
              </w:rPr>
              <w:t>Los</w:t>
            </w:r>
            <w:r>
              <w:rPr>
                <w:spacing w:val="-10"/>
                <w:w w:val="105"/>
                <w:sz w:val="19"/>
              </w:rPr>
              <w:t> </w:t>
            </w:r>
            <w:r>
              <w:rPr>
                <w:w w:val="105"/>
                <w:sz w:val="19"/>
              </w:rPr>
              <w:t>registros</w:t>
            </w:r>
            <w:r>
              <w:rPr>
                <w:spacing w:val="-10"/>
                <w:w w:val="105"/>
                <w:sz w:val="19"/>
              </w:rPr>
              <w:t> </w:t>
            </w:r>
            <w:r>
              <w:rPr>
                <w:w w:val="105"/>
                <w:sz w:val="19"/>
              </w:rPr>
              <w:t>para</w:t>
            </w:r>
            <w:r>
              <w:rPr>
                <w:spacing w:val="-11"/>
                <w:w w:val="105"/>
                <w:sz w:val="19"/>
              </w:rPr>
              <w:t> </w:t>
            </w:r>
            <w:r>
              <w:rPr>
                <w:w w:val="105"/>
                <w:sz w:val="19"/>
              </w:rPr>
              <w:t>el</w:t>
            </w:r>
            <w:r>
              <w:rPr>
                <w:spacing w:val="-11"/>
                <w:w w:val="105"/>
                <w:sz w:val="19"/>
              </w:rPr>
              <w:t> </w:t>
            </w:r>
            <w:r>
              <w:rPr>
                <w:w w:val="105"/>
                <w:sz w:val="19"/>
              </w:rPr>
              <w:t>seguimiento</w:t>
            </w:r>
            <w:r>
              <w:rPr>
                <w:spacing w:val="-10"/>
                <w:w w:val="105"/>
                <w:sz w:val="19"/>
              </w:rPr>
              <w:t> </w:t>
            </w:r>
            <w:r>
              <w:rPr>
                <w:w w:val="105"/>
                <w:sz w:val="19"/>
              </w:rPr>
              <w:t>y</w:t>
            </w:r>
            <w:r>
              <w:rPr>
                <w:spacing w:val="-11"/>
                <w:w w:val="105"/>
                <w:sz w:val="19"/>
              </w:rPr>
              <w:t> </w:t>
            </w:r>
            <w:r>
              <w:rPr>
                <w:w w:val="105"/>
                <w:sz w:val="19"/>
              </w:rPr>
              <w:t>control</w:t>
            </w:r>
            <w:r>
              <w:rPr>
                <w:spacing w:val="-11"/>
                <w:w w:val="105"/>
                <w:sz w:val="19"/>
              </w:rPr>
              <w:t> </w:t>
            </w:r>
            <w:r>
              <w:rPr>
                <w:w w:val="105"/>
                <w:sz w:val="19"/>
              </w:rPr>
              <w:t>de</w:t>
            </w:r>
            <w:r>
              <w:rPr>
                <w:spacing w:val="-11"/>
                <w:w w:val="105"/>
                <w:sz w:val="19"/>
              </w:rPr>
              <w:t> </w:t>
            </w:r>
            <w:r>
              <w:rPr>
                <w:w w:val="105"/>
                <w:sz w:val="19"/>
              </w:rPr>
              <w:t>las obras</w:t>
            </w:r>
            <w:r>
              <w:rPr>
                <w:spacing w:val="-13"/>
                <w:w w:val="105"/>
                <w:sz w:val="19"/>
              </w:rPr>
              <w:t> </w:t>
            </w:r>
            <w:r>
              <w:rPr>
                <w:w w:val="105"/>
                <w:sz w:val="19"/>
              </w:rPr>
              <w:t>y</w:t>
            </w:r>
            <w:r>
              <w:rPr>
                <w:spacing w:val="-14"/>
                <w:w w:val="105"/>
                <w:sz w:val="19"/>
              </w:rPr>
              <w:t> </w:t>
            </w:r>
            <w:r>
              <w:rPr>
                <w:w w:val="105"/>
                <w:sz w:val="19"/>
              </w:rPr>
              <w:t>acciones</w:t>
            </w:r>
            <w:r>
              <w:rPr>
                <w:spacing w:val="-13"/>
                <w:w w:val="105"/>
                <w:sz w:val="19"/>
              </w:rPr>
              <w:t> </w:t>
            </w:r>
            <w:r>
              <w:rPr>
                <w:w w:val="105"/>
                <w:sz w:val="19"/>
              </w:rPr>
              <w:t>financiadas</w:t>
            </w:r>
            <w:r>
              <w:rPr>
                <w:spacing w:val="-13"/>
                <w:w w:val="105"/>
                <w:sz w:val="19"/>
              </w:rPr>
              <w:t> </w:t>
            </w:r>
            <w:r>
              <w:rPr>
                <w:w w:val="105"/>
                <w:sz w:val="19"/>
              </w:rPr>
              <w:t>con</w:t>
            </w:r>
            <w:r>
              <w:rPr>
                <w:spacing w:val="-14"/>
                <w:w w:val="105"/>
                <w:sz w:val="19"/>
              </w:rPr>
              <w:t> </w:t>
            </w:r>
            <w:r>
              <w:rPr>
                <w:w w:val="105"/>
                <w:sz w:val="19"/>
              </w:rPr>
              <w:t>los</w:t>
            </w:r>
            <w:r>
              <w:rPr>
                <w:spacing w:val="-14"/>
                <w:w w:val="105"/>
                <w:sz w:val="19"/>
              </w:rPr>
              <w:t> </w:t>
            </w:r>
            <w:r>
              <w:rPr>
                <w:w w:val="105"/>
                <w:sz w:val="19"/>
              </w:rPr>
              <w:t>recursos</w:t>
            </w:r>
            <w:r>
              <w:rPr>
                <w:spacing w:val="-15"/>
                <w:w w:val="105"/>
                <w:sz w:val="19"/>
              </w:rPr>
              <w:t> </w:t>
            </w:r>
            <w:r>
              <w:rPr>
                <w:w w:val="105"/>
                <w:sz w:val="19"/>
              </w:rPr>
              <w:t>del fondo</w:t>
            </w:r>
            <w:r>
              <w:rPr>
                <w:spacing w:val="-25"/>
                <w:w w:val="105"/>
                <w:sz w:val="19"/>
              </w:rPr>
              <w:t> </w:t>
            </w:r>
            <w:r>
              <w:rPr>
                <w:w w:val="105"/>
                <w:sz w:val="19"/>
              </w:rPr>
              <w:t>muestran</w:t>
            </w:r>
            <w:r>
              <w:rPr>
                <w:spacing w:val="-24"/>
                <w:w w:val="105"/>
                <w:sz w:val="19"/>
              </w:rPr>
              <w:t> </w:t>
            </w:r>
            <w:r>
              <w:rPr>
                <w:w w:val="105"/>
                <w:sz w:val="19"/>
              </w:rPr>
              <w:t>los</w:t>
            </w:r>
            <w:r>
              <w:rPr>
                <w:spacing w:val="-24"/>
                <w:w w:val="105"/>
                <w:sz w:val="19"/>
              </w:rPr>
              <w:t> </w:t>
            </w:r>
            <w:r>
              <w:rPr>
                <w:w w:val="105"/>
                <w:sz w:val="19"/>
              </w:rPr>
              <w:t>avances</w:t>
            </w:r>
            <w:r>
              <w:rPr>
                <w:spacing w:val="-25"/>
                <w:w w:val="105"/>
                <w:sz w:val="19"/>
              </w:rPr>
              <w:t> </w:t>
            </w:r>
            <w:r>
              <w:rPr>
                <w:w w:val="105"/>
                <w:sz w:val="19"/>
              </w:rPr>
              <w:t>físico-financieros.</w:t>
            </w:r>
          </w:p>
        </w:tc>
        <w:tc>
          <w:tcPr>
            <w:tcW w:w="4212" w:type="dxa"/>
            <w:tcBorders>
              <w:left w:val="single" w:sz="6" w:space="0" w:color="000000"/>
              <w:right w:val="single" w:sz="6" w:space="0" w:color="000000"/>
            </w:tcBorders>
          </w:tcPr>
          <w:p>
            <w:pPr>
              <w:pStyle w:val="TableParagraph"/>
              <w:spacing w:line="261" w:lineRule="auto"/>
              <w:ind w:left="29" w:right="145" w:firstLine="52"/>
              <w:rPr>
                <w:sz w:val="19"/>
              </w:rPr>
            </w:pPr>
            <w:r>
              <w:rPr>
                <w:w w:val="105"/>
                <w:sz w:val="19"/>
              </w:rPr>
              <w:t>El programa de supervisión no asegura la correcta aplicación de los recursos del fondo.</w:t>
            </w:r>
          </w:p>
        </w:tc>
      </w:tr>
      <w:tr>
        <w:trPr>
          <w:trHeight w:val="712" w:hRule="exact"/>
        </w:trPr>
        <w:tc>
          <w:tcPr>
            <w:tcW w:w="4424" w:type="dxa"/>
            <w:tcBorders>
              <w:left w:val="single" w:sz="6" w:space="0" w:color="000000"/>
              <w:right w:val="single" w:sz="6" w:space="0" w:color="000000"/>
            </w:tcBorders>
          </w:tcPr>
          <w:p>
            <w:pPr/>
          </w:p>
        </w:tc>
        <w:tc>
          <w:tcPr>
            <w:tcW w:w="4212" w:type="dxa"/>
            <w:tcBorders>
              <w:left w:val="single" w:sz="6" w:space="0" w:color="000000"/>
              <w:right w:val="single" w:sz="6" w:space="0" w:color="000000"/>
            </w:tcBorders>
          </w:tcPr>
          <w:p>
            <w:pPr>
              <w:pStyle w:val="TableParagraph"/>
              <w:spacing w:line="261" w:lineRule="auto"/>
              <w:ind w:left="28" w:right="301"/>
              <w:rPr>
                <w:sz w:val="19"/>
              </w:rPr>
            </w:pPr>
            <w:r>
              <w:rPr>
                <w:w w:val="105"/>
                <w:sz w:val="19"/>
              </w:rPr>
              <w:t>Las acciones promovidas por la Contraloría Municipal no tienen el carácter preventivo deseable.</w:t>
            </w:r>
          </w:p>
        </w:tc>
      </w:tr>
    </w:tbl>
    <w:p>
      <w:pPr>
        <w:spacing w:after="0" w:line="261" w:lineRule="auto"/>
        <w:rPr>
          <w:sz w:val="19"/>
        </w:rPr>
        <w:sectPr>
          <w:pgSz w:w="15840" w:h="12240" w:orient="landscape"/>
          <w:pgMar w:header="0" w:footer="992" w:top="1140" w:bottom="1180" w:left="2260" w:right="2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pStyle w:val="BodyText"/>
        <w:ind w:left="1498"/>
        <w:rPr>
          <w:sz w:val="20"/>
        </w:rPr>
      </w:pPr>
      <w:r>
        <w:rPr>
          <w:sz w:val="20"/>
        </w:rPr>
        <w:pict>
          <v:group style="width:432pt;height:40.8pt;mso-position-horizontal-relative:char;mso-position-vertical-relative:line" coordorigin="0,0" coordsize="8640,816">
            <v:shape style="position:absolute;left:0;top:0;width:8640;height:816" type="#_x0000_t75" stroked="false">
              <v:imagedata r:id="rId83" o:title=""/>
            </v:shape>
            <v:shape style="position:absolute;left:0;top:0;width:8640;height:816" type="#_x0000_t202" filled="false" stroked="false">
              <v:textbox inset="0,0,0,0">
                <w:txbxContent>
                  <w:p>
                    <w:pPr>
                      <w:spacing w:line="228" w:lineRule="exact" w:before="0"/>
                      <w:ind w:left="144" w:right="0" w:firstLine="0"/>
                      <w:jc w:val="left"/>
                      <w:rPr>
                        <w:sz w:val="20"/>
                      </w:rPr>
                    </w:pPr>
                    <w:r>
                      <w:rPr>
                        <w:b/>
                        <w:sz w:val="20"/>
                      </w:rPr>
                      <w:t>Fuente: </w:t>
                    </w:r>
                    <w:r>
                      <w:rPr>
                        <w:sz w:val="20"/>
                      </w:rPr>
                      <w:t>Elaboración propia con base en el Informe de Resultados de la Fiscalización Superior de las cuentas públicas 2008-2014</w:t>
                    </w:r>
                  </w:p>
                </w:txbxContent>
              </v:textbox>
              <w10:wrap type="none"/>
            </v:shape>
          </v:group>
        </w:pict>
      </w:r>
      <w:r>
        <w:rPr>
          <w:sz w:val="20"/>
        </w:rPr>
      </w:r>
    </w:p>
    <w:p>
      <w:pPr>
        <w:spacing w:line="268" w:lineRule="auto" w:before="52"/>
        <w:ind w:left="3531" w:right="3311" w:firstLine="3"/>
        <w:jc w:val="center"/>
        <w:rPr>
          <w:b/>
          <w:sz w:val="19"/>
        </w:rPr>
      </w:pPr>
      <w:r>
        <w:rPr>
          <w:b/>
          <w:w w:val="120"/>
          <w:sz w:val="19"/>
        </w:rPr>
        <w:t>Calidad de la Gestión Gubernamental Controles Internos (Manejo y Aplicación) Toluca Ejercicio fiscal 2009</w:t>
      </w:r>
    </w:p>
    <w:p>
      <w:pPr>
        <w:pStyle w:val="BodyText"/>
        <w:spacing w:line="20" w:lineRule="exact"/>
        <w:ind w:left="1463"/>
        <w:rPr>
          <w:sz w:val="2"/>
        </w:rPr>
      </w:pPr>
      <w:r>
        <w:rPr>
          <w:sz w:val="2"/>
        </w:rPr>
        <w:pict>
          <v:group style="width:430.2pt;height:.75pt;mso-position-horizontal-relative:char;mso-position-vertical-relative:line" coordorigin="0,0" coordsize="8604,15">
            <v:shape style="position:absolute;left:8;top:8;width:8589;height:2" coordorigin="8,8" coordsize="8589,0" path="m8,8l8,8,8596,8e" filled="false" stroked="true" strokeweight=".721726pt" strokecolor="#000000">
              <v:path arrowok="t"/>
            </v:shape>
          </v:group>
        </w:pict>
      </w:r>
      <w:r>
        <w:rPr>
          <w:sz w:val="2"/>
        </w:rPr>
      </w:r>
    </w:p>
    <w:p>
      <w:pPr>
        <w:pStyle w:val="BodyText"/>
        <w:rPr>
          <w:b/>
          <w:sz w:val="20"/>
        </w:rPr>
      </w:pPr>
    </w:p>
    <w:p>
      <w:pPr>
        <w:pStyle w:val="BodyText"/>
        <w:spacing w:before="5" w:after="1"/>
        <w:rPr>
          <w:b/>
          <w:sz w:val="19"/>
        </w:rPr>
      </w:pPr>
    </w:p>
    <w:tbl>
      <w:tblPr>
        <w:tblW w:w="0" w:type="auto"/>
        <w:jc w:val="left"/>
        <w:tblInd w:w="146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377"/>
        <w:gridCol w:w="4206"/>
      </w:tblGrid>
      <w:tr>
        <w:trPr>
          <w:trHeight w:val="244" w:hRule="exact"/>
        </w:trPr>
        <w:tc>
          <w:tcPr>
            <w:tcW w:w="8583" w:type="dxa"/>
            <w:gridSpan w:val="2"/>
            <w:tcBorders>
              <w:left w:val="single" w:sz="7" w:space="0" w:color="000000"/>
              <w:right w:val="single" w:sz="7" w:space="0" w:color="000000"/>
            </w:tcBorders>
            <w:shd w:val="clear" w:color="auto" w:fill="E6B8B7"/>
          </w:tcPr>
          <w:p>
            <w:pPr>
              <w:pStyle w:val="TableParagraph"/>
              <w:tabs>
                <w:tab w:pos="4020" w:val="left" w:leader="none"/>
              </w:tabs>
              <w:spacing w:line="222" w:lineRule="exact"/>
              <w:ind w:left="2323"/>
              <w:rPr>
                <w:b/>
                <w:sz w:val="19"/>
              </w:rPr>
            </w:pPr>
            <w:r>
              <w:rPr>
                <w:w w:val="105"/>
                <w:sz w:val="24"/>
              </w:rPr>
              <w:t>Anexo</w:t>
            </w:r>
            <w:r>
              <w:rPr>
                <w:spacing w:val="-19"/>
                <w:w w:val="105"/>
                <w:sz w:val="24"/>
              </w:rPr>
              <w:t> </w:t>
            </w:r>
            <w:r>
              <w:rPr>
                <w:w w:val="105"/>
                <w:sz w:val="24"/>
              </w:rPr>
              <w:t>37.</w:t>
              <w:tab/>
            </w:r>
            <w:r>
              <w:rPr>
                <w:b/>
                <w:w w:val="105"/>
                <w:position w:val="-6"/>
                <w:sz w:val="19"/>
              </w:rPr>
              <w:t>FISM</w:t>
            </w:r>
          </w:p>
        </w:tc>
      </w:tr>
      <w:tr>
        <w:trPr>
          <w:trHeight w:val="245" w:hRule="exact"/>
        </w:trPr>
        <w:tc>
          <w:tcPr>
            <w:tcW w:w="4377" w:type="dxa"/>
            <w:tcBorders>
              <w:left w:val="single" w:sz="7" w:space="0" w:color="000000"/>
              <w:right w:val="single" w:sz="7" w:space="0" w:color="000000"/>
            </w:tcBorders>
            <w:shd w:val="clear" w:color="auto" w:fill="F1DCDB"/>
          </w:tcPr>
          <w:p>
            <w:pPr>
              <w:pStyle w:val="TableParagraph"/>
              <w:spacing w:before="2"/>
              <w:ind w:left="32" w:right="-13"/>
              <w:rPr>
                <w:b/>
                <w:sz w:val="19"/>
              </w:rPr>
            </w:pPr>
            <w:r>
              <w:rPr>
                <w:b/>
                <w:w w:val="120"/>
                <w:sz w:val="19"/>
              </w:rPr>
              <w:t>Fortalezas</w:t>
            </w:r>
          </w:p>
        </w:tc>
        <w:tc>
          <w:tcPr>
            <w:tcW w:w="4206" w:type="dxa"/>
            <w:tcBorders>
              <w:left w:val="single" w:sz="7" w:space="0" w:color="000000"/>
              <w:right w:val="single" w:sz="7" w:space="0" w:color="000000"/>
            </w:tcBorders>
            <w:shd w:val="clear" w:color="auto" w:fill="F1DCDB"/>
          </w:tcPr>
          <w:p>
            <w:pPr>
              <w:pStyle w:val="TableParagraph"/>
              <w:spacing w:before="2"/>
              <w:ind w:left="34" w:right="5"/>
              <w:rPr>
                <w:b/>
                <w:sz w:val="19"/>
              </w:rPr>
            </w:pPr>
            <w:r>
              <w:rPr>
                <w:b/>
                <w:w w:val="120"/>
                <w:sz w:val="19"/>
              </w:rPr>
              <w:t>Debilidades</w:t>
            </w:r>
          </w:p>
        </w:tc>
      </w:tr>
      <w:tr>
        <w:trPr>
          <w:trHeight w:val="1468" w:hRule="exact"/>
        </w:trPr>
        <w:tc>
          <w:tcPr>
            <w:tcW w:w="4377" w:type="dxa"/>
            <w:tcBorders>
              <w:left w:val="single" w:sz="7" w:space="0" w:color="000000"/>
              <w:right w:val="single" w:sz="7" w:space="0" w:color="000000"/>
            </w:tcBorders>
          </w:tcPr>
          <w:p>
            <w:pPr>
              <w:pStyle w:val="TableParagraph"/>
              <w:spacing w:line="268" w:lineRule="auto" w:before="1"/>
              <w:ind w:left="31" w:right="-13" w:firstLine="1"/>
              <w:rPr>
                <w:sz w:val="19"/>
              </w:rPr>
            </w:pPr>
            <w:r>
              <w:rPr>
                <w:w w:val="120"/>
                <w:sz w:val="19"/>
              </w:rPr>
              <w:t>Existen comités de obra para dar seguimiento al programa de construcción de obras.</w:t>
            </w:r>
          </w:p>
        </w:tc>
        <w:tc>
          <w:tcPr>
            <w:tcW w:w="4206" w:type="dxa"/>
            <w:tcBorders>
              <w:left w:val="single" w:sz="7" w:space="0" w:color="000000"/>
              <w:right w:val="single" w:sz="7" w:space="0" w:color="000000"/>
            </w:tcBorders>
          </w:tcPr>
          <w:p>
            <w:pPr>
              <w:pStyle w:val="TableParagraph"/>
              <w:spacing w:line="268" w:lineRule="auto" w:before="1"/>
              <w:ind w:left="31" w:right="5" w:firstLine="2"/>
              <w:rPr>
                <w:sz w:val="19"/>
              </w:rPr>
            </w:pPr>
            <w:r>
              <w:rPr>
                <w:w w:val="120"/>
                <w:sz w:val="19"/>
              </w:rPr>
              <w:t>El municipio carece de manuales de organización y procedimientos que orienten las acciones de acuerdo con los puestos y perfiles de los servidores públicos municipales.</w:t>
            </w:r>
          </w:p>
        </w:tc>
      </w:tr>
      <w:tr>
        <w:trPr>
          <w:trHeight w:val="1223" w:hRule="exact"/>
        </w:trPr>
        <w:tc>
          <w:tcPr>
            <w:tcW w:w="4377" w:type="dxa"/>
            <w:tcBorders>
              <w:left w:val="single" w:sz="7" w:space="0" w:color="000000"/>
              <w:right w:val="single" w:sz="7" w:space="0" w:color="000000"/>
            </w:tcBorders>
          </w:tcPr>
          <w:p>
            <w:pPr>
              <w:pStyle w:val="TableParagraph"/>
              <w:spacing w:line="268" w:lineRule="auto" w:before="1"/>
              <w:ind w:left="31" w:right="-13" w:firstLine="1"/>
              <w:rPr>
                <w:sz w:val="19"/>
              </w:rPr>
            </w:pPr>
            <w:r>
              <w:rPr>
                <w:w w:val="120"/>
                <w:sz w:val="19"/>
              </w:rPr>
              <w:t>Se dan a conocer las obras realizadas por medio de boletines y de los presidentes de los comités de obras, quienes organizan reuniones con las comunidades.</w:t>
            </w:r>
          </w:p>
        </w:tc>
        <w:tc>
          <w:tcPr>
            <w:tcW w:w="4206" w:type="dxa"/>
            <w:tcBorders>
              <w:left w:val="single" w:sz="7" w:space="0" w:color="000000"/>
              <w:right w:val="single" w:sz="7" w:space="0" w:color="000000"/>
            </w:tcBorders>
          </w:tcPr>
          <w:p>
            <w:pPr>
              <w:pStyle w:val="TableParagraph"/>
              <w:spacing w:line="268" w:lineRule="auto" w:before="1"/>
              <w:ind w:left="35" w:right="2" w:hanging="2"/>
              <w:rPr>
                <w:sz w:val="19"/>
              </w:rPr>
            </w:pPr>
            <w:r>
              <w:rPr>
                <w:w w:val="120"/>
                <w:sz w:val="19"/>
              </w:rPr>
              <w:t>No se dispone de mecanismos o actividades de control para evaluar los conocimientos del personal que participa en la gestión del FISM.</w:t>
            </w:r>
          </w:p>
        </w:tc>
      </w:tr>
      <w:tr>
        <w:trPr>
          <w:trHeight w:val="1467" w:hRule="exact"/>
        </w:trPr>
        <w:tc>
          <w:tcPr>
            <w:tcW w:w="4377" w:type="dxa"/>
            <w:tcBorders>
              <w:left w:val="single" w:sz="7" w:space="0" w:color="000000"/>
              <w:right w:val="single" w:sz="7" w:space="0" w:color="000000"/>
            </w:tcBorders>
          </w:tcPr>
          <w:p>
            <w:pPr>
              <w:pStyle w:val="TableParagraph"/>
              <w:spacing w:line="268" w:lineRule="auto" w:before="1"/>
              <w:ind w:left="33" w:right="-13" w:hanging="2"/>
              <w:rPr>
                <w:sz w:val="19"/>
              </w:rPr>
            </w:pPr>
            <w:r>
              <w:rPr>
                <w:w w:val="120"/>
                <w:sz w:val="19"/>
              </w:rPr>
              <w:t>Para la recepción de las obras se invita a los comités de obra, a los órganos de control y a la comunidad en general.</w:t>
            </w:r>
          </w:p>
        </w:tc>
        <w:tc>
          <w:tcPr>
            <w:tcW w:w="4206" w:type="dxa"/>
            <w:tcBorders>
              <w:left w:val="single" w:sz="7" w:space="0" w:color="000000"/>
              <w:right w:val="single" w:sz="7" w:space="0" w:color="000000"/>
            </w:tcBorders>
          </w:tcPr>
          <w:p>
            <w:pPr>
              <w:pStyle w:val="TableParagraph"/>
              <w:spacing w:line="268" w:lineRule="auto" w:before="1"/>
              <w:ind w:left="31" w:right="5" w:firstLine="2"/>
              <w:rPr>
                <w:sz w:val="19"/>
              </w:rPr>
            </w:pPr>
            <w:r>
              <w:rPr>
                <w:w w:val="120"/>
                <w:sz w:val="19"/>
              </w:rPr>
              <w:t>La información financiera que suministra el área de Obras Públicas a la Tesorería Municipal es irregular y origina retrasos en la elaboración de informes.</w:t>
            </w:r>
          </w:p>
        </w:tc>
      </w:tr>
    </w:tbl>
    <w:p>
      <w:pPr>
        <w:spacing w:after="0" w:line="268" w:lineRule="auto"/>
        <w:rPr>
          <w:sz w:val="19"/>
        </w:rPr>
        <w:sectPr>
          <w:footerReference w:type="default" r:id="rId82"/>
          <w:pgSz w:w="15840" w:h="12240" w:orient="landscape"/>
          <w:pgMar w:footer="992" w:header="0" w:top="1140" w:bottom="1180" w:left="2260" w:right="2260"/>
        </w:sectPr>
      </w:pPr>
    </w:p>
    <w:p>
      <w:pPr>
        <w:pStyle w:val="BodyText"/>
        <w:rPr>
          <w:b/>
          <w:sz w:val="20"/>
        </w:rPr>
      </w:pPr>
    </w:p>
    <w:p>
      <w:pPr>
        <w:pStyle w:val="BodyText"/>
        <w:rPr>
          <w:b/>
          <w:sz w:val="20"/>
        </w:rPr>
      </w:pPr>
    </w:p>
    <w:p>
      <w:pPr>
        <w:pStyle w:val="BodyText"/>
        <w:spacing w:before="8" w:after="1"/>
        <w:rPr>
          <w:b/>
          <w:sz w:val="16"/>
        </w:rPr>
      </w:pPr>
    </w:p>
    <w:p>
      <w:pPr>
        <w:pStyle w:val="BodyText"/>
        <w:ind w:left="1498"/>
        <w:rPr>
          <w:sz w:val="20"/>
        </w:rPr>
      </w:pPr>
      <w:r>
        <w:rPr>
          <w:sz w:val="20"/>
        </w:rPr>
        <w:pict>
          <v:group style="width:432pt;height:40.8pt;mso-position-horizontal-relative:char;mso-position-vertical-relative:line" coordorigin="0,0" coordsize="8640,816">
            <v:shape style="position:absolute;left:0;top:0;width:8640;height:816" type="#_x0000_t75" stroked="false">
              <v:imagedata r:id="rId83" o:title=""/>
            </v:shape>
            <v:shape style="position:absolute;left:0;top:0;width:8640;height:816" type="#_x0000_t202" filled="false" stroked="false">
              <v:textbox inset="0,0,0,0">
                <w:txbxContent>
                  <w:p>
                    <w:pPr>
                      <w:spacing w:line="228" w:lineRule="exact" w:before="0"/>
                      <w:ind w:left="144" w:right="0" w:firstLine="0"/>
                      <w:jc w:val="left"/>
                      <w:rPr>
                        <w:sz w:val="20"/>
                      </w:rPr>
                    </w:pPr>
                    <w:r>
                      <w:rPr>
                        <w:b/>
                        <w:sz w:val="20"/>
                      </w:rPr>
                      <w:t>Fuente: </w:t>
                    </w:r>
                    <w:r>
                      <w:rPr>
                        <w:sz w:val="20"/>
                      </w:rPr>
                      <w:t>Elaboración propia con base en el Informe de Resultados de la Fiscalización Superior de las cuentas públicas 2008-2014.</w:t>
                    </w:r>
                  </w:p>
                </w:txbxContent>
              </v:textbox>
              <w10:wrap type="none"/>
            </v:shape>
          </v:group>
        </w:pict>
      </w:r>
      <w:r>
        <w:rPr>
          <w:sz w:val="20"/>
        </w:rPr>
      </w:r>
    </w:p>
    <w:p>
      <w:pPr>
        <w:pStyle w:val="BodyText"/>
        <w:spacing w:before="10"/>
        <w:rPr>
          <w:b/>
          <w:sz w:val="8"/>
        </w:rPr>
      </w:pPr>
    </w:p>
    <w:p>
      <w:pPr>
        <w:spacing w:after="0"/>
        <w:rPr>
          <w:sz w:val="8"/>
        </w:rPr>
        <w:sectPr>
          <w:footerReference w:type="default" r:id="rId84"/>
          <w:pgSz w:w="15840" w:h="12240" w:orient="landscape"/>
          <w:pgMar w:footer="992" w:header="0" w:top="1140" w:bottom="1180" w:left="2260" w:right="2260"/>
          <w:pgNumType w:start="241"/>
        </w:sectPr>
      </w:pPr>
    </w:p>
    <w:p>
      <w:pPr>
        <w:pStyle w:val="BodyText"/>
        <w:rPr>
          <w:b/>
        </w:rPr>
      </w:pPr>
    </w:p>
    <w:p>
      <w:pPr>
        <w:pStyle w:val="BodyText"/>
        <w:rPr>
          <w:b/>
        </w:rPr>
      </w:pPr>
    </w:p>
    <w:p>
      <w:pPr>
        <w:pStyle w:val="BodyText"/>
        <w:spacing w:before="184"/>
        <w:ind w:left="1822" w:right="-19"/>
      </w:pPr>
      <w:r>
        <w:rPr/>
        <w:pict>
          <v:shape style="position:absolute;margin-left:186.919876pt;margin-top:5.494704pt;width:429.9pt;height:.1pt;mso-position-horizontal-relative:page;mso-position-vertical-relative:paragraph;z-index:-677176" coordorigin="3738,110" coordsize="8598,0" path="m3738,110l3738,110,12336,110e" filled="false" stroked="true" strokeweight=".585827pt" strokecolor="#000000">
            <v:path arrowok="t"/>
            <w10:wrap type="none"/>
          </v:shape>
        </w:pict>
      </w:r>
      <w:r>
        <w:rPr/>
        <w:t>Anexo 38.</w:t>
      </w:r>
    </w:p>
    <w:p>
      <w:pPr>
        <w:spacing w:line="271" w:lineRule="auto" w:before="85"/>
        <w:ind w:left="841" w:right="3537" w:firstLine="1"/>
        <w:jc w:val="center"/>
        <w:rPr>
          <w:b/>
          <w:sz w:val="15"/>
        </w:rPr>
      </w:pPr>
      <w:r>
        <w:rPr/>
        <w:br w:type="column"/>
      </w:r>
      <w:r>
        <w:rPr>
          <w:b/>
          <w:w w:val="135"/>
          <w:sz w:val="15"/>
        </w:rPr>
        <w:t>Calidad de la Gestión Gubernamental Controles Internos (Manejo y Aplicación) Almoloya de Juárez Ejercicio fiscal 2010</w:t>
      </w:r>
    </w:p>
    <w:p>
      <w:pPr>
        <w:spacing w:after="0" w:line="271" w:lineRule="auto"/>
        <w:jc w:val="center"/>
        <w:rPr>
          <w:sz w:val="15"/>
        </w:rPr>
        <w:sectPr>
          <w:type w:val="continuous"/>
          <w:pgSz w:w="15840" w:h="12240" w:orient="landscape"/>
          <w:pgMar w:top="0" w:bottom="280" w:left="2260" w:right="2260"/>
          <w:cols w:num="2" w:equalWidth="0">
            <w:col w:w="2904" w:space="40"/>
            <w:col w:w="8376"/>
          </w:cols>
        </w:sectPr>
      </w:pPr>
    </w:p>
    <w:p>
      <w:pPr>
        <w:pStyle w:val="BodyText"/>
        <w:spacing w:before="9"/>
        <w:rPr>
          <w:b/>
          <w:sz w:val="2"/>
        </w:rPr>
      </w:pPr>
    </w:p>
    <w:tbl>
      <w:tblPr>
        <w:tblW w:w="0" w:type="auto"/>
        <w:jc w:val="left"/>
        <w:tblInd w:w="147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4668"/>
        <w:gridCol w:w="3925"/>
      </w:tblGrid>
      <w:tr>
        <w:trPr>
          <w:trHeight w:val="196" w:hRule="exact"/>
        </w:trPr>
        <w:tc>
          <w:tcPr>
            <w:tcW w:w="8593" w:type="dxa"/>
            <w:gridSpan w:val="2"/>
            <w:tcBorders>
              <w:left w:val="single" w:sz="6" w:space="0" w:color="000000"/>
              <w:right w:val="single" w:sz="6" w:space="0" w:color="000000"/>
            </w:tcBorders>
            <w:shd w:val="clear" w:color="auto" w:fill="E6B8B7"/>
          </w:tcPr>
          <w:p>
            <w:pPr>
              <w:pStyle w:val="TableParagraph"/>
              <w:spacing w:before="3"/>
              <w:ind w:left="4037" w:right="4017"/>
              <w:jc w:val="center"/>
              <w:rPr>
                <w:b/>
                <w:sz w:val="15"/>
              </w:rPr>
            </w:pPr>
            <w:r>
              <w:rPr>
                <w:b/>
                <w:w w:val="135"/>
                <w:sz w:val="15"/>
              </w:rPr>
              <w:t>FISM</w:t>
            </w:r>
          </w:p>
        </w:tc>
      </w:tr>
      <w:tr>
        <w:trPr>
          <w:trHeight w:val="194" w:hRule="exact"/>
        </w:trPr>
        <w:tc>
          <w:tcPr>
            <w:tcW w:w="4668" w:type="dxa"/>
            <w:tcBorders>
              <w:left w:val="single" w:sz="6" w:space="0" w:color="000000"/>
              <w:right w:val="single" w:sz="6" w:space="0" w:color="000000"/>
            </w:tcBorders>
            <w:shd w:val="clear" w:color="auto" w:fill="F1DCDB"/>
          </w:tcPr>
          <w:p>
            <w:pPr>
              <w:pStyle w:val="TableParagraph"/>
              <w:spacing w:before="2"/>
              <w:ind w:left="1813" w:right="1798"/>
              <w:jc w:val="center"/>
              <w:rPr>
                <w:b/>
                <w:sz w:val="15"/>
              </w:rPr>
            </w:pPr>
            <w:r>
              <w:rPr>
                <w:b/>
                <w:w w:val="135"/>
                <w:sz w:val="15"/>
              </w:rPr>
              <w:t>Fortalezas</w:t>
            </w:r>
          </w:p>
        </w:tc>
        <w:tc>
          <w:tcPr>
            <w:tcW w:w="3925" w:type="dxa"/>
            <w:tcBorders>
              <w:left w:val="single" w:sz="6" w:space="0" w:color="000000"/>
              <w:right w:val="single" w:sz="6" w:space="0" w:color="000000"/>
            </w:tcBorders>
            <w:shd w:val="clear" w:color="auto" w:fill="F1DCDB"/>
          </w:tcPr>
          <w:p>
            <w:pPr>
              <w:pStyle w:val="TableParagraph"/>
              <w:spacing w:before="2"/>
              <w:ind w:left="1373" w:right="1359"/>
              <w:jc w:val="center"/>
              <w:rPr>
                <w:b/>
                <w:sz w:val="15"/>
              </w:rPr>
            </w:pPr>
            <w:r>
              <w:rPr>
                <w:b/>
                <w:w w:val="135"/>
                <w:sz w:val="15"/>
              </w:rPr>
              <w:t>Debilidades</w:t>
            </w:r>
          </w:p>
        </w:tc>
      </w:tr>
      <w:tr>
        <w:trPr>
          <w:trHeight w:val="585" w:hRule="exact"/>
        </w:trPr>
        <w:tc>
          <w:tcPr>
            <w:tcW w:w="4668" w:type="dxa"/>
            <w:tcBorders>
              <w:left w:val="single" w:sz="6" w:space="0" w:color="000000"/>
              <w:right w:val="single" w:sz="6" w:space="0" w:color="000000"/>
            </w:tcBorders>
          </w:tcPr>
          <w:p>
            <w:pPr>
              <w:pStyle w:val="TableParagraph"/>
              <w:spacing w:line="271" w:lineRule="auto" w:before="3"/>
              <w:ind w:left="30" w:right="325"/>
              <w:rPr>
                <w:sz w:val="15"/>
              </w:rPr>
            </w:pPr>
            <w:r>
              <w:rPr>
                <w:w w:val="135"/>
                <w:sz w:val="15"/>
              </w:rPr>
              <w:t>A diciembre de 2010, los recursos se ejercieron oportunamente.</w:t>
            </w:r>
          </w:p>
        </w:tc>
        <w:tc>
          <w:tcPr>
            <w:tcW w:w="3925" w:type="dxa"/>
            <w:tcBorders>
              <w:left w:val="single" w:sz="6" w:space="0" w:color="000000"/>
              <w:right w:val="single" w:sz="6" w:space="0" w:color="000000"/>
            </w:tcBorders>
          </w:tcPr>
          <w:p>
            <w:pPr/>
          </w:p>
        </w:tc>
      </w:tr>
      <w:tr>
        <w:trPr>
          <w:trHeight w:val="584" w:hRule="exact"/>
        </w:trPr>
        <w:tc>
          <w:tcPr>
            <w:tcW w:w="4668" w:type="dxa"/>
            <w:tcBorders>
              <w:left w:val="single" w:sz="6" w:space="0" w:color="000000"/>
              <w:right w:val="single" w:sz="6" w:space="0" w:color="000000"/>
            </w:tcBorders>
          </w:tcPr>
          <w:p>
            <w:pPr>
              <w:pStyle w:val="TableParagraph"/>
              <w:spacing w:line="271" w:lineRule="auto" w:before="2"/>
              <w:ind w:left="30" w:right="223"/>
              <w:rPr>
                <w:sz w:val="15"/>
              </w:rPr>
            </w:pPr>
            <w:r>
              <w:rPr>
                <w:w w:val="135"/>
                <w:sz w:val="15"/>
              </w:rPr>
              <w:t>El periodo de ejecución es razonable, 90 días en promedio.</w:t>
            </w:r>
          </w:p>
        </w:tc>
        <w:tc>
          <w:tcPr>
            <w:tcW w:w="3925" w:type="dxa"/>
            <w:tcBorders>
              <w:left w:val="single" w:sz="6" w:space="0" w:color="000000"/>
              <w:right w:val="single" w:sz="6" w:space="0" w:color="000000"/>
            </w:tcBorders>
          </w:tcPr>
          <w:p>
            <w:pPr/>
          </w:p>
        </w:tc>
      </w:tr>
      <w:tr>
        <w:trPr>
          <w:trHeight w:val="1216" w:hRule="exact"/>
        </w:trPr>
        <w:tc>
          <w:tcPr>
            <w:tcW w:w="4668" w:type="dxa"/>
            <w:tcBorders>
              <w:left w:val="single" w:sz="6" w:space="0" w:color="000000"/>
              <w:right w:val="single" w:sz="6" w:space="0" w:color="000000"/>
            </w:tcBorders>
          </w:tcPr>
          <w:p>
            <w:pPr>
              <w:pStyle w:val="TableParagraph"/>
              <w:spacing w:line="271" w:lineRule="auto" w:before="2"/>
              <w:ind w:left="27" w:right="80" w:firstLine="2"/>
              <w:rPr>
                <w:sz w:val="15"/>
              </w:rPr>
            </w:pPr>
            <w:r>
              <w:rPr>
                <w:w w:val="135"/>
                <w:sz w:val="15"/>
              </w:rPr>
              <w:t>Los recursos se identifican adecuadamente; los auxiliares contables presentan los elementos mínimos requeridos; los bienes fueron registrados en el activo fijo y en el patrimonio, y existe consistencia entre el monto ejercido y el reportado en la Cuenta Pública municipal.</w:t>
            </w:r>
          </w:p>
        </w:tc>
        <w:tc>
          <w:tcPr>
            <w:tcW w:w="3925" w:type="dxa"/>
            <w:tcBorders>
              <w:left w:val="single" w:sz="6" w:space="0" w:color="000000"/>
              <w:right w:val="single" w:sz="6" w:space="0" w:color="000000"/>
            </w:tcBorders>
          </w:tcPr>
          <w:p>
            <w:pPr/>
          </w:p>
        </w:tc>
      </w:tr>
      <w:tr>
        <w:trPr>
          <w:trHeight w:val="2144" w:hRule="exact"/>
        </w:trPr>
        <w:tc>
          <w:tcPr>
            <w:tcW w:w="4668" w:type="dxa"/>
            <w:tcBorders>
              <w:left w:val="single" w:sz="6" w:space="0" w:color="000000"/>
              <w:right w:val="single" w:sz="6" w:space="0" w:color="000000"/>
            </w:tcBorders>
          </w:tcPr>
          <w:p>
            <w:pPr>
              <w:pStyle w:val="TableParagraph"/>
              <w:spacing w:line="271" w:lineRule="auto" w:before="2"/>
              <w:ind w:left="27" w:right="57" w:firstLine="2"/>
              <w:rPr>
                <w:sz w:val="15"/>
              </w:rPr>
            </w:pPr>
            <w:r>
              <w:rPr>
                <w:w w:val="135"/>
                <w:sz w:val="15"/>
              </w:rPr>
              <w:t>El municipio dispone de controles para conducir este proceso, como por ejemplo, cada comunidad decide en asamblea las obras por proponer y elige a los comisarios y delegados que la representan en el Consejo de Desarrollo Municipal (CODEMUN), órgano en el que se realiza la programación y el seguimiento del fondo; en la mayoría de las obras se integró un comité local de desarrollo comunitario que vigila la ejecución de la obra y participó en su entrega-recepción.</w:t>
            </w:r>
          </w:p>
        </w:tc>
        <w:tc>
          <w:tcPr>
            <w:tcW w:w="3925" w:type="dxa"/>
            <w:tcBorders>
              <w:left w:val="single" w:sz="6" w:space="0" w:color="000000"/>
              <w:right w:val="single" w:sz="6" w:space="0" w:color="000000"/>
            </w:tcBorders>
          </w:tcPr>
          <w:p>
            <w:pPr/>
          </w:p>
        </w:tc>
      </w:tr>
      <w:tr>
        <w:trPr>
          <w:trHeight w:val="779" w:hRule="exact"/>
        </w:trPr>
        <w:tc>
          <w:tcPr>
            <w:tcW w:w="4668" w:type="dxa"/>
            <w:tcBorders>
              <w:left w:val="single" w:sz="6" w:space="0" w:color="000000"/>
              <w:right w:val="single" w:sz="6" w:space="0" w:color="000000"/>
            </w:tcBorders>
          </w:tcPr>
          <w:p>
            <w:pPr>
              <w:pStyle w:val="TableParagraph"/>
              <w:spacing w:line="271" w:lineRule="auto" w:before="1"/>
              <w:ind w:left="28" w:right="258" w:firstLine="1"/>
              <w:rPr>
                <w:sz w:val="15"/>
              </w:rPr>
            </w:pPr>
            <w:r>
              <w:rPr>
                <w:w w:val="135"/>
                <w:sz w:val="15"/>
              </w:rPr>
              <w:t>La mayor parte del personal que interviene en la operación del fondo cuenta con una antigüedad mínima de 7 años.</w:t>
            </w:r>
          </w:p>
        </w:tc>
        <w:tc>
          <w:tcPr>
            <w:tcW w:w="3925" w:type="dxa"/>
            <w:tcBorders>
              <w:left w:val="single" w:sz="6" w:space="0" w:color="000000"/>
              <w:right w:val="single" w:sz="6" w:space="0" w:color="000000"/>
            </w:tcBorders>
          </w:tcPr>
          <w:p>
            <w:pPr/>
          </w:p>
        </w:tc>
      </w:tr>
    </w:tbl>
    <w:p>
      <w:pPr>
        <w:spacing w:after="0"/>
        <w:sectPr>
          <w:type w:val="continuous"/>
          <w:pgSz w:w="15840" w:h="12240" w:orient="landscape"/>
          <w:pgMar w:top="0" w:bottom="280" w:left="2260" w:right="2260"/>
        </w:sectPr>
      </w:pPr>
    </w:p>
    <w:p>
      <w:pPr>
        <w:pStyle w:val="BodyText"/>
        <w:rPr>
          <w:rFonts w:ascii="Times New Roman"/>
          <w:sz w:val="20"/>
        </w:rPr>
      </w:pPr>
      <w:r>
        <w:rPr/>
        <w:pict>
          <v:shape style="position:absolute;margin-left:258.818115pt;margin-top:152.029266pt;width:287.75pt;height:10pt;mso-position-horizontal-relative:page;mso-position-vertical-relative:page;z-index:-677152" type="#_x0000_t202" filled="false" stroked="false">
            <v:textbox inset="0,0,0,0">
              <w:txbxContent>
                <w:p>
                  <w:pPr>
                    <w:spacing w:line="199" w:lineRule="exact" w:before="0"/>
                    <w:ind w:left="0" w:right="0" w:firstLine="0"/>
                    <w:jc w:val="left"/>
                    <w:rPr>
                      <w:sz w:val="20"/>
                    </w:rPr>
                  </w:pPr>
                  <w:r>
                    <w:rPr>
                      <w:sz w:val="20"/>
                    </w:rPr>
                    <w:t>úblicas 2008-2014</w:t>
                  </w:r>
                </w:p>
              </w:txbxContent>
            </v:textbox>
            <w10:wrap type="none"/>
          </v:shape>
        </w:pict>
      </w:r>
      <w:r>
        <w:rPr/>
        <w:pict>
          <v:group style="position:absolute;margin-left:178.919998pt;margin-top:123.986275pt;width:432pt;height:80.850pt;mso-position-horizontal-relative:page;mso-position-vertical-relative:page;z-index:-677080" coordorigin="3578,2480" coordsize="8640,1617">
            <v:shape style="position:absolute;left:3578;top:2791;width:8640;height:816" type="#_x0000_t75" stroked="false">
              <v:imagedata r:id="rId83" o:title=""/>
            </v:shape>
            <v:shape style="position:absolute;left:5195;top:2979;width:5736;height:1117" type="#_x0000_t75" stroked="false">
              <v:imagedata r:id="rId85" o:title=""/>
            </v:shape>
            <v:shape style="position:absolute;left:6885;top:2480;width:2358;height:284" type="#_x0000_t75" stroked="false">
              <v:imagedata r:id="rId86" o:title=""/>
            </v:shape>
            <v:shape style="position:absolute;left:5195;top:2772;width:5736;height:2" coordorigin="5195,2772" coordsize="5736,0" path="m5195,2772l5195,2772,10931,2772e" filled="false" stroked="true" strokeweight=".296861pt" strokecolor="#000000">
              <v:path arrowok="t"/>
            </v:shape>
            <v:shape style="position:absolute;left:3723;top:2813;width:8350;height:428" type="#_x0000_t202" filled="false" stroked="false">
              <v:textbox inset="0,0,0,0">
                <w:txbxContent>
                  <w:p>
                    <w:pPr>
                      <w:spacing w:line="203" w:lineRule="exact" w:before="0"/>
                      <w:ind w:left="0" w:right="-1" w:firstLine="0"/>
                      <w:jc w:val="left"/>
                      <w:rPr>
                        <w:sz w:val="20"/>
                      </w:rPr>
                    </w:pPr>
                    <w:r>
                      <w:rPr>
                        <w:b/>
                        <w:sz w:val="20"/>
                      </w:rPr>
                      <w:t>Fuente</w:t>
                    </w:r>
                    <w:r>
                      <w:rPr>
                        <w:sz w:val="20"/>
                      </w:rPr>
                      <w:t>: Elaboración propia con base en el Informe de Resultados de la Fiscalización</w:t>
                    </w:r>
                    <w:r>
                      <w:rPr>
                        <w:spacing w:val="-29"/>
                        <w:sz w:val="20"/>
                      </w:rPr>
                      <w:t> </w:t>
                    </w:r>
                    <w:r>
                      <w:rPr>
                        <w:sz w:val="20"/>
                      </w:rPr>
                      <w:t>Superior</w:t>
                    </w:r>
                  </w:p>
                  <w:p>
                    <w:pPr>
                      <w:spacing w:line="224" w:lineRule="exact" w:before="0"/>
                      <w:ind w:left="0" w:right="-1" w:firstLine="0"/>
                      <w:jc w:val="left"/>
                      <w:rPr>
                        <w:sz w:val="20"/>
                      </w:rPr>
                    </w:pPr>
                    <w:r>
                      <w:rPr>
                        <w:sz w:val="20"/>
                      </w:rPr>
                      <w:t>de las cuentas p</w:t>
                    </w:r>
                  </w:p>
                </w:txbxContent>
              </v:textbox>
              <w10:wrap type="none"/>
            </v:shape>
            <v:shape style="position:absolute;left:4323;top:3728;width:881;height:240" type="#_x0000_t202" filled="false" stroked="false">
              <v:textbox inset="0,0,0,0">
                <w:txbxContent>
                  <w:p>
                    <w:pPr>
                      <w:spacing w:line="240" w:lineRule="exact" w:before="0"/>
                      <w:ind w:left="0" w:right="-20" w:firstLine="0"/>
                      <w:jc w:val="left"/>
                      <w:rPr>
                        <w:sz w:val="24"/>
                      </w:rPr>
                    </w:pPr>
                    <w:r>
                      <w:rPr>
                        <w:sz w:val="24"/>
                      </w:rPr>
                      <w:t>Anexo 3</w:t>
                    </w:r>
                  </w:p>
                </w:txbxContent>
              </v:textbox>
              <w10:wrap type="none"/>
            </v:shape>
            <w10:wrap type="none"/>
          </v:group>
        </w:pict>
      </w:r>
      <w:r>
        <w:rPr/>
        <w:drawing>
          <wp:anchor distT="0" distB="0" distL="0" distR="0" allowOverlap="1" layoutInCell="1" locked="0" behindDoc="1" simplePos="0" relativeHeight="267758399">
            <wp:simplePos x="0" y="0"/>
            <wp:positionH relativeFrom="page">
              <wp:posOffset>5146037</wp:posOffset>
            </wp:positionH>
            <wp:positionV relativeFrom="page">
              <wp:posOffset>3089615</wp:posOffset>
            </wp:positionV>
            <wp:extent cx="1767336" cy="638175"/>
            <wp:effectExtent l="0" t="0" r="0" b="0"/>
            <wp:wrapNone/>
            <wp:docPr id="19" name="image35.png" descr=""/>
            <wp:cNvGraphicFramePr>
              <a:graphicFrameLocks noChangeAspect="1"/>
            </wp:cNvGraphicFramePr>
            <a:graphic>
              <a:graphicData uri="http://schemas.openxmlformats.org/drawingml/2006/picture">
                <pic:pic>
                  <pic:nvPicPr>
                    <pic:cNvPr id="20" name="image35.png"/>
                    <pic:cNvPicPr/>
                  </pic:nvPicPr>
                  <pic:blipFill>
                    <a:blip r:embed="rId87" cstate="print"/>
                    <a:stretch>
                      <a:fillRect/>
                    </a:stretch>
                  </pic:blipFill>
                  <pic:spPr>
                    <a:xfrm>
                      <a:off x="0" y="0"/>
                      <a:ext cx="1767336" cy="638175"/>
                    </a:xfrm>
                    <a:prstGeom prst="rect">
                      <a:avLst/>
                    </a:prstGeom>
                  </pic:spPr>
                </pic:pic>
              </a:graphicData>
            </a:graphic>
          </wp:anchor>
        </w:drawing>
      </w:r>
      <w:r>
        <w:rPr/>
        <w:drawing>
          <wp:anchor distT="0" distB="0" distL="0" distR="0" allowOverlap="1" layoutInCell="1" locked="0" behindDoc="1" simplePos="0" relativeHeight="267758423">
            <wp:simplePos x="0" y="0"/>
            <wp:positionH relativeFrom="page">
              <wp:posOffset>5132182</wp:posOffset>
            </wp:positionH>
            <wp:positionV relativeFrom="page">
              <wp:posOffset>4604661</wp:posOffset>
            </wp:positionV>
            <wp:extent cx="1800523" cy="566737"/>
            <wp:effectExtent l="0" t="0" r="0" b="0"/>
            <wp:wrapNone/>
            <wp:docPr id="21" name="image36.png" descr=""/>
            <wp:cNvGraphicFramePr>
              <a:graphicFrameLocks noChangeAspect="1"/>
            </wp:cNvGraphicFramePr>
            <a:graphic>
              <a:graphicData uri="http://schemas.openxmlformats.org/drawingml/2006/picture">
                <pic:pic>
                  <pic:nvPicPr>
                    <pic:cNvPr id="22" name="image36.png"/>
                    <pic:cNvPicPr/>
                  </pic:nvPicPr>
                  <pic:blipFill>
                    <a:blip r:embed="rId88" cstate="print"/>
                    <a:stretch>
                      <a:fillRect/>
                    </a:stretch>
                  </pic:blipFill>
                  <pic:spPr>
                    <a:xfrm>
                      <a:off x="0" y="0"/>
                      <a:ext cx="1800523" cy="56673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9"/>
        </w:rPr>
      </w:pPr>
    </w:p>
    <w:tbl>
      <w:tblPr>
        <w:tblW w:w="0" w:type="auto"/>
        <w:jc w:val="left"/>
        <w:tblInd w:w="293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887"/>
        <w:gridCol w:w="2847"/>
      </w:tblGrid>
      <w:tr>
        <w:trPr>
          <w:trHeight w:val="104" w:hRule="exact"/>
        </w:trPr>
        <w:tc>
          <w:tcPr>
            <w:tcW w:w="2887" w:type="dxa"/>
            <w:tcBorders>
              <w:left w:val="single" w:sz="3" w:space="0" w:color="000000"/>
              <w:right w:val="nil"/>
            </w:tcBorders>
          </w:tcPr>
          <w:p>
            <w:pPr/>
          </w:p>
        </w:tc>
        <w:tc>
          <w:tcPr>
            <w:tcW w:w="2847" w:type="dxa"/>
            <w:tcBorders>
              <w:left w:val="nil"/>
              <w:right w:val="single" w:sz="3" w:space="0" w:color="000000"/>
            </w:tcBorders>
          </w:tcPr>
          <w:p>
            <w:pPr/>
          </w:p>
        </w:tc>
      </w:tr>
      <w:tr>
        <w:trPr>
          <w:trHeight w:val="104" w:hRule="exact"/>
        </w:trPr>
        <w:tc>
          <w:tcPr>
            <w:tcW w:w="2887" w:type="dxa"/>
            <w:tcBorders>
              <w:left w:val="single" w:sz="3" w:space="0" w:color="000000"/>
              <w:right w:val="single" w:sz="3" w:space="0" w:color="000000"/>
            </w:tcBorders>
          </w:tcPr>
          <w:p>
            <w:pPr/>
          </w:p>
        </w:tc>
        <w:tc>
          <w:tcPr>
            <w:tcW w:w="2847" w:type="dxa"/>
            <w:tcBorders>
              <w:left w:val="single" w:sz="3" w:space="0" w:color="000000"/>
              <w:right w:val="single" w:sz="3" w:space="0" w:color="000000"/>
            </w:tcBorders>
          </w:tcPr>
          <w:p>
            <w:pPr/>
          </w:p>
        </w:tc>
      </w:tr>
      <w:tr>
        <w:trPr>
          <w:trHeight w:val="1037" w:hRule="exact"/>
        </w:trPr>
        <w:tc>
          <w:tcPr>
            <w:tcW w:w="2887" w:type="dxa"/>
            <w:tcBorders>
              <w:left w:val="single" w:sz="3" w:space="0" w:color="000000"/>
              <w:right w:val="single" w:sz="3" w:space="0" w:color="000000"/>
            </w:tcBorders>
          </w:tcPr>
          <w:p>
            <w:pPr>
              <w:pStyle w:val="TableParagraph"/>
              <w:rPr>
                <w:rFonts w:ascii="Times New Roman"/>
                <w:sz w:val="24"/>
              </w:rPr>
            </w:pPr>
          </w:p>
          <w:p>
            <w:pPr>
              <w:pStyle w:val="TableParagraph"/>
              <w:spacing w:before="1"/>
              <w:rPr>
                <w:rFonts w:ascii="Times New Roman"/>
                <w:sz w:val="20"/>
              </w:rPr>
            </w:pPr>
          </w:p>
          <w:p>
            <w:pPr>
              <w:pStyle w:val="TableParagraph"/>
              <w:ind w:left="5"/>
              <w:rPr>
                <w:sz w:val="24"/>
              </w:rPr>
            </w:pPr>
            <w:r>
              <w:rPr>
                <w:sz w:val="24"/>
              </w:rPr>
              <w:t>9.</w:t>
            </w:r>
          </w:p>
        </w:tc>
        <w:tc>
          <w:tcPr>
            <w:tcW w:w="2847" w:type="dxa"/>
            <w:tcBorders>
              <w:left w:val="single" w:sz="3" w:space="0" w:color="000000"/>
              <w:right w:val="single" w:sz="3" w:space="0" w:color="000000"/>
            </w:tcBorders>
          </w:tcPr>
          <w:p>
            <w:pPr/>
          </w:p>
        </w:tc>
      </w:tr>
      <w:tr>
        <w:trPr>
          <w:trHeight w:val="623" w:hRule="exact"/>
        </w:trPr>
        <w:tc>
          <w:tcPr>
            <w:tcW w:w="2887" w:type="dxa"/>
            <w:tcBorders>
              <w:left w:val="single" w:sz="3" w:space="0" w:color="000000"/>
              <w:right w:val="single" w:sz="3" w:space="0" w:color="000000"/>
            </w:tcBorders>
          </w:tcPr>
          <w:p>
            <w:pPr>
              <w:pStyle w:val="TableParagraph"/>
              <w:ind w:left="20"/>
              <w:rPr>
                <w:rFonts w:ascii="Times New Roman"/>
                <w:sz w:val="20"/>
              </w:rPr>
            </w:pPr>
            <w:r>
              <w:rPr>
                <w:rFonts w:ascii="Times New Roman"/>
                <w:sz w:val="20"/>
              </w:rPr>
              <w:drawing>
                <wp:inline distT="0" distB="0" distL="0" distR="0">
                  <wp:extent cx="1645023" cy="180975"/>
                  <wp:effectExtent l="0" t="0" r="0" b="0"/>
                  <wp:docPr id="23" name="image37.png" descr=""/>
                  <wp:cNvGraphicFramePr>
                    <a:graphicFrameLocks noChangeAspect="1"/>
                  </wp:cNvGraphicFramePr>
                  <a:graphic>
                    <a:graphicData uri="http://schemas.openxmlformats.org/drawingml/2006/picture">
                      <pic:pic>
                        <pic:nvPicPr>
                          <pic:cNvPr id="24" name="image37.png"/>
                          <pic:cNvPicPr/>
                        </pic:nvPicPr>
                        <pic:blipFill>
                          <a:blip r:embed="rId89" cstate="print"/>
                          <a:stretch>
                            <a:fillRect/>
                          </a:stretch>
                        </pic:blipFill>
                        <pic:spPr>
                          <a:xfrm>
                            <a:off x="0" y="0"/>
                            <a:ext cx="1645023" cy="180975"/>
                          </a:xfrm>
                          <a:prstGeom prst="rect">
                            <a:avLst/>
                          </a:prstGeom>
                        </pic:spPr>
                      </pic:pic>
                    </a:graphicData>
                  </a:graphic>
                </wp:inline>
              </w:drawing>
            </w:r>
            <w:r>
              <w:rPr>
                <w:rFonts w:ascii="Times New Roman"/>
                <w:sz w:val="20"/>
              </w:rPr>
            </w:r>
          </w:p>
          <w:p>
            <w:pPr>
              <w:pStyle w:val="TableParagraph"/>
              <w:spacing w:before="9"/>
              <w:rPr>
                <w:rFonts w:ascii="Times New Roman"/>
                <w:sz w:val="28"/>
              </w:rPr>
            </w:pPr>
          </w:p>
        </w:tc>
        <w:tc>
          <w:tcPr>
            <w:tcW w:w="2847" w:type="dxa"/>
            <w:tcBorders>
              <w:left w:val="single" w:sz="3" w:space="0" w:color="000000"/>
              <w:right w:val="single" w:sz="3" w:space="0" w:color="000000"/>
            </w:tcBorders>
          </w:tcPr>
          <w:p>
            <w:pPr>
              <w:pStyle w:val="TableParagraph"/>
              <w:spacing w:before="5"/>
              <w:rPr>
                <w:rFonts w:ascii="Times New Roman"/>
                <w:sz w:val="10"/>
              </w:rPr>
            </w:pPr>
          </w:p>
          <w:p>
            <w:pPr>
              <w:pStyle w:val="TableParagraph"/>
              <w:ind w:left="19" w:right="-30"/>
              <w:rPr>
                <w:rFonts w:ascii="Times New Roman"/>
                <w:sz w:val="20"/>
              </w:rPr>
            </w:pPr>
            <w:r>
              <w:rPr>
                <w:rFonts w:ascii="Times New Roman"/>
                <w:sz w:val="20"/>
              </w:rPr>
              <w:drawing>
                <wp:inline distT="0" distB="0" distL="0" distR="0">
                  <wp:extent cx="1783519" cy="238029"/>
                  <wp:effectExtent l="0" t="0" r="0" b="0"/>
                  <wp:docPr id="25" name="image38.png" descr=""/>
                  <wp:cNvGraphicFramePr>
                    <a:graphicFrameLocks noChangeAspect="1"/>
                  </wp:cNvGraphicFramePr>
                  <a:graphic>
                    <a:graphicData uri="http://schemas.openxmlformats.org/drawingml/2006/picture">
                      <pic:pic>
                        <pic:nvPicPr>
                          <pic:cNvPr id="26" name="image38.png"/>
                          <pic:cNvPicPr/>
                        </pic:nvPicPr>
                        <pic:blipFill>
                          <a:blip r:embed="rId90" cstate="print"/>
                          <a:stretch>
                            <a:fillRect/>
                          </a:stretch>
                        </pic:blipFill>
                        <pic:spPr>
                          <a:xfrm>
                            <a:off x="0" y="0"/>
                            <a:ext cx="1783519" cy="238029"/>
                          </a:xfrm>
                          <a:prstGeom prst="rect">
                            <a:avLst/>
                          </a:prstGeom>
                        </pic:spPr>
                      </pic:pic>
                    </a:graphicData>
                  </a:graphic>
                </wp:inline>
              </w:drawing>
            </w:r>
            <w:r>
              <w:rPr>
                <w:rFonts w:ascii="Times New Roman"/>
                <w:sz w:val="20"/>
              </w:rPr>
            </w:r>
          </w:p>
        </w:tc>
      </w:tr>
      <w:tr>
        <w:trPr>
          <w:trHeight w:val="622" w:hRule="exact"/>
        </w:trPr>
        <w:tc>
          <w:tcPr>
            <w:tcW w:w="2887" w:type="dxa"/>
            <w:tcBorders>
              <w:left w:val="single" w:sz="3" w:space="0" w:color="000000"/>
              <w:right w:val="single" w:sz="3" w:space="0" w:color="000000"/>
            </w:tcBorders>
          </w:tcPr>
          <w:p>
            <w:pPr/>
          </w:p>
        </w:tc>
        <w:tc>
          <w:tcPr>
            <w:tcW w:w="2847" w:type="dxa"/>
            <w:tcBorders>
              <w:left w:val="single" w:sz="3" w:space="0" w:color="000000"/>
              <w:right w:val="single" w:sz="3" w:space="0" w:color="000000"/>
            </w:tcBorders>
          </w:tcPr>
          <w:p>
            <w:pPr/>
          </w:p>
        </w:tc>
      </w:tr>
      <w:tr>
        <w:trPr>
          <w:trHeight w:val="623" w:hRule="exact"/>
        </w:trPr>
        <w:tc>
          <w:tcPr>
            <w:tcW w:w="2887" w:type="dxa"/>
            <w:tcBorders>
              <w:left w:val="single" w:sz="3" w:space="0" w:color="000000"/>
              <w:right w:val="single" w:sz="3" w:space="0" w:color="000000"/>
            </w:tcBorders>
          </w:tcPr>
          <w:p>
            <w:pPr/>
          </w:p>
        </w:tc>
        <w:tc>
          <w:tcPr>
            <w:tcW w:w="2847" w:type="dxa"/>
            <w:tcBorders>
              <w:left w:val="single" w:sz="3" w:space="0" w:color="000000"/>
              <w:right w:val="single" w:sz="3" w:space="0" w:color="000000"/>
            </w:tcBorders>
          </w:tcPr>
          <w:p>
            <w:pPr/>
          </w:p>
        </w:tc>
      </w:tr>
      <w:tr>
        <w:trPr>
          <w:trHeight w:val="311" w:hRule="exact"/>
        </w:trPr>
        <w:tc>
          <w:tcPr>
            <w:tcW w:w="2887" w:type="dxa"/>
            <w:tcBorders>
              <w:left w:val="single" w:sz="3" w:space="0" w:color="000000"/>
              <w:right w:val="single" w:sz="3" w:space="0" w:color="000000"/>
            </w:tcBorders>
          </w:tcPr>
          <w:p>
            <w:pPr/>
          </w:p>
        </w:tc>
        <w:tc>
          <w:tcPr>
            <w:tcW w:w="2847" w:type="dxa"/>
            <w:tcBorders>
              <w:left w:val="single" w:sz="3" w:space="0" w:color="000000"/>
              <w:right w:val="single" w:sz="3" w:space="0" w:color="000000"/>
            </w:tcBorders>
          </w:tcPr>
          <w:p>
            <w:pPr>
              <w:pStyle w:val="TableParagraph"/>
              <w:spacing w:line="176" w:lineRule="exact"/>
              <w:ind w:left="19"/>
              <w:rPr>
                <w:rFonts w:ascii="Times New Roman"/>
                <w:sz w:val="17"/>
              </w:rPr>
            </w:pPr>
            <w:r>
              <w:rPr>
                <w:rFonts w:ascii="Times New Roman"/>
                <w:position w:val="-3"/>
                <w:sz w:val="17"/>
              </w:rPr>
              <w:drawing>
                <wp:inline distT="0" distB="0" distL="0" distR="0">
                  <wp:extent cx="1493163" cy="112013"/>
                  <wp:effectExtent l="0" t="0" r="0" b="0"/>
                  <wp:docPr id="27" name="image39.png" descr=""/>
                  <wp:cNvGraphicFramePr>
                    <a:graphicFrameLocks noChangeAspect="1"/>
                  </wp:cNvGraphicFramePr>
                  <a:graphic>
                    <a:graphicData uri="http://schemas.openxmlformats.org/drawingml/2006/picture">
                      <pic:pic>
                        <pic:nvPicPr>
                          <pic:cNvPr id="28" name="image39.png"/>
                          <pic:cNvPicPr/>
                        </pic:nvPicPr>
                        <pic:blipFill>
                          <a:blip r:embed="rId91" cstate="print"/>
                          <a:stretch>
                            <a:fillRect/>
                          </a:stretch>
                        </pic:blipFill>
                        <pic:spPr>
                          <a:xfrm>
                            <a:off x="0" y="0"/>
                            <a:ext cx="1493163" cy="112013"/>
                          </a:xfrm>
                          <a:prstGeom prst="rect">
                            <a:avLst/>
                          </a:prstGeom>
                        </pic:spPr>
                      </pic:pic>
                    </a:graphicData>
                  </a:graphic>
                </wp:inline>
              </w:drawing>
            </w:r>
            <w:r>
              <w:rPr>
                <w:rFonts w:ascii="Times New Roman"/>
                <w:position w:val="-3"/>
                <w:sz w:val="17"/>
              </w:rPr>
            </w:r>
          </w:p>
        </w:tc>
      </w:tr>
      <w:tr>
        <w:trPr>
          <w:trHeight w:val="830" w:hRule="exact"/>
        </w:trPr>
        <w:tc>
          <w:tcPr>
            <w:tcW w:w="2887" w:type="dxa"/>
            <w:tcBorders>
              <w:left w:val="single" w:sz="3" w:space="0" w:color="000000"/>
              <w:right w:val="single" w:sz="3" w:space="0" w:color="000000"/>
            </w:tcBorders>
          </w:tcPr>
          <w:p>
            <w:pPr/>
          </w:p>
        </w:tc>
        <w:tc>
          <w:tcPr>
            <w:tcW w:w="2847" w:type="dxa"/>
            <w:tcBorders>
              <w:left w:val="single" w:sz="3" w:space="0" w:color="000000"/>
              <w:right w:val="single" w:sz="3" w:space="0" w:color="000000"/>
            </w:tcBorders>
          </w:tcPr>
          <w:p>
            <w:pPr>
              <w:pStyle w:val="TableParagraph"/>
              <w:ind w:left="20" w:right="-26"/>
              <w:rPr>
                <w:rFonts w:ascii="Times New Roman"/>
                <w:sz w:val="20"/>
              </w:rPr>
            </w:pPr>
            <w:r>
              <w:rPr>
                <w:rFonts w:ascii="Times New Roman"/>
                <w:sz w:val="20"/>
              </w:rPr>
              <w:drawing>
                <wp:inline distT="0" distB="0" distL="0" distR="0">
                  <wp:extent cx="1780094" cy="433387"/>
                  <wp:effectExtent l="0" t="0" r="0" b="0"/>
                  <wp:docPr id="29" name="image40.png" descr=""/>
                  <wp:cNvGraphicFramePr>
                    <a:graphicFrameLocks noChangeAspect="1"/>
                  </wp:cNvGraphicFramePr>
                  <a:graphic>
                    <a:graphicData uri="http://schemas.openxmlformats.org/drawingml/2006/picture">
                      <pic:pic>
                        <pic:nvPicPr>
                          <pic:cNvPr id="30" name="image40.png"/>
                          <pic:cNvPicPr/>
                        </pic:nvPicPr>
                        <pic:blipFill>
                          <a:blip r:embed="rId92" cstate="print"/>
                          <a:stretch>
                            <a:fillRect/>
                          </a:stretch>
                        </pic:blipFill>
                        <pic:spPr>
                          <a:xfrm>
                            <a:off x="0" y="0"/>
                            <a:ext cx="1780094" cy="433387"/>
                          </a:xfrm>
                          <a:prstGeom prst="rect">
                            <a:avLst/>
                          </a:prstGeom>
                        </pic:spPr>
                      </pic:pic>
                    </a:graphicData>
                  </a:graphic>
                </wp:inline>
              </w:drawing>
            </w:r>
            <w:r>
              <w:rPr>
                <w:rFonts w:ascii="Times New Roman"/>
                <w:sz w:val="20"/>
              </w:rPr>
            </w:r>
          </w:p>
        </w:tc>
      </w:tr>
      <w:tr>
        <w:trPr>
          <w:trHeight w:val="1038" w:hRule="exact"/>
        </w:trPr>
        <w:tc>
          <w:tcPr>
            <w:tcW w:w="2887" w:type="dxa"/>
            <w:tcBorders>
              <w:left w:val="single" w:sz="3" w:space="0" w:color="000000"/>
              <w:right w:val="single" w:sz="3" w:space="0" w:color="000000"/>
            </w:tcBorders>
          </w:tcPr>
          <w:p>
            <w:pPr/>
          </w:p>
        </w:tc>
        <w:tc>
          <w:tcPr>
            <w:tcW w:w="2847" w:type="dxa"/>
            <w:tcBorders>
              <w:left w:val="single" w:sz="3" w:space="0" w:color="000000"/>
              <w:right w:val="single" w:sz="3" w:space="0" w:color="000000"/>
            </w:tcBorders>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29"/>
              </w:rPr>
            </w:pPr>
          </w:p>
        </w:tc>
      </w:tr>
      <w:tr>
        <w:trPr>
          <w:trHeight w:val="622" w:hRule="exact"/>
        </w:trPr>
        <w:tc>
          <w:tcPr>
            <w:tcW w:w="2887" w:type="dxa"/>
            <w:tcBorders>
              <w:left w:val="single" w:sz="3" w:space="0" w:color="000000"/>
              <w:right w:val="single" w:sz="3" w:space="0" w:color="000000"/>
            </w:tcBorders>
          </w:tcPr>
          <w:p>
            <w:pPr/>
          </w:p>
        </w:tc>
        <w:tc>
          <w:tcPr>
            <w:tcW w:w="2847" w:type="dxa"/>
            <w:tcBorders>
              <w:left w:val="single" w:sz="3" w:space="0" w:color="000000"/>
              <w:right w:val="single" w:sz="3" w:space="0" w:color="000000"/>
            </w:tcBorders>
          </w:tcPr>
          <w:p>
            <w:pPr>
              <w:pStyle w:val="TableParagraph"/>
              <w:ind w:left="20"/>
              <w:rPr>
                <w:rFonts w:ascii="Times New Roman"/>
                <w:sz w:val="20"/>
              </w:rPr>
            </w:pPr>
            <w:r>
              <w:rPr>
                <w:rFonts w:ascii="Times New Roman"/>
                <w:sz w:val="20"/>
              </w:rPr>
              <w:drawing>
                <wp:inline distT="0" distB="0" distL="0" distR="0">
                  <wp:extent cx="1694556" cy="298704"/>
                  <wp:effectExtent l="0" t="0" r="0" b="0"/>
                  <wp:docPr id="31" name="image41.png" descr=""/>
                  <wp:cNvGraphicFramePr>
                    <a:graphicFrameLocks noChangeAspect="1"/>
                  </wp:cNvGraphicFramePr>
                  <a:graphic>
                    <a:graphicData uri="http://schemas.openxmlformats.org/drawingml/2006/picture">
                      <pic:pic>
                        <pic:nvPicPr>
                          <pic:cNvPr id="32" name="image41.png"/>
                          <pic:cNvPicPr/>
                        </pic:nvPicPr>
                        <pic:blipFill>
                          <a:blip r:embed="rId93" cstate="print"/>
                          <a:stretch>
                            <a:fillRect/>
                          </a:stretch>
                        </pic:blipFill>
                        <pic:spPr>
                          <a:xfrm>
                            <a:off x="0" y="0"/>
                            <a:ext cx="1694556" cy="298704"/>
                          </a:xfrm>
                          <a:prstGeom prst="rect">
                            <a:avLst/>
                          </a:prstGeom>
                        </pic:spPr>
                      </pic:pic>
                    </a:graphicData>
                  </a:graphic>
                </wp:inline>
              </w:drawing>
            </w:r>
            <w:r>
              <w:rPr>
                <w:rFonts w:ascii="Times New Roman"/>
                <w:sz w:val="20"/>
              </w:rPr>
            </w:r>
          </w:p>
        </w:tc>
      </w:tr>
      <w:tr>
        <w:trPr>
          <w:trHeight w:val="898" w:hRule="exact"/>
        </w:trPr>
        <w:tc>
          <w:tcPr>
            <w:tcW w:w="2887" w:type="dxa"/>
            <w:tcBorders>
              <w:left w:val="single" w:sz="3" w:space="0" w:color="000000"/>
              <w:right w:val="single" w:sz="3" w:space="0" w:color="000000"/>
            </w:tcBorders>
          </w:tcPr>
          <w:p>
            <w:pPr/>
          </w:p>
        </w:tc>
        <w:tc>
          <w:tcPr>
            <w:tcW w:w="2847" w:type="dxa"/>
            <w:tcBorders>
              <w:left w:val="single" w:sz="3" w:space="0" w:color="000000"/>
              <w:right w:val="single" w:sz="3" w:space="0" w:color="000000"/>
            </w:tcBorders>
          </w:tcPr>
          <w:p>
            <w:pPr>
              <w:pStyle w:val="TableParagraph"/>
              <w:ind w:left="17" w:right="-19"/>
              <w:rPr>
                <w:rFonts w:ascii="Times New Roman"/>
                <w:sz w:val="20"/>
              </w:rPr>
            </w:pPr>
            <w:r>
              <w:rPr>
                <w:rFonts w:ascii="Times New Roman"/>
                <w:sz w:val="20"/>
              </w:rPr>
              <w:drawing>
                <wp:inline distT="0" distB="0" distL="0" distR="0">
                  <wp:extent cx="1777482" cy="509587"/>
                  <wp:effectExtent l="0" t="0" r="0" b="0"/>
                  <wp:docPr id="33" name="image42.png" descr=""/>
                  <wp:cNvGraphicFramePr>
                    <a:graphicFrameLocks noChangeAspect="1"/>
                  </wp:cNvGraphicFramePr>
                  <a:graphic>
                    <a:graphicData uri="http://schemas.openxmlformats.org/drawingml/2006/picture">
                      <pic:pic>
                        <pic:nvPicPr>
                          <pic:cNvPr id="34" name="image42.png"/>
                          <pic:cNvPicPr/>
                        </pic:nvPicPr>
                        <pic:blipFill>
                          <a:blip r:embed="rId94" cstate="print"/>
                          <a:stretch>
                            <a:fillRect/>
                          </a:stretch>
                        </pic:blipFill>
                        <pic:spPr>
                          <a:xfrm>
                            <a:off x="0" y="0"/>
                            <a:ext cx="1777482" cy="509587"/>
                          </a:xfrm>
                          <a:prstGeom prst="rect">
                            <a:avLst/>
                          </a:prstGeom>
                        </pic:spPr>
                      </pic:pic>
                    </a:graphicData>
                  </a:graphic>
                </wp:inline>
              </w:drawing>
            </w:r>
            <w:r>
              <w:rPr>
                <w:rFonts w:ascii="Times New Roman"/>
                <w:sz w:val="20"/>
              </w:rPr>
            </w:r>
          </w:p>
        </w:tc>
      </w:tr>
    </w:tbl>
    <w:p>
      <w:pPr>
        <w:spacing w:after="0"/>
        <w:rPr>
          <w:rFonts w:ascii="Times New Roman"/>
          <w:sz w:val="20"/>
        </w:rPr>
        <w:sectPr>
          <w:pgSz w:w="15840" w:h="12240" w:orient="landscape"/>
          <w:pgMar w:header="0" w:footer="992" w:top="1140" w:bottom="1180" w:left="2260" w:right="2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7"/>
        </w:rPr>
      </w:pPr>
    </w:p>
    <w:p>
      <w:pPr>
        <w:pStyle w:val="BodyText"/>
        <w:spacing w:before="9"/>
        <w:rPr>
          <w:rFonts w:ascii="Times New Roman"/>
          <w:sz w:val="7"/>
        </w:rPr>
      </w:pPr>
    </w:p>
    <w:p>
      <w:pPr>
        <w:spacing w:line="268" w:lineRule="auto" w:before="0"/>
        <w:ind w:left="4533" w:right="4348" w:firstLine="1"/>
        <w:jc w:val="center"/>
        <w:rPr>
          <w:b/>
          <w:sz w:val="9"/>
        </w:rPr>
      </w:pPr>
      <w:r>
        <w:rPr/>
        <w:pict>
          <v:shape style="position:absolute;margin-left:192.866058pt;margin-top:31.183994pt;width:415.3pt;height:10pt;mso-position-horizontal-relative:page;mso-position-vertical-relative:paragraph;z-index:-677008" type="#_x0000_t202" filled="false" stroked="false">
            <v:textbox inset="0,0,0,0">
              <w:txbxContent>
                <w:p>
                  <w:pPr>
                    <w:spacing w:line="199" w:lineRule="exact" w:before="0"/>
                    <w:ind w:left="1305" w:right="0" w:firstLine="0"/>
                    <w:jc w:val="left"/>
                    <w:rPr>
                      <w:sz w:val="20"/>
                    </w:rPr>
                  </w:pPr>
                  <w:r>
                    <w:rPr>
                      <w:sz w:val="20"/>
                    </w:rPr>
                    <w:t>de la Fiscalización Superior de las cuentas públicas 2008-2014</w:t>
                  </w:r>
                </w:p>
              </w:txbxContent>
            </v:textbox>
            <w10:wrap type="none"/>
          </v:shape>
        </w:pict>
      </w:r>
      <w:r>
        <w:rPr/>
        <w:pict>
          <v:group style="position:absolute;margin-left:192.691055pt;margin-top:16.97098pt;width:415.65pt;height:39.450pt;mso-position-horizontal-relative:page;mso-position-vertical-relative:paragraph;z-index:-676960" coordorigin="3854,339" coordsize="8313,789">
            <v:shape style="position:absolute;left:5018;top:372;width:6120;height:756" type="#_x0000_t75" stroked="false">
              <v:imagedata r:id="rId95" o:title=""/>
            </v:shape>
            <v:shape style="position:absolute;left:3857;top:343;width:8306;height:2" coordorigin="3857,343" coordsize="8306,0" path="m3857,343l3857,343,12162,343e" filled="false" stroked="true" strokeweight=".320702pt" strokecolor="#000000">
              <v:path arrowok="t"/>
            </v:shape>
            <v:shape style="position:absolute;left:3854;top:340;width:8312;height:789" type="#_x0000_t202" filled="false" stroked="false">
              <v:textbox inset="0,0,0,0">
                <w:txbxContent>
                  <w:p>
                    <w:pPr>
                      <w:spacing w:before="27"/>
                      <w:ind w:left="1308" w:right="0" w:firstLine="0"/>
                      <w:jc w:val="left"/>
                      <w:rPr>
                        <w:sz w:val="20"/>
                      </w:rPr>
                    </w:pPr>
                    <w:r>
                      <w:rPr>
                        <w:b/>
                        <w:sz w:val="20"/>
                      </w:rPr>
                      <w:t>Fuente</w:t>
                    </w:r>
                    <w:r>
                      <w:rPr>
                        <w:sz w:val="20"/>
                      </w:rPr>
                      <w:t>: Elaboración propia con base en el Informe de Resultados</w:t>
                    </w:r>
                  </w:p>
                </w:txbxContent>
              </v:textbox>
              <w10:wrap type="none"/>
            </v:shape>
            <w10:wrap type="none"/>
          </v:group>
        </w:pict>
      </w:r>
      <w:r>
        <w:rPr>
          <w:b/>
          <w:w w:val="135"/>
          <w:sz w:val="9"/>
        </w:rPr>
        <w:t>Calidad de la Gestión Gubernamental Controles Internos (Manejo y Aplicación) Ecatepec de Morelos Ejercicio fiscal 2010</w:t>
      </w:r>
    </w:p>
    <w:p>
      <w:pPr>
        <w:pStyle w:val="BodyText"/>
        <w:spacing w:before="5"/>
        <w:rPr>
          <w:b/>
          <w:sz w:val="19"/>
        </w:rPr>
      </w:pPr>
    </w:p>
    <w:tbl>
      <w:tblPr>
        <w:tblW w:w="0" w:type="auto"/>
        <w:jc w:val="left"/>
        <w:tblInd w:w="159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56"/>
        <w:gridCol w:w="1842"/>
        <w:gridCol w:w="1986"/>
        <w:gridCol w:w="2419"/>
      </w:tblGrid>
      <w:tr>
        <w:trPr>
          <w:trHeight w:val="116" w:hRule="exact"/>
        </w:trPr>
        <w:tc>
          <w:tcPr>
            <w:tcW w:w="3898" w:type="dxa"/>
            <w:gridSpan w:val="2"/>
            <w:tcBorders>
              <w:left w:val="single" w:sz="3" w:space="0" w:color="000000"/>
              <w:right w:val="single" w:sz="3" w:space="0" w:color="000000"/>
            </w:tcBorders>
            <w:shd w:val="clear" w:color="auto" w:fill="E6B8B7"/>
          </w:tcPr>
          <w:p>
            <w:pPr>
              <w:pStyle w:val="TableParagraph"/>
              <w:ind w:left="1785" w:right="1773"/>
              <w:jc w:val="center"/>
              <w:rPr>
                <w:b/>
                <w:sz w:val="9"/>
              </w:rPr>
            </w:pPr>
            <w:r>
              <w:rPr>
                <w:b/>
                <w:w w:val="135"/>
                <w:sz w:val="9"/>
              </w:rPr>
              <w:t>FISM</w:t>
            </w:r>
          </w:p>
        </w:tc>
        <w:tc>
          <w:tcPr>
            <w:tcW w:w="4404" w:type="dxa"/>
            <w:gridSpan w:val="2"/>
            <w:tcBorders>
              <w:left w:val="single" w:sz="3" w:space="0" w:color="000000"/>
              <w:right w:val="single" w:sz="3" w:space="0" w:color="000000"/>
            </w:tcBorders>
            <w:shd w:val="clear" w:color="auto" w:fill="E6B8B7"/>
          </w:tcPr>
          <w:p>
            <w:pPr>
              <w:pStyle w:val="TableParagraph"/>
              <w:ind w:left="1754" w:right="1744"/>
              <w:jc w:val="center"/>
              <w:rPr>
                <w:b/>
                <w:sz w:val="9"/>
              </w:rPr>
            </w:pPr>
            <w:r>
              <w:rPr>
                <w:b/>
                <w:w w:val="135"/>
                <w:sz w:val="9"/>
              </w:rPr>
              <w:t>FORTAMUNDF</w:t>
            </w:r>
          </w:p>
        </w:tc>
      </w:tr>
      <w:tr>
        <w:trPr>
          <w:trHeight w:val="115" w:hRule="exact"/>
        </w:trPr>
        <w:tc>
          <w:tcPr>
            <w:tcW w:w="2056" w:type="dxa"/>
            <w:tcBorders>
              <w:left w:val="single" w:sz="3" w:space="0" w:color="000000"/>
              <w:right w:val="single" w:sz="3" w:space="0" w:color="000000"/>
            </w:tcBorders>
            <w:shd w:val="clear" w:color="auto" w:fill="F1DCDB"/>
          </w:tcPr>
          <w:p>
            <w:pPr>
              <w:pStyle w:val="TableParagraph"/>
              <w:ind w:left="706" w:right="700"/>
              <w:jc w:val="center"/>
              <w:rPr>
                <w:b/>
                <w:sz w:val="9"/>
              </w:rPr>
            </w:pPr>
            <w:r>
              <w:rPr>
                <w:b/>
                <w:w w:val="135"/>
                <w:sz w:val="9"/>
              </w:rPr>
              <w:t>Fortalezas</w:t>
            </w:r>
          </w:p>
        </w:tc>
        <w:tc>
          <w:tcPr>
            <w:tcW w:w="1842" w:type="dxa"/>
            <w:tcBorders>
              <w:left w:val="single" w:sz="3" w:space="0" w:color="000000"/>
              <w:right w:val="single" w:sz="3" w:space="0" w:color="000000"/>
            </w:tcBorders>
            <w:shd w:val="clear" w:color="auto" w:fill="F1DCDB"/>
          </w:tcPr>
          <w:p>
            <w:pPr>
              <w:pStyle w:val="TableParagraph"/>
              <w:ind w:left="574" w:right="48"/>
              <w:rPr>
                <w:b/>
                <w:sz w:val="9"/>
              </w:rPr>
            </w:pPr>
            <w:r>
              <w:rPr>
                <w:b/>
                <w:w w:val="135"/>
                <w:sz w:val="9"/>
              </w:rPr>
              <w:t>Debilidades</w:t>
            </w:r>
          </w:p>
        </w:tc>
        <w:tc>
          <w:tcPr>
            <w:tcW w:w="1986" w:type="dxa"/>
            <w:tcBorders>
              <w:left w:val="single" w:sz="3" w:space="0" w:color="000000"/>
              <w:right w:val="single" w:sz="3" w:space="0" w:color="000000"/>
            </w:tcBorders>
            <w:shd w:val="clear" w:color="auto" w:fill="F1DCDB"/>
          </w:tcPr>
          <w:p>
            <w:pPr>
              <w:pStyle w:val="TableParagraph"/>
              <w:ind w:left="673" w:right="663"/>
              <w:jc w:val="center"/>
              <w:rPr>
                <w:b/>
                <w:sz w:val="9"/>
              </w:rPr>
            </w:pPr>
            <w:r>
              <w:rPr>
                <w:b/>
                <w:w w:val="135"/>
                <w:sz w:val="9"/>
              </w:rPr>
              <w:t>Fortalezas</w:t>
            </w:r>
          </w:p>
        </w:tc>
        <w:tc>
          <w:tcPr>
            <w:tcW w:w="2419" w:type="dxa"/>
            <w:tcBorders>
              <w:left w:val="single" w:sz="3" w:space="0" w:color="000000"/>
              <w:right w:val="single" w:sz="3" w:space="0" w:color="000000"/>
            </w:tcBorders>
            <w:shd w:val="clear" w:color="auto" w:fill="F1DCDB"/>
          </w:tcPr>
          <w:p>
            <w:pPr>
              <w:pStyle w:val="TableParagraph"/>
              <w:ind w:left="845" w:right="842"/>
              <w:jc w:val="center"/>
              <w:rPr>
                <w:b/>
                <w:sz w:val="9"/>
              </w:rPr>
            </w:pPr>
            <w:r>
              <w:rPr>
                <w:b/>
                <w:w w:val="135"/>
                <w:sz w:val="9"/>
              </w:rPr>
              <w:t>Debilidades</w:t>
            </w:r>
          </w:p>
        </w:tc>
      </w:tr>
      <w:tr>
        <w:trPr>
          <w:trHeight w:val="1155" w:hRule="exact"/>
        </w:trPr>
        <w:tc>
          <w:tcPr>
            <w:tcW w:w="2056" w:type="dxa"/>
            <w:tcBorders>
              <w:left w:val="single" w:sz="3" w:space="0" w:color="000000"/>
              <w:right w:val="single" w:sz="3" w:space="0" w:color="000000"/>
            </w:tcBorders>
          </w:tcPr>
          <w:p>
            <w:pPr>
              <w:pStyle w:val="TableParagraph"/>
              <w:spacing w:line="151" w:lineRule="exact"/>
              <w:ind w:left="18" w:right="3"/>
              <w:rPr>
                <w:sz w:val="24"/>
              </w:rPr>
            </w:pPr>
            <w:r>
              <w:rPr>
                <w:spacing w:val="-1"/>
                <w:w w:val="136"/>
                <w:sz w:val="9"/>
              </w:rPr>
              <w:t>L</w:t>
            </w:r>
            <w:r>
              <w:rPr>
                <w:w w:val="136"/>
                <w:sz w:val="9"/>
              </w:rPr>
              <w:t>o</w:t>
            </w:r>
            <w:r>
              <w:rPr>
                <w:w w:val="136"/>
                <w:sz w:val="9"/>
              </w:rPr>
              <w:t>s</w:t>
            </w:r>
            <w:r>
              <w:rPr>
                <w:spacing w:val="9"/>
                <w:sz w:val="9"/>
              </w:rPr>
              <w:t> </w:t>
            </w:r>
            <w:r>
              <w:rPr>
                <w:w w:val="136"/>
                <w:sz w:val="9"/>
              </w:rPr>
              <w:t>r</w:t>
            </w:r>
            <w:r>
              <w:rPr>
                <w:spacing w:val="1"/>
                <w:w w:val="136"/>
                <w:sz w:val="9"/>
              </w:rPr>
              <w:t>e</w:t>
            </w:r>
            <w:r>
              <w:rPr>
                <w:spacing w:val="-23"/>
                <w:w w:val="136"/>
                <w:sz w:val="9"/>
              </w:rPr>
              <w:t>c</w:t>
            </w:r>
            <w:r>
              <w:rPr>
                <w:spacing w:val="-139"/>
                <w:w w:val="100"/>
                <w:position w:val="-4"/>
                <w:sz w:val="24"/>
              </w:rPr>
              <w:t>A</w:t>
            </w:r>
            <w:r>
              <w:rPr>
                <w:spacing w:val="-1"/>
                <w:w w:val="136"/>
                <w:sz w:val="9"/>
              </w:rPr>
              <w:t>u</w:t>
            </w:r>
            <w:r>
              <w:rPr>
                <w:w w:val="136"/>
                <w:sz w:val="9"/>
              </w:rPr>
              <w:t>r</w:t>
            </w:r>
            <w:r>
              <w:rPr>
                <w:spacing w:val="-32"/>
                <w:w w:val="136"/>
                <w:sz w:val="9"/>
              </w:rPr>
              <w:t>s</w:t>
            </w:r>
            <w:r>
              <w:rPr>
                <w:spacing w:val="-103"/>
                <w:w w:val="99"/>
                <w:position w:val="-4"/>
                <w:sz w:val="24"/>
              </w:rPr>
              <w:t>n</w:t>
            </w:r>
            <w:r>
              <w:rPr>
                <w:spacing w:val="1"/>
                <w:w w:val="136"/>
                <w:sz w:val="9"/>
              </w:rPr>
              <w:t>o</w:t>
            </w:r>
            <w:r>
              <w:rPr>
                <w:spacing w:val="-29"/>
                <w:w w:val="136"/>
                <w:sz w:val="9"/>
              </w:rPr>
              <w:t>s</w:t>
            </w:r>
            <w:r>
              <w:rPr>
                <w:spacing w:val="-71"/>
                <w:w w:val="99"/>
                <w:position w:val="-4"/>
                <w:sz w:val="24"/>
              </w:rPr>
              <w:t>e</w:t>
            </w:r>
            <w:r>
              <w:rPr>
                <w:spacing w:val="-1"/>
                <w:w w:val="136"/>
                <w:sz w:val="9"/>
              </w:rPr>
              <w:t>s</w:t>
            </w:r>
            <w:r>
              <w:rPr>
                <w:spacing w:val="-59"/>
                <w:w w:val="136"/>
                <w:sz w:val="9"/>
              </w:rPr>
              <w:t>e</w:t>
            </w:r>
            <w:r>
              <w:rPr>
                <w:spacing w:val="-26"/>
                <w:position w:val="-4"/>
                <w:sz w:val="24"/>
              </w:rPr>
              <w:t>x</w:t>
            </w:r>
            <w:r>
              <w:rPr>
                <w:spacing w:val="-4"/>
                <w:w w:val="136"/>
                <w:sz w:val="9"/>
              </w:rPr>
              <w:t>i</w:t>
            </w:r>
            <w:r>
              <w:rPr>
                <w:spacing w:val="-130"/>
                <w:w w:val="99"/>
                <w:position w:val="-4"/>
                <w:sz w:val="24"/>
              </w:rPr>
              <w:t>o</w:t>
            </w:r>
            <w:r>
              <w:rPr>
                <w:spacing w:val="-1"/>
                <w:w w:val="136"/>
                <w:sz w:val="9"/>
              </w:rPr>
              <w:t>d</w:t>
            </w:r>
            <w:r>
              <w:rPr>
                <w:w w:val="136"/>
                <w:sz w:val="9"/>
              </w:rPr>
              <w:t>e</w:t>
            </w:r>
            <w:r>
              <w:rPr>
                <w:spacing w:val="-9"/>
                <w:w w:val="136"/>
                <w:sz w:val="9"/>
              </w:rPr>
              <w:t>n</w:t>
            </w:r>
            <w:r>
              <w:rPr>
                <w:spacing w:val="-125"/>
                <w:w w:val="99"/>
                <w:position w:val="-4"/>
                <w:sz w:val="24"/>
              </w:rPr>
              <w:t>4</w:t>
            </w:r>
            <w:r>
              <w:rPr>
                <w:w w:val="136"/>
                <w:sz w:val="9"/>
              </w:rPr>
              <w:t>t</w:t>
            </w:r>
            <w:r>
              <w:rPr>
                <w:spacing w:val="-1"/>
                <w:w w:val="136"/>
                <w:sz w:val="9"/>
              </w:rPr>
              <w:t>i</w:t>
            </w:r>
            <w:r>
              <w:rPr>
                <w:spacing w:val="-1"/>
                <w:w w:val="136"/>
                <w:sz w:val="9"/>
              </w:rPr>
              <w:t>f</w:t>
            </w:r>
            <w:r>
              <w:rPr>
                <w:spacing w:val="-1"/>
                <w:w w:val="136"/>
                <w:sz w:val="9"/>
              </w:rPr>
              <w:t>i</w:t>
            </w:r>
            <w:r>
              <w:rPr>
                <w:spacing w:val="-59"/>
                <w:w w:val="136"/>
                <w:sz w:val="9"/>
              </w:rPr>
              <w:t>c</w:t>
            </w:r>
            <w:r>
              <w:rPr>
                <w:spacing w:val="-76"/>
                <w:w w:val="99"/>
                <w:position w:val="-4"/>
                <w:sz w:val="24"/>
              </w:rPr>
              <w:t>0</w:t>
            </w:r>
            <w:r>
              <w:rPr>
                <w:spacing w:val="1"/>
                <w:w w:val="136"/>
                <w:sz w:val="9"/>
              </w:rPr>
              <w:t>a</w:t>
            </w:r>
            <w:r>
              <w:rPr>
                <w:spacing w:val="-65"/>
                <w:w w:val="136"/>
                <w:sz w:val="9"/>
              </w:rPr>
              <w:t>n</w:t>
            </w:r>
            <w:r>
              <w:rPr>
                <w:w w:val="100"/>
                <w:position w:val="-4"/>
                <w:sz w:val="24"/>
              </w:rPr>
              <w:t>.</w:t>
            </w:r>
          </w:p>
          <w:p>
            <w:pPr>
              <w:pStyle w:val="TableParagraph"/>
              <w:spacing w:line="69" w:lineRule="exact"/>
              <w:ind w:left="18" w:right="3"/>
              <w:rPr>
                <w:sz w:val="9"/>
              </w:rPr>
            </w:pPr>
            <w:r>
              <w:rPr>
                <w:w w:val="135"/>
                <w:sz w:val="9"/>
              </w:rPr>
              <w:t>adecuadamente, y los auxiliares</w:t>
            </w:r>
          </w:p>
          <w:p>
            <w:pPr>
              <w:pStyle w:val="TableParagraph"/>
              <w:spacing w:line="268" w:lineRule="auto" w:before="12"/>
              <w:ind w:left="17" w:right="3" w:firstLine="1"/>
              <w:rPr>
                <w:sz w:val="9"/>
              </w:rPr>
            </w:pPr>
            <w:r>
              <w:rPr>
                <w:w w:val="135"/>
                <w:sz w:val="9"/>
              </w:rPr>
              <w:t>contables presentan los elementos mínimos requeridos.</w:t>
            </w:r>
          </w:p>
        </w:tc>
        <w:tc>
          <w:tcPr>
            <w:tcW w:w="1842" w:type="dxa"/>
            <w:tcBorders>
              <w:left w:val="single" w:sz="3" w:space="0" w:color="000000"/>
              <w:right w:val="single" w:sz="3" w:space="0" w:color="000000"/>
            </w:tcBorders>
          </w:tcPr>
          <w:p>
            <w:pPr>
              <w:pStyle w:val="TableParagraph"/>
              <w:spacing w:line="268" w:lineRule="auto"/>
              <w:ind w:left="19" w:right="48"/>
              <w:rPr>
                <w:sz w:val="9"/>
              </w:rPr>
            </w:pPr>
            <w:r>
              <w:rPr>
                <w:w w:val="135"/>
                <w:sz w:val="9"/>
              </w:rPr>
              <w:t>No se ejercieron oportunamente todos los recursos a diciembre de 2010.</w:t>
            </w:r>
          </w:p>
        </w:tc>
        <w:tc>
          <w:tcPr>
            <w:tcW w:w="1986" w:type="dxa"/>
            <w:tcBorders>
              <w:left w:val="single" w:sz="3" w:space="0" w:color="000000"/>
              <w:right w:val="single" w:sz="3" w:space="0" w:color="000000"/>
            </w:tcBorders>
          </w:tcPr>
          <w:p>
            <w:pPr>
              <w:pStyle w:val="TableParagraph"/>
              <w:spacing w:line="268" w:lineRule="auto"/>
              <w:ind w:left="18" w:right="13" w:firstLine="1"/>
              <w:rPr>
                <w:sz w:val="9"/>
              </w:rPr>
            </w:pPr>
            <w:r>
              <w:rPr>
                <w:w w:val="135"/>
                <w:sz w:val="9"/>
              </w:rPr>
              <w:t>El periodo de ejecución de las obras realizadas con el fondo es razonable, 90 días en promedio; en las obras de la muestra se encontraron las actas de entrega- recepción de las obras con el finiquito correspondiente, y existen los comités de obra para dar seguimiento al programa de construcción.</w:t>
            </w:r>
          </w:p>
        </w:tc>
        <w:tc>
          <w:tcPr>
            <w:tcW w:w="2419" w:type="dxa"/>
            <w:tcBorders>
              <w:left w:val="single" w:sz="3" w:space="0" w:color="000000"/>
              <w:right w:val="single" w:sz="3" w:space="0" w:color="000000"/>
            </w:tcBorders>
          </w:tcPr>
          <w:p>
            <w:pPr>
              <w:pStyle w:val="TableParagraph"/>
              <w:spacing w:line="268" w:lineRule="auto"/>
              <w:ind w:left="17" w:right="56" w:firstLine="1"/>
              <w:rPr>
                <w:sz w:val="9"/>
              </w:rPr>
            </w:pPr>
            <w:r>
              <w:rPr>
                <w:w w:val="135"/>
                <w:sz w:val="9"/>
              </w:rPr>
              <w:t>Al cierre de la revisión, no se aplicó la totalidad de los recursos del FORTAMUN- DF, en la atención de las necesidades del municipio.</w:t>
            </w:r>
          </w:p>
        </w:tc>
      </w:tr>
      <w:tr>
        <w:trPr>
          <w:trHeight w:val="3116" w:hRule="exact"/>
        </w:trPr>
        <w:tc>
          <w:tcPr>
            <w:tcW w:w="2056" w:type="dxa"/>
            <w:tcBorders>
              <w:left w:val="single" w:sz="3" w:space="0" w:color="000000"/>
              <w:right w:val="single" w:sz="3" w:space="0" w:color="000000"/>
            </w:tcBorders>
          </w:tcPr>
          <w:p>
            <w:pPr>
              <w:pStyle w:val="TableParagraph"/>
              <w:spacing w:line="268" w:lineRule="auto"/>
              <w:ind w:left="17" w:right="3" w:firstLine="1"/>
              <w:rPr>
                <w:sz w:val="9"/>
              </w:rPr>
            </w:pPr>
            <w:r>
              <w:rPr>
                <w:w w:val="135"/>
                <w:sz w:val="9"/>
              </w:rPr>
              <w:t>El municipio dispone de controles para conducir el proceso de participación social de manera adecuada, por lo cual tiene un alcance importante; cada comunidad decide en asamblea las obras por proponer y elige a los comisarios y delegados que la representan en el Consejo de Participación Ciudadana(COPACI y COCICOVIS), órgano en el que se programa y da seguimiento del fondo; en la</w:t>
            </w:r>
          </w:p>
          <w:p>
            <w:pPr>
              <w:pStyle w:val="TableParagraph"/>
              <w:spacing w:line="268" w:lineRule="auto"/>
              <w:ind w:left="17" w:right="52"/>
              <w:rPr>
                <w:sz w:val="9"/>
              </w:rPr>
            </w:pPr>
            <w:r>
              <w:rPr>
                <w:w w:val="135"/>
                <w:sz w:val="9"/>
              </w:rPr>
              <w:t>mayoría de las obras se integró un comité local de desarrollo comunitario que vigila la ejecución de la obra y participó en su entrega- recepción.</w:t>
            </w:r>
          </w:p>
        </w:tc>
        <w:tc>
          <w:tcPr>
            <w:tcW w:w="1842" w:type="dxa"/>
            <w:tcBorders>
              <w:left w:val="single" w:sz="3" w:space="0" w:color="000000"/>
              <w:right w:val="single" w:sz="3" w:space="0" w:color="000000"/>
            </w:tcBorders>
          </w:tcPr>
          <w:p>
            <w:pPr>
              <w:pStyle w:val="TableParagraph"/>
              <w:spacing w:line="268" w:lineRule="auto"/>
              <w:ind w:left="18" w:right="69" w:firstLine="1"/>
              <w:rPr>
                <w:sz w:val="9"/>
              </w:rPr>
            </w:pPr>
            <w:r>
              <w:rPr>
                <w:w w:val="135"/>
                <w:sz w:val="9"/>
              </w:rPr>
              <w:t>Falta de personal en el área encargada del ramo 33; se utilizaron los lineamientos mínimos generales de Operación del FISM, emitidos por el Gobierno del Estado, que no se corresponden en algunos aspectos con la Ley de Coordinación Fiscal.</w:t>
            </w:r>
          </w:p>
        </w:tc>
        <w:tc>
          <w:tcPr>
            <w:tcW w:w="1986" w:type="dxa"/>
            <w:tcBorders>
              <w:left w:val="single" w:sz="3" w:space="0" w:color="000000"/>
              <w:right w:val="single" w:sz="3" w:space="0" w:color="000000"/>
            </w:tcBorders>
          </w:tcPr>
          <w:p>
            <w:pPr>
              <w:pStyle w:val="TableParagraph"/>
              <w:spacing w:line="268" w:lineRule="auto"/>
              <w:ind w:left="18" w:right="14" w:firstLine="1"/>
              <w:rPr>
                <w:sz w:val="9"/>
              </w:rPr>
            </w:pPr>
            <w:r>
              <w:rPr>
                <w:w w:val="135"/>
                <w:sz w:val="9"/>
              </w:rPr>
              <w:t>Los recursos se identifican adecuadamente; los auxiliares contables presentan los elementos requeridos; los bienes fueron registrados en el activo fijo y el patrimonio; existe consistencia entre el monto ejercido y el reportado en la Cuenta Pública Municipal; se cuenta con un sistema de información presupuestal por medio  del Sistema Integral de Contabilidad Gubernamental y hoja electrónica que identifica el costo de las obras y sus avances físicos; el registro de los recursos del fondo es operado por medio de una cuenta bancaria específica; los integrantes del área del  Departamento  de  Programas de inversión constantemente reciben capacitación del Órgano Superior de Fiscalización del Estado de México, por lo que su desempeño refleja un importante conocimiento de la</w:t>
            </w:r>
            <w:r>
              <w:rPr>
                <w:spacing w:val="12"/>
                <w:w w:val="135"/>
                <w:sz w:val="9"/>
              </w:rPr>
              <w:t> </w:t>
            </w:r>
            <w:r>
              <w:rPr>
                <w:w w:val="135"/>
                <w:sz w:val="9"/>
              </w:rPr>
              <w:t>materia.</w:t>
            </w:r>
          </w:p>
        </w:tc>
        <w:tc>
          <w:tcPr>
            <w:tcW w:w="2419" w:type="dxa"/>
            <w:tcBorders>
              <w:left w:val="single" w:sz="3" w:space="0" w:color="000000"/>
              <w:right w:val="single" w:sz="3" w:space="0" w:color="000000"/>
            </w:tcBorders>
          </w:tcPr>
          <w:p>
            <w:pPr>
              <w:pStyle w:val="TableParagraph"/>
              <w:spacing w:line="268" w:lineRule="auto"/>
              <w:ind w:left="17" w:right="56" w:firstLine="1"/>
              <w:rPr>
                <w:sz w:val="9"/>
              </w:rPr>
            </w:pPr>
            <w:r>
              <w:rPr>
                <w:w w:val="135"/>
                <w:sz w:val="9"/>
              </w:rPr>
              <w:t>El Departamento de Programas de Inversión es insuficiente para llevar un adecuado control del fondo debido a la  falta de los recursos humanos y espacio físico; no se tiene una organización adecuada de expedientes, de información  y documentación del fondo; no existe la debida coordinación con las demás áreas para disponer de información con calidad y oportunidad; asimismo, para el pago de sueldos y salarios a la Dirección de Seguridad</w:t>
            </w:r>
            <w:r>
              <w:rPr>
                <w:spacing w:val="8"/>
                <w:w w:val="135"/>
                <w:sz w:val="9"/>
              </w:rPr>
              <w:t> </w:t>
            </w:r>
            <w:r>
              <w:rPr>
                <w:w w:val="135"/>
                <w:sz w:val="9"/>
              </w:rPr>
              <w:t>Pública.</w:t>
            </w:r>
          </w:p>
        </w:tc>
      </w:tr>
      <w:tr>
        <w:trPr>
          <w:trHeight w:val="1154" w:hRule="exact"/>
        </w:trPr>
        <w:tc>
          <w:tcPr>
            <w:tcW w:w="2056" w:type="dxa"/>
            <w:tcBorders>
              <w:left w:val="single" w:sz="3" w:space="0" w:color="000000"/>
              <w:right w:val="single" w:sz="3" w:space="0" w:color="000000"/>
            </w:tcBorders>
          </w:tcPr>
          <w:p>
            <w:pPr>
              <w:pStyle w:val="TableParagraph"/>
              <w:spacing w:line="268" w:lineRule="auto" w:before="1"/>
              <w:ind w:left="18" w:right="52"/>
              <w:rPr>
                <w:sz w:val="9"/>
              </w:rPr>
            </w:pPr>
            <w:r>
              <w:rPr>
                <w:w w:val="135"/>
                <w:sz w:val="9"/>
              </w:rPr>
              <w:t>En sesión solemne de cabildo se aprobó la propuesta de distribución de los recursos del FISM, así como las modificaciones presupuestales correspondientes al ejercicio 2010.</w:t>
            </w:r>
          </w:p>
        </w:tc>
        <w:tc>
          <w:tcPr>
            <w:tcW w:w="1842" w:type="dxa"/>
            <w:tcBorders>
              <w:left w:val="single" w:sz="3" w:space="0" w:color="000000"/>
              <w:right w:val="single" w:sz="3" w:space="0" w:color="000000"/>
            </w:tcBorders>
          </w:tcPr>
          <w:p>
            <w:pPr>
              <w:pStyle w:val="TableParagraph"/>
              <w:spacing w:line="268" w:lineRule="auto" w:before="1"/>
              <w:ind w:left="18" w:right="21" w:firstLine="1"/>
              <w:rPr>
                <w:sz w:val="9"/>
              </w:rPr>
            </w:pPr>
            <w:r>
              <w:rPr>
                <w:w w:val="135"/>
                <w:sz w:val="9"/>
              </w:rPr>
              <w:t>No se cuenta con los expedientes integrados de obras o acciones, se solicita a diferentes áreas la documentación</w:t>
            </w:r>
            <w:r>
              <w:rPr>
                <w:spacing w:val="15"/>
                <w:w w:val="135"/>
                <w:sz w:val="9"/>
              </w:rPr>
              <w:t> </w:t>
            </w:r>
            <w:r>
              <w:rPr>
                <w:w w:val="135"/>
                <w:sz w:val="9"/>
              </w:rPr>
              <w:t>complementaria.</w:t>
            </w:r>
          </w:p>
        </w:tc>
        <w:tc>
          <w:tcPr>
            <w:tcW w:w="1986" w:type="dxa"/>
            <w:tcBorders>
              <w:left w:val="single" w:sz="3" w:space="0" w:color="000000"/>
              <w:right w:val="single" w:sz="3" w:space="0" w:color="000000"/>
            </w:tcBorders>
          </w:tcPr>
          <w:p>
            <w:pPr>
              <w:pStyle w:val="TableParagraph"/>
              <w:spacing w:line="268" w:lineRule="auto" w:before="1"/>
              <w:ind w:left="18" w:right="28" w:firstLine="1"/>
              <w:rPr>
                <w:sz w:val="9"/>
              </w:rPr>
            </w:pPr>
            <w:r>
              <w:rPr>
                <w:w w:val="135"/>
                <w:sz w:val="9"/>
              </w:rPr>
              <w:t>Existe una supervisión de los mecanismos de control por el equipo de trabajo que integra el Departamento de Programas de Inversión, que se auxilia con los acuerdos de cabildo de la gaceta del Gobierno del Estado y con los registros contables y presupuestales; de esta manera se reducen los riesgos.</w:t>
            </w:r>
          </w:p>
        </w:tc>
        <w:tc>
          <w:tcPr>
            <w:tcW w:w="2419" w:type="dxa"/>
            <w:tcBorders>
              <w:left w:val="single" w:sz="3" w:space="0" w:color="000000"/>
              <w:right w:val="single" w:sz="3" w:space="0" w:color="000000"/>
            </w:tcBorders>
          </w:tcPr>
          <w:p>
            <w:pPr>
              <w:pStyle w:val="TableParagraph"/>
              <w:spacing w:line="268" w:lineRule="auto" w:before="1"/>
              <w:ind w:left="19" w:right="56"/>
              <w:rPr>
                <w:sz w:val="9"/>
              </w:rPr>
            </w:pPr>
            <w:r>
              <w:rPr>
                <w:w w:val="135"/>
                <w:sz w:val="9"/>
              </w:rPr>
              <w:t>Existe un inadecuado control en las garantías establecidas en los contratos de las obras y acciones; además, la vigencia de los contratos se extendió de manera indebida y en incumplimiento de la normativa establecida</w:t>
            </w:r>
          </w:p>
        </w:tc>
      </w:tr>
      <w:tr>
        <w:trPr>
          <w:trHeight w:val="578" w:hRule="exact"/>
        </w:trPr>
        <w:tc>
          <w:tcPr>
            <w:tcW w:w="2056" w:type="dxa"/>
            <w:tcBorders>
              <w:left w:val="single" w:sz="3" w:space="0" w:color="000000"/>
              <w:right w:val="single" w:sz="3" w:space="0" w:color="000000"/>
            </w:tcBorders>
          </w:tcPr>
          <w:p>
            <w:pPr/>
          </w:p>
        </w:tc>
        <w:tc>
          <w:tcPr>
            <w:tcW w:w="1842" w:type="dxa"/>
            <w:tcBorders>
              <w:left w:val="single" w:sz="3" w:space="0" w:color="000000"/>
              <w:right w:val="single" w:sz="3" w:space="0" w:color="000000"/>
            </w:tcBorders>
          </w:tcPr>
          <w:p>
            <w:pPr>
              <w:pStyle w:val="TableParagraph"/>
              <w:spacing w:line="268" w:lineRule="auto" w:before="1"/>
              <w:ind w:left="18" w:right="99" w:firstLine="1"/>
              <w:rPr>
                <w:sz w:val="9"/>
              </w:rPr>
            </w:pPr>
            <w:r>
              <w:rPr>
                <w:w w:val="135"/>
                <w:sz w:val="9"/>
              </w:rPr>
              <w:t>El COPACI integra el programa de inversión del fondo; su participación en el seguimiento es menor y no evalúa el FISM.</w:t>
            </w:r>
          </w:p>
        </w:tc>
        <w:tc>
          <w:tcPr>
            <w:tcW w:w="1986" w:type="dxa"/>
            <w:tcBorders>
              <w:left w:val="single" w:sz="3" w:space="0" w:color="000000"/>
              <w:right w:val="single" w:sz="3" w:space="0" w:color="000000"/>
            </w:tcBorders>
          </w:tcPr>
          <w:p>
            <w:pPr/>
          </w:p>
        </w:tc>
        <w:tc>
          <w:tcPr>
            <w:tcW w:w="2419" w:type="dxa"/>
            <w:tcBorders>
              <w:left w:val="single" w:sz="3" w:space="0" w:color="000000"/>
              <w:right w:val="single" w:sz="3" w:space="0" w:color="000000"/>
            </w:tcBorders>
          </w:tcPr>
          <w:p>
            <w:pPr>
              <w:pStyle w:val="TableParagraph"/>
              <w:spacing w:line="268" w:lineRule="auto" w:before="1"/>
              <w:ind w:left="19" w:right="56"/>
              <w:rPr>
                <w:sz w:val="9"/>
              </w:rPr>
            </w:pPr>
            <w:r>
              <w:rPr>
                <w:w w:val="135"/>
                <w:sz w:val="9"/>
              </w:rPr>
              <w:t>Falta supervisión en otras áreas revisadas que mantienen relación con el Departamento de Programas de Inversión que opera el FORTAMUN-DF.</w:t>
            </w:r>
          </w:p>
        </w:tc>
      </w:tr>
      <w:tr>
        <w:trPr>
          <w:trHeight w:val="1154" w:hRule="exact"/>
        </w:trPr>
        <w:tc>
          <w:tcPr>
            <w:tcW w:w="2056" w:type="dxa"/>
            <w:tcBorders>
              <w:left w:val="single" w:sz="3" w:space="0" w:color="000000"/>
              <w:right w:val="single" w:sz="3" w:space="0" w:color="000000"/>
            </w:tcBorders>
          </w:tcPr>
          <w:p>
            <w:pPr/>
          </w:p>
        </w:tc>
        <w:tc>
          <w:tcPr>
            <w:tcW w:w="1842" w:type="dxa"/>
            <w:tcBorders>
              <w:left w:val="single" w:sz="3" w:space="0" w:color="000000"/>
              <w:right w:val="single" w:sz="3" w:space="0" w:color="000000"/>
            </w:tcBorders>
          </w:tcPr>
          <w:p>
            <w:pPr>
              <w:pStyle w:val="TableParagraph"/>
              <w:spacing w:line="268" w:lineRule="auto" w:before="1"/>
              <w:ind w:left="18" w:right="20" w:firstLine="1"/>
              <w:rPr>
                <w:sz w:val="9"/>
              </w:rPr>
            </w:pPr>
            <w:r>
              <w:rPr>
                <w:w w:val="135"/>
                <w:sz w:val="9"/>
              </w:rPr>
              <w:t>La gestión del proceso de licitación y contratación de las obras y acciones no es adecuada, ya que en un caso no se ajustó a la normativa.</w:t>
            </w:r>
          </w:p>
        </w:tc>
        <w:tc>
          <w:tcPr>
            <w:tcW w:w="1986" w:type="dxa"/>
            <w:tcBorders>
              <w:left w:val="single" w:sz="3" w:space="0" w:color="000000"/>
              <w:right w:val="single" w:sz="3" w:space="0" w:color="000000"/>
            </w:tcBorders>
          </w:tcPr>
          <w:p>
            <w:pPr/>
          </w:p>
        </w:tc>
        <w:tc>
          <w:tcPr>
            <w:tcW w:w="2419" w:type="dxa"/>
            <w:tcBorders>
              <w:left w:val="single" w:sz="3" w:space="0" w:color="000000"/>
              <w:right w:val="single" w:sz="3" w:space="0" w:color="000000"/>
            </w:tcBorders>
          </w:tcPr>
          <w:p>
            <w:pPr>
              <w:pStyle w:val="TableParagraph"/>
              <w:spacing w:line="268" w:lineRule="auto" w:before="1"/>
              <w:ind w:left="17" w:right="56" w:firstLine="1"/>
              <w:rPr>
                <w:sz w:val="9"/>
              </w:rPr>
            </w:pPr>
            <w:r>
              <w:rPr>
                <w:w w:val="135"/>
                <w:sz w:val="9"/>
              </w:rPr>
              <w:t>No se cuenta con un manual de operación y procedimientos que oriente las acciones de acuerdo con los puestos y perfiles de los servidores públicos municipales que participan en la gestión y operación del </w:t>
            </w:r>
            <w:r>
              <w:rPr>
                <w:spacing w:val="-3"/>
                <w:w w:val="135"/>
                <w:sz w:val="9"/>
              </w:rPr>
              <w:t>FORTAMUN-DF. </w:t>
            </w:r>
            <w:r>
              <w:rPr>
                <w:w w:val="135"/>
                <w:sz w:val="9"/>
              </w:rPr>
              <w:t>No se formulan los reportes, documentos e informes con oportunidad para efectos de fiscalización y revisión.</w:t>
            </w:r>
          </w:p>
        </w:tc>
      </w:tr>
    </w:tbl>
    <w:p>
      <w:pPr>
        <w:spacing w:after="0" w:line="268" w:lineRule="auto"/>
        <w:rPr>
          <w:sz w:val="9"/>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9"/>
        </w:rPr>
      </w:pPr>
    </w:p>
    <w:p>
      <w:pPr>
        <w:pStyle w:val="BodyText"/>
        <w:ind w:left="1678"/>
        <w:rPr>
          <w:sz w:val="20"/>
        </w:rPr>
      </w:pPr>
      <w:r>
        <w:rPr>
          <w:sz w:val="20"/>
        </w:rPr>
        <w:pict>
          <v:group style="width:405pt;height:26.9pt;mso-position-horizontal-relative:char;mso-position-vertical-relative:line" coordorigin="0,0" coordsize="8100,538">
            <v:shape style="position:absolute;left:0;top:0;width:8100;height:538" type="#_x0000_t75" stroked="false">
              <v:imagedata r:id="rId96" o:title=""/>
            </v:shape>
            <v:shape style="position:absolute;left:0;top:0;width:8100;height:538" type="#_x0000_t202" filled="false" stroked="false">
              <v:textbox inset="0,0,0,0">
                <w:txbxContent>
                  <w:p>
                    <w:pPr>
                      <w:spacing w:line="175" w:lineRule="auto" w:before="46"/>
                      <w:ind w:left="144" w:right="0" w:firstLine="0"/>
                      <w:jc w:val="left"/>
                      <w:rPr>
                        <w:sz w:val="20"/>
                      </w:rPr>
                    </w:pPr>
                    <w:r>
                      <w:rPr>
                        <w:b/>
                        <w:sz w:val="20"/>
                      </w:rPr>
                      <w:t>Fuente</w:t>
                    </w:r>
                    <w:r>
                      <w:rPr>
                        <w:sz w:val="20"/>
                      </w:rPr>
                      <w:t>: Elaboración propia con base en el Informe de Resultados de la Fiscalización </w:t>
                    </w:r>
                    <w:r>
                      <w:rPr>
                        <w:spacing w:val="-1"/>
                        <w:w w:val="99"/>
                        <w:sz w:val="20"/>
                      </w:rPr>
                      <w:t>S</w:t>
                    </w:r>
                    <w:r>
                      <w:rPr>
                        <w:w w:val="99"/>
                        <w:sz w:val="20"/>
                      </w:rPr>
                      <w:t>u</w:t>
                    </w:r>
                    <w:r>
                      <w:rPr>
                        <w:spacing w:val="1"/>
                        <w:w w:val="99"/>
                        <w:sz w:val="20"/>
                      </w:rPr>
                      <w:t>p</w:t>
                    </w:r>
                    <w:r>
                      <w:rPr>
                        <w:spacing w:val="-46"/>
                        <w:w w:val="99"/>
                        <w:sz w:val="20"/>
                      </w:rPr>
                      <w:t>e</w:t>
                    </w:r>
                    <w:r>
                      <w:rPr>
                        <w:spacing w:val="-115"/>
                        <w:w w:val="100"/>
                        <w:position w:val="3"/>
                        <w:sz w:val="24"/>
                      </w:rPr>
                      <w:t>A</w:t>
                    </w:r>
                    <w:r>
                      <w:rPr>
                        <w:w w:val="99"/>
                        <w:sz w:val="20"/>
                      </w:rPr>
                      <w:t>ri</w:t>
                    </w:r>
                    <w:r>
                      <w:rPr>
                        <w:spacing w:val="-107"/>
                        <w:w w:val="99"/>
                        <w:sz w:val="20"/>
                      </w:rPr>
                      <w:t>o</w:t>
                    </w:r>
                    <w:r>
                      <w:rPr>
                        <w:spacing w:val="-28"/>
                        <w:w w:val="99"/>
                        <w:position w:val="3"/>
                        <w:sz w:val="24"/>
                      </w:rPr>
                      <w:t>n</w:t>
                    </w:r>
                    <w:r>
                      <w:rPr>
                        <w:spacing w:val="-38"/>
                        <w:w w:val="99"/>
                        <w:sz w:val="20"/>
                      </w:rPr>
                      <w:t>r</w:t>
                    </w:r>
                    <w:r>
                      <w:rPr>
                        <w:spacing w:val="-38"/>
                        <w:w w:val="99"/>
                        <w:position w:val="3"/>
                        <w:sz w:val="24"/>
                      </w:rPr>
                      <w:t>e</w:t>
                    </w:r>
                    <w:r>
                      <w:rPr>
                        <w:spacing w:val="-73"/>
                        <w:w w:val="99"/>
                        <w:sz w:val="20"/>
                      </w:rPr>
                      <w:t>d</w:t>
                    </w:r>
                    <w:r>
                      <w:rPr>
                        <w:spacing w:val="-48"/>
                        <w:position w:val="3"/>
                        <w:sz w:val="24"/>
                      </w:rPr>
                      <w:t>x</w:t>
                    </w:r>
                    <w:r>
                      <w:rPr>
                        <w:spacing w:val="-66"/>
                        <w:w w:val="99"/>
                        <w:sz w:val="20"/>
                      </w:rPr>
                      <w:t>e</w:t>
                    </w:r>
                    <w:r>
                      <w:rPr>
                        <w:spacing w:val="-12"/>
                        <w:w w:val="99"/>
                        <w:position w:val="3"/>
                        <w:sz w:val="24"/>
                      </w:rPr>
                      <w:t>o</w:t>
                    </w:r>
                    <w:r>
                      <w:rPr>
                        <w:spacing w:val="-1"/>
                        <w:w w:val="99"/>
                        <w:sz w:val="20"/>
                      </w:rPr>
                      <w:t>l</w:t>
                    </w:r>
                    <w:r>
                      <w:rPr>
                        <w:spacing w:val="-76"/>
                        <w:w w:val="99"/>
                        <w:sz w:val="20"/>
                      </w:rPr>
                      <w:t>a</w:t>
                    </w:r>
                    <w:r>
                      <w:rPr>
                        <w:spacing w:val="-59"/>
                        <w:w w:val="99"/>
                        <w:position w:val="3"/>
                        <w:sz w:val="24"/>
                      </w:rPr>
                      <w:t>4</w:t>
                    </w:r>
                    <w:r>
                      <w:rPr>
                        <w:spacing w:val="-41"/>
                        <w:w w:val="99"/>
                        <w:sz w:val="20"/>
                      </w:rPr>
                      <w:t>s</w:t>
                    </w:r>
                    <w:r>
                      <w:rPr>
                        <w:spacing w:val="-38"/>
                        <w:w w:val="99"/>
                        <w:position w:val="3"/>
                        <w:sz w:val="24"/>
                      </w:rPr>
                      <w:t>1</w:t>
                    </w:r>
                    <w:r>
                      <w:rPr>
                        <w:spacing w:val="-64"/>
                        <w:w w:val="99"/>
                        <w:sz w:val="20"/>
                      </w:rPr>
                      <w:t>c</w:t>
                    </w:r>
                    <w:r>
                      <w:rPr>
                        <w:spacing w:val="-3"/>
                        <w:w w:val="100"/>
                        <w:position w:val="3"/>
                        <w:sz w:val="24"/>
                      </w:rPr>
                      <w:t>.</w:t>
                    </w:r>
                    <w:r>
                      <w:rPr>
                        <w:w w:val="99"/>
                        <w:sz w:val="20"/>
                      </w:rPr>
                      <w:t>u</w:t>
                    </w:r>
                    <w:r>
                      <w:rPr>
                        <w:spacing w:val="-1"/>
                        <w:w w:val="99"/>
                        <w:sz w:val="20"/>
                      </w:rPr>
                      <w:t>e</w:t>
                    </w:r>
                    <w:r>
                      <w:rPr>
                        <w:spacing w:val="1"/>
                        <w:w w:val="99"/>
                        <w:sz w:val="20"/>
                      </w:rPr>
                      <w:t>n</w:t>
                    </w:r>
                    <w:r>
                      <w:rPr>
                        <w:w w:val="99"/>
                        <w:sz w:val="20"/>
                      </w:rPr>
                      <w:t>tas</w:t>
                    </w:r>
                    <w:r>
                      <w:rPr>
                        <w:sz w:val="20"/>
                      </w:rPr>
                      <w:t> </w:t>
                    </w:r>
                    <w:r>
                      <w:rPr>
                        <w:w w:val="99"/>
                        <w:sz w:val="20"/>
                      </w:rPr>
                      <w:t>p</w:t>
                    </w:r>
                    <w:r>
                      <w:rPr>
                        <w:spacing w:val="1"/>
                        <w:w w:val="99"/>
                        <w:sz w:val="20"/>
                      </w:rPr>
                      <w:t>ú</w:t>
                    </w:r>
                    <w:r>
                      <w:rPr>
                        <w:w w:val="99"/>
                        <w:sz w:val="20"/>
                      </w:rPr>
                      <w:t>b</w:t>
                    </w:r>
                    <w:r>
                      <w:rPr>
                        <w:spacing w:val="-2"/>
                        <w:w w:val="99"/>
                        <w:sz w:val="20"/>
                      </w:rPr>
                      <w:t>l</w:t>
                    </w:r>
                    <w:r>
                      <w:rPr>
                        <w:spacing w:val="-1"/>
                        <w:w w:val="99"/>
                        <w:sz w:val="20"/>
                      </w:rPr>
                      <w:t>i</w:t>
                    </w:r>
                    <w:r>
                      <w:rPr>
                        <w:spacing w:val="1"/>
                        <w:w w:val="99"/>
                        <w:sz w:val="20"/>
                      </w:rPr>
                      <w:t>c</w:t>
                    </w:r>
                    <w:r>
                      <w:rPr>
                        <w:w w:val="99"/>
                        <w:sz w:val="20"/>
                      </w:rPr>
                      <w:t>as</w:t>
                    </w:r>
                    <w:r>
                      <w:rPr>
                        <w:sz w:val="20"/>
                      </w:rPr>
                      <w:t> </w:t>
                    </w:r>
                    <w:r>
                      <w:rPr>
                        <w:w w:val="99"/>
                        <w:sz w:val="20"/>
                      </w:rPr>
                      <w:t>2</w:t>
                    </w:r>
                    <w:r>
                      <w:rPr>
                        <w:spacing w:val="-1"/>
                        <w:w w:val="99"/>
                        <w:sz w:val="20"/>
                      </w:rPr>
                      <w:t>0</w:t>
                    </w:r>
                    <w:r>
                      <w:rPr>
                        <w:spacing w:val="1"/>
                        <w:w w:val="99"/>
                        <w:sz w:val="20"/>
                      </w:rPr>
                      <w:t>0</w:t>
                    </w:r>
                    <w:r>
                      <w:rPr>
                        <w:spacing w:val="3"/>
                        <w:w w:val="99"/>
                        <w:sz w:val="20"/>
                      </w:rPr>
                      <w:t>8</w:t>
                    </w:r>
                    <w:r>
                      <w:rPr>
                        <w:w w:val="99"/>
                        <w:sz w:val="20"/>
                      </w:rPr>
                      <w:t>-</w:t>
                    </w:r>
                    <w:r>
                      <w:rPr>
                        <w:w w:val="99"/>
                        <w:sz w:val="20"/>
                      </w:rPr>
                      <w:t>2</w:t>
                    </w:r>
                    <w:r>
                      <w:rPr>
                        <w:spacing w:val="-1"/>
                        <w:w w:val="99"/>
                        <w:sz w:val="20"/>
                      </w:rPr>
                      <w:t>0</w:t>
                    </w:r>
                    <w:r>
                      <w:rPr>
                        <w:spacing w:val="1"/>
                        <w:w w:val="99"/>
                        <w:sz w:val="20"/>
                      </w:rPr>
                      <w:t>1</w:t>
                    </w:r>
                    <w:r>
                      <w:rPr>
                        <w:w w:val="99"/>
                        <w:sz w:val="20"/>
                      </w:rPr>
                      <w:t>4</w:t>
                    </w:r>
                    <w:r>
                      <w:rPr>
                        <w:w w:val="99"/>
                        <w:sz w:val="20"/>
                      </w:rPr>
                      <w:t>.</w:t>
                    </w:r>
                  </w:p>
                </w:txbxContent>
              </v:textbox>
              <w10:wrap type="none"/>
            </v:shape>
          </v:group>
        </w:pict>
      </w:r>
      <w:r>
        <w:rPr>
          <w:sz w:val="20"/>
        </w:rPr>
      </w:r>
    </w:p>
    <w:p>
      <w:pPr>
        <w:pStyle w:val="BodyText"/>
        <w:rPr>
          <w:b/>
          <w:sz w:val="20"/>
        </w:rPr>
      </w:pPr>
    </w:p>
    <w:p>
      <w:pPr>
        <w:spacing w:line="273" w:lineRule="auto" w:before="84"/>
        <w:ind w:left="3859" w:right="3358" w:firstLine="2"/>
        <w:jc w:val="center"/>
        <w:rPr>
          <w:b/>
          <w:sz w:val="17"/>
        </w:rPr>
      </w:pPr>
      <w:r>
        <w:rPr>
          <w:b/>
          <w:w w:val="120"/>
          <w:sz w:val="17"/>
        </w:rPr>
        <w:t>Calidad de la Gestión Gubernamental Controles Internos (Manejo y Aplicación) Jiquipilco Ejercicio Fiscal</w:t>
      </w:r>
      <w:r>
        <w:rPr>
          <w:b/>
          <w:spacing w:val="52"/>
          <w:w w:val="120"/>
          <w:sz w:val="17"/>
        </w:rPr>
        <w:t> </w:t>
      </w:r>
      <w:r>
        <w:rPr>
          <w:b/>
          <w:w w:val="120"/>
          <w:sz w:val="17"/>
        </w:rPr>
        <w:t>2010</w:t>
      </w:r>
    </w:p>
    <w:p>
      <w:pPr>
        <w:pStyle w:val="BodyText"/>
        <w:spacing w:line="20" w:lineRule="exact"/>
        <w:ind w:left="1740"/>
        <w:rPr>
          <w:sz w:val="2"/>
        </w:rPr>
      </w:pPr>
      <w:r>
        <w:rPr>
          <w:sz w:val="2"/>
        </w:rPr>
        <w:pict>
          <v:group style="width:416.6pt;height:.7pt;mso-position-horizontal-relative:char;mso-position-vertical-relative:line" coordorigin="0,0" coordsize="8332,14">
            <v:shape style="position:absolute;left:7;top:7;width:8318;height:2" coordorigin="7,7" coordsize="8318,0" path="m7,7l7,7,8325,7e" filled="false" stroked="true" strokeweight=".65896pt" strokecolor="#000000">
              <v:path arrowok="t"/>
            </v:shape>
          </v:group>
        </w:pict>
      </w:r>
      <w:r>
        <w:rPr>
          <w:sz w:val="2"/>
        </w:rPr>
      </w:r>
    </w:p>
    <w:p>
      <w:pPr>
        <w:pStyle w:val="BodyText"/>
        <w:rPr>
          <w:b/>
          <w:sz w:val="20"/>
        </w:rPr>
      </w:pPr>
    </w:p>
    <w:p>
      <w:pPr>
        <w:pStyle w:val="BodyText"/>
        <w:spacing w:before="7"/>
        <w:rPr>
          <w:b/>
          <w:sz w:val="15"/>
        </w:rPr>
      </w:pPr>
    </w:p>
    <w:tbl>
      <w:tblPr>
        <w:tblW w:w="0" w:type="auto"/>
        <w:jc w:val="left"/>
        <w:tblInd w:w="173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4236"/>
        <w:gridCol w:w="4078"/>
      </w:tblGrid>
      <w:tr>
        <w:trPr>
          <w:trHeight w:val="223" w:hRule="exact"/>
        </w:trPr>
        <w:tc>
          <w:tcPr>
            <w:tcW w:w="8314" w:type="dxa"/>
            <w:gridSpan w:val="2"/>
            <w:tcBorders>
              <w:left w:val="single" w:sz="6" w:space="0" w:color="000000"/>
              <w:right w:val="single" w:sz="6" w:space="0" w:color="000000"/>
            </w:tcBorders>
            <w:shd w:val="clear" w:color="auto" w:fill="E6B8B7"/>
          </w:tcPr>
          <w:p>
            <w:pPr>
              <w:pStyle w:val="TableParagraph"/>
              <w:spacing w:before="4"/>
              <w:ind w:left="3882" w:right="3869"/>
              <w:jc w:val="center"/>
              <w:rPr>
                <w:b/>
                <w:sz w:val="17"/>
              </w:rPr>
            </w:pPr>
            <w:r>
              <w:rPr>
                <w:b/>
                <w:w w:val="125"/>
                <w:sz w:val="17"/>
              </w:rPr>
              <w:t>FISM</w:t>
            </w:r>
          </w:p>
        </w:tc>
      </w:tr>
      <w:tr>
        <w:trPr>
          <w:trHeight w:val="223" w:hRule="exact"/>
        </w:trPr>
        <w:tc>
          <w:tcPr>
            <w:tcW w:w="4236" w:type="dxa"/>
            <w:tcBorders>
              <w:left w:val="single" w:sz="6" w:space="0" w:color="000000"/>
              <w:right w:val="single" w:sz="6" w:space="0" w:color="000000"/>
            </w:tcBorders>
            <w:shd w:val="clear" w:color="auto" w:fill="F1DCDB"/>
          </w:tcPr>
          <w:p>
            <w:pPr>
              <w:pStyle w:val="TableParagraph"/>
              <w:spacing w:before="5"/>
              <w:ind w:left="1646" w:right="1637"/>
              <w:jc w:val="center"/>
              <w:rPr>
                <w:b/>
                <w:sz w:val="17"/>
              </w:rPr>
            </w:pPr>
            <w:r>
              <w:rPr>
                <w:b/>
                <w:w w:val="120"/>
                <w:sz w:val="17"/>
              </w:rPr>
              <w:t>Fortaleza</w:t>
            </w:r>
          </w:p>
        </w:tc>
        <w:tc>
          <w:tcPr>
            <w:tcW w:w="4078" w:type="dxa"/>
            <w:tcBorders>
              <w:left w:val="single" w:sz="6" w:space="0" w:color="000000"/>
              <w:right w:val="single" w:sz="6" w:space="0" w:color="000000"/>
            </w:tcBorders>
            <w:shd w:val="clear" w:color="auto" w:fill="F1DCDB"/>
          </w:tcPr>
          <w:p>
            <w:pPr>
              <w:pStyle w:val="TableParagraph"/>
              <w:spacing w:before="5"/>
              <w:ind w:left="1441" w:right="1435"/>
              <w:jc w:val="center"/>
              <w:rPr>
                <w:b/>
                <w:sz w:val="17"/>
              </w:rPr>
            </w:pPr>
            <w:r>
              <w:rPr>
                <w:b/>
                <w:w w:val="120"/>
                <w:sz w:val="17"/>
              </w:rPr>
              <w:t>Debilidades</w:t>
            </w:r>
          </w:p>
        </w:tc>
      </w:tr>
      <w:tr>
        <w:trPr>
          <w:trHeight w:val="1116" w:hRule="exact"/>
        </w:trPr>
        <w:tc>
          <w:tcPr>
            <w:tcW w:w="4236" w:type="dxa"/>
            <w:tcBorders>
              <w:left w:val="single" w:sz="6" w:space="0" w:color="000000"/>
              <w:right w:val="single" w:sz="6" w:space="0" w:color="000000"/>
            </w:tcBorders>
          </w:tcPr>
          <w:p>
            <w:pPr>
              <w:pStyle w:val="TableParagraph"/>
              <w:spacing w:line="273" w:lineRule="auto" w:before="4"/>
              <w:ind w:left="30" w:right="116"/>
              <w:rPr>
                <w:sz w:val="17"/>
              </w:rPr>
            </w:pPr>
            <w:r>
              <w:rPr>
                <w:w w:val="120"/>
                <w:sz w:val="17"/>
              </w:rPr>
              <w:t>Las operaciones se registraron contable y presupuestalmente, y se sustentan en los estados financieros presentados en la Cuenta Pública.</w:t>
            </w:r>
          </w:p>
        </w:tc>
        <w:tc>
          <w:tcPr>
            <w:tcW w:w="4078" w:type="dxa"/>
            <w:tcBorders>
              <w:left w:val="single" w:sz="6" w:space="0" w:color="000000"/>
              <w:right w:val="single" w:sz="6" w:space="0" w:color="000000"/>
            </w:tcBorders>
          </w:tcPr>
          <w:p>
            <w:pPr>
              <w:pStyle w:val="TableParagraph"/>
              <w:spacing w:line="273" w:lineRule="auto" w:before="4"/>
              <w:ind w:left="28" w:right="82" w:firstLine="2"/>
              <w:rPr>
                <w:sz w:val="17"/>
              </w:rPr>
            </w:pPr>
            <w:r>
              <w:rPr>
                <w:w w:val="120"/>
                <w:sz w:val="17"/>
              </w:rPr>
              <w:t>El municipio no publicó con oportunidad el monto recibido, ni la ejecución de obras y acciones, su monto, beneficiarios y resultados alcanzados.</w:t>
            </w:r>
          </w:p>
        </w:tc>
      </w:tr>
      <w:tr>
        <w:trPr>
          <w:trHeight w:val="1116" w:hRule="exact"/>
        </w:trPr>
        <w:tc>
          <w:tcPr>
            <w:tcW w:w="4236" w:type="dxa"/>
            <w:tcBorders>
              <w:left w:val="single" w:sz="6" w:space="0" w:color="000000"/>
              <w:right w:val="single" w:sz="6" w:space="0" w:color="000000"/>
            </w:tcBorders>
          </w:tcPr>
          <w:p>
            <w:pPr>
              <w:pStyle w:val="TableParagraph"/>
              <w:spacing w:line="273" w:lineRule="auto" w:before="4"/>
              <w:ind w:left="28" w:firstLine="1"/>
              <w:rPr>
                <w:sz w:val="17"/>
              </w:rPr>
            </w:pPr>
            <w:r>
              <w:rPr>
                <w:w w:val="120"/>
                <w:sz w:val="17"/>
              </w:rPr>
              <w:t>En las obras del fondo se integró un Comité Ciudadano de Control y Vigilancia encargado de dar seguimiento de su</w:t>
            </w:r>
            <w:r>
              <w:rPr>
                <w:spacing w:val="53"/>
                <w:w w:val="120"/>
                <w:sz w:val="17"/>
              </w:rPr>
              <w:t> </w:t>
            </w:r>
            <w:r>
              <w:rPr>
                <w:w w:val="120"/>
                <w:sz w:val="17"/>
              </w:rPr>
              <w:t>desarrollo.</w:t>
            </w:r>
          </w:p>
        </w:tc>
        <w:tc>
          <w:tcPr>
            <w:tcW w:w="4078" w:type="dxa"/>
            <w:tcBorders>
              <w:left w:val="single" w:sz="6" w:space="0" w:color="000000"/>
              <w:right w:val="single" w:sz="6" w:space="0" w:color="000000"/>
            </w:tcBorders>
          </w:tcPr>
          <w:p>
            <w:pPr>
              <w:pStyle w:val="TableParagraph"/>
              <w:spacing w:line="273" w:lineRule="auto" w:before="4"/>
              <w:ind w:left="31" w:right="82"/>
              <w:rPr>
                <w:sz w:val="17"/>
              </w:rPr>
            </w:pPr>
            <w:r>
              <w:rPr>
                <w:w w:val="120"/>
                <w:sz w:val="17"/>
              </w:rPr>
              <w:t>No se abrió la cuenta bancaria específica en el plazo que marca la</w:t>
            </w:r>
            <w:r>
              <w:rPr>
                <w:spacing w:val="55"/>
                <w:w w:val="120"/>
                <w:sz w:val="17"/>
              </w:rPr>
              <w:t> </w:t>
            </w:r>
            <w:r>
              <w:rPr>
                <w:w w:val="120"/>
                <w:sz w:val="17"/>
              </w:rPr>
              <w:t>normativa.</w:t>
            </w:r>
          </w:p>
        </w:tc>
      </w:tr>
      <w:tr>
        <w:trPr>
          <w:trHeight w:val="2274" w:hRule="exact"/>
        </w:trPr>
        <w:tc>
          <w:tcPr>
            <w:tcW w:w="4236" w:type="dxa"/>
            <w:tcBorders>
              <w:left w:val="single" w:sz="6" w:space="0" w:color="000000"/>
              <w:right w:val="single" w:sz="6" w:space="0" w:color="000000"/>
            </w:tcBorders>
          </w:tcPr>
          <w:p>
            <w:pPr>
              <w:pStyle w:val="TableParagraph"/>
              <w:spacing w:line="273" w:lineRule="auto" w:before="4"/>
              <w:ind w:left="28" w:right="126" w:firstLine="1"/>
              <w:rPr>
                <w:sz w:val="17"/>
              </w:rPr>
            </w:pPr>
            <w:r>
              <w:rPr>
                <w:w w:val="120"/>
                <w:sz w:val="17"/>
              </w:rPr>
              <w:t>El ayuntamiento de Jiquipilco ejerció de manera adecuada los recursos del FISM 2010, ya que autorizó y ejerció obras para la población en rezago social y la pobreza extrema y lleva un control adecuado en el pago de las mismas, incluyendo aquellas que se realizaron mediante convenio con el CEDIPIEM. Se integraron adecuadamente los expedientes técnicos por cada obra o acción.</w:t>
            </w:r>
          </w:p>
        </w:tc>
        <w:tc>
          <w:tcPr>
            <w:tcW w:w="4078" w:type="dxa"/>
            <w:tcBorders>
              <w:left w:val="single" w:sz="6" w:space="0" w:color="000000"/>
              <w:right w:val="single" w:sz="6" w:space="0" w:color="000000"/>
            </w:tcBorders>
          </w:tcPr>
          <w:p>
            <w:pPr>
              <w:pStyle w:val="TableParagraph"/>
              <w:spacing w:line="273" w:lineRule="auto" w:before="4"/>
              <w:ind w:left="28" w:right="6" w:firstLine="2"/>
              <w:rPr>
                <w:sz w:val="17"/>
              </w:rPr>
            </w:pPr>
            <w:r>
              <w:rPr>
                <w:w w:val="120"/>
                <w:sz w:val="17"/>
              </w:rPr>
              <w:t>El municipio no dispone de mapas de pobreza, ni de otros estudios sobre las zonas y grupos de mayor rezago, para apoyar la programación de las  inversiones.</w:t>
            </w:r>
          </w:p>
        </w:tc>
      </w:tr>
    </w:tbl>
    <w:p>
      <w:pPr>
        <w:spacing w:after="0" w:line="273" w:lineRule="auto"/>
        <w:rPr>
          <w:sz w:val="17"/>
        </w:rPr>
        <w:sectPr>
          <w:pgSz w:w="15840" w:h="12240" w:orient="landscape"/>
          <w:pgMar w:header="0" w:footer="992" w:top="1140" w:bottom="1180" w:left="2260" w:right="226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3"/>
        </w:rPr>
      </w:pPr>
    </w:p>
    <w:p>
      <w:pPr>
        <w:pStyle w:val="BodyText"/>
        <w:ind w:left="1678"/>
        <w:rPr>
          <w:rFonts w:ascii="Times New Roman"/>
          <w:sz w:val="20"/>
        </w:rPr>
      </w:pPr>
      <w:r>
        <w:rPr>
          <w:rFonts w:ascii="Times New Roman"/>
          <w:sz w:val="20"/>
        </w:rPr>
        <w:pict>
          <v:group style="width:408pt;height:26.9pt;mso-position-horizontal-relative:char;mso-position-vertical-relative:line" coordorigin="0,0" coordsize="8160,538">
            <v:shape style="position:absolute;left:0;top:0;width:8160;height:538" type="#_x0000_t75" stroked="false">
              <v:imagedata r:id="rId97" o:title=""/>
            </v:shape>
            <v:shape style="position:absolute;left:2812;top:100;width:2463;height:327" type="#_x0000_t75" stroked="false">
              <v:imagedata r:id="rId98" o:title=""/>
            </v:shape>
            <v:shape style="position:absolute;left:0;top:0;width:8160;height:538" type="#_x0000_t202" filled="false" stroked="false">
              <v:textbox inset="0,0,0,0">
                <w:txbxContent>
                  <w:p>
                    <w:pPr>
                      <w:tabs>
                        <w:tab w:pos="7830" w:val="left" w:leader="none"/>
                      </w:tabs>
                      <w:spacing w:line="244" w:lineRule="auto" w:before="0"/>
                      <w:ind w:left="144" w:right="142" w:firstLine="0"/>
                      <w:jc w:val="left"/>
                      <w:rPr>
                        <w:sz w:val="20"/>
                      </w:rPr>
                    </w:pPr>
                    <w:r>
                      <w:rPr>
                        <w:b/>
                        <w:sz w:val="20"/>
                      </w:rPr>
                      <w:t>Fuente</w:t>
                    </w:r>
                    <w:r>
                      <w:rPr>
                        <w:sz w:val="20"/>
                      </w:rPr>
                      <w:t>: Elaboración propia con base en el Informe de Resultados de la Fiscalización S</w:t>
                    </w:r>
                    <w:r>
                      <w:rPr>
                        <w:sz w:val="20"/>
                        <w:u w:val="single"/>
                      </w:rPr>
                      <w:t>uperior de las cuentas públicas</w:t>
                    </w:r>
                    <w:r>
                      <w:rPr>
                        <w:spacing w:val="-11"/>
                        <w:sz w:val="20"/>
                        <w:u w:val="single"/>
                      </w:rPr>
                      <w:t> </w:t>
                    </w:r>
                    <w:r>
                      <w:rPr>
                        <w:sz w:val="20"/>
                        <w:u w:val="single"/>
                      </w:rPr>
                      <w:t>2008-2014</w:t>
                      <w:tab/>
                    </w:r>
                  </w:p>
                </w:txbxContent>
              </v:textbox>
              <w10:wrap type="none"/>
            </v:shape>
          </v:group>
        </w:pict>
      </w:r>
      <w:r>
        <w:rPr>
          <w:rFonts w:ascii="Times New Roman"/>
          <w:sz w:val="20"/>
        </w:rPr>
      </w:r>
    </w:p>
    <w:p>
      <w:pPr>
        <w:pStyle w:val="BodyText"/>
        <w:spacing w:before="9"/>
        <w:rPr>
          <w:rFonts w:ascii="Times New Roman"/>
          <w:sz w:val="6"/>
        </w:rPr>
      </w:pPr>
      <w:r>
        <w:rPr/>
        <w:pict>
          <v:group style="position:absolute;margin-left:209.214355pt;margin-top:5.891317pt;width:379.55pt;height:380.15pt;mso-position-horizontal-relative:page;mso-position-vertical-relative:paragraph;z-index:6448;mso-wrap-distance-left:0;mso-wrap-distance-right:0" coordorigin="4184,118" coordsize="7591,7603">
            <v:shape style="position:absolute;left:4189;top:127;width:7579;height:946" type="#_x0000_t75" stroked="false">
              <v:imagedata r:id="rId99" o:title=""/>
            </v:shape>
            <v:shape style="position:absolute;left:4214;top:1345;width:3872;height:685" type="#_x0000_t75" stroked="false">
              <v:imagedata r:id="rId100" o:title=""/>
            </v:shape>
            <v:shape style="position:absolute;left:8065;top:1345;width:1885;height:666" type="#_x0000_t75" stroked="false">
              <v:imagedata r:id="rId101" o:title=""/>
            </v:shape>
            <v:shape style="position:absolute;left:4215;top:2181;width:1981;height:207" type="#_x0000_t75" stroked="false">
              <v:imagedata r:id="rId102" o:title=""/>
            </v:shape>
            <v:line style="position:absolute" from="6214,2364" to="6225,2364" stroked="true" strokeweight=".482116pt" strokecolor="#000000"/>
            <v:shape style="position:absolute;left:4214;top:3256;width:3880;height:1044" type="#_x0000_t75" stroked="false">
              <v:imagedata r:id="rId103" o:title=""/>
            </v:shape>
            <v:shape style="position:absolute;left:4217;top:4809;width:1821;height:308" type="#_x0000_t75" stroked="false">
              <v:imagedata r:id="rId104" o:title=""/>
            </v:shape>
            <v:shape style="position:absolute;left:4215;top:5406;width:1891;height:326" type="#_x0000_t75" stroked="false">
              <v:imagedata r:id="rId105" o:title=""/>
            </v:shape>
            <v:shape style="position:absolute;left:4215;top:5884;width:1983;height:566" type="#_x0000_t75" stroked="false">
              <v:imagedata r:id="rId106" o:title=""/>
            </v:shape>
            <v:line style="position:absolute" from="6214,6425" to="6226,6425" stroked="true" strokeweight=".476308pt" strokecolor="#000000"/>
            <v:shape style="position:absolute;left:4214;top:6600;width:2100;height:428" type="#_x0000_t75" stroked="false">
              <v:imagedata r:id="rId107" o:title=""/>
            </v:shape>
            <v:shape style="position:absolute;left:4189;top:123;width:2;height:7593" coordorigin="4189,123" coordsize="0,7593" path="m4189,123l4189,123,4189,7716e" filled="false" stroked="true" strokeweight=".455488pt" strokecolor="#000000">
              <v:path arrowok="t"/>
            </v:shape>
            <v:shape style="position:absolute;left:8220;top:2181;width:1893;height:308" type="#_x0000_t75" stroked="false">
              <v:imagedata r:id="rId108" o:title=""/>
            </v:shape>
            <v:shape style="position:absolute;left:10093;top:2181;width:1562;height:666" type="#_x0000_t75" stroked="false">
              <v:imagedata r:id="rId109" o:title=""/>
            </v:shape>
            <v:shape style="position:absolute;left:8195;top:3256;width:3520;height:1384" type="#_x0000_t75" stroked="false">
              <v:imagedata r:id="rId110" o:title=""/>
            </v:shape>
            <v:shape style="position:absolute;left:8223;top:4809;width:1938;height:444" type="#_x0000_t75" stroked="false">
              <v:imagedata r:id="rId111" o:title=""/>
            </v:shape>
            <v:shape style="position:absolute;left:8224;top:5405;width:1890;height:208" type="#_x0000_t75" stroked="false">
              <v:imagedata r:id="rId112" o:title=""/>
            </v:shape>
            <v:line style="position:absolute" from="10130,5589" to="10142,5589" stroked="true" strokeweight=".476308pt" strokecolor="#000000"/>
            <v:shape style="position:absolute;left:8222;top:5885;width:1753;height:546" type="#_x0000_t75" stroked="false">
              <v:imagedata r:id="rId113" o:title=""/>
            </v:shape>
            <v:shape style="position:absolute;left:8222;top:6600;width:1858;height:1079" type="#_x0000_t75" stroked="false">
              <v:imagedata r:id="rId114" o:title=""/>
            </v:shape>
            <v:line style="position:absolute" from="10092,6635" to="10103,6635" stroked="true" strokeweight="3.403858pt" strokecolor="#000000"/>
            <v:shape style="position:absolute;left:8195;top:131;width:2;height:7585" coordorigin="8195,131" coordsize="0,7585" path="m8195,131l8195,131,8195,7716e" filled="false" stroked="true" strokeweight=".455488pt" strokecolor="#000000">
              <v:path arrowok="t"/>
            </v:shape>
            <v:shape style="position:absolute;left:11766;top:131;width:2;height:7585" coordorigin="11766,131" coordsize="0,7585" path="m11766,131l11766,131,11766,7716e" filled="false" stroked="true" strokeweight=".455488pt" strokecolor="#000000">
              <v:path arrowok="t"/>
            </v:shape>
            <v:shape style="position:absolute;left:6344;top:2181;width:1759;height:905" type="#_x0000_t75" stroked="false">
              <v:imagedata r:id="rId115" o:title=""/>
            </v:shape>
            <v:shape style="position:absolute;left:6347;top:250;width:2;height:7466" coordorigin="6347,250" coordsize="0,7466" path="m6347,250l6347,250,6347,7716e" filled="false" stroked="true" strokeweight=".455488pt" strokecolor="#000000">
              <v:path arrowok="t"/>
            </v:shape>
            <v:shape style="position:absolute;left:10226;top:1345;width:1456;height:444" type="#_x0000_t75" stroked="false">
              <v:imagedata r:id="rId116" o:title=""/>
            </v:shape>
            <v:shape style="position:absolute;left:10198;top:250;width:2;height:7466" coordorigin="10198,250" coordsize="0,7466" path="m10198,250l10198,250,10198,7716e" filled="false" stroked="true" strokeweight=".455488pt" strokecolor="#000000">
              <v:path arrowok="t"/>
            </v:shape>
            <v:shape style="position:absolute;left:4194;top:127;width:7578;height:2" coordorigin="4194,127" coordsize="7578,0" path="m4194,127l4194,127,11771,127e" filled="false" stroked="true" strokeweight=".348605pt" strokecolor="#000000">
              <v:path arrowok="t"/>
            </v:shape>
            <v:shape style="position:absolute;left:4194;top:247;width:7578;height:2" coordorigin="4194,247" coordsize="7578,0" path="m4194,247l4194,247,11771,247e" filled="false" stroked="true" strokeweight=".348605pt" strokecolor="#000000">
              <v:path arrowok="t"/>
            </v:shape>
            <v:shape style="position:absolute;left:4194;top:366;width:7578;height:2" coordorigin="4194,366" coordsize="7578,0" path="m4194,366l4194,366,11771,366e" filled="false" stroked="true" strokeweight=".348605pt" strokecolor="#000000">
              <v:path arrowok="t"/>
            </v:shape>
            <v:shape style="position:absolute;left:4194;top:1321;width:7578;height:2" coordorigin="4194,1321" coordsize="7578,0" path="m4194,1321l4194,1321,11771,1321e" filled="false" stroked="true" strokeweight=".348605pt" strokecolor="#000000">
              <v:path arrowok="t"/>
            </v:shape>
            <v:shape style="position:absolute;left:4194;top:2158;width:7578;height:2" coordorigin="4194,2158" coordsize="7578,0" path="m4194,2158l4194,2158,11771,2158e" filled="false" stroked="true" strokeweight=".348605pt" strokecolor="#000000">
              <v:path arrowok="t"/>
            </v:shape>
            <v:shape style="position:absolute;left:4194;top:3233;width:7578;height:2" coordorigin="4194,3233" coordsize="7578,0" path="m4194,3233l4194,3233,11771,3233e" filled="false" stroked="true" strokeweight=".348605pt" strokecolor="#000000">
              <v:path arrowok="t"/>
            </v:shape>
            <v:shape style="position:absolute;left:4194;top:4786;width:7578;height:2" coordorigin="4194,4786" coordsize="7578,0" path="m4194,4786l4194,4786,11771,4786e" filled="false" stroked="true" strokeweight=".348605pt" strokecolor="#000000">
              <v:path arrowok="t"/>
            </v:shape>
            <v:shape style="position:absolute;left:4194;top:5383;width:7578;height:2" coordorigin="4194,5383" coordsize="7578,0" path="m4194,5383l4194,5383,11771,5383e" filled="false" stroked="true" strokeweight=".348605pt" strokecolor="#000000">
              <v:path arrowok="t"/>
            </v:shape>
            <v:shape style="position:absolute;left:4194;top:5861;width:7578;height:2" coordorigin="4194,5861" coordsize="7578,0" path="m4194,5861l4194,5861,11771,5861e" filled="false" stroked="true" strokeweight=".348605pt" strokecolor="#000000">
              <v:path arrowok="t"/>
            </v:shape>
            <v:shape style="position:absolute;left:4194;top:6577;width:7578;height:2" coordorigin="4194,6577" coordsize="7578,0" path="m4194,6577l4194,6577,11771,6577e" filled="false" stroked="true" strokeweight=".348605pt" strokecolor="#000000">
              <v:path arrowok="t"/>
            </v:shape>
            <v:shape style="position:absolute;left:4194;top:7211;width:7578;height:2" coordorigin="4194,7211" coordsize="7578,0" path="m4194,7211l4194,7211,11771,7211e" filled="false" stroked="true" strokeweight=".348605pt" strokecolor="#000000">
              <v:path arrowok="t"/>
            </v:shape>
            <v:shape style="position:absolute;left:4194;top:7712;width:7578;height:2" coordorigin="4194,7712" coordsize="7578,0" path="m4194,7712l4194,7712,11771,7712e" filled="false" stroked="true" strokeweight=".348605pt" strokecolor="#000000">
              <v:path arrowok="t"/>
            </v:shape>
            <v:shape style="position:absolute;left:4189;top:366;width:2158;height:956" type="#_x0000_t202" filled="false" stroked="false">
              <v:textbox inset="0,0,0,0">
                <w:txbxContent>
                  <w:p>
                    <w:pPr>
                      <w:spacing w:line="240" w:lineRule="auto" w:before="4"/>
                      <w:rPr>
                        <w:rFonts w:ascii="Times New Roman"/>
                        <w:sz w:val="20"/>
                      </w:rPr>
                    </w:pPr>
                  </w:p>
                  <w:p>
                    <w:pPr>
                      <w:spacing w:before="0"/>
                      <w:ind w:left="433" w:right="0" w:firstLine="0"/>
                      <w:jc w:val="left"/>
                      <w:rPr>
                        <w:sz w:val="24"/>
                      </w:rPr>
                    </w:pPr>
                    <w:r>
                      <w:rPr>
                        <w:sz w:val="24"/>
                      </w:rPr>
                      <w:t>Anexo 42.</w:t>
                    </w:r>
                  </w:p>
                </w:txbxContent>
              </v:textbox>
              <w10:wrap type="none"/>
            </v:shape>
            <w10:wrap type="topAndBottom"/>
          </v:group>
        </w:pict>
      </w:r>
    </w:p>
    <w:p>
      <w:pPr>
        <w:spacing w:after="0"/>
        <w:rPr>
          <w:rFonts w:ascii="Times New Roman"/>
          <w:sz w:val="6"/>
        </w:rPr>
        <w:sectPr>
          <w:pgSz w:w="15840" w:h="12240" w:orient="landscape"/>
          <w:pgMar w:header="0" w:footer="992" w:top="1140" w:bottom="1180" w:left="2260" w:right="2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3"/>
        </w:rPr>
      </w:pPr>
    </w:p>
    <w:p>
      <w:pPr>
        <w:pStyle w:val="BodyText"/>
        <w:ind w:left="1858"/>
        <w:rPr>
          <w:rFonts w:ascii="Times New Roman"/>
          <w:sz w:val="20"/>
        </w:rPr>
      </w:pPr>
      <w:r>
        <w:rPr>
          <w:rFonts w:ascii="Times New Roman"/>
          <w:sz w:val="20"/>
        </w:rPr>
        <w:pict>
          <v:group style="width:387pt;height:26.9pt;mso-position-horizontal-relative:char;mso-position-vertical-relative:line" coordorigin="0,0" coordsize="7740,538">
            <v:shape style="position:absolute;left:0;top:0;width:7740;height:538" type="#_x0000_t75" stroked="false">
              <v:imagedata r:id="rId117" o:title=""/>
            </v:shape>
            <v:shape style="position:absolute;left:0;top:0;width:7740;height:538" type="#_x0000_t202" filled="false" stroked="false">
              <v:textbox inset="0,0,0,0">
                <w:txbxContent>
                  <w:p>
                    <w:pPr>
                      <w:spacing w:line="244" w:lineRule="auto" w:before="0"/>
                      <w:ind w:left="144" w:right="0" w:firstLine="0"/>
                      <w:jc w:val="left"/>
                      <w:rPr>
                        <w:sz w:val="20"/>
                      </w:rPr>
                    </w:pPr>
                    <w:r>
                      <w:rPr>
                        <w:b/>
                        <w:sz w:val="20"/>
                      </w:rPr>
                      <w:t>Fuente</w:t>
                    </w:r>
                    <w:r>
                      <w:rPr>
                        <w:sz w:val="20"/>
                      </w:rPr>
                      <w:t>:</w:t>
                    </w:r>
                    <w:r>
                      <w:rPr>
                        <w:spacing w:val="-10"/>
                        <w:sz w:val="20"/>
                      </w:rPr>
                      <w:t> </w:t>
                    </w:r>
                    <w:r>
                      <w:rPr>
                        <w:sz w:val="20"/>
                      </w:rPr>
                      <w:t>Elaboración</w:t>
                    </w:r>
                    <w:r>
                      <w:rPr>
                        <w:spacing w:val="-11"/>
                        <w:sz w:val="20"/>
                      </w:rPr>
                      <w:t> </w:t>
                    </w:r>
                    <w:r>
                      <w:rPr>
                        <w:sz w:val="20"/>
                      </w:rPr>
                      <w:t>propia</w:t>
                    </w:r>
                    <w:r>
                      <w:rPr>
                        <w:spacing w:val="-8"/>
                        <w:sz w:val="20"/>
                      </w:rPr>
                      <w:t> </w:t>
                    </w:r>
                    <w:r>
                      <w:rPr>
                        <w:sz w:val="20"/>
                      </w:rPr>
                      <w:t>con</w:t>
                    </w:r>
                    <w:r>
                      <w:rPr>
                        <w:spacing w:val="-11"/>
                        <w:sz w:val="20"/>
                      </w:rPr>
                      <w:t> </w:t>
                    </w:r>
                    <w:r>
                      <w:rPr>
                        <w:sz w:val="20"/>
                      </w:rPr>
                      <w:t>base</w:t>
                    </w:r>
                    <w:r>
                      <w:rPr>
                        <w:spacing w:val="-10"/>
                        <w:sz w:val="20"/>
                      </w:rPr>
                      <w:t> </w:t>
                    </w:r>
                    <w:r>
                      <w:rPr>
                        <w:sz w:val="20"/>
                      </w:rPr>
                      <w:t>en</w:t>
                    </w:r>
                    <w:r>
                      <w:rPr>
                        <w:spacing w:val="-11"/>
                        <w:sz w:val="20"/>
                      </w:rPr>
                      <w:t> </w:t>
                    </w:r>
                    <w:r>
                      <w:rPr>
                        <w:sz w:val="20"/>
                      </w:rPr>
                      <w:t>el</w:t>
                    </w:r>
                    <w:r>
                      <w:rPr>
                        <w:spacing w:val="-11"/>
                        <w:sz w:val="20"/>
                      </w:rPr>
                      <w:t> </w:t>
                    </w:r>
                    <w:r>
                      <w:rPr>
                        <w:sz w:val="20"/>
                      </w:rPr>
                      <w:t>Informe</w:t>
                    </w:r>
                    <w:r>
                      <w:rPr>
                        <w:spacing w:val="-10"/>
                        <w:sz w:val="20"/>
                      </w:rPr>
                      <w:t> </w:t>
                    </w:r>
                    <w:r>
                      <w:rPr>
                        <w:sz w:val="20"/>
                      </w:rPr>
                      <w:t>de</w:t>
                    </w:r>
                    <w:r>
                      <w:rPr>
                        <w:spacing w:val="-11"/>
                        <w:sz w:val="20"/>
                      </w:rPr>
                      <w:t> </w:t>
                    </w:r>
                    <w:r>
                      <w:rPr>
                        <w:sz w:val="20"/>
                      </w:rPr>
                      <w:t>Resultados</w:t>
                    </w:r>
                    <w:r>
                      <w:rPr>
                        <w:spacing w:val="-9"/>
                        <w:sz w:val="20"/>
                      </w:rPr>
                      <w:t> </w:t>
                    </w:r>
                    <w:r>
                      <w:rPr>
                        <w:sz w:val="20"/>
                      </w:rPr>
                      <w:t>de</w:t>
                    </w:r>
                    <w:r>
                      <w:rPr>
                        <w:spacing w:val="-8"/>
                        <w:sz w:val="20"/>
                      </w:rPr>
                      <w:t> </w:t>
                    </w:r>
                    <w:r>
                      <w:rPr>
                        <w:sz w:val="20"/>
                      </w:rPr>
                      <w:t>la</w:t>
                    </w:r>
                    <w:r>
                      <w:rPr>
                        <w:spacing w:val="-10"/>
                        <w:sz w:val="20"/>
                      </w:rPr>
                      <w:t> </w:t>
                    </w:r>
                    <w:r>
                      <w:rPr>
                        <w:sz w:val="20"/>
                      </w:rPr>
                      <w:t>Fiscalización Superior de las cuentas públicas</w:t>
                    </w:r>
                    <w:r>
                      <w:rPr>
                        <w:spacing w:val="-11"/>
                        <w:sz w:val="20"/>
                      </w:rPr>
                      <w:t> </w:t>
                    </w:r>
                    <w:r>
                      <w:rPr>
                        <w:sz w:val="20"/>
                      </w:rPr>
                      <w:t>2008-2014</w:t>
                    </w:r>
                  </w:p>
                </w:txbxContent>
              </v:textbox>
              <w10:wrap type="none"/>
            </v:shape>
          </v:group>
        </w:pict>
      </w:r>
      <w:r>
        <w:rPr>
          <w:rFonts w:ascii="Times New Roman"/>
          <w:sz w:val="20"/>
        </w:rPr>
      </w:r>
    </w:p>
    <w:p>
      <w:pPr>
        <w:spacing w:after="0"/>
        <w:rPr>
          <w:rFonts w:ascii="Times New Roman"/>
          <w:sz w:val="20"/>
        </w:rPr>
        <w:sectPr>
          <w:pgSz w:w="15840" w:h="12240" w:orient="landscape"/>
          <w:pgMar w:header="0" w:footer="992" w:top="1140" w:bottom="1180" w:left="2260" w:right="2260"/>
        </w:sectPr>
      </w:pPr>
    </w:p>
    <w:p>
      <w:pPr>
        <w:pStyle w:val="BodyText"/>
        <w:jc w:val="right"/>
      </w:pPr>
      <w:r>
        <w:rPr/>
        <w:t>Anexo 43.</w:t>
      </w:r>
    </w:p>
    <w:p>
      <w:pPr>
        <w:pStyle w:val="BodyText"/>
        <w:rPr>
          <w:sz w:val="12"/>
        </w:rPr>
      </w:pPr>
      <w:r>
        <w:rPr/>
        <w:br w:type="column"/>
      </w:r>
      <w:r>
        <w:rPr>
          <w:sz w:val="12"/>
        </w:rPr>
      </w:r>
    </w:p>
    <w:p>
      <w:pPr>
        <w:pStyle w:val="BodyText"/>
        <w:spacing w:before="2"/>
        <w:rPr>
          <w:sz w:val="12"/>
        </w:rPr>
      </w:pPr>
    </w:p>
    <w:p>
      <w:pPr>
        <w:spacing w:line="266" w:lineRule="auto" w:before="0"/>
        <w:ind w:left="165" w:right="3788" w:firstLine="2"/>
        <w:jc w:val="center"/>
        <w:rPr>
          <w:b/>
          <w:sz w:val="12"/>
        </w:rPr>
      </w:pPr>
      <w:r>
        <w:rPr>
          <w:b/>
          <w:w w:val="145"/>
          <w:sz w:val="12"/>
        </w:rPr>
        <w:t>Calidad de la Gestión Gubernamental Controles Internos (Manejo y Aplicación) Nezahualcóyotl Ejercicio Fiscal 2010</w:t>
      </w:r>
    </w:p>
    <w:p>
      <w:pPr>
        <w:spacing w:after="0" w:line="266" w:lineRule="auto"/>
        <w:jc w:val="center"/>
        <w:rPr>
          <w:sz w:val="12"/>
        </w:rPr>
        <w:sectPr>
          <w:type w:val="continuous"/>
          <w:pgSz w:w="15840" w:h="12240" w:orient="landscape"/>
          <w:pgMar w:top="0" w:bottom="280" w:left="2260" w:right="2260"/>
          <w:cols w:num="2" w:equalWidth="0">
            <w:col w:w="3924" w:space="40"/>
            <w:col w:w="7356"/>
          </w:cols>
        </w:sectPr>
      </w:pPr>
    </w:p>
    <w:p>
      <w:pPr>
        <w:pStyle w:val="BodyText"/>
        <w:spacing w:line="20" w:lineRule="exact"/>
        <w:ind w:left="1574"/>
        <w:rPr>
          <w:sz w:val="2"/>
        </w:rPr>
      </w:pPr>
      <w:r>
        <w:rPr>
          <w:sz w:val="2"/>
        </w:rPr>
        <w:pict>
          <v:group style="width:425.2pt;height:.45pt;mso-position-horizontal-relative:char;mso-position-vertical-relative:line" coordorigin="0,0" coordsize="8504,9">
            <v:shape style="position:absolute;left:4;top:4;width:8495;height:2" coordorigin="4,4" coordsize="8495,0" path="m4,4l4,4,8499,5e" filled="false" stroked="true" strokeweight=".441657pt" strokecolor="#000000">
              <v:path arrowok="t"/>
            </v:shape>
          </v:group>
        </w:pict>
      </w:r>
      <w:r>
        <w:rPr>
          <w:sz w:val="2"/>
        </w:rPr>
      </w:r>
    </w:p>
    <w:p>
      <w:pPr>
        <w:pStyle w:val="BodyText"/>
        <w:rPr>
          <w:b/>
        </w:rPr>
      </w:pPr>
    </w:p>
    <w:tbl>
      <w:tblPr>
        <w:tblW w:w="0" w:type="auto"/>
        <w:jc w:val="left"/>
        <w:tblInd w:w="1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4000"/>
      </w:tblGrid>
      <w:tr>
        <w:trPr>
          <w:trHeight w:val="152" w:hRule="exact"/>
        </w:trPr>
        <w:tc>
          <w:tcPr>
            <w:tcW w:w="4491" w:type="dxa"/>
            <w:tcBorders>
              <w:left w:val="single" w:sz="5" w:space="0" w:color="000000"/>
              <w:right w:val="nil"/>
            </w:tcBorders>
            <w:shd w:val="clear" w:color="auto" w:fill="E6B8B7"/>
          </w:tcPr>
          <w:p>
            <w:pPr>
              <w:pStyle w:val="TableParagraph"/>
              <w:spacing w:line="138" w:lineRule="exact"/>
              <w:ind w:right="31"/>
              <w:jc w:val="right"/>
              <w:rPr>
                <w:b/>
                <w:sz w:val="12"/>
              </w:rPr>
            </w:pPr>
            <w:r>
              <w:rPr>
                <w:b/>
                <w:w w:val="140"/>
                <w:sz w:val="12"/>
              </w:rPr>
              <w:t>FISM</w:t>
            </w:r>
          </w:p>
        </w:tc>
        <w:tc>
          <w:tcPr>
            <w:tcW w:w="4000" w:type="dxa"/>
            <w:tcBorders>
              <w:left w:val="nil"/>
              <w:right w:val="single" w:sz="5" w:space="0" w:color="000000"/>
            </w:tcBorders>
            <w:shd w:val="clear" w:color="auto" w:fill="E6B8B7"/>
          </w:tcPr>
          <w:p>
            <w:pPr/>
          </w:p>
        </w:tc>
      </w:tr>
      <w:tr>
        <w:trPr>
          <w:trHeight w:val="152" w:hRule="exact"/>
        </w:trPr>
        <w:tc>
          <w:tcPr>
            <w:tcW w:w="4491" w:type="dxa"/>
            <w:tcBorders>
              <w:left w:val="single" w:sz="5" w:space="0" w:color="000000"/>
              <w:right w:val="single" w:sz="5" w:space="0" w:color="000000"/>
            </w:tcBorders>
            <w:shd w:val="clear" w:color="auto" w:fill="F1DCDB"/>
          </w:tcPr>
          <w:p>
            <w:pPr>
              <w:pStyle w:val="TableParagraph"/>
              <w:spacing w:line="138" w:lineRule="exact"/>
              <w:ind w:left="1795" w:right="1782"/>
              <w:jc w:val="center"/>
              <w:rPr>
                <w:b/>
                <w:sz w:val="12"/>
              </w:rPr>
            </w:pPr>
            <w:r>
              <w:rPr>
                <w:b/>
                <w:w w:val="145"/>
                <w:sz w:val="12"/>
              </w:rPr>
              <w:t>Fortalezas</w:t>
            </w:r>
          </w:p>
        </w:tc>
        <w:tc>
          <w:tcPr>
            <w:tcW w:w="4000" w:type="dxa"/>
            <w:tcBorders>
              <w:left w:val="single" w:sz="5" w:space="0" w:color="000000"/>
              <w:right w:val="single" w:sz="5" w:space="0" w:color="000000"/>
            </w:tcBorders>
            <w:shd w:val="clear" w:color="auto" w:fill="F1DCDB"/>
          </w:tcPr>
          <w:p>
            <w:pPr>
              <w:pStyle w:val="TableParagraph"/>
              <w:spacing w:line="138" w:lineRule="exact"/>
              <w:ind w:left="1487" w:right="1482"/>
              <w:jc w:val="center"/>
              <w:rPr>
                <w:b/>
                <w:sz w:val="12"/>
              </w:rPr>
            </w:pPr>
            <w:r>
              <w:rPr>
                <w:b/>
                <w:w w:val="145"/>
                <w:sz w:val="12"/>
              </w:rPr>
              <w:t>Debilidades</w:t>
            </w:r>
          </w:p>
        </w:tc>
      </w:tr>
      <w:tr>
        <w:trPr>
          <w:trHeight w:val="1678" w:hRule="exact"/>
        </w:trPr>
        <w:tc>
          <w:tcPr>
            <w:tcW w:w="4491" w:type="dxa"/>
            <w:tcBorders>
              <w:left w:val="single" w:sz="5" w:space="0" w:color="000000"/>
              <w:right w:val="single" w:sz="5" w:space="0" w:color="000000"/>
            </w:tcBorders>
          </w:tcPr>
          <w:p>
            <w:pPr>
              <w:pStyle w:val="TableParagraph"/>
              <w:spacing w:line="266" w:lineRule="auto"/>
              <w:ind w:left="24" w:right="3" w:firstLine="1"/>
              <w:rPr>
                <w:sz w:val="12"/>
              </w:rPr>
            </w:pPr>
            <w:r>
              <w:rPr>
                <w:w w:val="145"/>
                <w:sz w:val="12"/>
              </w:rPr>
              <w:t>El municipio tiene implementados mecanismos de control para identificar y atender los riesgos que afectan el cumplimiento de los objetivos del fondo. Existe una Subdirección de programas de Inversión Federal y Estatal, dependiente de la Tesorería Municipal, con una planeación adecuada.</w:t>
            </w:r>
          </w:p>
        </w:tc>
        <w:tc>
          <w:tcPr>
            <w:tcW w:w="4000" w:type="dxa"/>
            <w:tcBorders>
              <w:left w:val="single" w:sz="5" w:space="0" w:color="000000"/>
              <w:right w:val="single" w:sz="5" w:space="0" w:color="000000"/>
            </w:tcBorders>
          </w:tcPr>
          <w:p>
            <w:pPr>
              <w:pStyle w:val="TableParagraph"/>
              <w:spacing w:line="266" w:lineRule="auto"/>
              <w:ind w:left="23" w:right="47" w:firstLine="1"/>
              <w:rPr>
                <w:sz w:val="12"/>
              </w:rPr>
            </w:pPr>
            <w:r>
              <w:rPr>
                <w:w w:val="145"/>
                <w:sz w:val="12"/>
              </w:rPr>
              <w:t>El proceso de ambiente de control de la operación del fondo presentó algunas insuficiencias, como carecer de manuales autorizados de organización y procedimientos que orienten las acciones de acuerdo con los puestos y perfiles de los servidores públicos municipales, y no disponer de mecanismos o actividades de control para evaluar los conocimientos del personal que participa en la gestión del FISM.</w:t>
            </w:r>
          </w:p>
        </w:tc>
      </w:tr>
      <w:tr>
        <w:trPr>
          <w:trHeight w:val="2358" w:hRule="exact"/>
        </w:trPr>
        <w:tc>
          <w:tcPr>
            <w:tcW w:w="4491" w:type="dxa"/>
            <w:tcBorders>
              <w:left w:val="single" w:sz="5" w:space="0" w:color="000000"/>
              <w:right w:val="single" w:sz="5" w:space="0" w:color="000000"/>
            </w:tcBorders>
          </w:tcPr>
          <w:p>
            <w:pPr>
              <w:pStyle w:val="TableParagraph"/>
              <w:spacing w:line="266" w:lineRule="auto"/>
              <w:ind w:left="24" w:right="3" w:firstLine="1"/>
              <w:rPr>
                <w:sz w:val="12"/>
              </w:rPr>
            </w:pPr>
            <w:r>
              <w:rPr>
                <w:w w:val="145"/>
                <w:sz w:val="12"/>
              </w:rPr>
              <w:t>Se dispone de lineamientos (indicadores) para planear o priorizar las obras sociales previstas en la Ley de Coordinación Fiscal. Existen comités de obra (CODEMUN) para dar seguimiento al programa de construcción de obras. Se dan a conocer las obras realizadas por medio de publicaciones en Internet en la página del municipio, carteles, folletos, trípticos y mediante representantes de las colonias. Se cuenta con un sistema de contabilidad que permite el control presupuestal y contable de los recursos del fondo. La transferencia de recursos al municipio se realizó en tiempo y forma, sin limitaciones ni restricciones. Para la recepción de las obras se invita a los comités de obra, a los órganos de control y a la comunidad en general. Se dispone de procedimientos y sello de “OPERADO FISM”.</w:t>
            </w:r>
          </w:p>
        </w:tc>
        <w:tc>
          <w:tcPr>
            <w:tcW w:w="4000" w:type="dxa"/>
            <w:tcBorders>
              <w:left w:val="single" w:sz="5" w:space="0" w:color="000000"/>
              <w:right w:val="single" w:sz="5" w:space="0" w:color="000000"/>
            </w:tcBorders>
          </w:tcPr>
          <w:p>
            <w:pPr>
              <w:pStyle w:val="TableParagraph"/>
              <w:spacing w:line="266" w:lineRule="auto"/>
              <w:ind w:left="23" w:firstLine="1"/>
              <w:rPr>
                <w:sz w:val="12"/>
              </w:rPr>
            </w:pPr>
            <w:r>
              <w:rPr>
                <w:w w:val="145"/>
                <w:sz w:val="12"/>
              </w:rPr>
              <w:t>El proceso de información y comunicación de la operación del fondo presentó algunas insuficiencias,</w:t>
            </w:r>
            <w:r>
              <w:rPr>
                <w:spacing w:val="-6"/>
                <w:w w:val="145"/>
                <w:sz w:val="12"/>
              </w:rPr>
              <w:t> </w:t>
            </w:r>
            <w:r>
              <w:rPr>
                <w:w w:val="145"/>
                <w:sz w:val="12"/>
              </w:rPr>
              <w:t>como</w:t>
            </w:r>
            <w:r>
              <w:rPr>
                <w:spacing w:val="-8"/>
                <w:w w:val="145"/>
                <w:sz w:val="12"/>
              </w:rPr>
              <w:t> </w:t>
            </w:r>
            <w:r>
              <w:rPr>
                <w:w w:val="145"/>
                <w:sz w:val="12"/>
              </w:rPr>
              <w:t>el</w:t>
            </w:r>
            <w:r>
              <w:rPr>
                <w:spacing w:val="-8"/>
                <w:w w:val="145"/>
                <w:sz w:val="12"/>
              </w:rPr>
              <w:t> </w:t>
            </w:r>
            <w:r>
              <w:rPr>
                <w:w w:val="145"/>
                <w:sz w:val="12"/>
              </w:rPr>
              <w:t>hecho</w:t>
            </w:r>
            <w:r>
              <w:rPr>
                <w:spacing w:val="-8"/>
                <w:w w:val="145"/>
                <w:sz w:val="12"/>
              </w:rPr>
              <w:t> </w:t>
            </w:r>
            <w:r>
              <w:rPr>
                <w:w w:val="145"/>
                <w:sz w:val="12"/>
              </w:rPr>
              <w:t>de</w:t>
            </w:r>
            <w:r>
              <w:rPr>
                <w:spacing w:val="-8"/>
                <w:w w:val="145"/>
                <w:sz w:val="12"/>
              </w:rPr>
              <w:t> </w:t>
            </w:r>
            <w:r>
              <w:rPr>
                <w:w w:val="145"/>
                <w:sz w:val="12"/>
              </w:rPr>
              <w:t>que</w:t>
            </w:r>
            <w:r>
              <w:rPr>
                <w:spacing w:val="-9"/>
                <w:w w:val="145"/>
                <w:sz w:val="12"/>
              </w:rPr>
              <w:t> </w:t>
            </w:r>
            <w:r>
              <w:rPr>
                <w:w w:val="145"/>
                <w:sz w:val="12"/>
              </w:rPr>
              <w:t>la</w:t>
            </w:r>
            <w:r>
              <w:rPr>
                <w:spacing w:val="-7"/>
                <w:w w:val="145"/>
                <w:sz w:val="12"/>
              </w:rPr>
              <w:t> </w:t>
            </w:r>
            <w:r>
              <w:rPr>
                <w:w w:val="145"/>
                <w:sz w:val="12"/>
              </w:rPr>
              <w:t>información que suministra el área de Obras Públicas a la </w:t>
            </w:r>
            <w:r>
              <w:rPr>
                <w:spacing w:val="-3"/>
                <w:w w:val="145"/>
                <w:sz w:val="12"/>
              </w:rPr>
              <w:t>Tesorería </w:t>
            </w:r>
            <w:r>
              <w:rPr>
                <w:w w:val="145"/>
                <w:sz w:val="12"/>
              </w:rPr>
              <w:t>Municipal es irregular y origina retrasos en la elaboración de</w:t>
            </w:r>
            <w:r>
              <w:rPr>
                <w:spacing w:val="-33"/>
                <w:w w:val="145"/>
                <w:sz w:val="12"/>
              </w:rPr>
              <w:t> </w:t>
            </w:r>
            <w:r>
              <w:rPr>
                <w:w w:val="145"/>
                <w:sz w:val="12"/>
              </w:rPr>
              <w:t>informes.</w:t>
            </w:r>
          </w:p>
        </w:tc>
      </w:tr>
      <w:tr>
        <w:trPr>
          <w:trHeight w:val="763" w:hRule="exact"/>
        </w:trPr>
        <w:tc>
          <w:tcPr>
            <w:tcW w:w="4491" w:type="dxa"/>
            <w:tcBorders>
              <w:left w:val="single" w:sz="5" w:space="0" w:color="000000"/>
              <w:right w:val="single" w:sz="5" w:space="0" w:color="000000"/>
            </w:tcBorders>
          </w:tcPr>
          <w:p>
            <w:pPr>
              <w:pStyle w:val="TableParagraph"/>
              <w:spacing w:line="266" w:lineRule="auto"/>
              <w:ind w:left="24" w:right="44" w:firstLine="1"/>
              <w:rPr>
                <w:sz w:val="12"/>
              </w:rPr>
            </w:pPr>
            <w:r>
              <w:rPr>
                <w:w w:val="145"/>
                <w:sz w:val="12"/>
              </w:rPr>
              <w:t>Existen</w:t>
            </w:r>
            <w:r>
              <w:rPr>
                <w:spacing w:val="-7"/>
                <w:w w:val="145"/>
                <w:sz w:val="12"/>
              </w:rPr>
              <w:t> </w:t>
            </w:r>
            <w:r>
              <w:rPr>
                <w:w w:val="145"/>
                <w:sz w:val="12"/>
              </w:rPr>
              <w:t>actividades</w:t>
            </w:r>
            <w:r>
              <w:rPr>
                <w:spacing w:val="-8"/>
                <w:w w:val="145"/>
                <w:sz w:val="12"/>
              </w:rPr>
              <w:t> </w:t>
            </w:r>
            <w:r>
              <w:rPr>
                <w:w w:val="145"/>
                <w:sz w:val="12"/>
              </w:rPr>
              <w:t>de</w:t>
            </w:r>
            <w:r>
              <w:rPr>
                <w:spacing w:val="-7"/>
                <w:w w:val="145"/>
                <w:sz w:val="12"/>
              </w:rPr>
              <w:t> </w:t>
            </w:r>
            <w:r>
              <w:rPr>
                <w:w w:val="145"/>
                <w:sz w:val="12"/>
              </w:rPr>
              <w:t>control</w:t>
            </w:r>
            <w:r>
              <w:rPr>
                <w:spacing w:val="-7"/>
                <w:w w:val="145"/>
                <w:sz w:val="12"/>
              </w:rPr>
              <w:t> </w:t>
            </w:r>
            <w:r>
              <w:rPr>
                <w:w w:val="145"/>
                <w:sz w:val="12"/>
              </w:rPr>
              <w:t>para</w:t>
            </w:r>
            <w:r>
              <w:rPr>
                <w:spacing w:val="-7"/>
                <w:w w:val="145"/>
                <w:sz w:val="12"/>
              </w:rPr>
              <w:t> </w:t>
            </w:r>
            <w:r>
              <w:rPr>
                <w:w w:val="145"/>
                <w:sz w:val="12"/>
              </w:rPr>
              <w:t>verificar</w:t>
            </w:r>
            <w:r>
              <w:rPr>
                <w:spacing w:val="-7"/>
                <w:w w:val="145"/>
                <w:sz w:val="12"/>
              </w:rPr>
              <w:t> </w:t>
            </w:r>
            <w:r>
              <w:rPr>
                <w:w w:val="145"/>
                <w:sz w:val="12"/>
              </w:rPr>
              <w:t>que</w:t>
            </w:r>
            <w:r>
              <w:rPr>
                <w:spacing w:val="-7"/>
                <w:w w:val="145"/>
                <w:sz w:val="12"/>
              </w:rPr>
              <w:t> </w:t>
            </w:r>
            <w:r>
              <w:rPr>
                <w:w w:val="145"/>
                <w:sz w:val="12"/>
              </w:rPr>
              <w:t>las</w:t>
            </w:r>
            <w:r>
              <w:rPr>
                <w:spacing w:val="-7"/>
                <w:w w:val="145"/>
                <w:sz w:val="12"/>
              </w:rPr>
              <w:t> </w:t>
            </w:r>
            <w:r>
              <w:rPr>
                <w:w w:val="145"/>
                <w:sz w:val="12"/>
              </w:rPr>
              <w:t>cifras presentadas en los estados financieros, cierre del ejercicio presupuestal y en la Cuenta Pública, se concilien</w:t>
            </w:r>
            <w:r>
              <w:rPr>
                <w:spacing w:val="-8"/>
                <w:w w:val="145"/>
                <w:sz w:val="12"/>
              </w:rPr>
              <w:t> </w:t>
            </w:r>
            <w:r>
              <w:rPr>
                <w:w w:val="145"/>
                <w:sz w:val="12"/>
              </w:rPr>
              <w:t>en</w:t>
            </w:r>
            <w:r>
              <w:rPr>
                <w:spacing w:val="-8"/>
                <w:w w:val="145"/>
                <w:sz w:val="12"/>
              </w:rPr>
              <w:t> </w:t>
            </w:r>
            <w:r>
              <w:rPr>
                <w:w w:val="145"/>
                <w:sz w:val="12"/>
              </w:rPr>
              <w:t>forma</w:t>
            </w:r>
            <w:r>
              <w:rPr>
                <w:spacing w:val="-7"/>
                <w:w w:val="145"/>
                <w:sz w:val="12"/>
              </w:rPr>
              <w:t> </w:t>
            </w:r>
            <w:r>
              <w:rPr>
                <w:w w:val="145"/>
                <w:sz w:val="12"/>
              </w:rPr>
              <w:t>periódica</w:t>
            </w:r>
            <w:r>
              <w:rPr>
                <w:spacing w:val="-7"/>
                <w:w w:val="145"/>
                <w:sz w:val="12"/>
              </w:rPr>
              <w:t> </w:t>
            </w:r>
            <w:r>
              <w:rPr>
                <w:w w:val="145"/>
                <w:sz w:val="12"/>
              </w:rPr>
              <w:t>y</w:t>
            </w:r>
            <w:r>
              <w:rPr>
                <w:spacing w:val="-8"/>
                <w:w w:val="145"/>
                <w:sz w:val="12"/>
              </w:rPr>
              <w:t> </w:t>
            </w:r>
            <w:r>
              <w:rPr>
                <w:w w:val="145"/>
                <w:sz w:val="12"/>
              </w:rPr>
              <w:t>al</w:t>
            </w:r>
            <w:r>
              <w:rPr>
                <w:spacing w:val="-8"/>
                <w:w w:val="145"/>
                <w:sz w:val="12"/>
              </w:rPr>
              <w:t> </w:t>
            </w:r>
            <w:r>
              <w:rPr>
                <w:w w:val="145"/>
                <w:sz w:val="12"/>
              </w:rPr>
              <w:t>término</w:t>
            </w:r>
            <w:r>
              <w:rPr>
                <w:spacing w:val="-9"/>
                <w:w w:val="145"/>
                <w:sz w:val="12"/>
              </w:rPr>
              <w:t> </w:t>
            </w:r>
            <w:r>
              <w:rPr>
                <w:w w:val="145"/>
                <w:sz w:val="12"/>
              </w:rPr>
              <w:t>del</w:t>
            </w:r>
            <w:r>
              <w:rPr>
                <w:spacing w:val="-8"/>
                <w:w w:val="145"/>
                <w:sz w:val="12"/>
              </w:rPr>
              <w:t> </w:t>
            </w:r>
            <w:r>
              <w:rPr>
                <w:w w:val="145"/>
                <w:sz w:val="12"/>
              </w:rPr>
              <w:t>ejercicio.</w:t>
            </w:r>
          </w:p>
        </w:tc>
        <w:tc>
          <w:tcPr>
            <w:tcW w:w="4000" w:type="dxa"/>
            <w:tcBorders>
              <w:left w:val="single" w:sz="5" w:space="0" w:color="000000"/>
              <w:right w:val="single" w:sz="5" w:space="0" w:color="000000"/>
            </w:tcBorders>
          </w:tcPr>
          <w:p>
            <w:pPr/>
          </w:p>
        </w:tc>
      </w:tr>
    </w:tbl>
    <w:p>
      <w:pPr>
        <w:pStyle w:val="BodyText"/>
        <w:spacing w:before="7"/>
        <w:rPr>
          <w:b/>
          <w:sz w:val="20"/>
        </w:rPr>
      </w:pPr>
      <w:r>
        <w:rPr/>
        <w:pict>
          <v:group style="position:absolute;margin-left:187.919998pt;margin-top:13.820727pt;width:414pt;height:26.9pt;mso-position-horizontal-relative:page;mso-position-vertical-relative:paragraph;z-index:6568;mso-wrap-distance-left:0;mso-wrap-distance-right:0" coordorigin="3758,276" coordsize="8280,538">
            <v:shape style="position:absolute;left:3758;top:276;width:8280;height:538" type="#_x0000_t75" stroked="false">
              <v:imagedata r:id="rId118" o:title=""/>
            </v:shape>
            <v:shape style="position:absolute;left:3758;top:276;width:8280;height:538" type="#_x0000_t202" filled="false" stroked="false">
              <v:textbox inset="0,0,0,0">
                <w:txbxContent>
                  <w:p>
                    <w:pPr>
                      <w:spacing w:line="244" w:lineRule="auto" w:before="0"/>
                      <w:ind w:left="144" w:right="136"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w10:wrap type="topAndBottom"/>
          </v:group>
        </w:pict>
      </w:r>
    </w:p>
    <w:p>
      <w:pPr>
        <w:spacing w:after="0"/>
        <w:rPr>
          <w:sz w:val="20"/>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rPr>
          <w:b/>
          <w:sz w:val="20"/>
        </w:rPr>
      </w:pPr>
    </w:p>
    <w:p>
      <w:pPr>
        <w:pStyle w:val="BodyText"/>
        <w:spacing w:before="3"/>
        <w:rPr>
          <w:b/>
          <w:sz w:val="27"/>
        </w:rPr>
      </w:pPr>
    </w:p>
    <w:p>
      <w:pPr>
        <w:pStyle w:val="BodyText"/>
        <w:spacing w:before="70"/>
        <w:ind w:left="1493" w:right="1340"/>
      </w:pPr>
      <w:r>
        <w:rPr/>
        <w:pict>
          <v:group style="position:absolute;margin-left:308.577545pt;margin-top:-5.887125pt;width:187.45pt;height:22.95pt;mso-position-horizontal-relative:page;mso-position-vertical-relative:paragraph;z-index:6640" coordorigin="6172,-118" coordsize="3749,459">
            <v:shape style="position:absolute;left:6172;top:-118;width:3517;height:220" type="#_x0000_t75" stroked="false">
              <v:imagedata r:id="rId119" o:title=""/>
            </v:shape>
            <v:line style="position:absolute" from="9709,-77" to="9736,-77" stroked="true" strokeweight="3.888693pt" strokecolor="#000000"/>
            <v:shape style="position:absolute;left:7981;top:21;width:705;height:103" type="#_x0000_t75" stroked="false">
              <v:imagedata r:id="rId120" o:title=""/>
            </v:shape>
            <v:shape style="position:absolute;left:8747;top:21;width:1173;height:103" type="#_x0000_t75" stroked="false">
              <v:imagedata r:id="rId121" o:title=""/>
            </v:shape>
            <v:shape style="position:absolute;left:6788;top:161;width:209;height:80" coordorigin="6788,161" coordsize="209,80" path="m6896,161l6788,161,6788,174,6827,174,6827,239,6856,239,6856,174,6896,174,6896,161m6996,202l6991,195,6988,194,6980,190,6971,184,6969,184,6969,205,6969,217,6966,221,6961,224,6957,227,6951,229,6938,229,6932,227,6928,224,6922,221,6920,217,6920,205,6922,201,6928,198,6932,195,6938,194,6951,194,6957,195,6961,198,6966,201,6969,205,6969,184,6958,181,6934,181,6926,183,6917,185,6910,187,6904,191,6899,195,6896,201,6893,205,6893,217,6896,222,6899,227,6904,232,6910,235,6919,237,6926,240,6935,241,6958,241,6971,238,6980,233,6987,229,6991,227,6996,219,6996,202e" filled="true" fillcolor="#000000" stroked="false">
              <v:path arrowok="t"/>
              <v:fill type="solid"/>
            </v:shape>
            <v:line style="position:absolute" from="7016,200" to="7042,200" stroked="true" strokeweight="3.888693pt" strokecolor="#000000"/>
            <v:shape style="position:absolute;left:7069;top:181;width:310;height:60" coordorigin="7069,181" coordsize="310,60" path="m7159,183l7132,183,7132,220,7131,222,7129,224,7127,226,7123,227,7119,229,7115,230,7108,230,7104,229,7101,228,7099,227,7097,225,7096,224,7095,221,7095,183,7069,183,7069,224,7070,228,7073,231,7074,234,7078,237,7083,238,7090,240,7095,241,7108,241,7114,240,7121,238,7126,236,7131,234,7135,231,7135,239,7159,239,7159,231,7159,230,7159,183m7273,220l7248,218,7247,221,7244,224,7241,226,7237,228,7234,229,7222,229,7217,227,7213,224,7209,221,7208,217,7208,204,7209,200,7213,197,7217,195,7222,193,7234,193,7237,194,7240,195,7244,197,7245,199,7247,202,7272,199,7270,193,7265,189,7257,186,7250,183,7240,181,7213,181,7201,184,7194,190,7185,195,7181,201,7181,221,7185,227,7194,233,7201,238,7213,241,7240,241,7250,239,7258,235,7266,233,7269,229,7271,227,7273,220m7379,239l7376,237,7375,234,7375,233,7374,232,7373,230,7373,230,7373,213,7373,197,7371,193,7371,192,7369,190,7367,187,7363,185,7357,184,7352,182,7343,181,7319,181,7308,183,7302,185,7295,188,7291,192,7289,198,7312,200,7313,198,7316,195,7319,195,7321,193,7340,193,7345,196,7347,198,7347,202,7347,213,7347,221,7345,223,7345,224,7340,227,7335,230,7331,230,7322,230,7319,230,7316,228,7313,227,7312,224,7312,221,7313,218,7317,217,7320,216,7324,215,7331,215,7339,213,7344,213,7347,213,7347,202,7343,204,7334,205,7322,206,7312,207,7306,208,7301,210,7297,211,7293,213,7290,215,7288,218,7286,221,7286,229,7289,233,7294,236,7301,239,7308,241,7325,241,7330,240,7335,239,7340,238,7344,235,7349,233,7349,234,7351,235,7351,237,7352,238,7353,239,7379,239e" filled="true" fillcolor="#000000" stroked="false">
              <v:path arrowok="t"/>
              <v:fill type="solid"/>
            </v:shape>
            <v:shape style="position:absolute;left:7452;top:161;width:777;height:101" type="#_x0000_t75" stroked="false">
              <v:imagedata r:id="rId122" o:title=""/>
            </v:shape>
            <v:shape style="position:absolute;left:8303;top:161;width:469;height:80" coordorigin="8303,161" coordsize="469,80" path="m8397,161l8303,161,8303,239,8330,239,8330,206,8388,206,8388,193,8330,193,8330,174,8397,174,8397,161m8446,183l8420,183,8420,239,8446,239,8446,183m8446,161l8420,161,8420,175,8446,175,8446,161m8556,217l8553,213,8548,210,8543,208,8532,206,8518,204,8505,202,8496,201,8494,200,8492,199,8491,198,8491,195,8492,195,8495,194,8498,192,8520,192,8527,197,8528,199,8553,196,8551,192,8550,192,8545,188,8539,185,8532,183,8522,181,8495,181,8485,183,8477,187,8471,190,8468,194,8468,204,8472,209,8480,212,8485,213,8493,215,8505,217,8520,219,8523,220,8527,220,8530,221,8530,225,8528,227,8526,228,8523,230,8518,230,8505,230,8500,229,8496,227,8494,226,8491,224,8490,221,8464,224,8467,229,8472,233,8487,239,8498,241,8526,241,8538,239,8545,235,8553,232,8554,230,8556,227,8556,217m8667,220l8642,218,8640,221,8638,224,8634,226,8631,228,8628,229,8616,229,8611,227,8607,224,8603,221,8600,217,8600,204,8603,200,8607,197,8611,195,8616,193,8626,193,8631,194,8636,197,8639,199,8640,202,8666,199,8662,193,8657,189,8651,186,8643,183,8634,181,8607,181,8595,184,8586,190,8579,195,8574,201,8574,221,8579,227,8586,233,8595,238,8607,241,8634,241,8644,239,8652,235,8660,233,8663,229,8665,227,8667,220m8771,239l8769,237,8768,234,8767,233,8766,232,8766,230,8766,213,8766,197,8765,193,8765,192,8762,190,8760,187,8756,185,8751,184,8744,182,8735,181,8711,181,8702,183,8696,185,8689,188,8684,192,8681,198,8706,200,8707,198,8708,195,8712,195,8715,193,8734,193,8739,196,8741,198,8741,202,8741,213,8741,221,8739,223,8738,224,8737,226,8733,227,8729,230,8724,230,8715,230,8712,230,8710,228,8706,227,8705,224,8705,221,8707,218,8710,217,8712,216,8717,215,8724,215,8732,213,8737,213,8741,213,8741,202,8735,204,8728,205,8715,206,8706,207,8699,208,8689,211,8685,213,8683,215,8680,218,8679,221,8679,229,8681,233,8693,239,8702,241,8717,241,8723,240,8728,239,8733,238,8738,235,8742,233,8743,233,8743,235,8744,237,8746,238,8746,239,8771,239e" filled="true" fillcolor="#000000" stroked="false">
              <v:path arrowok="t"/>
              <v:fill type="solid"/>
            </v:shape>
            <v:line style="position:absolute" from="8792,200" to="8819,200" stroked="true" strokeweight="3.888693pt" strokecolor="#000000"/>
            <v:shape style="position:absolute;left:8890;top:161;width:412;height:80" coordorigin="8890,161" coordsize="412,80" path="m8981,176l8979,173,8977,171,8969,167,8962,163,8951,161,8926,161,8915,163,8908,166,8899,170,8895,175,8892,184,8919,185,8919,181,8921,178,8925,176,8927,174,8932,173,8943,173,8948,174,8950,176,8954,178,8955,180,8955,187,8950,192,8946,195,8940,199,8928,206,8913,213,8904,220,8899,224,8894,230,8891,234,8890,239,8981,239,8981,226,8930,226,8931,224,8932,223,8950,213,8959,208,8964,205,8967,203,8972,199,8976,195,8979,192,8980,190,8981,186,8981,176m9088,186l9084,175,9081,173,9075,169,9067,164,9061,162,9061,192,9061,210,9059,216,9058,221,9057,224,9054,226,9052,227,9049,228,9038,228,9035,227,9033,226,9031,223,9029,220,9027,216,9026,210,9026,192,9027,185,9030,181,9031,178,9033,176,9035,175,9038,174,9040,173,9047,173,9049,174,9052,175,9054,176,9057,178,9058,182,9059,185,9061,192,9061,162,9057,161,9030,161,9020,164,9013,169,9004,175,8999,186,8999,215,9003,226,9012,232,9020,238,9030,241,9057,241,9067,238,9075,233,9082,228,9084,227,9088,215,9088,186m9173,161l9152,161,9148,166,9143,170,9135,173,9128,177,9120,179,9112,181,9112,194,9126,192,9137,188,9147,183,9147,239,9173,239,9173,183,9173,161m9301,186l9296,175,9293,173,9287,169,9279,164,9273,162,9273,185,9273,216,9270,221,9269,224,9268,226,9265,227,9263,228,9250,228,9248,227,9246,226,9243,223,9242,220,9241,216,9240,210,9240,192,9241,185,9242,181,9243,178,9246,176,9248,175,9250,174,9254,173,9260,173,9263,174,9265,175,9268,176,9269,178,9270,182,9273,185,9273,162,9269,161,9243,161,9233,164,9225,169,9216,175,9212,186,9212,215,9216,226,9224,232,9233,238,9243,241,9269,241,9279,238,9287,233,9294,228,9296,227,9301,215,9301,186e" filled="true" fillcolor="#000000" stroked="false">
              <v:path arrowok="t"/>
              <v:fill type="solid"/>
            </v:shape>
            <v:shape style="position:absolute;left:6172;top:-118;width:3749;height:459" type="#_x0000_t202" filled="false" stroked="false">
              <v:textbox inset="0,0,0,0">
                <w:txbxContent>
                  <w:p>
                    <w:pPr>
                      <w:spacing w:line="271" w:lineRule="exact" w:before="187"/>
                      <w:ind w:left="-1255" w:right="0" w:firstLine="0"/>
                      <w:jc w:val="left"/>
                      <w:rPr>
                        <w:sz w:val="24"/>
                      </w:rPr>
                    </w:pPr>
                    <w:r>
                      <w:rPr>
                        <w:sz w:val="24"/>
                        <w:u w:val="single"/>
                      </w:rPr>
                      <w:t>.                                                                                                             </w:t>
                    </w:r>
                    <w:r>
                      <w:rPr>
                        <w:spacing w:val="17"/>
                        <w:sz w:val="24"/>
                        <w:u w:val="single"/>
                      </w:rPr>
                      <w:t> </w:t>
                    </w:r>
                  </w:p>
                </w:txbxContent>
              </v:textbox>
              <w10:wrap type="none"/>
            </v:shape>
            <w10:wrap type="none"/>
          </v:group>
        </w:pict>
      </w:r>
      <w:r>
        <w:rPr>
          <w:w w:val="100"/>
          <w:u w:val="single"/>
        </w:rPr>
        <w:t> </w:t>
      </w:r>
      <w:r>
        <w:rPr>
          <w:u w:val="single"/>
        </w:rPr>
        <w:t> Anexo 44</w:t>
      </w:r>
    </w:p>
    <w:p>
      <w:pPr>
        <w:pStyle w:val="BodyText"/>
        <w:spacing w:before="3"/>
        <w:rPr>
          <w:sz w:val="13"/>
        </w:rPr>
      </w:pPr>
      <w:r>
        <w:rPr/>
        <w:pict>
          <v:group style="position:absolute;margin-left:187.275604pt;margin-top:9.606441pt;width:429.95pt;height:374.8pt;mso-position-horizontal-relative:page;mso-position-vertical-relative:paragraph;z-index:6592;mso-wrap-distance-left:0;mso-wrap-distance-right:0" coordorigin="3746,192" coordsize="8599,7496">
            <v:rect style="position:absolute;left:3753;top:204;width:8583;height:141" filled="true" fillcolor="#e6b8b7" stroked="false">
              <v:fill type="solid"/>
            </v:rect>
            <v:rect style="position:absolute;left:3753;top:343;width:8583;height:141" filled="true" fillcolor="#f1dcdb" stroked="false">
              <v:fill type="solid"/>
            </v:rect>
            <v:shape style="position:absolute;left:3795;top:370;width:3848;height:378" type="#_x0000_t75" stroked="false">
              <v:imagedata r:id="rId123" o:title=""/>
            </v:shape>
            <v:shape style="position:absolute;left:9724;top:370;width:1050;height:80" type="#_x0000_t75" stroked="false">
              <v:imagedata r:id="rId124" o:title=""/>
            </v:shape>
            <v:shape style="position:absolute;left:6368;top:628;width:621;height:121" type="#_x0000_t75" stroked="false">
              <v:imagedata r:id="rId125" o:title=""/>
            </v:shape>
            <v:shape style="position:absolute;left:7059;top:647;width:717;height:101" type="#_x0000_t75" stroked="false">
              <v:imagedata r:id="rId126" o:title=""/>
            </v:shape>
            <v:shape style="position:absolute;left:7834;top:648;width:85;height:80" coordorigin="7834,648" coordsize="85,80" path="m7882,668l7868,668,7860,670,7853,672,7847,674,7842,678,7838,682,7835,687,7834,692,7834,704,7835,709,7839,713,7843,718,7848,722,7855,724,7861,726,7869,728,7888,728,7897,725,7904,719,7870,719,7864,718,7859,714,7853,710,7851,705,7851,691,7853,685,7859,682,7864,678,7870,676,7919,676,7919,676,7902,676,7900,673,7896,672,7891,671,7887,669,7882,668xm7919,676l7884,676,7891,678,7896,682,7901,685,7904,691,7904,706,7901,711,7896,714,7891,718,7886,719,7904,719,7904,726,7919,726,7919,676xm7919,648l7902,648,7902,676,7919,676,7919,648xe" filled="true" fillcolor="#000000" stroked="false">
              <v:path arrowok="t"/>
              <v:fill type="solid"/>
            </v:shape>
            <v:shape style="position:absolute;left:7941;top:668;width:92;height:60" coordorigin="7941,668" coordsize="92,60" path="m8000,668l7973,668,7961,671,7954,676,7945,682,7941,689,7941,708,7945,715,7954,720,7961,725,7973,728,7999,728,8009,726,8015,723,8023,719,7979,719,7973,718,7967,715,7961,711,7959,707,7958,700,8031,700,8031,699,8032,699,8032,693,7959,693,7959,688,7963,684,7973,678,7979,676,8020,676,8019,676,8010,671,8000,668xm8014,708l8012,712,8008,715,8004,717,7999,719,7994,719,8023,719,8028,715,8031,709,8014,708xm8020,676l7995,676,8003,678,8008,682,8012,684,8013,688,8014,693,8032,693,8032,688,8027,681,8020,676xe" filled="true" fillcolor="#000000" stroked="false">
              <v:path arrowok="t"/>
              <v:fill type="solid"/>
            </v:shape>
            <v:shape style="position:absolute;left:3803;top:786;width:1066;height:81" type="#_x0000_t75" stroked="false">
              <v:imagedata r:id="rId127" o:title=""/>
            </v:shape>
            <v:line style="position:absolute" from="4901,860" to="4919,860" stroked="true" strokeweight=".557643pt" strokecolor="#000000"/>
            <v:shape style="position:absolute;left:8193;top:509;width:3988;height:378" type="#_x0000_t75" stroked="false">
              <v:imagedata r:id="rId128" o:title=""/>
            </v:shape>
            <v:shape style="position:absolute;left:7834;top:232;width:94;height:79" coordorigin="7834,232" coordsize="94,79" path="m7928,232l7834,232,7834,310,7861,310,7861,277,7919,277,7919,263,7861,263,7861,245,7928,245,7928,232xe" filled="true" fillcolor="#000000" stroked="false">
              <v:path arrowok="t"/>
              <v:fill type="solid"/>
            </v:shape>
            <v:line style="position:absolute" from="7950,271" to="7977,271" stroked="true" strokeweight="3.923238pt" strokecolor="#000000"/>
            <v:shape style="position:absolute;left:7997;top:230;width:111;height:82" coordorigin="7997,230" coordsize="111,82" path="m8023,283l7997,284,7999,293,8004,300,8013,305,8021,308,8030,310,8041,311,8053,311,8065,311,8075,310,8082,308,8091,306,8096,303,8101,300,8103,298,8045,298,8039,297,8033,294,8028,292,8026,288,8023,283xm8068,230l8041,230,8032,231,8024,233,8018,234,8012,237,8008,241,8004,244,8001,248,8001,258,8006,263,8014,268,8021,271,8031,274,8045,276,8057,277,8064,278,8067,279,8072,280,8076,281,8077,283,8080,283,8080,290,8078,292,8073,294,8069,297,8062,298,8103,298,8105,296,8108,292,8108,282,8105,278,8103,274,8099,271,8094,269,8087,266,8081,265,8071,263,8058,261,8044,259,8036,257,8032,256,8029,255,8028,253,8028,249,8029,247,8032,246,8037,244,8044,243,8100,243,8099,241,8090,237,8081,232,8068,230xm8100,243l8059,243,8064,244,8068,246,8072,248,8075,251,8076,255,8104,254,8103,247,8100,243xe" filled="true" fillcolor="#000000" stroked="false">
              <v:path arrowok="t"/>
              <v:fill type="solid"/>
            </v:shape>
            <v:shape style="position:absolute;left:8131;top:232;width:132;height:79" coordorigin="8131,232" coordsize="132,79" path="m8172,232l8131,232,8131,310,8157,310,8157,249,8180,249,8172,232xm8180,249l8157,249,8184,310,8210,310,8221,285,8197,285,8180,249xm8262,249l8237,249,8237,310,8262,310,8262,249xm8262,232l8221,232,8197,285,8221,285,8237,249,8262,249,8262,232xe" filled="true" fillcolor="#000000" stroked="false">
              <v:path arrowok="t"/>
              <v:fill type="solid"/>
            </v:shape>
            <v:shape style="position:absolute;left:3793;top:1063;width:4102;height:359" type="#_x0000_t75" stroked="false">
              <v:imagedata r:id="rId129" o:title=""/>
            </v:shape>
            <v:shape style="position:absolute;left:3794;top:1619;width:8426;height:497" type="#_x0000_t75" stroked="false">
              <v:imagedata r:id="rId130" o:title=""/>
            </v:shape>
            <v:shape style="position:absolute;left:3799;top:2313;width:3830;height:378" type="#_x0000_t75" stroked="false">
              <v:imagedata r:id="rId131" o:title=""/>
            </v:shape>
            <v:shape style="position:absolute;left:3795;top:2770;width:3739;height:241" type="#_x0000_t75" stroked="false">
              <v:imagedata r:id="rId132" o:title=""/>
            </v:shape>
            <v:shape style="position:absolute;left:3797;top:3048;width:780;height:103" type="#_x0000_t75" stroked="false">
              <v:imagedata r:id="rId133" o:title=""/>
            </v:shape>
            <v:shape style="position:absolute;left:3792;top:3048;width:4251;height:381" type="#_x0000_t75" stroked="false">
              <v:imagedata r:id="rId134" o:title=""/>
            </v:shape>
            <v:shape style="position:absolute;left:6570;top:3964;width:607;height:101" type="#_x0000_t75" stroked="false">
              <v:imagedata r:id="rId135" o:title=""/>
            </v:shape>
            <v:shape style="position:absolute;left:3795;top:3963;width:2705;height:240" type="#_x0000_t75" stroked="false">
              <v:imagedata r:id="rId136" o:title=""/>
            </v:shape>
            <v:shape style="position:absolute;left:6080;top:4103;width:705;height:101" type="#_x0000_t75" stroked="false">
              <v:imagedata r:id="rId137" o:title=""/>
            </v:shape>
            <v:shape style="position:absolute;left:3795;top:4657;width:4259;height:241" type="#_x0000_t75" stroked="false">
              <v:imagedata r:id="rId138" o:title=""/>
            </v:shape>
            <v:shape style="position:absolute;left:6623;top:4796;width:732;height:101" type="#_x0000_t75" stroked="false">
              <v:imagedata r:id="rId139" o:title=""/>
            </v:shape>
            <v:shape style="position:absolute;left:3801;top:4796;width:4122;height:379" type="#_x0000_t75" stroked="false">
              <v:imagedata r:id="rId140" o:title=""/>
            </v:shape>
            <v:shape style="position:absolute;left:3801;top:5213;width:85;height:79" coordorigin="3801,5213" coordsize="85,79" path="m3819,5213l3801,5213,3801,5292,3885,5292,3885,5282,3819,5282,3819,5213xe" filled="true" fillcolor="#000000" stroked="false">
              <v:path arrowok="t"/>
              <v:fill type="solid"/>
            </v:shape>
            <v:shape style="position:absolute;left:3900;top:5233;width:93;height:60" coordorigin="3900,5233" coordsize="93,60" path="m3960,5233l3934,5233,3923,5235,3915,5240,3905,5245,3900,5253,3900,5272,3903,5280,3912,5285,3921,5290,3932,5293,3955,5293,3963,5292,3970,5290,3977,5287,3981,5285,3938,5285,3930,5283,3925,5279,3920,5275,3916,5270,3916,5256,3920,5250,3925,5247,3930,5243,3938,5241,3979,5241,3970,5236,3960,5233xm3979,5241l3954,5241,3961,5243,3966,5247,3972,5250,3975,5256,3975,5270,3972,5275,3966,5279,3961,5283,3954,5285,3981,5285,3983,5284,3986,5280,3990,5275,3992,5270,3992,5253,3988,5246,3979,5241xe" filled="true" fillcolor="#000000" stroked="false">
              <v:path arrowok="t"/>
              <v:fill type="solid"/>
            </v:shape>
            <v:shape style="position:absolute;left:4005;top:5233;width:83;height:60" coordorigin="4005,5233" coordsize="83,60" path="m4022,5273l4005,5275,4008,5281,4011,5285,4018,5288,4026,5291,4035,5293,4055,5293,4063,5292,4068,5290,4074,5289,4080,5287,4081,5285,4040,5285,4029,5282,4026,5280,4023,5277,4022,5273xm4053,5233l4040,5233,4035,5234,4031,5235,4026,5235,4022,5236,4019,5238,4017,5238,4013,5241,4011,5243,4009,5245,4009,5253,4010,5255,4011,5258,4014,5260,4018,5261,4028,5264,4036,5266,4049,5267,4058,5269,4063,5270,4065,5271,4069,5272,4071,5274,4071,5278,4068,5281,4064,5282,4062,5284,4055,5285,4081,5285,4082,5284,4086,5281,4087,5278,4087,5272,4086,5269,4083,5267,4081,5264,4077,5263,4072,5261,4068,5261,4059,5259,4040,5256,4035,5255,4033,5255,4029,5254,4028,5253,4027,5252,4026,5251,4024,5250,4024,5247,4026,5245,4033,5242,4038,5241,4079,5241,4078,5241,4076,5238,4065,5235,4059,5234,4053,5233xm4079,5241l4053,5241,4058,5242,4062,5244,4064,5245,4067,5247,4068,5250,4083,5250,4082,5246,4081,5243,4079,5241xe" filled="true" fillcolor="#000000" stroked="false">
              <v:path arrowok="t"/>
              <v:fill type="solid"/>
            </v:shape>
            <v:shape style="position:absolute;left:4161;top:5213;width:714;height:101" type="#_x0000_t75" stroked="false">
              <v:imagedata r:id="rId141" o:title=""/>
            </v:shape>
            <v:shape style="position:absolute;left:3792;top:5213;width:4224;height:379" type="#_x0000_t75" stroked="false">
              <v:imagedata r:id="rId142" o:title=""/>
            </v:shape>
            <v:shape style="position:absolute;left:7236;top:5491;width:415;height:101" type="#_x0000_t75" stroked="false">
              <v:imagedata r:id="rId143" o:title=""/>
            </v:shape>
            <v:shape style="position:absolute;left:7720;top:5511;width:87;height:60" coordorigin="7720,5511" coordsize="87,60" path="m7776,5511l7757,5511,7749,5512,7742,5515,7734,5517,7729,5521,7726,5525,7722,5529,7720,5535,7720,5550,7725,5558,7732,5563,7740,5568,7752,5570,7776,5570,7785,5569,7793,5565,7797,5563,7757,5563,7750,5560,7745,5558,7740,5554,7738,5548,7738,5533,7740,5528,7745,5524,7750,5521,7757,5519,7798,5519,7792,5515,7785,5512,7776,5511xm7789,5549l7789,5553,7785,5557,7778,5561,7771,5563,7797,5563,7799,5561,7805,5556,7806,5549,7789,5549xm7798,5519l7771,5519,7776,5520,7780,5522,7784,5523,7787,5526,7788,5530,7805,5529,7803,5523,7798,5519xe" filled="true" fillcolor="#000000" stroked="false">
              <v:path arrowok="t"/>
              <v:fill type="solid"/>
            </v:shape>
            <v:shape style="position:absolute;left:7815;top:5511;width:93;height:60" coordorigin="7815,5511" coordsize="93,60" path="m7875,5511l7848,5511,7838,5513,7830,5518,7820,5523,7815,5530,7815,5550,7819,5558,7837,5568,7847,5570,7870,5570,7878,5569,7884,5567,7892,5565,7895,5563,7852,5563,7846,5560,7841,5557,7834,5553,7832,5548,7832,5533,7834,5528,7841,5524,7846,5521,7852,5519,7895,5519,7886,5514,7875,5511xm7895,5519l7869,5519,7877,5521,7882,5524,7887,5528,7891,5533,7891,5548,7887,5553,7882,5557,7877,5560,7869,5563,7895,5563,7897,5561,7901,5557,7905,5553,7907,5547,7907,5531,7904,5523,7895,5519xe" filled="true" fillcolor="#000000" stroked="false">
              <v:path arrowok="t"/>
              <v:fill type="solid"/>
            </v:shape>
            <v:shape style="position:absolute;left:7928;top:5511;width:80;height:59" coordorigin="7928,5511" coordsize="80,59" path="m7942,5512l7928,5512,7928,5569,7945,5569,7945,5531,7947,5526,7952,5523,7958,5521,7942,5521,7942,5512xm8003,5519l7974,5519,7978,5520,7982,5521,7986,5522,7987,5523,7988,5526,7990,5528,7991,5531,7991,5569,8008,5569,8008,5526,8006,5525,8005,5522,8004,5520,8003,5519xm7979,5511l7960,5511,7950,5514,7942,5521,7958,5521,7963,5519,8003,5519,7999,5515,7995,5514,7990,5513,7986,5512,7979,5511xe" filled="true" fillcolor="#000000" stroked="false">
              <v:path arrowok="t"/>
              <v:fill type="solid"/>
            </v:shape>
            <v:shape style="position:absolute;left:3761;top:5628;width:3831;height:241" type="#_x0000_t75" stroked="false">
              <v:imagedata r:id="rId144" o:title=""/>
            </v:shape>
            <v:line style="position:absolute" from="7672,5669" to="7689,5669" stroked="true" strokeweight="3.923238pt" strokecolor="#000000"/>
            <v:shape style="position:absolute;left:7708;top:5650;width:93;height:60" coordorigin="7708,5650" coordsize="93,60" path="m7769,5650l7743,5650,7732,5652,7713,5661,7708,5669,7708,5689,7713,5697,7721,5702,7730,5706,7740,5709,7763,5709,7771,5708,7779,5706,7785,5703,7790,5701,7747,5701,7739,5700,7734,5696,7729,5692,7726,5687,7726,5672,7729,5667,7734,5663,7739,5660,7747,5658,7788,5658,7779,5652,7769,5650xm7788,5658l7763,5658,7770,5660,7775,5663,7781,5667,7784,5672,7784,5686,7781,5692,7775,5696,7770,5700,7763,5701,7790,5701,7792,5700,7796,5696,7799,5692,7801,5686,7801,5669,7797,5663,7788,5658xe" filled="true" fillcolor="#000000" stroked="false">
              <v:path arrowok="t"/>
              <v:fill type="solid"/>
            </v:shape>
            <v:shape style="position:absolute;left:6713;top:5769;width:714;height:101" type="#_x0000_t75" stroked="false">
              <v:imagedata r:id="rId145" o:title=""/>
            </v:shape>
            <v:shape style="position:absolute;left:3760;top:5769;width:4358;height:503" type="#_x0000_t75" stroked="false">
              <v:imagedata r:id="rId146" o:title=""/>
            </v:shape>
            <v:shape style="position:absolute;left:4098;top:6191;width:714;height:101" type="#_x0000_t75" stroked="false">
              <v:imagedata r:id="rId147" o:title=""/>
            </v:shape>
            <v:shape style="position:absolute;left:4885;top:6191;width:1277;height:100" type="#_x0000_t75" stroked="false">
              <v:imagedata r:id="rId148" o:title=""/>
            </v:shape>
            <v:line style="position:absolute" from="6187,6264" to="6206,6264" stroked="true" strokeweight=".552708pt" strokecolor="#000000"/>
            <v:shape style="position:absolute;left:3753;top:200;width:2;height:7481" coordorigin="3753,200" coordsize="0,7481" path="m3753,200l3753,200,3753,7680e" filled="false" stroked="true" strokeweight=".707186pt" strokecolor="#000000">
              <v:path arrowok="t"/>
            </v:shape>
            <v:shape style="position:absolute;left:8203;top:2313;width:3347;height:101" type="#_x0000_t75" stroked="false">
              <v:imagedata r:id="rId149" o:title=""/>
            </v:shape>
            <v:line style="position:absolute" from="11571,2353" to="11587,2353" stroked="true" strokeweight="3.923238pt" strokecolor="#000000"/>
            <v:shape style="position:absolute;left:11667;top:2313;width:607;height:101" type="#_x0000_t75" stroked="false">
              <v:imagedata r:id="rId150" o:title=""/>
            </v:shape>
            <v:shape style="position:absolute;left:8193;top:2453;width:87;height:80" coordorigin="8193,2453" coordsize="87,80" path="m8242,2473l8228,2473,8220,2474,8213,2476,8207,2479,8202,2482,8198,2487,8195,2492,8193,2497,8193,2508,8195,2513,8199,2518,8203,2522,8207,2526,8215,2528,8221,2531,8228,2532,8248,2532,8257,2529,8263,2524,8230,2524,8224,2522,8219,2518,8213,2515,8211,2510,8211,2495,8213,2490,8219,2486,8224,2482,8229,2481,8262,2481,8260,2478,8256,2476,8251,2475,8247,2473,8242,2473xm8279,2524l8264,2524,8264,2531,8279,2531,8279,2524xm8279,2453l8262,2453,8262,2481,8244,2481,8251,2482,8256,2486,8261,2490,8264,2495,8264,2510,8261,2515,8256,2519,8251,2522,8244,2524,8263,2524,8264,2524,8279,2524,8279,2453xe" filled="true" fillcolor="#000000" stroked="false">
              <v:path arrowok="t"/>
              <v:fill type="solid"/>
            </v:shape>
            <v:shape style="position:absolute;left:8301;top:2473;width:90;height:60" coordorigin="8301,2473" coordsize="90,60" path="m8360,2473l8333,2473,8321,2476,8314,2481,8305,2486,8301,2493,8301,2512,8305,2519,8312,2524,8321,2529,8333,2532,8359,2532,8368,2530,8383,2524,8339,2524,8332,2523,8327,2519,8321,2516,8319,2511,8318,2505,8391,2505,8391,2497,8319,2497,8319,2492,8321,2488,8328,2485,8333,2482,8339,2481,8379,2481,8370,2476,8360,2473xm8373,2513l8370,2516,8368,2519,8363,2521,8359,2523,8354,2524,8383,2524,8388,2520,8391,2514,8373,2513xm8379,2481l8355,2481,8363,2482,8368,2486,8370,2489,8373,2492,8374,2497,8391,2497,8391,2493,8387,2486,8379,2481xe" filled="true" fillcolor="#000000" stroked="false">
              <v:path arrowok="t"/>
              <v:fill type="solid"/>
            </v:shape>
            <v:line style="position:absolute" from="8466,2492" to="8482,2492" stroked="true" strokeweight="3.923238pt" strokecolor="#000000"/>
            <v:shape style="position:absolute;left:8502;top:2473;width:93;height:60" coordorigin="8502,2473" coordsize="93,60" path="m8562,2473l8536,2473,8526,2475,8517,2479,8507,2484,8502,2492,8502,2512,8507,2519,8514,2524,8523,2529,8534,2532,8557,2532,8564,2531,8572,2529,8579,2527,8582,2524,8540,2524,8532,2522,8527,2518,8522,2515,8520,2510,8520,2495,8522,2490,8527,2486,8532,2482,8540,2481,8581,2481,8572,2476,8562,2473xm8581,2481l8557,2481,8563,2482,8568,2486,8575,2490,8577,2495,8577,2510,8575,2515,8568,2518,8563,2522,8557,2524,8582,2524,8585,2523,8589,2519,8593,2515,8594,2509,8594,2492,8590,2486,8581,2481xe" filled="true" fillcolor="#000000" stroked="false">
              <v:path arrowok="t"/>
              <v:fill type="solid"/>
            </v:shape>
            <v:shape style="position:absolute;left:8608;top:2473;width:82;height:60" coordorigin="8608,2473" coordsize="82,60" path="m8625,2513l8608,2514,8610,2520,8613,2524,8621,2527,8628,2530,8636,2532,8657,2532,8665,2531,8671,2529,8676,2528,8681,2526,8683,2524,8642,2524,8636,2523,8633,2521,8628,2519,8625,2516,8625,2513xm8654,2473l8642,2473,8636,2473,8633,2474,8628,2475,8625,2476,8622,2477,8618,2478,8616,2480,8613,2482,8612,2484,8611,2487,8611,2492,8612,2495,8615,2497,8617,2499,8620,2501,8630,2504,8638,2505,8651,2507,8660,2508,8665,2509,8667,2510,8671,2511,8672,2513,8672,2518,8671,2520,8667,2521,8663,2524,8657,2524,8683,2524,8685,2523,8688,2521,8689,2518,8689,2511,8688,2508,8685,2506,8683,2504,8679,2502,8675,2501,8670,2500,8662,2498,8649,2496,8642,2495,8636,2494,8635,2494,8633,2493,8630,2492,8629,2491,8626,2490,8626,2486,8631,2483,8635,2481,8640,2481,8681,2481,8680,2480,8678,2478,8667,2475,8661,2473,8654,2473xm8681,2481l8654,2481,8660,2481,8663,2483,8667,2484,8669,2487,8670,2490,8687,2489,8685,2485,8683,2482,8681,2481xe" filled="true" fillcolor="#000000" stroked="false">
              <v:path arrowok="t"/>
              <v:fill type="solid"/>
            </v:shape>
            <v:shape style="position:absolute;left:8752;top:2451;width:746;height:101" type="#_x0000_t75" stroked="false">
              <v:imagedata r:id="rId151" o:title=""/>
            </v:shape>
            <v:shape style="position:absolute;left:9566;top:2453;width:85;height:80" coordorigin="9566,2453" coordsize="85,80" path="m9614,2473l9600,2473,9592,2474,9585,2476,9579,2479,9574,2482,9570,2487,9567,2492,9566,2497,9566,2508,9567,2513,9571,2518,9575,2522,9580,2526,9587,2528,9593,2531,9600,2532,9620,2532,9629,2529,9635,2524,9602,2524,9596,2522,9591,2518,9585,2515,9583,2510,9583,2495,9585,2490,9591,2486,9596,2482,9601,2481,9634,2481,9632,2478,9628,2476,9623,2475,9619,2473,9614,2473xm9651,2524l9635,2524,9635,2531,9651,2531,9651,2524xm9651,2453l9634,2453,9634,2481,9616,2481,9623,2482,9628,2486,9633,2490,9635,2495,9635,2510,9633,2515,9628,2519,9623,2522,9616,2524,9635,2524,9635,2524,9651,2524,9651,2453xe" filled="true" fillcolor="#000000" stroked="false">
              <v:path arrowok="t"/>
              <v:fill type="solid"/>
            </v:shape>
            <v:shape style="position:absolute;left:9673;top:2473;width:90;height:60" coordorigin="9673,2473" coordsize="90,60" path="m9732,2473l9705,2473,9693,2476,9686,2481,9677,2486,9673,2493,9673,2512,9677,2519,9686,2524,9693,2529,9705,2532,9731,2532,9740,2530,9755,2524,9711,2524,9705,2523,9699,2519,9693,2516,9691,2511,9689,2505,9763,2505,9763,2497,9691,2497,9691,2492,9695,2488,9705,2482,9711,2481,9751,2481,9742,2476,9732,2473xm9746,2513l9743,2516,9740,2519,9736,2521,9725,2524,9755,2524,9760,2520,9763,2514,9746,2513xm9751,2481l9727,2481,9735,2482,9740,2486,9742,2489,9745,2492,9746,2497,9763,2497,9763,2493,9759,2486,9751,2481xe" filled="true" fillcolor="#000000" stroked="false">
              <v:path arrowok="t"/>
              <v:fill type="solid"/>
            </v:shape>
            <v:shape style="position:absolute;left:9831;top:2473;width:93;height:60" coordorigin="9831,2473" coordsize="93,60" path="m9891,2473l9866,2473,9855,2475,9846,2479,9836,2484,9831,2492,9831,2512,9836,2519,9844,2524,9853,2529,9864,2532,9886,2532,9894,2531,9902,2529,9908,2527,9912,2524,9870,2524,9862,2522,9857,2518,9851,2515,9849,2510,9849,2495,9851,2490,9857,2486,9862,2482,9870,2481,9911,2481,9902,2476,9891,2473xm9911,2481l9886,2481,9893,2482,9898,2486,9904,2490,9907,2495,9907,2510,9904,2515,9898,2518,9893,2522,9886,2524,9912,2524,9915,2523,9918,2519,9922,2515,9924,2509,9924,2492,9920,2486,9911,2481xe" filled="true" fillcolor="#000000" stroked="false">
              <v:path arrowok="t"/>
              <v:fill type="solid"/>
            </v:shape>
            <v:shape style="position:absolute;left:9944;top:2453;width:85;height:80" coordorigin="9944,2453" coordsize="85,80" path="m9975,2524l9960,2524,9966,2529,9975,2532,9998,2532,10008,2529,10017,2524,9976,2524,9975,2524xm9961,2453l9944,2453,9944,2531,9960,2531,9960,2524,9975,2524,9970,2521,9963,2517,9961,2514,9960,2509,9960,2495,9962,2490,9967,2486,9972,2482,9979,2481,9961,2481,9961,2453xm9994,2473l9976,2473,9967,2476,9961,2481,9993,2481,9999,2482,10005,2486,10010,2490,10012,2495,10012,2510,10010,2515,10005,2518,9999,2522,9993,2524,10017,2524,10025,2519,10029,2511,10029,2493,10026,2490,10024,2487,10019,2481,10015,2478,10010,2476,9999,2473,9994,2473xe" filled="true" fillcolor="#000000" stroked="false">
              <v:path arrowok="t"/>
              <v:fill type="solid"/>
            </v:shape>
            <v:shape style="position:absolute;left:10050;top:2473;width:54;height:59" coordorigin="10050,2473" coordsize="54,59" path="m10065,2474l10050,2474,10050,2531,10066,2531,10066,2497,10068,2493,10070,2490,10071,2487,10073,2486,10075,2484,10079,2484,10082,2483,10065,2483,10065,2474xm10092,2473l10083,2473,10079,2473,10075,2475,10069,2478,10065,2483,10089,2483,10094,2484,10098,2484,10104,2476,10098,2474,10092,2473xe" filled="true" fillcolor="#000000" stroked="false">
              <v:path arrowok="t"/>
              <v:fill type="solid"/>
            </v:shape>
            <v:shape style="position:absolute;left:10109;top:2473;width:90;height:60" coordorigin="10109,2473" coordsize="90,60" path="m10191,2481l10161,2481,10168,2481,10173,2484,10176,2486,10177,2488,10177,2495,10170,2496,10160,2497,10147,2498,10141,2498,10136,2499,10132,2499,10128,2500,10124,2501,10120,2503,10116,2504,10114,2506,10111,2508,10110,2510,10109,2513,10109,2521,10111,2524,10118,2527,10123,2530,10132,2532,10155,2532,10160,2530,10166,2529,10172,2527,10176,2524,10140,2524,10134,2524,10132,2522,10128,2520,10127,2518,10127,2513,10128,2511,10132,2509,10136,2508,10138,2507,10143,2507,10150,2506,10161,2505,10170,2504,10177,2502,10194,2502,10194,2485,10192,2483,10191,2481xm10195,2524l10178,2524,10179,2527,10181,2529,10182,2531,10199,2531,10197,2529,10196,2527,10195,2524,10195,2524xm10194,2502l10177,2502,10177,2510,10176,2513,10174,2515,10172,2518,10168,2521,10163,2522,10159,2524,10152,2524,10176,2524,10178,2524,10195,2524,10195,2521,10194,2516,10194,2502xm10164,2473l10147,2473,10140,2473,10133,2475,10127,2476,10122,2478,10119,2481,10115,2483,10112,2486,10111,2490,10128,2492,10129,2487,10132,2484,10136,2483,10140,2481,10146,2481,10191,2481,10188,2478,10186,2477,10182,2476,10177,2475,10172,2473,10164,2473xe" filled="true" fillcolor="#000000" stroked="false">
              <v:path arrowok="t"/>
              <v:fill type="solid"/>
            </v:shape>
            <v:line style="position:absolute" from="10226,2525" to="10244,2525" stroked="true" strokeweight=".552708pt" strokecolor="#000000"/>
            <v:shape style="position:absolute;left:8193;top:2772;width:4007;height:358" type="#_x0000_t75" stroked="false">
              <v:imagedata r:id="rId152" o:title=""/>
            </v:shape>
            <v:line style="position:absolute" from="12220,2811" to="12237,2811" stroked="true" strokeweight="3.923238pt" strokecolor="#000000"/>
            <v:shape style="position:absolute;left:9317;top:3049;width:788;height:101" type="#_x0000_t75" stroked="false">
              <v:imagedata r:id="rId153" o:title=""/>
            </v:shape>
            <v:shape style="position:absolute;left:8161;top:3048;width:4080;height:520" type="#_x0000_t75" stroked="false">
              <v:imagedata r:id="rId154" o:title=""/>
            </v:shape>
            <v:shape style="position:absolute;left:9490;top:3466;width:688;height:101" type="#_x0000_t75" stroked="false">
              <v:imagedata r:id="rId155" o:title=""/>
            </v:shape>
            <v:shape style="position:absolute;left:8194;top:3466;width:3707;height:357" type="#_x0000_t75" stroked="false">
              <v:imagedata r:id="rId156" o:title=""/>
            </v:shape>
            <v:shape style="position:absolute;left:8188;top:6607;width:4075;height:1052" type="#_x0000_t75" stroked="false">
              <v:imagedata r:id="rId157" o:title=""/>
            </v:shape>
            <v:shape style="position:absolute;left:12332;top:209;width:2;height:7472" coordorigin="12332,209" coordsize="0,7472" path="m12332,209l12332,209,12332,7680e" filled="false" stroked="true" strokeweight=".707186pt" strokecolor="#000000">
              <v:path arrowok="t"/>
            </v:shape>
            <v:shape style="position:absolute;left:8202;top:1064;width:3869;height:100" type="#_x0000_t75" stroked="false">
              <v:imagedata r:id="rId158" o:title=""/>
            </v:shape>
            <v:line style="position:absolute" from="12093,1104" to="12109,1104" stroked="true" strokeweight="3.923238pt" strokecolor="#000000"/>
            <v:shape style="position:absolute;left:8201;top:1203;width:748;height:101" type="#_x0000_t75" stroked="false">
              <v:imagedata r:id="rId159" o:title=""/>
            </v:shape>
            <v:shape style="position:absolute;left:8982;top:1224;width:85;height:80" coordorigin="8982,1224" coordsize="85,80" path="m9067,1275l9051,1275,9051,1304,9067,1304,9067,1275xm9036,1224l9016,1224,9009,1224,9002,1227,8995,1230,8990,1233,8987,1237,8984,1242,8982,1247,8982,1262,8986,1270,8995,1275,9003,1280,9013,1283,9030,1283,9035,1282,9040,1281,9044,1279,9048,1278,9051,1275,9067,1275,9067,1275,9020,1275,9013,1273,9007,1270,9002,1266,8999,1261,8999,1246,9002,1240,9007,1236,9012,1233,9018,1231,9051,1231,9045,1227,9036,1224xm9051,1231l9033,1231,9039,1233,9044,1237,9049,1241,9053,1247,9053,1261,9051,1267,9045,1270,9040,1273,9034,1275,9067,1275,9067,1233,9053,1233,9051,1231xm9067,1225l9053,1225,9053,1233,9067,1233,9067,1225xe" filled="true" fillcolor="#000000" stroked="false">
              <v:path arrowok="t"/>
              <v:fill type="solid"/>
            </v:shape>
            <v:shape style="position:absolute;left:9094;top:1225;width:80;height:58" coordorigin="9094,1225" coordsize="80,58" path="m9111,1225l9094,1225,9094,1267,9095,1269,9095,1272,9098,1274,9101,1276,9103,1278,9106,1280,9111,1281,9116,1282,9123,1283,9140,1283,9151,1280,9157,1275,9126,1275,9123,1274,9119,1272,9115,1271,9112,1269,9112,1267,9111,1265,9111,1225xm9174,1273l9158,1273,9158,1281,9174,1281,9174,1273xm9174,1225l9157,1225,9157,1260,9156,1264,9155,1267,9153,1269,9149,1271,9146,1272,9140,1274,9137,1275,9157,1275,9158,1273,9174,1273,9174,1225xe" filled="true" fillcolor="#000000" stroked="false">
              <v:path arrowok="t"/>
              <v:fill type="solid"/>
            </v:shape>
            <v:shape style="position:absolute;left:9196;top:1224;width:90;height:60" coordorigin="9196,1224" coordsize="90,60" path="m9255,1224l9228,1224,9216,1226,9209,1232,9200,1237,9196,1244,9196,1263,9200,1270,9207,1275,9216,1281,9228,1283,9254,1283,9263,1281,9270,1278,9278,1275,9234,1275,9227,1273,9222,1270,9216,1267,9212,1262,9212,1255,9286,1255,9286,1248,9214,1248,9214,1243,9216,1239,9222,1236,9228,1233,9234,1232,9275,1232,9274,1231,9265,1226,9255,1224xm9268,1264l9265,1267,9263,1270,9258,1272,9254,1274,9248,1275,9278,1275,9283,1270,9286,1264,9268,1264xm9275,1232l9250,1232,9258,1233,9263,1237,9265,1239,9268,1243,9269,1248,9286,1248,9286,1244,9282,1236,9275,1232xe" filled="true" fillcolor="#000000" stroked="false">
              <v:path arrowok="t"/>
              <v:fill type="solid"/>
            </v:shape>
            <v:shape style="position:absolute;left:9360;top:1203;width:702;height:101" type="#_x0000_t75" stroked="false">
              <v:imagedata r:id="rId160" o:title=""/>
            </v:shape>
            <v:shape style="position:absolute;left:10130;top:1224;width:92;height:60" coordorigin="10130,1224" coordsize="92,60" path="m10191,1224l10164,1224,10152,1226,10143,1232,10136,1237,10130,1244,10130,1263,10136,1270,10143,1275,10152,1281,10164,1283,10190,1283,10199,1281,10206,1278,10214,1275,10170,1275,10163,1273,10158,1270,10152,1267,10148,1262,10148,1255,10222,1255,10222,1248,10150,1248,10150,1243,10152,1239,10163,1233,10169,1232,10210,1232,10209,1231,10201,1226,10191,1224xm10204,1264l10201,1267,10199,1270,10194,1272,10190,1274,10184,1275,10214,1275,10219,1270,10222,1264,10204,1264xm10210,1232l10186,1232,10192,1233,10199,1237,10201,1239,10204,1243,10204,1248,10222,1248,10222,1244,10218,1236,10210,1232xe" filled="true" fillcolor="#000000" stroked="false">
              <v:path arrowok="t"/>
              <v:fill type="solid"/>
            </v:shape>
            <v:shape style="position:absolute;left:10244;top:1224;width:80;height:58" coordorigin="10244,1224" coordsize="80,58" path="m10258,1225l10244,1225,10244,1281,10260,1281,10260,1244,10263,1238,10268,1235,10273,1233,10276,1233,10258,1233,10258,1225xm10319,1232l10290,1232,10294,1233,10298,1233,10302,1235,10303,1236,10304,1238,10305,1240,10307,1243,10307,1281,10323,1281,10323,1239,10322,1237,10321,1235,10320,1233,10319,1232xm10295,1224l10276,1224,10266,1227,10258,1233,10276,1233,10278,1232,10319,1232,10317,1230,10314,1228,10311,1227,10305,1225,10302,1224,10295,1224xe" filled="true" fillcolor="#000000" stroked="false">
              <v:path arrowok="t"/>
              <v:fill type="solid"/>
            </v:shape>
            <v:line style="position:absolute" from="10402,1242" to="10419,1242" stroked="true" strokeweight="3.928172pt" strokecolor="#000000"/>
            <v:shape style="position:absolute;left:10439;top:1224;width:92;height:60" coordorigin="10439,1224" coordsize="92,60" path="m10522,1232l10493,1232,10500,1233,10503,1235,10507,1236,10509,1239,10509,1246,10502,1247,10492,1248,10479,1249,10471,1249,10467,1249,10464,1250,10458,1251,10455,1252,10452,1253,10448,1255,10446,1257,10443,1259,10440,1261,10439,1264,10439,1271,10443,1275,10448,1278,10455,1281,10462,1283,10480,1283,10485,1282,10492,1281,10497,1280,10503,1278,10508,1275,10471,1275,10466,1275,10462,1272,10458,1271,10457,1269,10457,1264,10458,1263,10460,1262,10461,1261,10464,1259,10466,1258,10469,1258,10474,1257,10480,1257,10493,1255,10502,1255,10509,1253,10525,1253,10525,1238,10524,1236,10523,1233,10522,1232xm10527,1275l10510,1275,10510,1277,10511,1280,10512,1281,10530,1281,10528,1279,10527,1277,10527,1275xm10525,1253l10509,1253,10509,1261,10507,1264,10506,1267,10503,1269,10500,1271,10494,1273,10489,1275,10484,1275,10508,1275,10510,1275,10527,1275,10525,1272,10525,1253xm10496,1224l10479,1224,10471,1224,10465,1226,10458,1227,10453,1229,10449,1231,10444,1237,10443,1241,10458,1242,10461,1238,10464,1235,10467,1234,10471,1233,10476,1232,10522,1232,10521,1231,10516,1228,10512,1227,10507,1225,10502,1224,10496,1224xe" filled="true" fillcolor="#000000" stroked="false">
              <v:path arrowok="t"/>
              <v:fill type="solid"/>
            </v:shape>
            <v:shape style="position:absolute;left:10599;top:1203;width:597;height:101" type="#_x0000_t75" stroked="false">
              <v:imagedata r:id="rId161" o:title=""/>
            </v:shape>
            <v:shape style="position:absolute;left:11269;top:1203;width:87;height:81" coordorigin="11269,1203" coordsize="87,81" path="m11316,1224l11302,1224,11295,1225,11289,1227,11283,1230,11277,1233,11274,1238,11271,1242,11269,1247,11269,1259,11271,1264,11275,1269,11277,1273,11283,1277,11289,1279,11297,1281,11303,1283,11324,1283,11333,1280,11339,1275,11306,1275,11299,1273,11294,1270,11289,1266,11287,1261,11287,1246,11289,1240,11293,1237,11298,1233,11305,1232,11355,1232,11355,1231,11338,1231,11335,1229,11331,1227,11321,1224,11316,1224xm11355,1232l11320,1232,11326,1233,11331,1237,11337,1241,11339,1247,11339,1261,11337,1267,11331,1270,11326,1273,11320,1275,11339,1275,11339,1281,11355,1281,11355,1232xm11355,1203l11338,1203,11338,1231,11355,1231,11355,1203xe" filled="true" fillcolor="#000000" stroked="false">
              <v:path arrowok="t"/>
              <v:fill type="solid"/>
            </v:shape>
            <v:shape style="position:absolute;left:11375;top:1224;width:92;height:60" coordorigin="11375,1224" coordsize="92,60" path="m11436,1224l11409,1224,11397,1226,11388,1232,11380,1237,11375,1244,11375,1263,11380,1270,11388,1275,11397,1281,11409,1283,11434,1283,11443,1281,11451,1278,11459,1275,11415,1275,11407,1273,11402,1270,11397,1267,11393,1262,11393,1255,11467,1255,11467,1248,11395,1248,11395,1243,11397,1239,11407,1233,11414,1232,11455,1232,11454,1231,11446,1226,11436,1224xm11449,1264l11446,1267,11443,1270,11438,1272,11434,1274,11429,1275,11459,1275,11464,1270,11467,1264,11449,1264xm11455,1232l11431,1232,11437,1233,11443,1237,11446,1239,11449,1243,11449,1248,11467,1248,11467,1244,11463,1236,11455,1232xe" filled="true" fillcolor="#000000" stroked="false">
              <v:path arrowok="t"/>
              <v:fill type="solid"/>
            </v:shape>
            <v:line style="position:absolute" from="11487,1242" to="11504,1242" stroked="true" strokeweight="3.928172pt" strokecolor="#000000"/>
            <v:shape style="position:absolute;left:11573;top:1202;width:57;height:80" coordorigin="11573,1202" coordsize="57,80" path="m11604,1233l11587,1233,11587,1281,11604,1281,11604,1233xm11623,1225l11573,1225,11573,1233,11623,1233,11623,1225xm11625,1202l11608,1202,11601,1203,11598,1204,11594,1206,11591,1208,11589,1210,11587,1212,11587,1225,11604,1225,11604,1216,11605,1214,11607,1212,11609,1211,11613,1210,11628,1210,11630,1203,11625,1202xm11628,1210l11621,1210,11625,1211,11627,1211,11628,1210xe" filled="true" fillcolor="#000000" stroked="false">
              <v:path arrowok="t"/>
              <v:fill type="solid"/>
            </v:shape>
            <v:shape style="position:absolute;left:11630;top:1224;width:93;height:60" coordorigin="11630,1224" coordsize="93,60" path="m11690,1224l11664,1224,11654,1226,11645,1230,11635,1235,11630,1243,11630,1263,11635,1270,11643,1275,11652,1281,11663,1283,11685,1283,11693,1281,11700,1279,11708,1277,11712,1275,11668,1275,11661,1273,11656,1270,11650,1266,11648,1261,11648,1246,11650,1241,11656,1237,11661,1233,11668,1232,11711,1232,11710,1231,11702,1226,11690,1224xm11711,1232l11685,1232,11692,1233,11697,1237,11703,1241,11706,1246,11706,1261,11703,1266,11698,1270,11692,1273,11685,1275,11712,1275,11713,1274,11717,1270,11721,1266,11722,1260,11722,1244,11718,1236,11711,1232xe" filled="true" fillcolor="#000000" stroked="false">
              <v:path arrowok="t"/>
              <v:fill type="solid"/>
            </v:shape>
            <v:shape style="position:absolute;left:11743;top:1224;width:80;height:58" coordorigin="11743,1224" coordsize="80,58" path="m11758,1225l11743,1225,11743,1281,11760,1281,11760,1244,11762,1238,11767,1235,11772,1233,11776,1233,11758,1233,11758,1225xm11819,1232l11790,1232,11794,1233,11797,1233,11801,1235,11803,1236,11805,1238,11806,1240,11806,1281,11823,1281,11823,1237,11821,1235,11820,1233,11819,1232xm11796,1224l11776,1224,11765,1227,11758,1233,11776,1233,11779,1232,11819,1232,11818,1230,11815,1228,11811,1227,11806,1225,11801,1224,11796,1224xe" filled="true" fillcolor="#000000" stroked="false">
              <v:path arrowok="t"/>
              <v:fill type="solid"/>
            </v:shape>
            <v:shape style="position:absolute;left:11843;top:1203;width:87;height:81" coordorigin="11843,1203" coordsize="87,81" path="m11891,1224l11877,1224,11870,1225,11862,1227,11856,1230,11851,1233,11848,1238,11844,1242,11843,1247,11843,1259,11846,1264,11848,1269,11852,1273,11857,1277,11864,1279,11870,1281,11878,1283,11898,1283,11908,1280,11914,1275,11880,1275,11874,1273,11869,1270,11864,1266,11860,1261,11860,1246,11862,1240,11868,1237,11873,1233,11879,1232,11929,1232,11929,1231,11913,1231,11906,1227,11896,1224,11891,1224xm11929,1232l11895,1232,11901,1233,11906,1237,11911,1241,11914,1247,11914,1261,11911,1267,11906,1270,11901,1273,11895,1275,11914,1275,11914,1281,11929,1281,11929,1232xm11929,1203l11913,1203,11913,1231,11929,1231,11929,1203xe" filled="true" fillcolor="#000000" stroked="false">
              <v:path arrowok="t"/>
              <v:fill type="solid"/>
            </v:shape>
            <v:shape style="position:absolute;left:11950;top:1224;width:93;height:60" coordorigin="11950,1224" coordsize="93,60" path="m12009,1224l11983,1224,11973,1226,11955,1235,11950,1243,11950,1263,11954,1270,11963,1275,11971,1281,11982,1283,12004,1283,12013,1281,12019,1279,12027,1277,12031,1275,11987,1275,11981,1273,11976,1270,11969,1266,11967,1261,11967,1246,11969,1241,11976,1237,11981,1233,11987,1232,12031,1232,12030,1231,12021,1226,12009,1224xm12031,1232l12004,1232,12010,1233,12017,1237,12022,1241,12025,1246,12025,1261,12022,1266,12017,1270,12012,1273,12004,1275,12031,1275,12032,1274,12036,1270,12040,1266,12043,1260,12043,1244,12037,1236,12031,1232xe" filled="true" fillcolor="#000000" stroked="false">
              <v:path arrowok="t"/>
              <v:fill type="solid"/>
            </v:shape>
            <v:line style="position:absolute" from="12067,1276" to="12086,1276" stroked="true" strokeweight=".518163pt" strokecolor="#000000"/>
            <v:shape style="position:absolute;left:8202;top:3964;width:103;height:79" coordorigin="8202,3964" coordsize="103,79" path="m8301,3964l8202,3964,8202,4042,8305,4042,8305,4033,8220,4033,8220,4007,8296,4007,8296,3997,8220,3997,8220,3973,8301,3973,8301,3964xe" filled="true" fillcolor="#000000" stroked="false">
              <v:path arrowok="t"/>
              <v:fill type="solid"/>
            </v:shape>
            <v:line style="position:absolute" from="8327,4003" to="8343,4003" stroked="true" strokeweight="3.923238pt" strokecolor="#000000"/>
            <v:shape style="position:absolute;left:8423;top:3964;width:788;height:101" type="#_x0000_t75" stroked="false">
              <v:imagedata r:id="rId162" o:title=""/>
            </v:shape>
            <v:shape style="position:absolute;left:9284;top:3964;width:2074;height:101" type="#_x0000_t75" stroked="false">
              <v:imagedata r:id="rId163" o:title=""/>
            </v:shape>
            <v:shape style="position:absolute;left:11433;top:3964;width:715;height:101" type="#_x0000_t75" stroked="false">
              <v:imagedata r:id="rId164" o:title=""/>
            </v:shape>
            <v:shape style="position:absolute;left:8194;top:4103;width:3919;height:496" type="#_x0000_t75" stroked="false">
              <v:imagedata r:id="rId165" o:title=""/>
            </v:shape>
            <v:shape style="position:absolute;left:8195;top:4658;width:3600;height:239" type="#_x0000_t75" stroked="false">
              <v:imagedata r:id="rId166" o:title=""/>
            </v:shape>
            <v:shape style="position:absolute;left:10375;top:4796;width:654;height:101" type="#_x0000_t75" stroked="false">
              <v:imagedata r:id="rId167" o:title=""/>
            </v:shape>
            <v:line style="position:absolute" from="11891,4836" to="11908,4836" stroked="true" strokeweight="3.923238pt" strokecolor="#000000"/>
            <v:shape style="position:absolute;left:11927;top:4817;width:93;height:60" coordorigin="11927,4817" coordsize="93,60" path="m11987,4817l11962,4817,11951,4819,11942,4823,11932,4828,11927,4836,11927,4856,11932,4864,11940,4869,11949,4873,11960,4876,11982,4876,11990,4875,11998,4873,12005,4871,12009,4868,11965,4868,11958,4867,11947,4859,11945,4854,11945,4839,11947,4834,11958,4827,11965,4825,12007,4825,11999,4819,11987,4817xm12007,4825l11982,4825,11989,4827,11994,4831,12000,4834,12003,4839,12003,4853,12000,4859,11994,4863,11989,4867,11982,4868,12009,4868,12010,4868,12014,4863,12018,4859,12019,4853,12019,4837,12016,4830,12007,4825xe" filled="true" fillcolor="#000000" stroked="false">
              <v:path arrowok="t"/>
              <v:fill type="solid"/>
            </v:shape>
            <v:shape style="position:absolute;left:12034;top:4817;width:83;height:60" coordorigin="12034,4817" coordsize="83,60" path="m12050,4856l12034,4858,12035,4864,12040,4869,12046,4872,12053,4875,12063,4876,12084,4876,12090,4876,12097,4874,12103,4873,12107,4871,12110,4868,12068,4868,12062,4868,12058,4865,12053,4863,12050,4860,12050,4856xm12080,4817l12062,4817,12058,4818,12053,4819,12050,4820,12048,4821,12044,4822,12041,4824,12039,4826,12037,4828,12036,4831,12036,4836,12037,4839,12040,4841,12043,4843,12045,4845,12050,4846,12055,4848,12063,4849,12076,4851,12085,4852,12091,4853,12093,4854,12097,4856,12098,4857,12098,4862,12097,4864,12093,4866,12089,4868,12082,4868,12110,4868,12111,4868,12116,4862,12116,4855,12113,4852,12111,4850,12108,4848,12104,4846,12100,4845,12095,4844,12088,4842,12076,4841,12067,4839,12062,4839,12061,4838,12058,4837,12055,4836,12053,4835,12053,4831,12054,4828,12057,4827,12061,4825,12066,4825,12106,4825,12106,4824,12103,4822,12099,4820,12093,4819,12088,4818,12080,4817xm12106,4825l12080,4825,12085,4826,12089,4828,12093,4829,12094,4831,12095,4834,12112,4833,12111,4829,12108,4826,12106,4825xe" filled="true" fillcolor="#000000" stroked="false">
              <v:path arrowok="t"/>
              <v:fill type="solid"/>
            </v:shape>
            <v:shape style="position:absolute;left:8201;top:4796;width:3617;height:239" type="#_x0000_t75" stroked="false">
              <v:imagedata r:id="rId168" o:title=""/>
            </v:shape>
            <v:shape style="position:absolute;left:8193;top:5212;width:3995;height:498" type="#_x0000_t75" stroked="false">
              <v:imagedata r:id="rId169" o:title=""/>
            </v:shape>
            <v:shape style="position:absolute;left:8199;top:5914;width:3978;height:241" type="#_x0000_t75" stroked="false">
              <v:imagedata r:id="rId170" o:title=""/>
            </v:shape>
            <v:shape style="position:absolute;left:9332;top:6053;width:687;height:101" type="#_x0000_t75" stroked="false">
              <v:imagedata r:id="rId171" o:title=""/>
            </v:shape>
            <v:shape style="position:absolute;left:8193;top:6053;width:3635;height:379" type="#_x0000_t75" stroked="false">
              <v:imagedata r:id="rId172" o:title=""/>
            </v:shape>
            <v:shape style="position:absolute;left:8153;top:347;width:2;height:7334" coordorigin="8153,347" coordsize="0,7334" path="m8153,347l8153,347,8153,7680e" filled="false" stroked="true" strokeweight=".707186pt" strokecolor="#000000">
              <v:path arrowok="t"/>
            </v:shape>
            <v:shape style="position:absolute;left:3761;top:204;width:8579;height:2" coordorigin="3761,204" coordsize="8579,0" path="m3761,204l3761,204,12340,204e" filled="false" stroked="true" strokeweight=".407227pt" strokecolor="#000000">
              <v:path arrowok="t"/>
            </v:shape>
            <v:shape style="position:absolute;left:3761;top:343;width:8579;height:2" coordorigin="3761,343" coordsize="8579,0" path="m3761,343l3761,343,12340,343e" filled="false" stroked="true" strokeweight=".407227pt" strokecolor="#000000">
              <v:path arrowok="t"/>
            </v:shape>
            <v:shape style="position:absolute;left:3761;top:482;width:8579;height:2" coordorigin="3761,482" coordsize="8579,0" path="m3761,482l3761,482,12340,482e" filled="false" stroked="true" strokeweight=".407227pt" strokecolor="#000000">
              <v:path arrowok="t"/>
            </v:shape>
            <v:shape style="position:absolute;left:3761;top:1037;width:8579;height:2" coordorigin="3761,1037" coordsize="8579,0" path="m3761,1037l3761,1037,12340,1037e" filled="false" stroked="true" strokeweight=".407227pt" strokecolor="#000000">
              <v:path arrowok="t"/>
            </v:shape>
            <v:shape style="position:absolute;left:3761;top:1592;width:8579;height:2" coordorigin="3761,1592" coordsize="8579,0" path="m3761,1592l3761,1592,12340,1592e" filled="false" stroked="true" strokeweight=".407227pt" strokecolor="#000000">
              <v:path arrowok="t"/>
            </v:shape>
            <v:shape style="position:absolute;left:3761;top:2286;width:8579;height:2" coordorigin="3761,2286" coordsize="8579,0" path="m3761,2286l3761,2286,12340,2286e" filled="false" stroked="true" strokeweight=".407227pt" strokecolor="#000000">
              <v:path arrowok="t"/>
            </v:shape>
            <v:shape style="position:absolute;left:3761;top:2744;width:8579;height:2" coordorigin="3761,2744" coordsize="8579,0" path="m3761,2744l3761,2744,12340,2744e" filled="false" stroked="true" strokeweight=".407227pt" strokecolor="#000000">
              <v:path arrowok="t"/>
            </v:shape>
            <v:shape style="position:absolute;left:7250;top:3984;width:92;height:60" coordorigin="7250,3984" coordsize="92,60" path="m7333,3992l7304,3992,7311,3993,7315,3995,7317,3997,7320,4000,7320,4007,7313,4007,7303,4009,7289,4009,7283,4010,7277,4010,7275,4011,7270,4012,7266,4012,7262,4014,7255,4018,7254,4020,7252,4022,7250,4024,7250,4032,7253,4036,7259,4039,7265,4042,7273,4044,7290,4044,7297,4043,7303,4041,7308,4041,7315,4038,7320,4036,7281,4036,7277,4035,7273,4033,7270,4032,7268,4029,7268,4025,7270,4024,7271,4022,7275,4020,7277,4019,7280,4018,7285,4018,7291,4018,7304,4016,7313,4015,7320,4014,7337,4014,7337,4001,7335,3998,7335,3997,7334,3994,7333,3992xm7338,4035l7321,4035,7321,4038,7322,4041,7324,4042,7342,4042,7339,4040,7338,4038,7338,4035xm7337,4014l7320,4014,7320,4021,7319,4025,7316,4027,7315,4029,7311,4032,7306,4034,7301,4035,7294,4036,7320,4036,7321,4035,7338,4035,7337,4033,7337,4014xm7307,3984l7289,3984,7283,3985,7276,3986,7270,3987,7265,3990,7261,3992,7257,3995,7255,3998,7253,4001,7270,4003,7272,3999,7275,3996,7279,3995,7281,3993,7288,3992,7333,3992,7333,3992,7327,3989,7324,3987,7319,3986,7313,3985,7307,3984xe" filled="true" fillcolor="#000000" stroked="false">
              <v:path arrowok="t"/>
              <v:fill type="solid"/>
            </v:shape>
            <v:line style="position:absolute" from="7415,4003" to="7432,4003" stroked="true" strokeweight="3.923238pt" strokecolor="#000000"/>
            <v:shape style="position:absolute;left:7452;top:3984;width:92;height:60" coordorigin="7452,3984" coordsize="92,60" path="m7535,3992l7506,3992,7513,3993,7517,3995,7520,3997,7522,4000,7522,4007,7515,4007,7505,4009,7492,4009,7484,4010,7481,4010,7477,4011,7473,4012,7468,4012,7465,4014,7461,4015,7459,4018,7456,4020,7454,4022,7452,4024,7452,4032,7456,4036,7461,4039,7468,4042,7475,4044,7493,4044,7499,4043,7505,4041,7510,4041,7517,4038,7522,4036,7484,4036,7479,4035,7473,4032,7470,4029,7470,4025,7472,4024,7473,4022,7477,4020,7479,4019,7482,4018,7487,4018,7493,4018,7506,4016,7515,4015,7522,4014,7538,4014,7538,3998,7537,3997,7536,3994,7535,3992xm7540,4035l7523,4035,7523,4038,7524,4041,7526,4042,7544,4042,7541,4040,7540,4038,7540,4035xm7538,4014l7522,4014,7522,4021,7520,4025,7519,4027,7517,4029,7513,4032,7508,4034,7502,4035,7497,4036,7522,4036,7523,4035,7540,4035,7538,4033,7538,4014xm7509,3984l7492,3984,7478,3986,7472,3987,7466,3990,7463,3992,7457,3998,7456,4001,7472,4003,7474,3999,7477,3996,7481,3995,7484,3993,7490,3992,7535,3992,7535,3992,7529,3989,7526,3987,7520,3986,7515,3985,7509,3984xe" filled="true" fillcolor="#000000" stroked="false">
              <v:path arrowok="t"/>
              <v:fill type="solid"/>
            </v:shape>
            <v:shape style="position:absolute;left:3761;top:3936;width:8579;height:2" coordorigin="3761,3936" coordsize="8579,0" path="m3761,3936l3761,3936,12340,3936e" filled="false" stroked="true" strokeweight=".407227pt" strokecolor="#000000">
              <v:path arrowok="t"/>
            </v:shape>
            <v:shape style="position:absolute;left:3761;top:4631;width:8579;height:2" coordorigin="3761,4631" coordsize="8579,0" path="m3761,4631l3761,4631,12340,4631e" filled="false" stroked="true" strokeweight=".407227pt" strokecolor="#000000">
              <v:path arrowok="t"/>
            </v:shape>
            <v:shape style="position:absolute;left:3761;top:5186;width:8579;height:2" coordorigin="3761,5186" coordsize="8579,0" path="m3761,5186l3761,5186,12340,5186e" filled="false" stroked="true" strokeweight=".407227pt" strokecolor="#000000">
              <v:path arrowok="t"/>
            </v:shape>
            <v:shape style="position:absolute;left:3761;top:5886;width:8579;height:2" coordorigin="3761,5886" coordsize="8579,0" path="m3761,5886l3761,5886,12340,5886e" filled="false" stroked="true" strokeweight=".407227pt" strokecolor="#000000">
              <v:path arrowok="t"/>
            </v:shape>
            <v:shape style="position:absolute;left:3761;top:6581;width:8579;height:2" coordorigin="3761,6581" coordsize="8579,0" path="m3761,6581l3761,6581,12340,6581e" filled="false" stroked="true" strokeweight=".407227pt" strokecolor="#000000">
              <v:path arrowok="t"/>
            </v:shape>
            <v:shape style="position:absolute;left:3761;top:7274;width:8579;height:2" coordorigin="3761,7274" coordsize="8579,0" path="m3761,7274l3761,7274,12340,7274e" filled="false" stroked="true" strokeweight=".407227pt" strokecolor="#000000">
              <v:path arrowok="t"/>
            </v:shape>
            <v:shape style="position:absolute;left:3761;top:7676;width:8579;height:2" coordorigin="3761,7676" coordsize="8579,0" path="m3761,7676l3761,7676,12340,7676e" filled="false" stroked="true" strokeweight=".407227pt" strokecolor="#000000">
              <v:path arrowok="t"/>
            </v:shape>
            <w10:wrap type="topAndBottom"/>
          </v:group>
        </w:pict>
      </w:r>
    </w:p>
    <w:p>
      <w:pPr>
        <w:spacing w:after="0"/>
        <w:rPr>
          <w:sz w:val="13"/>
        </w:rPr>
        <w:sectPr>
          <w:pgSz w:w="15840" w:h="12240" w:orient="landscape"/>
          <w:pgMar w:header="0" w:footer="992" w:top="1140" w:bottom="1180" w:left="2260" w:right="2260"/>
        </w:sectPr>
      </w:pPr>
    </w:p>
    <w:p>
      <w:pPr>
        <w:pStyle w:val="BodyText"/>
        <w:rPr>
          <w:sz w:val="20"/>
        </w:rPr>
      </w:pPr>
    </w:p>
    <w:p>
      <w:pPr>
        <w:pStyle w:val="BodyText"/>
        <w:rPr>
          <w:sz w:val="20"/>
        </w:rPr>
      </w:pPr>
    </w:p>
    <w:p>
      <w:pPr>
        <w:pStyle w:val="BodyText"/>
        <w:spacing w:before="9"/>
        <w:rPr>
          <w:sz w:val="18"/>
        </w:rPr>
      </w:pPr>
    </w:p>
    <w:p>
      <w:pPr>
        <w:spacing w:after="0"/>
        <w:rPr>
          <w:sz w:val="18"/>
        </w:rPr>
        <w:sectPr>
          <w:pgSz w:w="15840" w:h="12240" w:orient="landscape"/>
          <w:pgMar w:header="0" w:footer="992" w:top="1140" w:bottom="1180" w:left="2260" w:right="2260"/>
        </w:sectPr>
      </w:pPr>
    </w:p>
    <w:p>
      <w:pPr>
        <w:pStyle w:val="BodyText"/>
        <w:spacing w:before="10"/>
        <w:rPr>
          <w:sz w:val="18"/>
        </w:rPr>
      </w:pPr>
    </w:p>
    <w:p>
      <w:pPr>
        <w:pStyle w:val="BodyText"/>
        <w:ind w:left="1882" w:right="-19"/>
      </w:pPr>
      <w:r>
        <w:rPr/>
        <w:t>Anexo 45.</w:t>
      </w:r>
    </w:p>
    <w:p>
      <w:pPr>
        <w:spacing w:line="273" w:lineRule="auto" w:before="88"/>
        <w:ind w:left="532" w:right="3446" w:firstLine="7"/>
        <w:jc w:val="center"/>
        <w:rPr>
          <w:b/>
          <w:sz w:val="13"/>
        </w:rPr>
      </w:pPr>
      <w:r>
        <w:rPr/>
        <w:br w:type="column"/>
      </w:r>
      <w:r>
        <w:rPr>
          <w:b/>
          <w:w w:val="160"/>
          <w:sz w:val="13"/>
        </w:rPr>
        <w:t>Calidad de la Gestion Gubernamental Controles internos (Manejo y Aplicación) Almoloya</w:t>
      </w:r>
      <w:r>
        <w:rPr>
          <w:b/>
          <w:spacing w:val="-12"/>
          <w:w w:val="160"/>
          <w:sz w:val="13"/>
        </w:rPr>
        <w:t> </w:t>
      </w:r>
      <w:r>
        <w:rPr>
          <w:b/>
          <w:w w:val="160"/>
          <w:sz w:val="13"/>
        </w:rPr>
        <w:t>de</w:t>
      </w:r>
      <w:r>
        <w:rPr>
          <w:b/>
          <w:spacing w:val="-17"/>
          <w:w w:val="160"/>
          <w:sz w:val="13"/>
        </w:rPr>
        <w:t> </w:t>
      </w:r>
      <w:r>
        <w:rPr>
          <w:b/>
          <w:w w:val="160"/>
          <w:sz w:val="13"/>
        </w:rPr>
        <w:t>Alquisiras</w:t>
      </w:r>
      <w:r>
        <w:rPr>
          <w:b/>
          <w:spacing w:val="-10"/>
          <w:w w:val="160"/>
          <w:sz w:val="13"/>
        </w:rPr>
        <w:t> </w:t>
      </w:r>
      <w:r>
        <w:rPr>
          <w:b/>
          <w:w w:val="160"/>
          <w:sz w:val="13"/>
        </w:rPr>
        <w:t>Ejercicio</w:t>
      </w:r>
      <w:r>
        <w:rPr>
          <w:b/>
          <w:spacing w:val="-12"/>
          <w:w w:val="160"/>
          <w:sz w:val="13"/>
        </w:rPr>
        <w:t> </w:t>
      </w:r>
      <w:r>
        <w:rPr>
          <w:b/>
          <w:w w:val="160"/>
          <w:sz w:val="13"/>
        </w:rPr>
        <w:t>Fiscal</w:t>
      </w:r>
      <w:r>
        <w:rPr>
          <w:b/>
          <w:spacing w:val="-11"/>
          <w:w w:val="160"/>
          <w:sz w:val="13"/>
        </w:rPr>
        <w:t> </w:t>
      </w:r>
      <w:r>
        <w:rPr>
          <w:b/>
          <w:spacing w:val="-4"/>
          <w:w w:val="160"/>
          <w:sz w:val="13"/>
        </w:rPr>
        <w:t>2011</w:t>
      </w:r>
    </w:p>
    <w:p>
      <w:pPr>
        <w:spacing w:after="0" w:line="273" w:lineRule="auto"/>
        <w:jc w:val="center"/>
        <w:rPr>
          <w:sz w:val="13"/>
        </w:rPr>
        <w:sectPr>
          <w:type w:val="continuous"/>
          <w:pgSz w:w="15840" w:h="12240" w:orient="landscape"/>
          <w:pgMar w:top="0" w:bottom="280" w:left="2260" w:right="2260"/>
          <w:cols w:num="2" w:equalWidth="0">
            <w:col w:w="2964" w:space="40"/>
            <w:col w:w="8316"/>
          </w:cols>
        </w:sectPr>
      </w:pPr>
    </w:p>
    <w:p>
      <w:pPr>
        <w:pStyle w:val="BodyText"/>
        <w:spacing w:line="20" w:lineRule="exact"/>
        <w:ind w:left="2222"/>
        <w:rPr>
          <w:sz w:val="2"/>
        </w:rPr>
      </w:pPr>
      <w:r>
        <w:rPr/>
        <w:pict>
          <v:shape style="position:absolute;margin-left:224.40361pt;margin-top:137.433960pt;width:347.25pt;height:10.65pt;mso-position-horizontal-relative:page;mso-position-vertical-relative:page;z-index:-676552" type="#_x0000_t202" filled="false" stroked="false">
            <v:textbox inset="0,0,0,0">
              <w:txbxContent>
                <w:p>
                  <w:pPr>
                    <w:spacing w:line="213" w:lineRule="exact" w:before="0"/>
                    <w:ind w:left="2" w:right="0" w:firstLine="0"/>
                    <w:jc w:val="left"/>
                    <w:rPr>
                      <w:sz w:val="20"/>
                    </w:rPr>
                  </w:pPr>
                  <w:r>
                    <w:rPr>
                      <w:sz w:val="20"/>
                    </w:rPr>
                    <w:t>cuentas públicas 2008-2014</w:t>
                  </w:r>
                </w:p>
              </w:txbxContent>
            </v:textbox>
            <w10:wrap type="none"/>
          </v:shape>
        </w:pict>
      </w:r>
      <w:r>
        <w:rPr/>
        <w:pict>
          <v:group style="position:absolute;margin-left:187.919998pt;margin-top:125.279999pt;width:432pt;height:26.9pt;mso-position-horizontal-relative:page;mso-position-vertical-relative:page;z-index:-676504" coordorigin="3758,2506" coordsize="8640,538">
            <v:shape style="position:absolute;left:3758;top:2506;width:8640;height:538" type="#_x0000_t75" stroked="false">
              <v:imagedata r:id="rId173" o:title=""/>
            </v:shape>
            <v:shape style="position:absolute;left:3758;top:2506;width:8640;height:538" type="#_x0000_t202" filled="false" stroked="false">
              <v:textbox inset="0,0,0,0">
                <w:txbxContent>
                  <w:p>
                    <w:pPr>
                      <w:spacing w:line="244" w:lineRule="auto" w:before="0"/>
                      <w:ind w:left="144" w:right="0" w:firstLine="0"/>
                      <w:jc w:val="left"/>
                      <w:rPr>
                        <w:sz w:val="20"/>
                      </w:rPr>
                    </w:pPr>
                    <w:r>
                      <w:rPr>
                        <w:b/>
                        <w:sz w:val="20"/>
                      </w:rPr>
                      <w:t>Fuente</w:t>
                    </w:r>
                    <w:r>
                      <w:rPr>
                        <w:sz w:val="20"/>
                      </w:rPr>
                      <w:t>: Elaboración propia con base en el Informe de Resultados de la Fiscalización Superior de las</w:t>
                    </w:r>
                  </w:p>
                </w:txbxContent>
              </v:textbox>
              <w10:wrap type="none"/>
            </v:shape>
            <w10:wrap type="none"/>
          </v:group>
        </w:pict>
      </w:r>
      <w:r>
        <w:rPr>
          <w:sz w:val="2"/>
        </w:rPr>
        <w:pict>
          <v:group style="width:347.8pt;height:.550pt;mso-position-horizontal-relative:char;mso-position-vertical-relative:line" coordorigin="0,0" coordsize="6956,11">
            <v:shape style="position:absolute;left:6;top:6;width:6945;height:2" coordorigin="6,6" coordsize="6945,0" path="m6,6l6,6,6950,6e" filled="false" stroked="true" strokeweight=".503813pt" strokecolor="#000000">
              <v:path arrowok="t"/>
            </v:shape>
          </v:group>
        </w:pict>
      </w:r>
      <w:r>
        <w:rPr>
          <w:sz w:val="2"/>
        </w:rPr>
      </w:r>
    </w:p>
    <w:p>
      <w:pPr>
        <w:pStyle w:val="BodyText"/>
        <w:spacing w:before="9"/>
        <w:rPr>
          <w:b/>
          <w:sz w:val="26"/>
        </w:rPr>
      </w:pPr>
    </w:p>
    <w:tbl>
      <w:tblPr>
        <w:tblW w:w="0" w:type="auto"/>
        <w:jc w:val="left"/>
        <w:tblInd w:w="2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15"/>
        <w:gridCol w:w="3125"/>
      </w:tblGrid>
      <w:tr>
        <w:trPr>
          <w:trHeight w:val="170" w:hRule="exact"/>
        </w:trPr>
        <w:tc>
          <w:tcPr>
            <w:tcW w:w="6939" w:type="dxa"/>
            <w:gridSpan w:val="2"/>
            <w:tcBorders>
              <w:left w:val="single" w:sz="6" w:space="0" w:color="000000"/>
              <w:right w:val="single" w:sz="6" w:space="0" w:color="000000"/>
            </w:tcBorders>
            <w:shd w:val="clear" w:color="auto" w:fill="E6B8B7"/>
          </w:tcPr>
          <w:p>
            <w:pPr>
              <w:pStyle w:val="TableParagraph"/>
              <w:spacing w:before="3"/>
              <w:ind w:left="3202" w:right="3184"/>
              <w:jc w:val="center"/>
              <w:rPr>
                <w:b/>
                <w:sz w:val="13"/>
              </w:rPr>
            </w:pPr>
            <w:r>
              <w:rPr>
                <w:b/>
                <w:w w:val="160"/>
                <w:sz w:val="13"/>
              </w:rPr>
              <w:t>FISM</w:t>
            </w:r>
          </w:p>
        </w:tc>
      </w:tr>
      <w:tr>
        <w:trPr>
          <w:trHeight w:val="171" w:hRule="exact"/>
        </w:trPr>
        <w:tc>
          <w:tcPr>
            <w:tcW w:w="3815" w:type="dxa"/>
            <w:tcBorders>
              <w:left w:val="single" w:sz="6" w:space="0" w:color="000000"/>
              <w:right w:val="single" w:sz="6" w:space="0" w:color="000000"/>
            </w:tcBorders>
            <w:shd w:val="clear" w:color="auto" w:fill="F1DCDB"/>
          </w:tcPr>
          <w:p>
            <w:pPr>
              <w:pStyle w:val="TableParagraph"/>
              <w:spacing w:before="4"/>
              <w:ind w:left="1370" w:right="1360"/>
              <w:jc w:val="center"/>
              <w:rPr>
                <w:b/>
                <w:sz w:val="13"/>
              </w:rPr>
            </w:pPr>
            <w:r>
              <w:rPr>
                <w:b/>
                <w:w w:val="160"/>
                <w:sz w:val="13"/>
              </w:rPr>
              <w:t>Fortalezas</w:t>
            </w:r>
          </w:p>
        </w:tc>
        <w:tc>
          <w:tcPr>
            <w:tcW w:w="3125" w:type="dxa"/>
            <w:tcBorders>
              <w:left w:val="single" w:sz="6" w:space="0" w:color="000000"/>
              <w:right w:val="single" w:sz="6" w:space="0" w:color="000000"/>
            </w:tcBorders>
            <w:shd w:val="clear" w:color="auto" w:fill="F1DCDB"/>
          </w:tcPr>
          <w:p>
            <w:pPr>
              <w:pStyle w:val="TableParagraph"/>
              <w:spacing w:before="4"/>
              <w:ind w:left="982" w:right="61"/>
              <w:rPr>
                <w:b/>
                <w:sz w:val="13"/>
              </w:rPr>
            </w:pPr>
            <w:r>
              <w:rPr>
                <w:b/>
                <w:w w:val="160"/>
                <w:sz w:val="13"/>
              </w:rPr>
              <w:t>Debilidades</w:t>
            </w:r>
          </w:p>
        </w:tc>
      </w:tr>
      <w:tr>
        <w:trPr>
          <w:trHeight w:val="512" w:hRule="exact"/>
        </w:trPr>
        <w:tc>
          <w:tcPr>
            <w:tcW w:w="3815" w:type="dxa"/>
            <w:tcBorders>
              <w:left w:val="single" w:sz="6" w:space="0" w:color="000000"/>
              <w:right w:val="single" w:sz="6" w:space="0" w:color="000000"/>
            </w:tcBorders>
          </w:tcPr>
          <w:p>
            <w:pPr>
              <w:pStyle w:val="TableParagraph"/>
              <w:spacing w:line="273" w:lineRule="auto" w:before="3"/>
              <w:ind w:left="31" w:right="15" w:hanging="2"/>
              <w:rPr>
                <w:sz w:val="13"/>
              </w:rPr>
            </w:pPr>
            <w:r>
              <w:rPr>
                <w:w w:val="160"/>
                <w:sz w:val="13"/>
              </w:rPr>
              <w:t>El municipio cuenta con programas de capacitación para el personal.</w:t>
            </w:r>
          </w:p>
        </w:tc>
        <w:tc>
          <w:tcPr>
            <w:tcW w:w="3125" w:type="dxa"/>
            <w:tcBorders>
              <w:left w:val="single" w:sz="6" w:space="0" w:color="000000"/>
              <w:right w:val="single" w:sz="6" w:space="0" w:color="000000"/>
            </w:tcBorders>
          </w:tcPr>
          <w:p>
            <w:pPr>
              <w:pStyle w:val="TableParagraph"/>
              <w:spacing w:line="273" w:lineRule="auto" w:before="3"/>
              <w:ind w:left="31" w:right="61" w:hanging="2"/>
              <w:rPr>
                <w:sz w:val="13"/>
              </w:rPr>
            </w:pPr>
            <w:r>
              <w:rPr>
                <w:w w:val="160"/>
                <w:sz w:val="13"/>
              </w:rPr>
              <w:t>No se dispone de un código de conducta.</w:t>
            </w:r>
          </w:p>
        </w:tc>
      </w:tr>
      <w:tr>
        <w:trPr>
          <w:trHeight w:val="1023" w:hRule="exact"/>
        </w:trPr>
        <w:tc>
          <w:tcPr>
            <w:tcW w:w="3815" w:type="dxa"/>
            <w:tcBorders>
              <w:left w:val="single" w:sz="6" w:space="0" w:color="000000"/>
              <w:right w:val="single" w:sz="6" w:space="0" w:color="000000"/>
            </w:tcBorders>
          </w:tcPr>
          <w:p>
            <w:pPr>
              <w:pStyle w:val="TableParagraph"/>
              <w:spacing w:line="273" w:lineRule="auto" w:before="3"/>
              <w:ind w:left="31" w:right="15" w:hanging="2"/>
              <w:rPr>
                <w:sz w:val="13"/>
              </w:rPr>
            </w:pPr>
            <w:r>
              <w:rPr>
                <w:w w:val="160"/>
                <w:sz w:val="13"/>
              </w:rPr>
              <w:t>Existe coordinación entre las áreas que intervienen en la gestión de los recursos del fondo.</w:t>
            </w:r>
          </w:p>
        </w:tc>
        <w:tc>
          <w:tcPr>
            <w:tcW w:w="3125" w:type="dxa"/>
            <w:tcBorders>
              <w:left w:val="single" w:sz="6" w:space="0" w:color="000000"/>
              <w:right w:val="single" w:sz="6" w:space="0" w:color="000000"/>
            </w:tcBorders>
          </w:tcPr>
          <w:p>
            <w:pPr>
              <w:pStyle w:val="TableParagraph"/>
              <w:spacing w:line="273" w:lineRule="auto" w:before="3"/>
              <w:ind w:left="28" w:right="61" w:firstLine="1"/>
              <w:rPr>
                <w:sz w:val="13"/>
              </w:rPr>
            </w:pPr>
            <w:r>
              <w:rPr>
                <w:w w:val="160"/>
                <w:sz w:val="13"/>
              </w:rPr>
              <w:t>Se carece de mecanismos de control para abrir una cuenta bancaria específica para el manejo de los recursos del FISM.</w:t>
            </w:r>
          </w:p>
        </w:tc>
      </w:tr>
      <w:tr>
        <w:trPr>
          <w:trHeight w:val="1195" w:hRule="exact"/>
        </w:trPr>
        <w:tc>
          <w:tcPr>
            <w:tcW w:w="3815" w:type="dxa"/>
            <w:tcBorders>
              <w:left w:val="single" w:sz="6" w:space="0" w:color="000000"/>
              <w:right w:val="single" w:sz="6" w:space="0" w:color="000000"/>
            </w:tcBorders>
          </w:tcPr>
          <w:p>
            <w:pPr>
              <w:pStyle w:val="TableParagraph"/>
              <w:spacing w:line="273" w:lineRule="auto" w:before="4"/>
              <w:ind w:left="28" w:right="15" w:firstLine="1"/>
              <w:rPr>
                <w:sz w:val="13"/>
              </w:rPr>
            </w:pPr>
            <w:r>
              <w:rPr>
                <w:w w:val="160"/>
                <w:sz w:val="13"/>
              </w:rPr>
              <w:t>La rotación del personal que interviene en la operación del fondo no es relevante, lo que beneficia en la consecución de los objetivos fijados con la aplicación de los recursos del FISM.</w:t>
            </w:r>
          </w:p>
        </w:tc>
        <w:tc>
          <w:tcPr>
            <w:tcW w:w="3125" w:type="dxa"/>
            <w:tcBorders>
              <w:left w:val="single" w:sz="6" w:space="0" w:color="000000"/>
              <w:right w:val="single" w:sz="6" w:space="0" w:color="000000"/>
            </w:tcBorders>
          </w:tcPr>
          <w:p>
            <w:pPr>
              <w:pStyle w:val="TableParagraph"/>
              <w:spacing w:line="273" w:lineRule="auto" w:before="4"/>
              <w:ind w:left="28" w:right="61" w:firstLine="1"/>
              <w:rPr>
                <w:sz w:val="13"/>
              </w:rPr>
            </w:pPr>
            <w:r>
              <w:rPr>
                <w:w w:val="160"/>
                <w:sz w:val="13"/>
              </w:rPr>
              <w:t>Fueron insuficientes los mecanismos de control para asegurarse de que no se realizaran pagos por conceptos de obra que no fueron ejecutados.</w:t>
            </w:r>
          </w:p>
        </w:tc>
      </w:tr>
      <w:tr>
        <w:trPr>
          <w:trHeight w:val="682" w:hRule="exact"/>
        </w:trPr>
        <w:tc>
          <w:tcPr>
            <w:tcW w:w="3815" w:type="dxa"/>
            <w:tcBorders>
              <w:left w:val="single" w:sz="6" w:space="0" w:color="000000"/>
              <w:right w:val="single" w:sz="6" w:space="0" w:color="000000"/>
            </w:tcBorders>
          </w:tcPr>
          <w:p>
            <w:pPr>
              <w:pStyle w:val="TableParagraph"/>
              <w:spacing w:line="273" w:lineRule="auto" w:before="3"/>
              <w:ind w:left="28" w:right="15" w:firstLine="1"/>
              <w:rPr>
                <w:sz w:val="13"/>
              </w:rPr>
            </w:pPr>
            <w:r>
              <w:rPr>
                <w:w w:val="160"/>
                <w:sz w:val="13"/>
              </w:rPr>
              <w:t>Se dispone de registros adecuados para el seguimiento del avance físico- financiero de las obras.</w:t>
            </w:r>
          </w:p>
        </w:tc>
        <w:tc>
          <w:tcPr>
            <w:tcW w:w="3125" w:type="dxa"/>
            <w:tcBorders>
              <w:left w:val="single" w:sz="6" w:space="0" w:color="000000"/>
              <w:right w:val="single" w:sz="6" w:space="0" w:color="000000"/>
            </w:tcBorders>
          </w:tcPr>
          <w:p>
            <w:pPr>
              <w:pStyle w:val="TableParagraph"/>
              <w:spacing w:line="273" w:lineRule="auto" w:before="3"/>
              <w:ind w:left="28" w:firstLine="1"/>
              <w:rPr>
                <w:sz w:val="13"/>
              </w:rPr>
            </w:pPr>
            <w:r>
              <w:rPr>
                <w:w w:val="160"/>
                <w:sz w:val="13"/>
              </w:rPr>
              <w:t>Los expedientes de obra pública no disponen de los acuerdos de inicio y ejecución de obra.</w:t>
            </w:r>
          </w:p>
        </w:tc>
      </w:tr>
      <w:tr>
        <w:trPr>
          <w:trHeight w:val="929" w:hRule="exact"/>
        </w:trPr>
        <w:tc>
          <w:tcPr>
            <w:tcW w:w="3815" w:type="dxa"/>
            <w:tcBorders>
              <w:left w:val="single" w:sz="6" w:space="0" w:color="000000"/>
              <w:right w:val="single" w:sz="6" w:space="0" w:color="000000"/>
            </w:tcBorders>
          </w:tcPr>
          <w:p>
            <w:pPr>
              <w:pStyle w:val="TableParagraph"/>
              <w:spacing w:line="273" w:lineRule="auto" w:before="3"/>
              <w:ind w:left="28" w:right="15" w:firstLine="1"/>
              <w:rPr>
                <w:sz w:val="13"/>
              </w:rPr>
            </w:pPr>
            <w:r>
              <w:rPr>
                <w:w w:val="160"/>
                <w:sz w:val="13"/>
              </w:rPr>
              <w:t>Se realizan conciliaciones periódicas de las cifras contables contra las presupuestales.</w:t>
            </w:r>
          </w:p>
        </w:tc>
        <w:tc>
          <w:tcPr>
            <w:tcW w:w="3125" w:type="dxa"/>
            <w:tcBorders>
              <w:left w:val="single" w:sz="6" w:space="0" w:color="000000"/>
              <w:right w:val="single" w:sz="6" w:space="0" w:color="000000"/>
            </w:tcBorders>
          </w:tcPr>
          <w:p>
            <w:pPr>
              <w:pStyle w:val="TableParagraph"/>
              <w:spacing w:line="273" w:lineRule="auto" w:before="3"/>
              <w:ind w:left="28" w:right="61" w:firstLine="1"/>
              <w:rPr>
                <w:sz w:val="13"/>
              </w:rPr>
            </w:pPr>
            <w:r>
              <w:rPr>
                <w:w w:val="160"/>
                <w:sz w:val="13"/>
              </w:rPr>
              <w:t>No se dispone de mecanismos de control para realizar una adecuada supervisión de las operaciones realizadas con los recursos del fondo.</w:t>
            </w:r>
          </w:p>
        </w:tc>
      </w:tr>
      <w:tr>
        <w:trPr>
          <w:trHeight w:val="511" w:hRule="exact"/>
        </w:trPr>
        <w:tc>
          <w:tcPr>
            <w:tcW w:w="3815" w:type="dxa"/>
            <w:tcBorders>
              <w:left w:val="single" w:sz="6" w:space="0" w:color="000000"/>
              <w:right w:val="single" w:sz="6" w:space="0" w:color="000000"/>
            </w:tcBorders>
          </w:tcPr>
          <w:p>
            <w:pPr>
              <w:pStyle w:val="TableParagraph"/>
              <w:spacing w:line="273" w:lineRule="auto" w:before="3"/>
              <w:ind w:left="31" w:right="15" w:hanging="2"/>
              <w:rPr>
                <w:sz w:val="13"/>
              </w:rPr>
            </w:pPr>
            <w:r>
              <w:rPr>
                <w:w w:val="160"/>
                <w:sz w:val="13"/>
              </w:rPr>
              <w:t>Las obras se adjudican con base en la normativa.</w:t>
            </w:r>
          </w:p>
        </w:tc>
        <w:tc>
          <w:tcPr>
            <w:tcW w:w="3125" w:type="dxa"/>
            <w:tcBorders>
              <w:left w:val="single" w:sz="6" w:space="0" w:color="000000"/>
              <w:right w:val="single" w:sz="6" w:space="0" w:color="000000"/>
            </w:tcBorders>
          </w:tcPr>
          <w:p>
            <w:pPr/>
          </w:p>
        </w:tc>
      </w:tr>
      <w:tr>
        <w:trPr>
          <w:trHeight w:val="683" w:hRule="exact"/>
        </w:trPr>
        <w:tc>
          <w:tcPr>
            <w:tcW w:w="3815" w:type="dxa"/>
            <w:tcBorders>
              <w:left w:val="single" w:sz="6" w:space="0" w:color="000000"/>
              <w:right w:val="single" w:sz="6" w:space="0" w:color="000000"/>
            </w:tcBorders>
          </w:tcPr>
          <w:p>
            <w:pPr>
              <w:pStyle w:val="TableParagraph"/>
              <w:spacing w:line="273" w:lineRule="auto" w:before="4"/>
              <w:ind w:left="31" w:right="4" w:hanging="2"/>
              <w:rPr>
                <w:sz w:val="13"/>
              </w:rPr>
            </w:pPr>
            <w:r>
              <w:rPr>
                <w:w w:val="160"/>
                <w:sz w:val="13"/>
              </w:rPr>
              <w:t>La información de los recursos del fondo se genera oportuna y adecuadamente, para la toma de decisiones.</w:t>
            </w:r>
          </w:p>
        </w:tc>
        <w:tc>
          <w:tcPr>
            <w:tcW w:w="3125" w:type="dxa"/>
            <w:tcBorders>
              <w:left w:val="single" w:sz="6" w:space="0" w:color="000000"/>
              <w:right w:val="single" w:sz="6" w:space="0" w:color="000000"/>
            </w:tcBorders>
          </w:tcPr>
          <w:p>
            <w:pPr/>
          </w:p>
        </w:tc>
      </w:tr>
      <w:tr>
        <w:trPr>
          <w:trHeight w:val="758" w:hRule="exact"/>
        </w:trPr>
        <w:tc>
          <w:tcPr>
            <w:tcW w:w="3815" w:type="dxa"/>
            <w:tcBorders>
              <w:left w:val="single" w:sz="6" w:space="0" w:color="000000"/>
              <w:right w:val="single" w:sz="6" w:space="0" w:color="000000"/>
            </w:tcBorders>
          </w:tcPr>
          <w:p>
            <w:pPr>
              <w:pStyle w:val="TableParagraph"/>
              <w:spacing w:line="273" w:lineRule="auto" w:before="3"/>
              <w:ind w:left="28" w:right="15" w:firstLine="1"/>
              <w:rPr>
                <w:sz w:val="13"/>
              </w:rPr>
            </w:pPr>
            <w:r>
              <w:rPr>
                <w:w w:val="160"/>
                <w:sz w:val="13"/>
              </w:rPr>
              <w:t>Se difundió adecuadamente entre la población la información de los resultados alcanzados con los recursos del fondo.</w:t>
            </w:r>
          </w:p>
        </w:tc>
        <w:tc>
          <w:tcPr>
            <w:tcW w:w="3125" w:type="dxa"/>
            <w:tcBorders>
              <w:left w:val="single" w:sz="6" w:space="0" w:color="000000"/>
              <w:right w:val="single" w:sz="6" w:space="0" w:color="000000"/>
            </w:tcBorders>
          </w:tcPr>
          <w:p>
            <w:pPr/>
          </w:p>
        </w:tc>
      </w:tr>
      <w:tr>
        <w:trPr>
          <w:trHeight w:val="853" w:hRule="exact"/>
        </w:trPr>
        <w:tc>
          <w:tcPr>
            <w:tcW w:w="3815" w:type="dxa"/>
            <w:tcBorders>
              <w:left w:val="single" w:sz="6" w:space="0" w:color="000000"/>
              <w:right w:val="single" w:sz="6" w:space="0" w:color="000000"/>
            </w:tcBorders>
          </w:tcPr>
          <w:p>
            <w:pPr>
              <w:pStyle w:val="TableParagraph"/>
              <w:spacing w:line="273" w:lineRule="auto" w:before="3"/>
              <w:ind w:left="29" w:right="15"/>
              <w:rPr>
                <w:sz w:val="13"/>
              </w:rPr>
            </w:pPr>
            <w:r>
              <w:rPr>
                <w:w w:val="160"/>
                <w:sz w:val="13"/>
              </w:rPr>
              <w:t>Se cuenta con una estructura formal de todas las unidades administrativas que intervienen en la ejecución de las operaciones.</w:t>
            </w:r>
          </w:p>
        </w:tc>
        <w:tc>
          <w:tcPr>
            <w:tcW w:w="3125" w:type="dxa"/>
            <w:tcBorders>
              <w:left w:val="single" w:sz="6" w:space="0" w:color="000000"/>
              <w:right w:val="single" w:sz="6" w:space="0" w:color="000000"/>
            </w:tcBorders>
          </w:tcPr>
          <w:p>
            <w:pPr/>
          </w:p>
        </w:tc>
      </w:tr>
    </w:tbl>
    <w:p>
      <w:pPr>
        <w:spacing w:after="0"/>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2"/>
        </w:rPr>
      </w:pPr>
    </w:p>
    <w:p>
      <w:pPr>
        <w:pStyle w:val="BodyText"/>
        <w:ind w:left="2122"/>
        <w:rPr>
          <w:sz w:val="20"/>
        </w:rPr>
      </w:pPr>
      <w:r>
        <w:rPr>
          <w:sz w:val="20"/>
        </w:rPr>
        <w:pict>
          <v:group style="width:355.8pt;height:26.9pt;mso-position-horizontal-relative:char;mso-position-vertical-relative:line" coordorigin="0,0" coordsize="7116,538">
            <v:shape style="position:absolute;left:96;top:0;width:7020;height:538" type="#_x0000_t75" stroked="false">
              <v:imagedata r:id="rId174" o:title=""/>
            </v:shape>
            <v:shape style="position:absolute;left:0;top:21;width:6965;height:318" type="#_x0000_t202" filled="false" stroked="false">
              <v:textbox inset="0,0,0,0">
                <w:txbxContent>
                  <w:p>
                    <w:pPr>
                      <w:spacing w:line="317" w:lineRule="exact" w:before="0"/>
                      <w:ind w:left="0" w:right="-5" w:firstLine="0"/>
                      <w:jc w:val="left"/>
                      <w:rPr>
                        <w:sz w:val="20"/>
                      </w:rPr>
                    </w:pPr>
                    <w:r>
                      <w:rPr>
                        <w:w w:val="100"/>
                        <w:position w:val="-10"/>
                        <w:sz w:val="24"/>
                      </w:rPr>
                      <w:t>A</w:t>
                    </w:r>
                    <w:r>
                      <w:rPr>
                        <w:spacing w:val="-54"/>
                        <w:w w:val="99"/>
                        <w:position w:val="-10"/>
                        <w:sz w:val="24"/>
                      </w:rPr>
                      <w:t>n</w:t>
                    </w:r>
                    <w:r>
                      <w:rPr>
                        <w:b/>
                        <w:spacing w:val="-67"/>
                        <w:w w:val="99"/>
                        <w:sz w:val="20"/>
                      </w:rPr>
                      <w:t>F</w:t>
                    </w:r>
                    <w:r>
                      <w:rPr>
                        <w:spacing w:val="-67"/>
                        <w:w w:val="99"/>
                        <w:position w:val="-10"/>
                        <w:sz w:val="24"/>
                      </w:rPr>
                      <w:t>e</w:t>
                    </w:r>
                    <w:r>
                      <w:rPr>
                        <w:b/>
                        <w:spacing w:val="-55"/>
                        <w:w w:val="99"/>
                        <w:sz w:val="20"/>
                      </w:rPr>
                      <w:t>u</w:t>
                    </w:r>
                    <w:r>
                      <w:rPr>
                        <w:spacing w:val="-65"/>
                        <w:position w:val="-10"/>
                        <w:sz w:val="24"/>
                      </w:rPr>
                      <w:t>x</w:t>
                    </w:r>
                    <w:r>
                      <w:rPr>
                        <w:b/>
                        <w:spacing w:val="-49"/>
                        <w:w w:val="99"/>
                        <w:sz w:val="20"/>
                      </w:rPr>
                      <w:t>e</w:t>
                    </w:r>
                    <w:r>
                      <w:rPr>
                        <w:spacing w:val="-85"/>
                        <w:w w:val="99"/>
                        <w:position w:val="-10"/>
                        <w:sz w:val="24"/>
                      </w:rPr>
                      <w:t>o</w:t>
                    </w:r>
                    <w:r>
                      <w:rPr>
                        <w:b/>
                        <w:w w:val="99"/>
                        <w:sz w:val="20"/>
                      </w:rPr>
                      <w:t>n</w:t>
                    </w:r>
                    <w:r>
                      <w:rPr>
                        <w:b/>
                        <w:spacing w:val="-36"/>
                        <w:w w:val="99"/>
                        <w:sz w:val="20"/>
                      </w:rPr>
                      <w:t>t</w:t>
                    </w:r>
                    <w:r>
                      <w:rPr>
                        <w:spacing w:val="-97"/>
                        <w:w w:val="99"/>
                        <w:position w:val="-10"/>
                        <w:sz w:val="24"/>
                      </w:rPr>
                      <w:t>4</w:t>
                    </w:r>
                    <w:r>
                      <w:rPr>
                        <w:b/>
                        <w:spacing w:val="-13"/>
                        <w:w w:val="99"/>
                        <w:sz w:val="20"/>
                      </w:rPr>
                      <w:t>e</w:t>
                    </w:r>
                    <w:r>
                      <w:rPr>
                        <w:spacing w:val="-120"/>
                        <w:w w:val="99"/>
                        <w:position w:val="-10"/>
                        <w:sz w:val="24"/>
                      </w:rPr>
                      <w:t>6</w:t>
                    </w:r>
                    <w:r>
                      <w:rPr>
                        <w:w w:val="99"/>
                        <w:sz w:val="20"/>
                      </w:rPr>
                      <w:t>:</w:t>
                    </w:r>
                    <w:r>
                      <w:rPr>
                        <w:spacing w:val="7"/>
                        <w:sz w:val="20"/>
                      </w:rPr>
                      <w:t> </w:t>
                    </w:r>
                    <w:r>
                      <w:rPr>
                        <w:spacing w:val="-39"/>
                        <w:w w:val="100"/>
                        <w:position w:val="-10"/>
                        <w:sz w:val="24"/>
                      </w:rPr>
                      <w:t>.</w:t>
                    </w:r>
                    <w:r>
                      <w:rPr>
                        <w:spacing w:val="-1"/>
                        <w:w w:val="99"/>
                        <w:sz w:val="20"/>
                      </w:rPr>
                      <w:t>E</w:t>
                    </w:r>
                    <w:r>
                      <w:rPr>
                        <w:spacing w:val="-1"/>
                        <w:w w:val="99"/>
                        <w:sz w:val="20"/>
                      </w:rPr>
                      <w:t>l</w:t>
                    </w:r>
                    <w:r>
                      <w:rPr>
                        <w:spacing w:val="1"/>
                        <w:w w:val="99"/>
                        <w:sz w:val="20"/>
                      </w:rPr>
                      <w:t>a</w:t>
                    </w:r>
                    <w:r>
                      <w:rPr>
                        <w:w w:val="99"/>
                        <w:sz w:val="20"/>
                      </w:rPr>
                      <w:t>b</w:t>
                    </w:r>
                    <w:r>
                      <w:rPr>
                        <w:spacing w:val="-1"/>
                        <w:w w:val="99"/>
                        <w:sz w:val="20"/>
                      </w:rPr>
                      <w:t>o</w:t>
                    </w:r>
                    <w:r>
                      <w:rPr>
                        <w:w w:val="99"/>
                        <w:sz w:val="20"/>
                      </w:rPr>
                      <w:t>r</w:t>
                    </w:r>
                    <w:r>
                      <w:rPr>
                        <w:w w:val="99"/>
                        <w:sz w:val="20"/>
                      </w:rPr>
                      <w:t>ac</w:t>
                    </w:r>
                    <w:r>
                      <w:rPr>
                        <w:spacing w:val="1"/>
                        <w:w w:val="99"/>
                        <w:sz w:val="20"/>
                      </w:rPr>
                      <w:t>i</w:t>
                    </w:r>
                    <w:r>
                      <w:rPr>
                        <w:w w:val="99"/>
                        <w:sz w:val="20"/>
                      </w:rPr>
                      <w:t>ón</w:t>
                    </w:r>
                    <w:r>
                      <w:rPr>
                        <w:sz w:val="20"/>
                      </w:rPr>
                      <w:t> </w:t>
                    </w:r>
                    <w:r>
                      <w:rPr>
                        <w:spacing w:val="-21"/>
                        <w:sz w:val="20"/>
                      </w:rPr>
                      <w:t> </w:t>
                    </w:r>
                    <w:r>
                      <w:rPr>
                        <w:w w:val="99"/>
                        <w:sz w:val="20"/>
                      </w:rPr>
                      <w:t>pr</w:t>
                    </w:r>
                    <w:r>
                      <w:rPr>
                        <w:spacing w:val="2"/>
                        <w:w w:val="99"/>
                        <w:sz w:val="20"/>
                      </w:rPr>
                      <w:t>o</w:t>
                    </w:r>
                    <w:r>
                      <w:rPr>
                        <w:w w:val="99"/>
                        <w:sz w:val="20"/>
                      </w:rPr>
                      <w:t>pi</w:t>
                    </w:r>
                    <w:r>
                      <w:rPr>
                        <w:w w:val="99"/>
                        <w:sz w:val="20"/>
                      </w:rPr>
                      <w:t>a</w:t>
                    </w:r>
                    <w:r>
                      <w:rPr>
                        <w:sz w:val="20"/>
                      </w:rPr>
                      <w:t> </w:t>
                    </w:r>
                    <w:r>
                      <w:rPr>
                        <w:spacing w:val="-21"/>
                        <w:sz w:val="20"/>
                      </w:rPr>
                      <w:t> </w:t>
                    </w:r>
                    <w:r>
                      <w:rPr>
                        <w:spacing w:val="1"/>
                        <w:w w:val="99"/>
                        <w:sz w:val="20"/>
                      </w:rPr>
                      <w:t>c</w:t>
                    </w:r>
                    <w:r>
                      <w:rPr>
                        <w:w w:val="99"/>
                        <w:sz w:val="20"/>
                      </w:rPr>
                      <w:t>on</w:t>
                    </w:r>
                    <w:r>
                      <w:rPr>
                        <w:sz w:val="20"/>
                      </w:rPr>
                      <w:t> </w:t>
                    </w:r>
                    <w:r>
                      <w:rPr>
                        <w:spacing w:val="-21"/>
                        <w:sz w:val="20"/>
                      </w:rPr>
                      <w:t> </w:t>
                    </w:r>
                    <w:r>
                      <w:rPr>
                        <w:w w:val="99"/>
                        <w:sz w:val="20"/>
                      </w:rPr>
                      <w:t>b</w:t>
                    </w:r>
                    <w:r>
                      <w:rPr>
                        <w:spacing w:val="-1"/>
                        <w:w w:val="99"/>
                        <w:sz w:val="20"/>
                      </w:rPr>
                      <w:t>a</w:t>
                    </w:r>
                    <w:r>
                      <w:rPr>
                        <w:spacing w:val="1"/>
                        <w:w w:val="99"/>
                        <w:sz w:val="20"/>
                      </w:rPr>
                      <w:t>s</w:t>
                    </w:r>
                    <w:r>
                      <w:rPr>
                        <w:w w:val="99"/>
                        <w:sz w:val="20"/>
                      </w:rPr>
                      <w:t>e</w:t>
                    </w:r>
                    <w:r>
                      <w:rPr>
                        <w:sz w:val="20"/>
                      </w:rPr>
                      <w:t> </w:t>
                    </w:r>
                    <w:r>
                      <w:rPr>
                        <w:spacing w:val="-21"/>
                        <w:sz w:val="20"/>
                      </w:rPr>
                      <w:t> </w:t>
                    </w:r>
                    <w:r>
                      <w:rPr>
                        <w:w w:val="99"/>
                        <w:sz w:val="20"/>
                      </w:rPr>
                      <w:t>en</w:t>
                    </w:r>
                    <w:r>
                      <w:rPr>
                        <w:sz w:val="20"/>
                      </w:rPr>
                      <w:t> </w:t>
                    </w:r>
                    <w:r>
                      <w:rPr>
                        <w:spacing w:val="-21"/>
                        <w:sz w:val="20"/>
                      </w:rPr>
                      <w:t> </w:t>
                    </w:r>
                    <w:r>
                      <w:rPr>
                        <w:spacing w:val="1"/>
                        <w:w w:val="99"/>
                        <w:sz w:val="20"/>
                      </w:rPr>
                      <w:t>e</w:t>
                    </w:r>
                    <w:r>
                      <w:rPr>
                        <w:w w:val="99"/>
                        <w:sz w:val="20"/>
                      </w:rPr>
                      <w:t>l</w:t>
                    </w:r>
                    <w:r>
                      <w:rPr>
                        <w:sz w:val="20"/>
                      </w:rPr>
                      <w:t> </w:t>
                    </w:r>
                    <w:r>
                      <w:rPr>
                        <w:spacing w:val="-22"/>
                        <w:sz w:val="20"/>
                      </w:rPr>
                      <w:t> </w:t>
                    </w:r>
                    <w:r>
                      <w:rPr>
                        <w:w w:val="99"/>
                        <w:sz w:val="20"/>
                      </w:rPr>
                      <w:t>In</w:t>
                    </w:r>
                    <w:r>
                      <w:rPr>
                        <w:spacing w:val="1"/>
                        <w:w w:val="99"/>
                        <w:sz w:val="20"/>
                      </w:rPr>
                      <w:t>f</w:t>
                    </w:r>
                    <w:r>
                      <w:rPr>
                        <w:w w:val="99"/>
                        <w:sz w:val="20"/>
                      </w:rPr>
                      <w:t>or</w:t>
                    </w:r>
                    <w:r>
                      <w:rPr>
                        <w:spacing w:val="4"/>
                        <w:w w:val="99"/>
                        <w:sz w:val="20"/>
                      </w:rPr>
                      <w:t>m</w:t>
                    </w:r>
                    <w:r>
                      <w:rPr>
                        <w:w w:val="99"/>
                        <w:sz w:val="20"/>
                      </w:rPr>
                      <w:t>e</w:t>
                    </w:r>
                    <w:r>
                      <w:rPr>
                        <w:sz w:val="20"/>
                      </w:rPr>
                      <w:t> </w:t>
                    </w:r>
                    <w:r>
                      <w:rPr>
                        <w:spacing w:val="-23"/>
                        <w:sz w:val="20"/>
                      </w:rPr>
                      <w:t> </w:t>
                    </w:r>
                    <w:r>
                      <w:rPr>
                        <w:w w:val="99"/>
                        <w:sz w:val="20"/>
                      </w:rPr>
                      <w:t>de</w:t>
                    </w:r>
                    <w:r>
                      <w:rPr>
                        <w:sz w:val="20"/>
                      </w:rPr>
                      <w:t> </w:t>
                    </w:r>
                    <w:r>
                      <w:rPr>
                        <w:spacing w:val="-21"/>
                        <w:sz w:val="20"/>
                      </w:rPr>
                      <w:t> </w:t>
                    </w:r>
                    <w:r>
                      <w:rPr>
                        <w:w w:val="99"/>
                        <w:sz w:val="20"/>
                      </w:rPr>
                      <w:t>Res</w:t>
                    </w:r>
                    <w:r>
                      <w:rPr>
                        <w:w w:val="99"/>
                        <w:sz w:val="20"/>
                      </w:rPr>
                      <w:t>u</w:t>
                    </w:r>
                    <w:r>
                      <w:rPr>
                        <w:spacing w:val="-2"/>
                        <w:w w:val="99"/>
                        <w:sz w:val="20"/>
                      </w:rPr>
                      <w:t>l</w:t>
                    </w:r>
                    <w:r>
                      <w:rPr>
                        <w:spacing w:val="2"/>
                        <w:w w:val="99"/>
                        <w:sz w:val="20"/>
                      </w:rPr>
                      <w:t>t</w:t>
                    </w:r>
                    <w:r>
                      <w:rPr>
                        <w:w w:val="99"/>
                        <w:sz w:val="20"/>
                      </w:rPr>
                      <w:t>a</w:t>
                    </w:r>
                    <w:r>
                      <w:rPr>
                        <w:spacing w:val="-1"/>
                        <w:w w:val="99"/>
                        <w:sz w:val="20"/>
                      </w:rPr>
                      <w:t>d</w:t>
                    </w:r>
                    <w:r>
                      <w:rPr>
                        <w:w w:val="99"/>
                        <w:sz w:val="20"/>
                      </w:rPr>
                      <w:t>os</w:t>
                    </w:r>
                    <w:r>
                      <w:rPr>
                        <w:sz w:val="20"/>
                      </w:rPr>
                      <w:t> </w:t>
                    </w:r>
                    <w:r>
                      <w:rPr>
                        <w:spacing w:val="-20"/>
                        <w:sz w:val="20"/>
                      </w:rPr>
                      <w:t> </w:t>
                    </w:r>
                    <w:r>
                      <w:rPr>
                        <w:w w:val="99"/>
                        <w:sz w:val="20"/>
                      </w:rPr>
                      <w:t>de</w:t>
                    </w:r>
                    <w:r>
                      <w:rPr>
                        <w:sz w:val="20"/>
                      </w:rPr>
                      <w:t> </w:t>
                    </w:r>
                    <w:r>
                      <w:rPr>
                        <w:spacing w:val="-19"/>
                        <w:sz w:val="20"/>
                      </w:rPr>
                      <w:t> </w:t>
                    </w:r>
                    <w:r>
                      <w:rPr>
                        <w:spacing w:val="-1"/>
                        <w:w w:val="99"/>
                        <w:sz w:val="20"/>
                      </w:rPr>
                      <w:t>l</w:t>
                    </w:r>
                    <w:r>
                      <w:rPr>
                        <w:w w:val="99"/>
                        <w:sz w:val="20"/>
                      </w:rPr>
                      <w:t>a</w:t>
                    </w:r>
                  </w:p>
                </w:txbxContent>
              </v:textbox>
              <w10:wrap type="none"/>
            </v:shape>
            <v:shape style="position:absolute;left:240;top:257;width:5104;height:200" type="#_x0000_t202" filled="false" stroked="false">
              <v:textbox inset="0,0,0,0">
                <w:txbxContent>
                  <w:p>
                    <w:pPr>
                      <w:spacing w:line="199" w:lineRule="exact" w:before="0"/>
                      <w:ind w:left="0" w:right="-20" w:firstLine="0"/>
                      <w:jc w:val="left"/>
                      <w:rPr>
                        <w:sz w:val="20"/>
                      </w:rPr>
                    </w:pPr>
                    <w:r>
                      <w:rPr>
                        <w:sz w:val="20"/>
                      </w:rPr>
                      <w:t>Fiscalización Superior de las cuentas públicas 2008-2014</w:t>
                    </w:r>
                  </w:p>
                </w:txbxContent>
              </v:textbox>
              <w10:wrap type="none"/>
            </v:shape>
          </v:group>
        </w:pict>
      </w:r>
      <w:r>
        <w:rPr>
          <w:sz w:val="20"/>
        </w:rPr>
      </w:r>
    </w:p>
    <w:p>
      <w:pPr>
        <w:pStyle w:val="BodyText"/>
        <w:rPr>
          <w:b/>
          <w:sz w:val="20"/>
        </w:rPr>
      </w:pPr>
    </w:p>
    <w:p>
      <w:pPr>
        <w:pStyle w:val="BodyText"/>
        <w:rPr>
          <w:b/>
          <w:sz w:val="20"/>
        </w:rPr>
      </w:pPr>
    </w:p>
    <w:p>
      <w:pPr>
        <w:pStyle w:val="BodyText"/>
        <w:rPr>
          <w:b/>
          <w:sz w:val="17"/>
        </w:rPr>
      </w:pPr>
    </w:p>
    <w:p>
      <w:pPr>
        <w:spacing w:line="266" w:lineRule="auto" w:before="76"/>
        <w:ind w:left="3763" w:right="3285" w:firstLine="3"/>
        <w:jc w:val="center"/>
        <w:rPr>
          <w:b/>
          <w:sz w:val="21"/>
        </w:rPr>
      </w:pPr>
      <w:r>
        <w:rPr>
          <w:b/>
          <w:w w:val="105"/>
          <w:sz w:val="21"/>
        </w:rPr>
        <w:t>Calidad de la Gestion Gubernamental Controles internos (Manejo y</w:t>
      </w:r>
      <w:r>
        <w:rPr>
          <w:b/>
          <w:spacing w:val="-32"/>
          <w:w w:val="105"/>
          <w:sz w:val="21"/>
        </w:rPr>
        <w:t> </w:t>
      </w:r>
      <w:r>
        <w:rPr>
          <w:b/>
          <w:w w:val="105"/>
          <w:sz w:val="21"/>
        </w:rPr>
        <w:t>Aplicación) Chimalhuacán Ejercicio Fiscal</w:t>
      </w:r>
      <w:r>
        <w:rPr>
          <w:b/>
          <w:spacing w:val="-16"/>
          <w:w w:val="105"/>
          <w:sz w:val="21"/>
        </w:rPr>
        <w:t> </w:t>
      </w:r>
      <w:r>
        <w:rPr>
          <w:b/>
          <w:spacing w:val="-4"/>
          <w:w w:val="105"/>
          <w:sz w:val="21"/>
        </w:rPr>
        <w:t>2011</w:t>
      </w:r>
    </w:p>
    <w:p>
      <w:pPr>
        <w:pStyle w:val="BodyText"/>
        <w:spacing w:line="20" w:lineRule="exact"/>
        <w:ind w:left="2326"/>
        <w:rPr>
          <w:sz w:val="2"/>
        </w:rPr>
      </w:pPr>
      <w:r>
        <w:rPr>
          <w:sz w:val="2"/>
        </w:rPr>
        <w:pict>
          <v:group style="width:356.6pt;height:.8pt;mso-position-horizontal-relative:char;mso-position-vertical-relative:line" coordorigin="0,0" coordsize="7132,16">
            <v:shape style="position:absolute;left:8;top:8;width:7116;height:2" coordorigin="8,8" coordsize="7116,0" path="m8,8l8,8,7123,8e" filled="false" stroked="true" strokeweight=".790199pt" strokecolor="#000000">
              <v:path arrowok="t"/>
            </v:shape>
          </v:group>
        </w:pict>
      </w:r>
      <w:r>
        <w:rPr>
          <w:sz w:val="2"/>
        </w:rPr>
      </w:r>
    </w:p>
    <w:p>
      <w:pPr>
        <w:pStyle w:val="BodyText"/>
        <w:rPr>
          <w:b/>
          <w:sz w:val="20"/>
        </w:rPr>
      </w:pPr>
    </w:p>
    <w:p>
      <w:pPr>
        <w:pStyle w:val="BodyText"/>
        <w:spacing w:before="6"/>
        <w:rPr>
          <w:b/>
          <w:sz w:val="23"/>
        </w:rPr>
      </w:pPr>
    </w:p>
    <w:tbl>
      <w:tblPr>
        <w:tblW w:w="0" w:type="auto"/>
        <w:jc w:val="left"/>
        <w:tblInd w:w="23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830"/>
        <w:gridCol w:w="3281"/>
      </w:tblGrid>
      <w:tr>
        <w:trPr>
          <w:trHeight w:val="267" w:hRule="exact"/>
        </w:trPr>
        <w:tc>
          <w:tcPr>
            <w:tcW w:w="7111" w:type="dxa"/>
            <w:gridSpan w:val="2"/>
            <w:tcBorders>
              <w:left w:val="single" w:sz="7" w:space="0" w:color="000000"/>
              <w:right w:val="single" w:sz="7" w:space="0" w:color="000000"/>
            </w:tcBorders>
            <w:shd w:val="clear" w:color="auto" w:fill="E6B8B7"/>
          </w:tcPr>
          <w:p>
            <w:pPr>
              <w:pStyle w:val="TableParagraph"/>
              <w:spacing w:line="241" w:lineRule="exact"/>
              <w:ind w:left="3274" w:right="3254"/>
              <w:jc w:val="center"/>
              <w:rPr>
                <w:b/>
                <w:sz w:val="21"/>
              </w:rPr>
            </w:pPr>
            <w:r>
              <w:rPr>
                <w:b/>
                <w:w w:val="105"/>
                <w:sz w:val="21"/>
              </w:rPr>
              <w:t>FISM</w:t>
            </w:r>
          </w:p>
        </w:tc>
      </w:tr>
      <w:tr>
        <w:trPr>
          <w:trHeight w:val="268" w:hRule="exact"/>
        </w:trPr>
        <w:tc>
          <w:tcPr>
            <w:tcW w:w="3830" w:type="dxa"/>
            <w:tcBorders>
              <w:left w:val="single" w:sz="7" w:space="0" w:color="000000"/>
              <w:right w:val="single" w:sz="7" w:space="0" w:color="000000"/>
            </w:tcBorders>
            <w:shd w:val="clear" w:color="auto" w:fill="F1DCDB"/>
          </w:tcPr>
          <w:p>
            <w:pPr>
              <w:pStyle w:val="TableParagraph"/>
              <w:spacing w:before="1"/>
              <w:ind w:left="1346" w:right="1336"/>
              <w:jc w:val="center"/>
              <w:rPr>
                <w:b/>
                <w:sz w:val="21"/>
              </w:rPr>
            </w:pPr>
            <w:r>
              <w:rPr>
                <w:b/>
                <w:w w:val="105"/>
                <w:sz w:val="21"/>
              </w:rPr>
              <w:t>Fortalezas</w:t>
            </w:r>
          </w:p>
        </w:tc>
        <w:tc>
          <w:tcPr>
            <w:tcW w:w="3281" w:type="dxa"/>
            <w:tcBorders>
              <w:left w:val="single" w:sz="7" w:space="0" w:color="000000"/>
              <w:right w:val="single" w:sz="7" w:space="0" w:color="000000"/>
            </w:tcBorders>
            <w:shd w:val="clear" w:color="auto" w:fill="F1DCDB"/>
          </w:tcPr>
          <w:p>
            <w:pPr>
              <w:pStyle w:val="TableParagraph"/>
              <w:spacing w:before="1"/>
              <w:ind w:left="1021" w:right="30"/>
              <w:rPr>
                <w:b/>
                <w:sz w:val="21"/>
              </w:rPr>
            </w:pPr>
            <w:r>
              <w:rPr>
                <w:b/>
                <w:w w:val="105"/>
                <w:sz w:val="21"/>
              </w:rPr>
              <w:t>Debilidades</w:t>
            </w:r>
          </w:p>
        </w:tc>
      </w:tr>
      <w:tr>
        <w:trPr>
          <w:trHeight w:val="1607" w:hRule="exact"/>
        </w:trPr>
        <w:tc>
          <w:tcPr>
            <w:tcW w:w="3830" w:type="dxa"/>
            <w:tcBorders>
              <w:left w:val="single" w:sz="7" w:space="0" w:color="000000"/>
              <w:right w:val="single" w:sz="7" w:space="0" w:color="000000"/>
            </w:tcBorders>
          </w:tcPr>
          <w:p>
            <w:pPr>
              <w:pStyle w:val="TableParagraph"/>
              <w:spacing w:line="266" w:lineRule="auto"/>
              <w:ind w:left="29" w:firstLine="1"/>
              <w:rPr>
                <w:sz w:val="21"/>
              </w:rPr>
            </w:pPr>
            <w:r>
              <w:rPr>
                <w:w w:val="105"/>
                <w:sz w:val="21"/>
              </w:rPr>
              <w:t>El municipio dispone de los controles necesarios para que las obras contratadas se ejecuten en tiempo; además, de conducir adecuadamente el proceso de participación social.</w:t>
            </w:r>
          </w:p>
        </w:tc>
        <w:tc>
          <w:tcPr>
            <w:tcW w:w="3281" w:type="dxa"/>
            <w:tcBorders>
              <w:left w:val="single" w:sz="7" w:space="0" w:color="000000"/>
              <w:right w:val="single" w:sz="7" w:space="0" w:color="000000"/>
            </w:tcBorders>
          </w:tcPr>
          <w:p>
            <w:pPr>
              <w:pStyle w:val="TableParagraph"/>
              <w:spacing w:line="266" w:lineRule="auto"/>
              <w:ind w:left="30" w:right="30" w:firstLine="1"/>
              <w:rPr>
                <w:sz w:val="21"/>
              </w:rPr>
            </w:pPr>
            <w:r>
              <w:rPr>
                <w:w w:val="105"/>
                <w:sz w:val="21"/>
              </w:rPr>
              <w:t>El municipio no dispone con una adecuada comunicación entre las áreas involucradas en la ejecución, ejercicio y operación del fondo.</w:t>
            </w:r>
          </w:p>
        </w:tc>
      </w:tr>
      <w:tr>
        <w:trPr>
          <w:trHeight w:val="1338" w:hRule="exact"/>
        </w:trPr>
        <w:tc>
          <w:tcPr>
            <w:tcW w:w="3830" w:type="dxa"/>
            <w:tcBorders>
              <w:left w:val="single" w:sz="7" w:space="0" w:color="000000"/>
              <w:right w:val="single" w:sz="7" w:space="0" w:color="000000"/>
            </w:tcBorders>
          </w:tcPr>
          <w:p>
            <w:pPr>
              <w:pStyle w:val="TableParagraph"/>
              <w:spacing w:line="266" w:lineRule="auto"/>
              <w:ind w:left="31"/>
              <w:rPr>
                <w:sz w:val="21"/>
              </w:rPr>
            </w:pPr>
            <w:r>
              <w:rPr>
                <w:w w:val="105"/>
                <w:sz w:val="21"/>
              </w:rPr>
              <w:t>El municipio integró un comité local de desarrollo comunitario que vigila la ejecución de la obra y participa en la entrega recepción de la misma.</w:t>
            </w:r>
          </w:p>
        </w:tc>
        <w:tc>
          <w:tcPr>
            <w:tcW w:w="3281" w:type="dxa"/>
            <w:tcBorders>
              <w:left w:val="single" w:sz="7" w:space="0" w:color="000000"/>
              <w:right w:val="single" w:sz="7" w:space="0" w:color="000000"/>
            </w:tcBorders>
          </w:tcPr>
          <w:p>
            <w:pPr>
              <w:pStyle w:val="TableParagraph"/>
              <w:spacing w:line="266" w:lineRule="auto"/>
              <w:ind w:left="31" w:right="30"/>
              <w:rPr>
                <w:sz w:val="21"/>
              </w:rPr>
            </w:pPr>
            <w:r>
              <w:rPr>
                <w:w w:val="105"/>
                <w:sz w:val="21"/>
              </w:rPr>
              <w:t>Los expedientes técnicos de obra estaban desactualizados.</w:t>
            </w:r>
          </w:p>
        </w:tc>
      </w:tr>
      <w:tr>
        <w:trPr>
          <w:trHeight w:val="1151" w:hRule="exact"/>
        </w:trPr>
        <w:tc>
          <w:tcPr>
            <w:tcW w:w="3830" w:type="dxa"/>
            <w:tcBorders>
              <w:left w:val="single" w:sz="7" w:space="0" w:color="000000"/>
              <w:right w:val="single" w:sz="7" w:space="0" w:color="000000"/>
            </w:tcBorders>
          </w:tcPr>
          <w:p>
            <w:pPr/>
          </w:p>
        </w:tc>
        <w:tc>
          <w:tcPr>
            <w:tcW w:w="3281" w:type="dxa"/>
            <w:tcBorders>
              <w:left w:val="single" w:sz="7" w:space="0" w:color="000000"/>
              <w:right w:val="single" w:sz="7" w:space="0" w:color="000000"/>
            </w:tcBorders>
          </w:tcPr>
          <w:p>
            <w:pPr>
              <w:pStyle w:val="TableParagraph"/>
              <w:spacing w:line="266" w:lineRule="auto"/>
              <w:ind w:left="30" w:firstLine="1"/>
              <w:rPr>
                <w:sz w:val="21"/>
              </w:rPr>
            </w:pPr>
            <w:r>
              <w:rPr>
                <w:w w:val="105"/>
                <w:sz w:val="21"/>
              </w:rPr>
              <w:t>El municipio presentó un subejercicio del 39.2% de los recursos asignado al fondo al 31 de diciembre de 2012.</w:t>
            </w:r>
          </w:p>
        </w:tc>
      </w:tr>
    </w:tbl>
    <w:p>
      <w:pPr>
        <w:spacing w:after="0" w:line="266" w:lineRule="auto"/>
        <w:rPr>
          <w:sz w:val="21"/>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spacing w:before="5"/>
        <w:rPr>
          <w:b/>
          <w:sz w:val="18"/>
        </w:rPr>
      </w:pPr>
    </w:p>
    <w:p>
      <w:pPr>
        <w:spacing w:line="230" w:lineRule="atLeast" w:before="0"/>
        <w:ind w:left="2362" w:right="1515" w:firstLine="0"/>
        <w:jc w:val="left"/>
        <w:rPr>
          <w:sz w:val="20"/>
        </w:rPr>
      </w:pPr>
      <w:r>
        <w:rPr/>
        <w:drawing>
          <wp:anchor distT="0" distB="0" distL="0" distR="0" allowOverlap="1" layoutInCell="1" locked="0" behindDoc="1" simplePos="0" relativeHeight="267759095">
            <wp:simplePos x="0" y="0"/>
            <wp:positionH relativeFrom="page">
              <wp:posOffset>2843783</wp:posOffset>
            </wp:positionH>
            <wp:positionV relativeFrom="paragraph">
              <wp:posOffset>3058</wp:posOffset>
            </wp:positionV>
            <wp:extent cx="4686300" cy="341375"/>
            <wp:effectExtent l="0" t="0" r="0" b="0"/>
            <wp:wrapNone/>
            <wp:docPr id="35" name="image123.png" descr=""/>
            <wp:cNvGraphicFramePr>
              <a:graphicFrameLocks noChangeAspect="1"/>
            </wp:cNvGraphicFramePr>
            <a:graphic>
              <a:graphicData uri="http://schemas.openxmlformats.org/drawingml/2006/picture">
                <pic:pic>
                  <pic:nvPicPr>
                    <pic:cNvPr id="36" name="image123.png"/>
                    <pic:cNvPicPr/>
                  </pic:nvPicPr>
                  <pic:blipFill>
                    <a:blip r:embed="rId176" cstate="print"/>
                    <a:stretch>
                      <a:fillRect/>
                    </a:stretch>
                  </pic:blipFill>
                  <pic:spPr>
                    <a:xfrm>
                      <a:off x="0" y="0"/>
                      <a:ext cx="4686300" cy="341375"/>
                    </a:xfrm>
                    <a:prstGeom prst="rect">
                      <a:avLst/>
                    </a:prstGeom>
                  </pic:spPr>
                </pic:pic>
              </a:graphicData>
            </a:graphic>
          </wp:anchor>
        </w:drawing>
      </w:r>
      <w:r>
        <w:rPr>
          <w:b/>
          <w:sz w:val="20"/>
        </w:rPr>
        <w:t>Fuente</w:t>
      </w:r>
      <w:r>
        <w:rPr>
          <w:sz w:val="20"/>
        </w:rPr>
        <w:t>: Elaboración propia con base en el Informe de Resultados de la Fiscalización Superior de las cuentas públicas 2008-2014</w:t>
      </w:r>
    </w:p>
    <w:p>
      <w:pPr>
        <w:spacing w:line="77" w:lineRule="exact" w:before="0"/>
        <w:ind w:left="227" w:right="0" w:firstLine="0"/>
        <w:jc w:val="center"/>
        <w:rPr>
          <w:b/>
          <w:sz w:val="11"/>
        </w:rPr>
      </w:pPr>
      <w:r>
        <w:rPr>
          <w:b/>
          <w:w w:val="165"/>
          <w:sz w:val="11"/>
        </w:rPr>
        <w:t>Calidad de la Gestion Gubernamental</w:t>
      </w:r>
    </w:p>
    <w:p>
      <w:pPr>
        <w:spacing w:line="271" w:lineRule="auto" w:before="16"/>
        <w:ind w:left="3512" w:right="3282" w:firstLine="0"/>
        <w:jc w:val="center"/>
        <w:rPr>
          <w:b/>
          <w:sz w:val="11"/>
        </w:rPr>
      </w:pPr>
      <w:r>
        <w:rPr>
          <w:b/>
          <w:w w:val="165"/>
          <w:sz w:val="11"/>
        </w:rPr>
        <w:t>Controles internos (Manejo y Aplicación) Nezahualcóyotl Ejercicio Fiscal 2011</w:t>
      </w:r>
    </w:p>
    <w:p>
      <w:pPr>
        <w:pStyle w:val="BodyText"/>
        <w:spacing w:line="20" w:lineRule="exact"/>
        <w:ind w:left="2772"/>
        <w:rPr>
          <w:sz w:val="2"/>
        </w:rPr>
      </w:pPr>
      <w:r>
        <w:rPr>
          <w:sz w:val="2"/>
        </w:rPr>
        <w:pict>
          <v:group style="width:299.650pt;height:.45pt;mso-position-horizontal-relative:char;mso-position-vertical-relative:line" coordorigin="0,0" coordsize="5993,9">
            <v:shape style="position:absolute;left:4;top:4;width:5984;height:2" coordorigin="4,4" coordsize="5984,0" path="m4,4l4,4,5988,5e" filled="false" stroked="true" strokeweight=".421711pt" strokecolor="#000000">
              <v:path arrowok="t"/>
            </v:shape>
          </v:group>
        </w:pict>
      </w:r>
      <w:r>
        <w:rPr>
          <w:sz w:val="2"/>
        </w:rPr>
      </w:r>
    </w:p>
    <w:p>
      <w:pPr>
        <w:pStyle w:val="BodyText"/>
        <w:spacing w:before="10"/>
        <w:rPr>
          <w:b/>
          <w:sz w:val="13"/>
        </w:rPr>
      </w:pPr>
    </w:p>
    <w:p>
      <w:pPr>
        <w:spacing w:after="0"/>
        <w:rPr>
          <w:sz w:val="13"/>
        </w:rPr>
        <w:sectPr>
          <w:footerReference w:type="default" r:id="rId175"/>
          <w:pgSz w:w="15840" w:h="12240" w:orient="landscape"/>
          <w:pgMar w:footer="992" w:header="0" w:top="1140" w:bottom="1180" w:left="2260" w:right="2260"/>
        </w:sectPr>
      </w:pPr>
    </w:p>
    <w:p>
      <w:pPr>
        <w:pStyle w:val="BodyText"/>
        <w:spacing w:before="70"/>
        <w:jc w:val="right"/>
      </w:pPr>
      <w:r>
        <w:rPr/>
        <w:pict>
          <v:shape style="position:absolute;margin-left:251.50853pt;margin-top:4.824869pt;width:300pt;height:333.95pt;mso-position-horizontal-relative:page;mso-position-vertical-relative:paragraph;z-index:6904"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77"/>
                    <w:gridCol w:w="2803"/>
                  </w:tblGrid>
                  <w:tr>
                    <w:trPr>
                      <w:trHeight w:val="142" w:hRule="exact"/>
                    </w:trPr>
                    <w:tc>
                      <w:tcPr>
                        <w:tcW w:w="3177" w:type="dxa"/>
                        <w:tcBorders>
                          <w:left w:val="single" w:sz="5" w:space="0" w:color="000000"/>
                          <w:right w:val="nil"/>
                        </w:tcBorders>
                        <w:shd w:val="clear" w:color="auto" w:fill="E6B8B7"/>
                      </w:tcPr>
                      <w:p>
                        <w:pPr/>
                      </w:p>
                    </w:tc>
                    <w:tc>
                      <w:tcPr>
                        <w:tcW w:w="2803" w:type="dxa"/>
                        <w:tcBorders>
                          <w:left w:val="nil"/>
                          <w:right w:val="single" w:sz="5" w:space="0" w:color="000000"/>
                        </w:tcBorders>
                        <w:shd w:val="clear" w:color="auto" w:fill="E6B8B7"/>
                      </w:tcPr>
                      <w:p>
                        <w:pPr/>
                      </w:p>
                    </w:tc>
                  </w:tr>
                  <w:tr>
                    <w:trPr>
                      <w:trHeight w:val="143" w:hRule="exact"/>
                    </w:trPr>
                    <w:tc>
                      <w:tcPr>
                        <w:tcW w:w="3177" w:type="dxa"/>
                        <w:tcBorders>
                          <w:left w:val="single" w:sz="5" w:space="0" w:color="000000"/>
                          <w:right w:val="single" w:sz="5" w:space="0" w:color="000000"/>
                        </w:tcBorders>
                        <w:shd w:val="clear" w:color="auto" w:fill="F1DCDB"/>
                      </w:tcPr>
                      <w:p>
                        <w:pPr/>
                      </w:p>
                    </w:tc>
                    <w:tc>
                      <w:tcPr>
                        <w:tcW w:w="2803" w:type="dxa"/>
                        <w:tcBorders>
                          <w:left w:val="single" w:sz="5" w:space="0" w:color="000000"/>
                          <w:right w:val="single" w:sz="5" w:space="0" w:color="000000"/>
                        </w:tcBorders>
                        <w:shd w:val="clear" w:color="auto" w:fill="F1DCDB"/>
                      </w:tcPr>
                      <w:p>
                        <w:pPr/>
                      </w:p>
                    </w:tc>
                  </w:tr>
                  <w:tr>
                    <w:trPr>
                      <w:trHeight w:val="1050" w:hRule="exact"/>
                    </w:trPr>
                    <w:tc>
                      <w:tcPr>
                        <w:tcW w:w="3177" w:type="dxa"/>
                        <w:tcBorders>
                          <w:left w:val="single" w:sz="5" w:space="0" w:color="000000"/>
                          <w:right w:val="single" w:sz="5" w:space="0" w:color="000000"/>
                        </w:tcBorders>
                      </w:tcPr>
                      <w:p>
                        <w:pPr>
                          <w:pStyle w:val="TableParagraph"/>
                          <w:spacing w:line="271" w:lineRule="auto" w:before="1"/>
                          <w:ind w:left="24" w:right="1" w:firstLine="1"/>
                          <w:rPr>
                            <w:sz w:val="11"/>
                          </w:rPr>
                        </w:pPr>
                        <w:r>
                          <w:rPr>
                            <w:w w:val="165"/>
                            <w:sz w:val="11"/>
                          </w:rPr>
                          <w:t>Cuenta con mecanismos de control para la correcta integración de los expedientes del personal de seguridad pública.</w:t>
                        </w:r>
                      </w:p>
                    </w:tc>
                    <w:tc>
                      <w:tcPr>
                        <w:tcW w:w="2803" w:type="dxa"/>
                        <w:tcBorders>
                          <w:left w:val="single" w:sz="5" w:space="0" w:color="000000"/>
                          <w:right w:val="single" w:sz="5" w:space="0" w:color="000000"/>
                        </w:tcBorders>
                      </w:tcPr>
                      <w:p>
                        <w:pPr>
                          <w:pStyle w:val="TableParagraph"/>
                          <w:spacing w:line="271" w:lineRule="auto" w:before="1"/>
                          <w:ind w:left="25" w:right="26" w:firstLine="1"/>
                          <w:rPr>
                            <w:sz w:val="11"/>
                          </w:rPr>
                        </w:pPr>
                        <w:r>
                          <w:rPr>
                            <w:w w:val="165"/>
                            <w:sz w:val="11"/>
                          </w:rPr>
                          <w:t>Los manuales de organización y procedimientos que definen las funciones y actividades de los servidores públicos no están publicados</w:t>
                        </w:r>
                        <w:r>
                          <w:rPr>
                            <w:spacing w:val="-11"/>
                            <w:w w:val="165"/>
                            <w:sz w:val="11"/>
                          </w:rPr>
                          <w:t> </w:t>
                        </w:r>
                        <w:r>
                          <w:rPr>
                            <w:w w:val="165"/>
                            <w:sz w:val="11"/>
                          </w:rPr>
                          <w:t>en</w:t>
                        </w:r>
                        <w:r>
                          <w:rPr>
                            <w:spacing w:val="-12"/>
                            <w:w w:val="165"/>
                            <w:sz w:val="11"/>
                          </w:rPr>
                          <w:t> </w:t>
                        </w:r>
                        <w:r>
                          <w:rPr>
                            <w:w w:val="165"/>
                            <w:sz w:val="11"/>
                          </w:rPr>
                          <w:t>la</w:t>
                        </w:r>
                        <w:r>
                          <w:rPr>
                            <w:spacing w:val="-12"/>
                            <w:w w:val="165"/>
                            <w:sz w:val="11"/>
                          </w:rPr>
                          <w:t> </w:t>
                        </w:r>
                        <w:r>
                          <w:rPr>
                            <w:w w:val="165"/>
                            <w:sz w:val="11"/>
                          </w:rPr>
                          <w:t>Gaceta</w:t>
                        </w:r>
                        <w:r>
                          <w:rPr>
                            <w:spacing w:val="-12"/>
                            <w:w w:val="165"/>
                            <w:sz w:val="11"/>
                          </w:rPr>
                          <w:t> </w:t>
                        </w:r>
                        <w:r>
                          <w:rPr>
                            <w:w w:val="165"/>
                            <w:sz w:val="11"/>
                          </w:rPr>
                          <w:t>Municipal de Gobierno; razón por la que no tienen validez</w:t>
                        </w:r>
                        <w:r>
                          <w:rPr>
                            <w:spacing w:val="-34"/>
                            <w:w w:val="165"/>
                            <w:sz w:val="11"/>
                          </w:rPr>
                          <w:t> </w:t>
                        </w:r>
                        <w:r>
                          <w:rPr>
                            <w:w w:val="165"/>
                            <w:sz w:val="11"/>
                          </w:rPr>
                          <w:t>jurídica.</w:t>
                        </w:r>
                      </w:p>
                    </w:tc>
                  </w:tr>
                  <w:tr>
                    <w:trPr>
                      <w:trHeight w:val="1355" w:hRule="exact"/>
                    </w:trPr>
                    <w:tc>
                      <w:tcPr>
                        <w:tcW w:w="3177" w:type="dxa"/>
                        <w:tcBorders>
                          <w:left w:val="single" w:sz="5" w:space="0" w:color="000000"/>
                          <w:right w:val="single" w:sz="5" w:space="0" w:color="000000"/>
                        </w:tcBorders>
                      </w:tcPr>
                      <w:p>
                        <w:pPr>
                          <w:pStyle w:val="TableParagraph"/>
                          <w:spacing w:line="271" w:lineRule="auto" w:before="1"/>
                          <w:ind w:left="25" w:right="42"/>
                          <w:rPr>
                            <w:sz w:val="11"/>
                          </w:rPr>
                        </w:pPr>
                        <w:r>
                          <w:rPr>
                            <w:w w:val="165"/>
                            <w:sz w:val="11"/>
                          </w:rPr>
                          <w:t>Se realizó una correcta planeación para destinar los recursos del fondo, de acuerdo con lo que establece la normativa.</w:t>
                        </w:r>
                      </w:p>
                    </w:tc>
                    <w:tc>
                      <w:tcPr>
                        <w:tcW w:w="2803" w:type="dxa"/>
                        <w:tcBorders>
                          <w:left w:val="single" w:sz="5" w:space="0" w:color="000000"/>
                          <w:right w:val="single" w:sz="5" w:space="0" w:color="000000"/>
                        </w:tcBorders>
                      </w:tcPr>
                      <w:p>
                        <w:pPr>
                          <w:pStyle w:val="TableParagraph"/>
                          <w:spacing w:line="271" w:lineRule="auto" w:before="1"/>
                          <w:ind w:left="25" w:firstLine="1"/>
                          <w:rPr>
                            <w:sz w:val="11"/>
                          </w:rPr>
                        </w:pPr>
                        <w:r>
                          <w:rPr>
                            <w:w w:val="165"/>
                            <w:sz w:val="11"/>
                          </w:rPr>
                          <w:t>No se publicó en la página de internet del municipio la información en el formato único sobre la aplicación de Recursos Federales, sobre el ejercicio, destino y resultados de la aplicación de los recursos del fondo, así como el formato a nivel fondo y avance de indicadores.</w:t>
                        </w:r>
                      </w:p>
                    </w:tc>
                  </w:tr>
                  <w:tr>
                    <w:trPr>
                      <w:trHeight w:val="655" w:hRule="exact"/>
                    </w:trPr>
                    <w:tc>
                      <w:tcPr>
                        <w:tcW w:w="3177" w:type="dxa"/>
                        <w:tcBorders>
                          <w:left w:val="single" w:sz="5" w:space="0" w:color="000000"/>
                          <w:right w:val="single" w:sz="5" w:space="0" w:color="000000"/>
                        </w:tcBorders>
                      </w:tcPr>
                      <w:p>
                        <w:pPr>
                          <w:pStyle w:val="TableParagraph"/>
                          <w:spacing w:line="271" w:lineRule="auto" w:before="1"/>
                          <w:ind w:left="24" w:right="42" w:firstLine="1"/>
                          <w:rPr>
                            <w:sz w:val="11"/>
                          </w:rPr>
                        </w:pPr>
                        <w:r>
                          <w:rPr>
                            <w:w w:val="165"/>
                            <w:sz w:val="11"/>
                          </w:rPr>
                          <w:t>La documentación original comprobatoria del gasto realizado con FORTAMUN-DF 2011, se encuentra cancelada con el sello de “Operado”</w:t>
                        </w:r>
                      </w:p>
                    </w:tc>
                    <w:tc>
                      <w:tcPr>
                        <w:tcW w:w="2803" w:type="dxa"/>
                        <w:tcBorders>
                          <w:left w:val="single" w:sz="5" w:space="0" w:color="000000"/>
                          <w:right w:val="single" w:sz="5" w:space="0" w:color="000000"/>
                        </w:tcBorders>
                      </w:tcPr>
                      <w:p>
                        <w:pPr/>
                      </w:p>
                    </w:tc>
                  </w:tr>
                  <w:tr>
                    <w:trPr>
                      <w:trHeight w:val="521" w:hRule="exact"/>
                    </w:trPr>
                    <w:tc>
                      <w:tcPr>
                        <w:tcW w:w="3177" w:type="dxa"/>
                        <w:tcBorders>
                          <w:left w:val="single" w:sz="5" w:space="0" w:color="000000"/>
                          <w:right w:val="single" w:sz="5" w:space="0" w:color="000000"/>
                        </w:tcBorders>
                      </w:tcPr>
                      <w:p>
                        <w:pPr>
                          <w:pStyle w:val="TableParagraph"/>
                          <w:spacing w:line="271" w:lineRule="auto" w:before="1"/>
                          <w:ind w:left="25" w:right="1"/>
                          <w:rPr>
                            <w:sz w:val="11"/>
                          </w:rPr>
                        </w:pPr>
                        <w:r>
                          <w:rPr>
                            <w:w w:val="165"/>
                            <w:sz w:val="11"/>
                          </w:rPr>
                          <w:t>Se abrió una cuenta bancaria específica</w:t>
                        </w:r>
                        <w:r>
                          <w:rPr>
                            <w:spacing w:val="-11"/>
                            <w:w w:val="165"/>
                            <w:sz w:val="11"/>
                          </w:rPr>
                          <w:t> </w:t>
                        </w:r>
                        <w:r>
                          <w:rPr>
                            <w:w w:val="165"/>
                            <w:sz w:val="11"/>
                          </w:rPr>
                          <w:t>para</w:t>
                        </w:r>
                        <w:r>
                          <w:rPr>
                            <w:spacing w:val="-12"/>
                            <w:w w:val="165"/>
                            <w:sz w:val="11"/>
                          </w:rPr>
                          <w:t> </w:t>
                        </w:r>
                        <w:r>
                          <w:rPr>
                            <w:w w:val="165"/>
                            <w:sz w:val="11"/>
                          </w:rPr>
                          <w:t>recibir</w:t>
                        </w:r>
                        <w:r>
                          <w:rPr>
                            <w:spacing w:val="-13"/>
                            <w:w w:val="165"/>
                            <w:sz w:val="11"/>
                          </w:rPr>
                          <w:t> </w:t>
                        </w:r>
                        <w:r>
                          <w:rPr>
                            <w:w w:val="165"/>
                            <w:sz w:val="11"/>
                          </w:rPr>
                          <w:t>y</w:t>
                        </w:r>
                        <w:r>
                          <w:rPr>
                            <w:spacing w:val="-12"/>
                            <w:w w:val="165"/>
                            <w:sz w:val="11"/>
                          </w:rPr>
                          <w:t> </w:t>
                        </w:r>
                        <w:r>
                          <w:rPr>
                            <w:w w:val="165"/>
                            <w:sz w:val="11"/>
                          </w:rPr>
                          <w:t>administrar</w:t>
                        </w:r>
                        <w:r>
                          <w:rPr>
                            <w:spacing w:val="-13"/>
                            <w:w w:val="165"/>
                            <w:sz w:val="11"/>
                          </w:rPr>
                          <w:t> </w:t>
                        </w:r>
                        <w:r>
                          <w:rPr>
                            <w:w w:val="165"/>
                            <w:sz w:val="11"/>
                          </w:rPr>
                          <w:t>los recursos</w:t>
                        </w:r>
                        <w:r>
                          <w:rPr>
                            <w:spacing w:val="-22"/>
                            <w:w w:val="165"/>
                            <w:sz w:val="11"/>
                          </w:rPr>
                          <w:t> </w:t>
                        </w:r>
                        <w:r>
                          <w:rPr>
                            <w:w w:val="165"/>
                            <w:sz w:val="11"/>
                          </w:rPr>
                          <w:t>del</w:t>
                        </w:r>
                        <w:r>
                          <w:rPr>
                            <w:spacing w:val="-22"/>
                            <w:w w:val="165"/>
                            <w:sz w:val="11"/>
                          </w:rPr>
                          <w:t> </w:t>
                        </w:r>
                        <w:r>
                          <w:rPr>
                            <w:w w:val="165"/>
                            <w:sz w:val="11"/>
                          </w:rPr>
                          <w:t>FORTAMUN-DF</w:t>
                        </w:r>
                        <w:r>
                          <w:rPr>
                            <w:spacing w:val="-22"/>
                            <w:w w:val="165"/>
                            <w:sz w:val="11"/>
                          </w:rPr>
                          <w:t> </w:t>
                        </w:r>
                        <w:r>
                          <w:rPr>
                            <w:spacing w:val="-4"/>
                            <w:w w:val="165"/>
                            <w:sz w:val="11"/>
                          </w:rPr>
                          <w:t>2011</w:t>
                        </w:r>
                      </w:p>
                    </w:tc>
                    <w:tc>
                      <w:tcPr>
                        <w:tcW w:w="2803" w:type="dxa"/>
                        <w:tcBorders>
                          <w:left w:val="single" w:sz="5" w:space="0" w:color="000000"/>
                          <w:right w:val="single" w:sz="5" w:space="0" w:color="000000"/>
                        </w:tcBorders>
                      </w:tcPr>
                      <w:p>
                        <w:pPr/>
                      </w:p>
                    </w:tc>
                  </w:tr>
                  <w:tr>
                    <w:trPr>
                      <w:trHeight w:val="499" w:hRule="exact"/>
                    </w:trPr>
                    <w:tc>
                      <w:tcPr>
                        <w:tcW w:w="3177" w:type="dxa"/>
                        <w:tcBorders>
                          <w:left w:val="single" w:sz="5" w:space="0" w:color="000000"/>
                          <w:right w:val="single" w:sz="5" w:space="0" w:color="000000"/>
                        </w:tcBorders>
                      </w:tcPr>
                      <w:p>
                        <w:pPr>
                          <w:pStyle w:val="TableParagraph"/>
                          <w:spacing w:line="271" w:lineRule="auto" w:before="1"/>
                          <w:ind w:left="25" w:right="21"/>
                          <w:rPr>
                            <w:sz w:val="11"/>
                          </w:rPr>
                        </w:pPr>
                        <w:r>
                          <w:rPr>
                            <w:w w:val="165"/>
                            <w:sz w:val="11"/>
                          </w:rPr>
                          <w:t>Se cuenta con un sistema automatizado para la elaboración de las nóminas y el cálculo de impuestos.</w:t>
                        </w:r>
                      </w:p>
                    </w:tc>
                    <w:tc>
                      <w:tcPr>
                        <w:tcW w:w="2803" w:type="dxa"/>
                        <w:tcBorders>
                          <w:left w:val="single" w:sz="5" w:space="0" w:color="000000"/>
                          <w:right w:val="single" w:sz="5" w:space="0" w:color="000000"/>
                        </w:tcBorders>
                      </w:tcPr>
                      <w:p>
                        <w:pPr/>
                      </w:p>
                    </w:tc>
                  </w:tr>
                  <w:tr>
                    <w:trPr>
                      <w:trHeight w:val="521" w:hRule="exact"/>
                    </w:trPr>
                    <w:tc>
                      <w:tcPr>
                        <w:tcW w:w="3177" w:type="dxa"/>
                        <w:tcBorders>
                          <w:left w:val="single" w:sz="5" w:space="0" w:color="000000"/>
                          <w:right w:val="single" w:sz="5" w:space="0" w:color="000000"/>
                        </w:tcBorders>
                      </w:tcPr>
                      <w:p>
                        <w:pPr>
                          <w:pStyle w:val="TableParagraph"/>
                          <w:spacing w:line="271" w:lineRule="auto" w:before="1"/>
                          <w:ind w:left="28" w:right="1" w:hanging="3"/>
                          <w:rPr>
                            <w:sz w:val="11"/>
                          </w:rPr>
                        </w:pPr>
                        <w:r>
                          <w:rPr>
                            <w:w w:val="165"/>
                            <w:sz w:val="11"/>
                          </w:rPr>
                          <w:t>Existe un programa de seguridad pública que orienta las acciones en esta materia.</w:t>
                        </w:r>
                      </w:p>
                    </w:tc>
                    <w:tc>
                      <w:tcPr>
                        <w:tcW w:w="2803" w:type="dxa"/>
                        <w:tcBorders>
                          <w:left w:val="single" w:sz="5" w:space="0" w:color="000000"/>
                          <w:right w:val="single" w:sz="5" w:space="0" w:color="000000"/>
                        </w:tcBorders>
                      </w:tcPr>
                      <w:p>
                        <w:pPr/>
                      </w:p>
                    </w:tc>
                  </w:tr>
                  <w:tr>
                    <w:trPr>
                      <w:trHeight w:val="927" w:hRule="exact"/>
                    </w:trPr>
                    <w:tc>
                      <w:tcPr>
                        <w:tcW w:w="3177" w:type="dxa"/>
                        <w:tcBorders>
                          <w:left w:val="single" w:sz="5" w:space="0" w:color="000000"/>
                          <w:right w:val="single" w:sz="5" w:space="0" w:color="000000"/>
                        </w:tcBorders>
                      </w:tcPr>
                      <w:p>
                        <w:pPr>
                          <w:pStyle w:val="TableParagraph"/>
                          <w:spacing w:line="271" w:lineRule="auto" w:before="1"/>
                          <w:ind w:left="24" w:right="1" w:firstLine="1"/>
                          <w:rPr>
                            <w:sz w:val="11"/>
                          </w:rPr>
                        </w:pPr>
                        <w:r>
                          <w:rPr>
                            <w:w w:val="165"/>
                            <w:sz w:val="11"/>
                          </w:rPr>
                          <w:t>Se dispone de mecanismos de control para realizar periódicamente conciliaciones de</w:t>
                        </w:r>
                      </w:p>
                      <w:p>
                        <w:pPr>
                          <w:pStyle w:val="TableParagraph"/>
                          <w:spacing w:line="271" w:lineRule="auto"/>
                          <w:ind w:left="25" w:right="42"/>
                          <w:rPr>
                            <w:sz w:val="11"/>
                          </w:rPr>
                        </w:pPr>
                        <w:r>
                          <w:rPr>
                            <w:w w:val="165"/>
                            <w:sz w:val="11"/>
                          </w:rPr>
                          <w:t>los registros contables y presupuestales y las cifras presentadas en la Cuenta Pública.</w:t>
                        </w:r>
                      </w:p>
                    </w:tc>
                    <w:tc>
                      <w:tcPr>
                        <w:tcW w:w="2803" w:type="dxa"/>
                        <w:tcBorders>
                          <w:left w:val="single" w:sz="5" w:space="0" w:color="000000"/>
                          <w:right w:val="single" w:sz="5" w:space="0" w:color="000000"/>
                        </w:tcBorders>
                      </w:tcPr>
                      <w:p>
                        <w:pPr/>
                      </w:p>
                    </w:tc>
                  </w:tr>
                  <w:tr>
                    <w:trPr>
                      <w:trHeight w:val="856" w:hRule="exact"/>
                    </w:trPr>
                    <w:tc>
                      <w:tcPr>
                        <w:tcW w:w="3177" w:type="dxa"/>
                        <w:tcBorders>
                          <w:left w:val="single" w:sz="5" w:space="0" w:color="000000"/>
                          <w:right w:val="single" w:sz="5" w:space="0" w:color="000000"/>
                        </w:tcBorders>
                      </w:tcPr>
                      <w:p>
                        <w:pPr>
                          <w:pStyle w:val="TableParagraph"/>
                          <w:spacing w:line="271" w:lineRule="auto" w:before="1"/>
                          <w:ind w:left="24" w:right="1" w:firstLine="1"/>
                          <w:rPr>
                            <w:sz w:val="11"/>
                          </w:rPr>
                        </w:pPr>
                        <w:r>
                          <w:rPr>
                            <w:w w:val="165"/>
                            <w:sz w:val="11"/>
                          </w:rPr>
                          <w:t>Se tienen controles suficientes para que las operaciones realizadas con el fondo cuenten con la documentación justificativa</w:t>
                        </w:r>
                        <w:r>
                          <w:rPr>
                            <w:spacing w:val="-21"/>
                            <w:w w:val="165"/>
                            <w:sz w:val="11"/>
                          </w:rPr>
                          <w:t> </w:t>
                        </w:r>
                        <w:r>
                          <w:rPr>
                            <w:w w:val="165"/>
                            <w:sz w:val="11"/>
                          </w:rPr>
                          <w:t>y</w:t>
                        </w:r>
                        <w:r>
                          <w:rPr>
                            <w:spacing w:val="-21"/>
                            <w:w w:val="165"/>
                            <w:sz w:val="11"/>
                          </w:rPr>
                          <w:t> </w:t>
                        </w:r>
                        <w:r>
                          <w:rPr>
                            <w:w w:val="165"/>
                            <w:sz w:val="11"/>
                          </w:rPr>
                          <w:t>comprobatoria</w:t>
                        </w:r>
                        <w:r>
                          <w:rPr>
                            <w:spacing w:val="-22"/>
                            <w:w w:val="165"/>
                            <w:sz w:val="11"/>
                          </w:rPr>
                          <w:t> </w:t>
                        </w:r>
                        <w:r>
                          <w:rPr>
                            <w:w w:val="165"/>
                            <w:sz w:val="11"/>
                          </w:rPr>
                          <w:t>respectiva.</w:t>
                        </w:r>
                      </w:p>
                    </w:tc>
                    <w:tc>
                      <w:tcPr>
                        <w:tcW w:w="2803" w:type="dxa"/>
                        <w:tcBorders>
                          <w:left w:val="single" w:sz="5" w:space="0" w:color="000000"/>
                          <w:right w:val="single" w:sz="5" w:space="0" w:color="000000"/>
                        </w:tcBorders>
                      </w:tcPr>
                      <w:p>
                        <w:pPr/>
                      </w:p>
                    </w:tc>
                  </w:tr>
                </w:tbl>
                <w:p>
                  <w:pPr>
                    <w:pStyle w:val="BodyText"/>
                  </w:pPr>
                </w:p>
              </w:txbxContent>
            </v:textbox>
            <w10:wrap type="none"/>
          </v:shape>
        </w:pict>
      </w:r>
      <w:r>
        <w:rPr/>
        <w:t>Anexo 47.</w:t>
      </w:r>
    </w:p>
    <w:p>
      <w:pPr>
        <w:pStyle w:val="BodyText"/>
        <w:rPr>
          <w:sz w:val="10"/>
        </w:rPr>
      </w:pPr>
      <w:r>
        <w:rPr/>
        <w:br w:type="column"/>
      </w:r>
      <w:r>
        <w:rPr>
          <w:sz w:val="10"/>
        </w:rPr>
      </w:r>
    </w:p>
    <w:p>
      <w:pPr>
        <w:pStyle w:val="BodyText"/>
        <w:spacing w:before="8"/>
        <w:rPr>
          <w:sz w:val="11"/>
        </w:rPr>
      </w:pPr>
    </w:p>
    <w:p>
      <w:pPr>
        <w:spacing w:before="0"/>
        <w:ind w:left="446" w:right="-6" w:firstLine="0"/>
        <w:jc w:val="left"/>
        <w:rPr>
          <w:b/>
          <w:sz w:val="11"/>
        </w:rPr>
      </w:pPr>
      <w:r>
        <w:rPr>
          <w:b/>
          <w:w w:val="160"/>
          <w:sz w:val="11"/>
        </w:rPr>
        <w:t>Fortalezas</w:t>
      </w:r>
    </w:p>
    <w:p>
      <w:pPr>
        <w:pStyle w:val="BodyText"/>
        <w:spacing w:before="3"/>
        <w:rPr>
          <w:b/>
          <w:sz w:val="9"/>
        </w:rPr>
      </w:pPr>
      <w:r>
        <w:rPr/>
        <w:br w:type="column"/>
      </w:r>
      <w:r>
        <w:rPr>
          <w:b/>
          <w:sz w:val="9"/>
        </w:rPr>
      </w:r>
    </w:p>
    <w:p>
      <w:pPr>
        <w:spacing w:before="0"/>
        <w:ind w:left="295" w:right="-12" w:firstLine="0"/>
        <w:jc w:val="left"/>
        <w:rPr>
          <w:b/>
          <w:sz w:val="11"/>
        </w:rPr>
      </w:pPr>
      <w:r>
        <w:rPr>
          <w:b/>
          <w:w w:val="160"/>
          <w:sz w:val="11"/>
        </w:rPr>
        <w:t>FORTAMUNDF</w:t>
      </w:r>
    </w:p>
    <w:p>
      <w:pPr>
        <w:pStyle w:val="BodyText"/>
        <w:rPr>
          <w:b/>
          <w:sz w:val="10"/>
        </w:rPr>
      </w:pPr>
      <w:r>
        <w:rPr/>
        <w:br w:type="column"/>
      </w:r>
      <w:r>
        <w:rPr>
          <w:b/>
          <w:sz w:val="10"/>
        </w:rPr>
      </w:r>
    </w:p>
    <w:p>
      <w:pPr>
        <w:pStyle w:val="BodyText"/>
        <w:spacing w:before="8"/>
        <w:rPr>
          <w:b/>
          <w:sz w:val="11"/>
        </w:rPr>
      </w:pPr>
    </w:p>
    <w:p>
      <w:pPr>
        <w:spacing w:before="0"/>
        <w:ind w:left="422" w:right="0" w:firstLine="0"/>
        <w:jc w:val="left"/>
        <w:rPr>
          <w:b/>
          <w:sz w:val="11"/>
        </w:rPr>
      </w:pPr>
      <w:r>
        <w:rPr>
          <w:b/>
          <w:w w:val="165"/>
          <w:sz w:val="11"/>
        </w:rPr>
        <w:t>Debilidades</w:t>
      </w:r>
    </w:p>
    <w:p>
      <w:pPr>
        <w:spacing w:after="0"/>
        <w:jc w:val="left"/>
        <w:rPr>
          <w:sz w:val="11"/>
        </w:rPr>
        <w:sectPr>
          <w:type w:val="continuous"/>
          <w:pgSz w:w="15840" w:h="12240" w:orient="landscape"/>
          <w:pgMar w:top="0" w:bottom="280" w:left="2260" w:right="2260"/>
          <w:cols w:num="4" w:equalWidth="0">
            <w:col w:w="3444" w:space="40"/>
            <w:col w:w="1331" w:space="40"/>
            <w:col w:w="1545" w:space="40"/>
            <w:col w:w="4880"/>
          </w:cols>
        </w:sectPr>
      </w:pPr>
    </w:p>
    <w:p>
      <w:pPr>
        <w:pStyle w:val="BodyText"/>
        <w:rPr>
          <w:b/>
          <w:sz w:val="20"/>
        </w:rPr>
      </w:pPr>
    </w:p>
    <w:p>
      <w:pPr>
        <w:pStyle w:val="BodyText"/>
        <w:rPr>
          <w:b/>
          <w:sz w:val="20"/>
        </w:rPr>
      </w:pPr>
    </w:p>
    <w:p>
      <w:pPr>
        <w:pStyle w:val="BodyText"/>
        <w:rPr>
          <w:b/>
          <w:sz w:val="18"/>
        </w:rPr>
      </w:pPr>
    </w:p>
    <w:p>
      <w:pPr>
        <w:pStyle w:val="BodyText"/>
        <w:ind w:left="2758"/>
        <w:rPr>
          <w:sz w:val="20"/>
        </w:rPr>
      </w:pPr>
      <w:r>
        <w:rPr>
          <w:sz w:val="20"/>
        </w:rPr>
        <w:pict>
          <v:group style="width:306pt;height:36pt;mso-position-horizontal-relative:char;mso-position-vertical-relative:line" coordorigin="0,0" coordsize="6120,720">
            <v:shape style="position:absolute;left:0;top:0;width:6120;height:720" type="#_x0000_t75" stroked="false">
              <v:imagedata r:id="rId178" o:title=""/>
            </v:shape>
            <v:shape style="position:absolute;left:0;top:0;width:6120;height:720" type="#_x0000_t202" filled="false" stroked="false">
              <v:textbox inset="0,0,0,0">
                <w:txbxContent>
                  <w:p>
                    <w:pPr>
                      <w:spacing w:line="240" w:lineRule="auto" w:before="0"/>
                      <w:ind w:left="144" w:right="0"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v:group>
        </w:pict>
      </w:r>
      <w:r>
        <w:rPr>
          <w:sz w:val="20"/>
        </w:rPr>
      </w:r>
    </w:p>
    <w:p>
      <w:pPr>
        <w:pStyle w:val="BodyText"/>
        <w:spacing w:before="9"/>
        <w:rPr>
          <w:b/>
          <w:sz w:val="12"/>
        </w:rPr>
      </w:pPr>
    </w:p>
    <w:p>
      <w:pPr>
        <w:spacing w:after="0"/>
        <w:rPr>
          <w:sz w:val="12"/>
        </w:rPr>
        <w:sectPr>
          <w:footerReference w:type="default" r:id="rId177"/>
          <w:pgSz w:w="15840" w:h="12240" w:orient="landscape"/>
          <w:pgMar w:footer="992" w:header="0" w:top="1140" w:bottom="1180" w:left="2260" w:right="2260"/>
          <w:pgNumType w:start="251"/>
        </w:sectPr>
      </w:pPr>
    </w:p>
    <w:p>
      <w:pPr>
        <w:pStyle w:val="BodyText"/>
        <w:spacing w:before="69"/>
        <w:jc w:val="right"/>
      </w:pPr>
      <w:r>
        <w:rPr/>
        <w:t>Anexo 48.</w:t>
      </w:r>
    </w:p>
    <w:p>
      <w:pPr>
        <w:pStyle w:val="BodyText"/>
        <w:spacing w:before="5"/>
        <w:rPr>
          <w:sz w:val="14"/>
        </w:rPr>
      </w:pPr>
      <w:r>
        <w:rPr/>
        <w:br w:type="column"/>
      </w:r>
      <w:r>
        <w:rPr>
          <w:sz w:val="14"/>
        </w:rPr>
      </w:r>
    </w:p>
    <w:p>
      <w:pPr>
        <w:spacing w:line="271" w:lineRule="auto" w:before="0"/>
        <w:ind w:left="143" w:right="3883" w:firstLine="2"/>
        <w:jc w:val="center"/>
        <w:rPr>
          <w:b/>
          <w:sz w:val="12"/>
        </w:rPr>
      </w:pPr>
      <w:r>
        <w:rPr>
          <w:b/>
          <w:w w:val="155"/>
          <w:sz w:val="12"/>
        </w:rPr>
        <w:t>Calidad de la Gestion Gubernamental Controles</w:t>
      </w:r>
      <w:r>
        <w:rPr>
          <w:b/>
          <w:spacing w:val="-14"/>
          <w:w w:val="155"/>
          <w:sz w:val="12"/>
        </w:rPr>
        <w:t> </w:t>
      </w:r>
      <w:r>
        <w:rPr>
          <w:b/>
          <w:w w:val="155"/>
          <w:sz w:val="12"/>
        </w:rPr>
        <w:t>internos</w:t>
      </w:r>
      <w:r>
        <w:rPr>
          <w:b/>
          <w:spacing w:val="-15"/>
          <w:w w:val="155"/>
          <w:sz w:val="12"/>
        </w:rPr>
        <w:t> </w:t>
      </w:r>
      <w:r>
        <w:rPr>
          <w:b/>
          <w:w w:val="155"/>
          <w:sz w:val="12"/>
        </w:rPr>
        <w:t>(Manejo</w:t>
      </w:r>
      <w:r>
        <w:rPr>
          <w:b/>
          <w:spacing w:val="-15"/>
          <w:w w:val="155"/>
          <w:sz w:val="12"/>
        </w:rPr>
        <w:t> </w:t>
      </w:r>
      <w:r>
        <w:rPr>
          <w:b/>
          <w:w w:val="155"/>
          <w:sz w:val="12"/>
        </w:rPr>
        <w:t>y</w:t>
      </w:r>
      <w:r>
        <w:rPr>
          <w:b/>
          <w:spacing w:val="-20"/>
          <w:w w:val="155"/>
          <w:sz w:val="12"/>
        </w:rPr>
        <w:t> </w:t>
      </w:r>
      <w:r>
        <w:rPr>
          <w:b/>
          <w:w w:val="155"/>
          <w:sz w:val="12"/>
        </w:rPr>
        <w:t>Aplicación) Ixtlahuaca</w:t>
      </w:r>
      <w:r>
        <w:rPr>
          <w:b/>
          <w:spacing w:val="-15"/>
          <w:w w:val="155"/>
          <w:sz w:val="12"/>
        </w:rPr>
        <w:t> </w:t>
      </w:r>
      <w:r>
        <w:rPr>
          <w:b/>
          <w:w w:val="155"/>
          <w:sz w:val="12"/>
        </w:rPr>
        <w:t>Ejercicio</w:t>
      </w:r>
      <w:r>
        <w:rPr>
          <w:b/>
          <w:spacing w:val="-14"/>
          <w:w w:val="155"/>
          <w:sz w:val="12"/>
        </w:rPr>
        <w:t> </w:t>
      </w:r>
      <w:r>
        <w:rPr>
          <w:b/>
          <w:w w:val="155"/>
          <w:sz w:val="12"/>
        </w:rPr>
        <w:t>Fiscal</w:t>
      </w:r>
      <w:r>
        <w:rPr>
          <w:b/>
          <w:spacing w:val="-15"/>
          <w:w w:val="155"/>
          <w:sz w:val="12"/>
        </w:rPr>
        <w:t> </w:t>
      </w:r>
      <w:r>
        <w:rPr>
          <w:b/>
          <w:spacing w:val="-3"/>
          <w:w w:val="155"/>
          <w:sz w:val="12"/>
        </w:rPr>
        <w:t>2011</w:t>
      </w:r>
    </w:p>
    <w:p>
      <w:pPr>
        <w:spacing w:after="0" w:line="271" w:lineRule="auto"/>
        <w:jc w:val="center"/>
        <w:rPr>
          <w:sz w:val="12"/>
        </w:rPr>
        <w:sectPr>
          <w:type w:val="continuous"/>
          <w:pgSz w:w="15840" w:h="12240" w:orient="landscape"/>
          <w:pgMar w:top="0" w:bottom="280" w:left="2260" w:right="2260"/>
          <w:cols w:num="2" w:equalWidth="0">
            <w:col w:w="3684" w:space="40"/>
            <w:col w:w="7596"/>
          </w:cols>
        </w:sectPr>
      </w:pPr>
    </w:p>
    <w:p>
      <w:pPr>
        <w:pStyle w:val="BodyText"/>
        <w:spacing w:line="20" w:lineRule="exact"/>
        <w:ind w:left="2666"/>
        <w:rPr>
          <w:sz w:val="2"/>
        </w:rPr>
      </w:pPr>
      <w:r>
        <w:rPr>
          <w:sz w:val="2"/>
        </w:rPr>
        <w:pict>
          <v:group style="width:297.850pt;height:.5pt;mso-position-horizontal-relative:char;mso-position-vertical-relative:line" coordorigin="0,0" coordsize="5957,10">
            <v:shape style="position:absolute;left:5;top:5;width:5947;height:2" coordorigin="5,5" coordsize="5947,0" path="m5,5l5,5,5951,5e" filled="false" stroked="true" strokeweight=".460105pt" strokecolor="#000000">
              <v:path arrowok="t"/>
            </v:shape>
          </v:group>
        </w:pict>
      </w:r>
      <w:r>
        <w:rPr>
          <w:sz w:val="2"/>
        </w:rPr>
      </w:r>
    </w:p>
    <w:p>
      <w:pPr>
        <w:pStyle w:val="BodyText"/>
        <w:spacing w:before="5"/>
        <w:rPr>
          <w:b/>
        </w:rPr>
      </w:pPr>
    </w:p>
    <w:tbl>
      <w:tblPr>
        <w:tblW w:w="0" w:type="auto"/>
        <w:jc w:val="left"/>
        <w:tblInd w:w="26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1"/>
        <w:gridCol w:w="2742"/>
      </w:tblGrid>
      <w:tr>
        <w:trPr>
          <w:trHeight w:val="155" w:hRule="exact"/>
        </w:trPr>
        <w:tc>
          <w:tcPr>
            <w:tcW w:w="5943" w:type="dxa"/>
            <w:gridSpan w:val="2"/>
            <w:tcBorders>
              <w:left w:val="single" w:sz="5" w:space="0" w:color="000000"/>
              <w:right w:val="single" w:sz="5" w:space="0" w:color="000000"/>
            </w:tcBorders>
            <w:shd w:val="clear" w:color="auto" w:fill="E6B8B7"/>
          </w:tcPr>
          <w:p>
            <w:pPr>
              <w:pStyle w:val="TableParagraph"/>
              <w:spacing w:before="2"/>
              <w:ind w:left="2730" w:right="2713"/>
              <w:jc w:val="center"/>
              <w:rPr>
                <w:b/>
                <w:sz w:val="12"/>
              </w:rPr>
            </w:pPr>
            <w:r>
              <w:rPr>
                <w:b/>
                <w:w w:val="155"/>
                <w:sz w:val="12"/>
              </w:rPr>
              <w:t>FISM</w:t>
            </w:r>
          </w:p>
        </w:tc>
      </w:tr>
      <w:tr>
        <w:trPr>
          <w:trHeight w:val="156" w:hRule="exact"/>
        </w:trPr>
        <w:tc>
          <w:tcPr>
            <w:tcW w:w="3201" w:type="dxa"/>
            <w:tcBorders>
              <w:left w:val="single" w:sz="5" w:space="0" w:color="000000"/>
              <w:right w:val="single" w:sz="5" w:space="0" w:color="000000"/>
            </w:tcBorders>
            <w:shd w:val="clear" w:color="auto" w:fill="F1DCDB"/>
          </w:tcPr>
          <w:p>
            <w:pPr>
              <w:pStyle w:val="TableParagraph"/>
              <w:spacing w:before="2"/>
              <w:ind w:left="1118" w:right="1109"/>
              <w:jc w:val="center"/>
              <w:rPr>
                <w:b/>
                <w:sz w:val="12"/>
              </w:rPr>
            </w:pPr>
            <w:r>
              <w:rPr>
                <w:b/>
                <w:w w:val="155"/>
                <w:sz w:val="12"/>
              </w:rPr>
              <w:t>Fortalezas</w:t>
            </w:r>
          </w:p>
        </w:tc>
        <w:tc>
          <w:tcPr>
            <w:tcW w:w="2742" w:type="dxa"/>
            <w:tcBorders>
              <w:left w:val="single" w:sz="5" w:space="0" w:color="000000"/>
              <w:right w:val="single" w:sz="5" w:space="0" w:color="000000"/>
            </w:tcBorders>
            <w:shd w:val="clear" w:color="auto" w:fill="F1DCDB"/>
          </w:tcPr>
          <w:p>
            <w:pPr>
              <w:pStyle w:val="TableParagraph"/>
              <w:spacing w:before="2"/>
              <w:ind w:left="853"/>
              <w:rPr>
                <w:b/>
                <w:sz w:val="12"/>
              </w:rPr>
            </w:pPr>
            <w:r>
              <w:rPr>
                <w:b/>
                <w:w w:val="155"/>
                <w:sz w:val="12"/>
              </w:rPr>
              <w:t>Debilidades</w:t>
            </w:r>
          </w:p>
        </w:tc>
      </w:tr>
      <w:tr>
        <w:trPr>
          <w:trHeight w:val="2025" w:hRule="exact"/>
        </w:trPr>
        <w:tc>
          <w:tcPr>
            <w:tcW w:w="3201" w:type="dxa"/>
            <w:tcBorders>
              <w:left w:val="single" w:sz="5" w:space="0" w:color="000000"/>
              <w:right w:val="single" w:sz="5" w:space="0" w:color="000000"/>
            </w:tcBorders>
          </w:tcPr>
          <w:p>
            <w:pPr>
              <w:pStyle w:val="TableParagraph"/>
              <w:spacing w:line="271" w:lineRule="auto" w:before="1"/>
              <w:ind w:left="25" w:right="10" w:firstLine="1"/>
              <w:rPr>
                <w:sz w:val="12"/>
              </w:rPr>
            </w:pPr>
            <w:r>
              <w:rPr>
                <w:w w:val="155"/>
                <w:sz w:val="12"/>
              </w:rPr>
              <w:t>El municipio tiene controles para que las obras contratadas se ejecuten en el tiempo programado, el periodo de ejecución es razonable, 90 días en promedio. El municipio tiene identificado adecuadamente los recursos del fondo, mediante, los auxiliares contables presentan los elementos mínimos requeridos; asimismo,</w:t>
            </w:r>
            <w:r>
              <w:rPr>
                <w:spacing w:val="-10"/>
                <w:w w:val="155"/>
                <w:sz w:val="12"/>
              </w:rPr>
              <w:t> </w:t>
            </w:r>
            <w:r>
              <w:rPr>
                <w:w w:val="155"/>
                <w:sz w:val="12"/>
              </w:rPr>
              <w:t>los</w:t>
            </w:r>
            <w:r>
              <w:rPr>
                <w:spacing w:val="-11"/>
                <w:w w:val="155"/>
                <w:sz w:val="12"/>
              </w:rPr>
              <w:t> </w:t>
            </w:r>
            <w:r>
              <w:rPr>
                <w:w w:val="155"/>
                <w:sz w:val="12"/>
              </w:rPr>
              <w:t>bienes</w:t>
            </w:r>
            <w:r>
              <w:rPr>
                <w:spacing w:val="-11"/>
                <w:w w:val="155"/>
                <w:sz w:val="12"/>
              </w:rPr>
              <w:t> </w:t>
            </w:r>
            <w:r>
              <w:rPr>
                <w:w w:val="155"/>
                <w:sz w:val="12"/>
              </w:rPr>
              <w:t>adquiridos</w:t>
            </w:r>
            <w:r>
              <w:rPr>
                <w:spacing w:val="-9"/>
                <w:w w:val="155"/>
                <w:sz w:val="12"/>
              </w:rPr>
              <w:t> </w:t>
            </w:r>
            <w:r>
              <w:rPr>
                <w:w w:val="155"/>
                <w:sz w:val="12"/>
              </w:rPr>
              <w:t>con</w:t>
            </w:r>
            <w:r>
              <w:rPr>
                <w:spacing w:val="-11"/>
                <w:w w:val="155"/>
                <w:sz w:val="12"/>
              </w:rPr>
              <w:t> </w:t>
            </w:r>
            <w:r>
              <w:rPr>
                <w:w w:val="155"/>
                <w:sz w:val="12"/>
              </w:rPr>
              <w:t>el fondo fueron registrados en el activo fijo y en el</w:t>
            </w:r>
            <w:r>
              <w:rPr>
                <w:spacing w:val="-33"/>
                <w:w w:val="155"/>
                <w:sz w:val="12"/>
              </w:rPr>
              <w:t> </w:t>
            </w:r>
            <w:r>
              <w:rPr>
                <w:w w:val="155"/>
                <w:sz w:val="12"/>
              </w:rPr>
              <w:t>patrimonio.</w:t>
            </w:r>
          </w:p>
        </w:tc>
        <w:tc>
          <w:tcPr>
            <w:tcW w:w="2742" w:type="dxa"/>
            <w:tcBorders>
              <w:left w:val="single" w:sz="5" w:space="0" w:color="000000"/>
              <w:right w:val="single" w:sz="5" w:space="0" w:color="000000"/>
            </w:tcBorders>
          </w:tcPr>
          <w:p>
            <w:pPr>
              <w:pStyle w:val="TableParagraph"/>
              <w:spacing w:line="271" w:lineRule="auto" w:before="1"/>
              <w:ind w:left="26"/>
              <w:rPr>
                <w:sz w:val="12"/>
              </w:rPr>
            </w:pPr>
            <w:r>
              <w:rPr>
                <w:w w:val="155"/>
                <w:sz w:val="12"/>
              </w:rPr>
              <w:t>El personal que interviene en la operación del fondo dentro del municipio cambia cada administración.</w:t>
            </w:r>
          </w:p>
        </w:tc>
      </w:tr>
      <w:tr>
        <w:trPr>
          <w:trHeight w:val="935" w:hRule="exact"/>
        </w:trPr>
        <w:tc>
          <w:tcPr>
            <w:tcW w:w="3201" w:type="dxa"/>
            <w:tcBorders>
              <w:left w:val="single" w:sz="5" w:space="0" w:color="000000"/>
              <w:right w:val="single" w:sz="5" w:space="0" w:color="000000"/>
            </w:tcBorders>
          </w:tcPr>
          <w:p>
            <w:pPr>
              <w:pStyle w:val="TableParagraph"/>
              <w:spacing w:line="271" w:lineRule="auto" w:before="2"/>
              <w:ind w:left="25" w:right="10" w:firstLine="1"/>
              <w:rPr>
                <w:sz w:val="12"/>
              </w:rPr>
            </w:pPr>
            <w:r>
              <w:rPr>
                <w:w w:val="155"/>
                <w:sz w:val="12"/>
              </w:rPr>
              <w:t>El municipio tiene los mecanismos necesarios para que el monto reportado como ejercido coincida con lo informado en la Cuenta Pública municipal.</w:t>
            </w:r>
          </w:p>
        </w:tc>
        <w:tc>
          <w:tcPr>
            <w:tcW w:w="2742" w:type="dxa"/>
            <w:tcBorders>
              <w:left w:val="single" w:sz="5" w:space="0" w:color="000000"/>
              <w:right w:val="single" w:sz="5" w:space="0" w:color="000000"/>
            </w:tcBorders>
          </w:tcPr>
          <w:p>
            <w:pPr>
              <w:pStyle w:val="TableParagraph"/>
              <w:spacing w:line="271" w:lineRule="auto" w:before="2"/>
              <w:ind w:left="26"/>
              <w:rPr>
                <w:sz w:val="12"/>
              </w:rPr>
            </w:pPr>
            <w:r>
              <w:rPr>
                <w:w w:val="155"/>
                <w:sz w:val="12"/>
              </w:rPr>
              <w:t>El municipio presentó un subejercicio del 41.3% de los recursos asignados al fondo al 31 de diciembre de 2011.</w:t>
            </w:r>
          </w:p>
        </w:tc>
      </w:tr>
      <w:tr>
        <w:trPr>
          <w:trHeight w:val="2250" w:hRule="exact"/>
        </w:trPr>
        <w:tc>
          <w:tcPr>
            <w:tcW w:w="3201" w:type="dxa"/>
            <w:tcBorders>
              <w:left w:val="single" w:sz="5" w:space="0" w:color="000000"/>
              <w:right w:val="single" w:sz="5" w:space="0" w:color="000000"/>
            </w:tcBorders>
          </w:tcPr>
          <w:p>
            <w:pPr>
              <w:pStyle w:val="TableParagraph"/>
              <w:spacing w:line="271" w:lineRule="auto" w:before="2"/>
              <w:ind w:left="25" w:right="23" w:firstLine="1"/>
              <w:rPr>
                <w:sz w:val="12"/>
              </w:rPr>
            </w:pPr>
            <w:r>
              <w:rPr>
                <w:w w:val="155"/>
                <w:sz w:val="12"/>
              </w:rPr>
              <w:t>El municipio dispone de controles para conducir el proceso de participación social, cada comunidad decide en asambleas las obras, por proponer y elige a los comisarios y delegados que los representan en el Consejo de Desarrollo Municipal (CODEMUN), órgano en el que se realiza la programación y el seguimiento del fondo; en la mayoría de</w:t>
            </w:r>
            <w:r>
              <w:rPr>
                <w:spacing w:val="-8"/>
                <w:w w:val="155"/>
                <w:sz w:val="12"/>
              </w:rPr>
              <w:t> </w:t>
            </w:r>
            <w:r>
              <w:rPr>
                <w:w w:val="155"/>
                <w:sz w:val="12"/>
              </w:rPr>
              <w:t>las</w:t>
            </w:r>
            <w:r>
              <w:rPr>
                <w:spacing w:val="-9"/>
                <w:w w:val="155"/>
                <w:sz w:val="12"/>
              </w:rPr>
              <w:t> </w:t>
            </w:r>
            <w:r>
              <w:rPr>
                <w:w w:val="155"/>
                <w:sz w:val="12"/>
              </w:rPr>
              <w:t>obras</w:t>
            </w:r>
            <w:r>
              <w:rPr>
                <w:spacing w:val="-9"/>
                <w:w w:val="155"/>
                <w:sz w:val="12"/>
              </w:rPr>
              <w:t> </w:t>
            </w:r>
            <w:r>
              <w:rPr>
                <w:w w:val="155"/>
                <w:sz w:val="12"/>
              </w:rPr>
              <w:t>se</w:t>
            </w:r>
            <w:r>
              <w:rPr>
                <w:spacing w:val="-6"/>
                <w:w w:val="155"/>
                <w:sz w:val="12"/>
              </w:rPr>
              <w:t> </w:t>
            </w:r>
            <w:r>
              <w:rPr>
                <w:w w:val="155"/>
                <w:sz w:val="12"/>
              </w:rPr>
              <w:t>integró</w:t>
            </w:r>
            <w:r>
              <w:rPr>
                <w:spacing w:val="-8"/>
                <w:w w:val="155"/>
                <w:sz w:val="12"/>
              </w:rPr>
              <w:t> </w:t>
            </w:r>
            <w:r>
              <w:rPr>
                <w:w w:val="155"/>
                <w:sz w:val="12"/>
              </w:rPr>
              <w:t>un</w:t>
            </w:r>
            <w:r>
              <w:rPr>
                <w:spacing w:val="-7"/>
                <w:w w:val="155"/>
                <w:sz w:val="12"/>
              </w:rPr>
              <w:t> </w:t>
            </w:r>
            <w:r>
              <w:rPr>
                <w:w w:val="155"/>
                <w:sz w:val="12"/>
              </w:rPr>
              <w:t>comité</w:t>
            </w:r>
            <w:r>
              <w:rPr>
                <w:spacing w:val="-8"/>
                <w:w w:val="155"/>
                <w:sz w:val="12"/>
              </w:rPr>
              <w:t> </w:t>
            </w:r>
            <w:r>
              <w:rPr>
                <w:w w:val="155"/>
                <w:sz w:val="12"/>
              </w:rPr>
              <w:t>local de desarrollo comunitario que vigila la ejecución de la obra y participó en su entrega-recepción.</w:t>
            </w:r>
          </w:p>
        </w:tc>
        <w:tc>
          <w:tcPr>
            <w:tcW w:w="2742" w:type="dxa"/>
            <w:tcBorders>
              <w:left w:val="single" w:sz="5" w:space="0" w:color="000000"/>
              <w:right w:val="single" w:sz="5" w:space="0" w:color="000000"/>
            </w:tcBorders>
          </w:tcPr>
          <w:p>
            <w:pPr/>
          </w:p>
        </w:tc>
      </w:tr>
    </w:tbl>
    <w:p>
      <w:pPr>
        <w:pStyle w:val="BodyText"/>
        <w:rPr>
          <w:b/>
          <w:sz w:val="20"/>
        </w:rPr>
      </w:pPr>
    </w:p>
    <w:p>
      <w:pPr>
        <w:pStyle w:val="BodyText"/>
        <w:spacing w:before="11"/>
        <w:rPr>
          <w:b/>
          <w:sz w:val="11"/>
        </w:rPr>
      </w:pPr>
      <w:r>
        <w:rPr/>
        <w:pict>
          <v:group style="position:absolute;margin-left:241.919998pt;margin-top:8.841518pt;width:294pt;height:37.950pt;mso-position-horizontal-relative:page;mso-position-vertical-relative:paragraph;z-index:7024;mso-wrap-distance-left:0;mso-wrap-distance-right:0" coordorigin="4838,177" coordsize="5880,759">
            <v:shape style="position:absolute;left:4838;top:177;width:5880;height:758" type="#_x0000_t75" stroked="false">
              <v:imagedata r:id="rId179" o:title=""/>
            </v:shape>
            <v:shape style="position:absolute;left:4838;top:177;width:5880;height:759" type="#_x0000_t202" filled="false" stroked="false">
              <v:textbox inset="0,0,0,0">
                <w:txbxContent>
                  <w:p>
                    <w:pPr>
                      <w:spacing w:line="242" w:lineRule="auto" w:before="0"/>
                      <w:ind w:left="144" w:right="145" w:firstLine="0"/>
                      <w:jc w:val="both"/>
                      <w:rPr>
                        <w:sz w:val="20"/>
                      </w:rPr>
                    </w:pPr>
                    <w:r>
                      <w:rPr>
                        <w:b/>
                        <w:sz w:val="20"/>
                      </w:rPr>
                      <w:t>Fuente</w:t>
                    </w:r>
                    <w:r>
                      <w:rPr>
                        <w:sz w:val="20"/>
                      </w:rPr>
                      <w:t>: Elaboración propia con base en el Informe de Resultados</w:t>
                    </w:r>
                    <w:r>
                      <w:rPr>
                        <w:spacing w:val="-8"/>
                        <w:sz w:val="20"/>
                      </w:rPr>
                      <w:t> </w:t>
                    </w:r>
                    <w:r>
                      <w:rPr>
                        <w:sz w:val="20"/>
                      </w:rPr>
                      <w:t>de</w:t>
                    </w:r>
                    <w:r>
                      <w:rPr>
                        <w:spacing w:val="-7"/>
                        <w:sz w:val="20"/>
                      </w:rPr>
                      <w:t> </w:t>
                    </w:r>
                    <w:r>
                      <w:rPr>
                        <w:sz w:val="20"/>
                      </w:rPr>
                      <w:t>la</w:t>
                    </w:r>
                    <w:r>
                      <w:rPr>
                        <w:spacing w:val="-9"/>
                        <w:sz w:val="20"/>
                      </w:rPr>
                      <w:t> </w:t>
                    </w:r>
                    <w:r>
                      <w:rPr>
                        <w:sz w:val="20"/>
                      </w:rPr>
                      <w:t>Fiscalización</w:t>
                    </w:r>
                    <w:r>
                      <w:rPr>
                        <w:spacing w:val="-9"/>
                        <w:sz w:val="20"/>
                      </w:rPr>
                      <w:t> </w:t>
                    </w:r>
                    <w:r>
                      <w:rPr>
                        <w:sz w:val="20"/>
                      </w:rPr>
                      <w:t>Superior</w:t>
                    </w:r>
                    <w:r>
                      <w:rPr>
                        <w:spacing w:val="-8"/>
                        <w:sz w:val="20"/>
                      </w:rPr>
                      <w:t> </w:t>
                    </w:r>
                    <w:r>
                      <w:rPr>
                        <w:sz w:val="20"/>
                      </w:rPr>
                      <w:t>de</w:t>
                    </w:r>
                    <w:r>
                      <w:rPr>
                        <w:spacing w:val="-9"/>
                        <w:sz w:val="20"/>
                      </w:rPr>
                      <w:t> </w:t>
                    </w:r>
                    <w:r>
                      <w:rPr>
                        <w:sz w:val="20"/>
                      </w:rPr>
                      <w:t>las</w:t>
                    </w:r>
                    <w:r>
                      <w:rPr>
                        <w:spacing w:val="-8"/>
                        <w:sz w:val="20"/>
                      </w:rPr>
                      <w:t> </w:t>
                    </w:r>
                    <w:r>
                      <w:rPr>
                        <w:sz w:val="20"/>
                      </w:rPr>
                      <w:t>cuentas</w:t>
                    </w:r>
                    <w:r>
                      <w:rPr>
                        <w:spacing w:val="-8"/>
                        <w:sz w:val="20"/>
                      </w:rPr>
                      <w:t> </w:t>
                    </w:r>
                    <w:r>
                      <w:rPr>
                        <w:sz w:val="20"/>
                      </w:rPr>
                      <w:t>públicas 2008-2014</w:t>
                    </w:r>
                  </w:p>
                </w:txbxContent>
              </v:textbox>
              <w10:wrap type="none"/>
            </v:shape>
            <w10:wrap type="topAndBottom"/>
          </v:group>
        </w:pict>
      </w:r>
    </w:p>
    <w:p>
      <w:pPr>
        <w:spacing w:after="0"/>
        <w:rPr>
          <w:sz w:val="11"/>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pgSz w:w="15840" w:h="12240" w:orient="landscape"/>
          <w:pgMar w:header="0" w:footer="992" w:top="1140" w:bottom="1180" w:left="2260" w:right="2260"/>
        </w:sectPr>
      </w:pPr>
    </w:p>
    <w:p>
      <w:pPr>
        <w:pStyle w:val="BodyText"/>
        <w:spacing w:before="2"/>
        <w:rPr>
          <w:b/>
          <w:sz w:val="21"/>
        </w:rPr>
      </w:pPr>
    </w:p>
    <w:p>
      <w:pPr>
        <w:pStyle w:val="BodyText"/>
        <w:jc w:val="right"/>
      </w:pPr>
      <w:r>
        <w:rPr/>
        <w:t>Anexo 49.</w:t>
      </w:r>
    </w:p>
    <w:p>
      <w:pPr>
        <w:pStyle w:val="BodyText"/>
        <w:rPr>
          <w:sz w:val="16"/>
        </w:rPr>
      </w:pPr>
      <w:r>
        <w:rPr/>
        <w:br w:type="column"/>
      </w:r>
      <w:r>
        <w:rPr>
          <w:sz w:val="16"/>
        </w:rPr>
      </w:r>
    </w:p>
    <w:p>
      <w:pPr>
        <w:pStyle w:val="BodyText"/>
        <w:rPr>
          <w:sz w:val="16"/>
        </w:rPr>
      </w:pPr>
    </w:p>
    <w:p>
      <w:pPr>
        <w:spacing w:line="271" w:lineRule="auto" w:before="128"/>
        <w:ind w:left="181" w:right="4080" w:firstLine="4"/>
        <w:jc w:val="center"/>
        <w:rPr>
          <w:b/>
          <w:sz w:val="15"/>
        </w:rPr>
      </w:pPr>
      <w:r>
        <w:rPr>
          <w:b/>
          <w:w w:val="105"/>
          <w:sz w:val="15"/>
        </w:rPr>
        <w:t>Calidad de la Gestion Gubernamental Controles</w:t>
      </w:r>
      <w:r>
        <w:rPr>
          <w:b/>
          <w:spacing w:val="-14"/>
          <w:w w:val="105"/>
          <w:sz w:val="15"/>
        </w:rPr>
        <w:t> </w:t>
      </w:r>
      <w:r>
        <w:rPr>
          <w:b/>
          <w:w w:val="105"/>
          <w:sz w:val="15"/>
        </w:rPr>
        <w:t>internos</w:t>
      </w:r>
      <w:r>
        <w:rPr>
          <w:b/>
          <w:spacing w:val="-13"/>
          <w:w w:val="105"/>
          <w:sz w:val="15"/>
        </w:rPr>
        <w:t> </w:t>
      </w:r>
      <w:r>
        <w:rPr>
          <w:b/>
          <w:w w:val="105"/>
          <w:sz w:val="15"/>
        </w:rPr>
        <w:t>(Manejo</w:t>
      </w:r>
      <w:r>
        <w:rPr>
          <w:b/>
          <w:spacing w:val="-13"/>
          <w:w w:val="105"/>
          <w:sz w:val="15"/>
        </w:rPr>
        <w:t> </w:t>
      </w:r>
      <w:r>
        <w:rPr>
          <w:b/>
          <w:w w:val="105"/>
          <w:sz w:val="15"/>
        </w:rPr>
        <w:t>y</w:t>
      </w:r>
      <w:r>
        <w:rPr>
          <w:b/>
          <w:spacing w:val="-17"/>
          <w:w w:val="105"/>
          <w:sz w:val="15"/>
        </w:rPr>
        <w:t> </w:t>
      </w:r>
      <w:r>
        <w:rPr>
          <w:b/>
          <w:w w:val="105"/>
          <w:sz w:val="15"/>
        </w:rPr>
        <w:t>Aplicación) Naucalpan</w:t>
      </w:r>
      <w:r>
        <w:rPr>
          <w:b/>
          <w:spacing w:val="-11"/>
          <w:w w:val="105"/>
          <w:sz w:val="15"/>
        </w:rPr>
        <w:t> </w:t>
      </w:r>
      <w:r>
        <w:rPr>
          <w:b/>
          <w:w w:val="105"/>
          <w:sz w:val="15"/>
        </w:rPr>
        <w:t>de</w:t>
      </w:r>
      <w:r>
        <w:rPr>
          <w:b/>
          <w:spacing w:val="-12"/>
          <w:w w:val="105"/>
          <w:sz w:val="15"/>
        </w:rPr>
        <w:t> </w:t>
      </w:r>
      <w:r>
        <w:rPr>
          <w:b/>
          <w:w w:val="105"/>
          <w:sz w:val="15"/>
        </w:rPr>
        <w:t>Júarez</w:t>
      </w:r>
      <w:r>
        <w:rPr>
          <w:b/>
          <w:spacing w:val="-13"/>
          <w:w w:val="105"/>
          <w:sz w:val="15"/>
        </w:rPr>
        <w:t> </w:t>
      </w:r>
      <w:r>
        <w:rPr>
          <w:b/>
          <w:w w:val="105"/>
          <w:sz w:val="15"/>
        </w:rPr>
        <w:t>Ejercicio</w:t>
      </w:r>
      <w:r>
        <w:rPr>
          <w:b/>
          <w:spacing w:val="-12"/>
          <w:w w:val="105"/>
          <w:sz w:val="15"/>
        </w:rPr>
        <w:t> </w:t>
      </w:r>
      <w:r>
        <w:rPr>
          <w:b/>
          <w:w w:val="105"/>
          <w:sz w:val="15"/>
        </w:rPr>
        <w:t>Fiscal</w:t>
      </w:r>
      <w:r>
        <w:rPr>
          <w:b/>
          <w:spacing w:val="-12"/>
          <w:w w:val="105"/>
          <w:sz w:val="15"/>
        </w:rPr>
        <w:t> </w:t>
      </w:r>
      <w:r>
        <w:rPr>
          <w:b/>
          <w:spacing w:val="-3"/>
          <w:w w:val="105"/>
          <w:sz w:val="15"/>
        </w:rPr>
        <w:t>2011</w:t>
      </w:r>
    </w:p>
    <w:p>
      <w:pPr>
        <w:spacing w:after="0" w:line="271" w:lineRule="auto"/>
        <w:jc w:val="center"/>
        <w:rPr>
          <w:sz w:val="15"/>
        </w:rPr>
        <w:sectPr>
          <w:type w:val="continuous"/>
          <w:pgSz w:w="15840" w:h="12240" w:orient="landscape"/>
          <w:pgMar w:top="0" w:bottom="280" w:left="2260" w:right="2260"/>
          <w:cols w:num="2" w:equalWidth="0">
            <w:col w:w="3924" w:space="40"/>
            <w:col w:w="7356"/>
          </w:cols>
        </w:sectPr>
      </w:pPr>
    </w:p>
    <w:p>
      <w:pPr>
        <w:pStyle w:val="BodyText"/>
        <w:spacing w:line="20" w:lineRule="exact"/>
        <w:ind w:left="1077"/>
        <w:rPr>
          <w:sz w:val="2"/>
        </w:rPr>
      </w:pPr>
      <w:r>
        <w:rPr>
          <w:sz w:val="2"/>
        </w:rPr>
        <w:pict>
          <v:group style="width:461.1pt;height:.6pt;mso-position-horizontal-relative:char;mso-position-vertical-relative:line" coordorigin="0,0" coordsize="9222,12">
            <v:shape style="position:absolute;left:6;top:6;width:9210;height:2" coordorigin="6,6" coordsize="9210,0" path="m6,6l6,6,9215,6e" filled="false" stroked="true" strokeweight=".576557pt" strokecolor="#000000">
              <v:path arrowok="t"/>
            </v:shape>
          </v:group>
        </w:pict>
      </w:r>
      <w:r>
        <w:rPr>
          <w:sz w:val="2"/>
        </w:rPr>
      </w:r>
    </w:p>
    <w:p>
      <w:pPr>
        <w:pStyle w:val="BodyText"/>
        <w:rPr>
          <w:b/>
          <w:sz w:val="20"/>
        </w:rPr>
      </w:pPr>
    </w:p>
    <w:p>
      <w:pPr>
        <w:pStyle w:val="BodyText"/>
        <w:spacing w:before="1"/>
        <w:rPr>
          <w:b/>
          <w:sz w:val="11"/>
        </w:rPr>
      </w:pPr>
    </w:p>
    <w:tbl>
      <w:tblPr>
        <w:tblW w:w="0" w:type="auto"/>
        <w:jc w:val="left"/>
        <w:tblInd w:w="10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57"/>
        <w:gridCol w:w="2311"/>
        <w:gridCol w:w="2169"/>
        <w:gridCol w:w="2169"/>
      </w:tblGrid>
      <w:tr>
        <w:trPr>
          <w:trHeight w:val="195" w:hRule="exact"/>
        </w:trPr>
        <w:tc>
          <w:tcPr>
            <w:tcW w:w="4868" w:type="dxa"/>
            <w:gridSpan w:val="2"/>
            <w:shd w:val="clear" w:color="auto" w:fill="E6B8B7"/>
          </w:tcPr>
          <w:p>
            <w:pPr>
              <w:pStyle w:val="TableParagraph"/>
              <w:spacing w:before="3"/>
              <w:ind w:left="2226" w:right="2214"/>
              <w:jc w:val="center"/>
              <w:rPr>
                <w:b/>
                <w:sz w:val="15"/>
              </w:rPr>
            </w:pPr>
            <w:r>
              <w:rPr>
                <w:b/>
                <w:w w:val="105"/>
                <w:sz w:val="15"/>
              </w:rPr>
              <w:t>FISM</w:t>
            </w:r>
          </w:p>
        </w:tc>
        <w:tc>
          <w:tcPr>
            <w:tcW w:w="4338" w:type="dxa"/>
            <w:gridSpan w:val="2"/>
            <w:shd w:val="clear" w:color="auto" w:fill="E6B8B7"/>
          </w:tcPr>
          <w:p>
            <w:pPr>
              <w:pStyle w:val="TableParagraph"/>
              <w:spacing w:before="3"/>
              <w:ind w:left="1592" w:right="1582"/>
              <w:jc w:val="center"/>
              <w:rPr>
                <w:b/>
                <w:sz w:val="15"/>
              </w:rPr>
            </w:pPr>
            <w:r>
              <w:rPr>
                <w:b/>
                <w:w w:val="105"/>
                <w:sz w:val="15"/>
              </w:rPr>
              <w:t>FORTAMUNDF</w:t>
            </w:r>
          </w:p>
        </w:tc>
      </w:tr>
      <w:tr>
        <w:trPr>
          <w:trHeight w:val="196" w:hRule="exact"/>
        </w:trPr>
        <w:tc>
          <w:tcPr>
            <w:tcW w:w="2557" w:type="dxa"/>
            <w:shd w:val="clear" w:color="auto" w:fill="F1DCDB"/>
          </w:tcPr>
          <w:p>
            <w:pPr>
              <w:pStyle w:val="TableParagraph"/>
              <w:spacing w:before="3"/>
              <w:ind w:left="866" w:right="859"/>
              <w:jc w:val="center"/>
              <w:rPr>
                <w:b/>
                <w:sz w:val="15"/>
              </w:rPr>
            </w:pPr>
            <w:r>
              <w:rPr>
                <w:b/>
                <w:w w:val="105"/>
                <w:sz w:val="15"/>
              </w:rPr>
              <w:t>Fortalezas</w:t>
            </w:r>
          </w:p>
        </w:tc>
        <w:tc>
          <w:tcPr>
            <w:tcW w:w="2311" w:type="dxa"/>
            <w:shd w:val="clear" w:color="auto" w:fill="F1DCDB"/>
          </w:tcPr>
          <w:p>
            <w:pPr>
              <w:pStyle w:val="TableParagraph"/>
              <w:spacing w:before="3"/>
              <w:ind w:left="719" w:right="-9"/>
              <w:rPr>
                <w:b/>
                <w:sz w:val="15"/>
              </w:rPr>
            </w:pPr>
            <w:r>
              <w:rPr>
                <w:b/>
                <w:w w:val="105"/>
                <w:sz w:val="15"/>
              </w:rPr>
              <w:t>Debilidades</w:t>
            </w:r>
          </w:p>
        </w:tc>
        <w:tc>
          <w:tcPr>
            <w:tcW w:w="2169" w:type="dxa"/>
            <w:shd w:val="clear" w:color="auto" w:fill="F1DCDB"/>
          </w:tcPr>
          <w:p>
            <w:pPr>
              <w:pStyle w:val="TableParagraph"/>
              <w:spacing w:before="3"/>
              <w:ind w:left="679" w:right="35"/>
              <w:rPr>
                <w:b/>
                <w:sz w:val="15"/>
              </w:rPr>
            </w:pPr>
            <w:r>
              <w:rPr>
                <w:b/>
                <w:w w:val="105"/>
                <w:sz w:val="15"/>
              </w:rPr>
              <w:t>Fortalezas</w:t>
            </w:r>
          </w:p>
        </w:tc>
        <w:tc>
          <w:tcPr>
            <w:tcW w:w="2169" w:type="dxa"/>
            <w:shd w:val="clear" w:color="auto" w:fill="F1DCDB"/>
          </w:tcPr>
          <w:p>
            <w:pPr>
              <w:pStyle w:val="TableParagraph"/>
              <w:spacing w:before="3"/>
              <w:ind w:left="648" w:right="31"/>
              <w:rPr>
                <w:b/>
                <w:sz w:val="15"/>
              </w:rPr>
            </w:pPr>
            <w:r>
              <w:rPr>
                <w:b/>
                <w:w w:val="105"/>
                <w:sz w:val="15"/>
              </w:rPr>
              <w:t>Debilidades</w:t>
            </w:r>
          </w:p>
        </w:tc>
      </w:tr>
      <w:tr>
        <w:trPr>
          <w:trHeight w:val="1463" w:hRule="exact"/>
        </w:trPr>
        <w:tc>
          <w:tcPr>
            <w:tcW w:w="2557" w:type="dxa"/>
          </w:tcPr>
          <w:p>
            <w:pPr>
              <w:pStyle w:val="TableParagraph"/>
              <w:spacing w:line="271" w:lineRule="auto" w:before="3"/>
              <w:ind w:left="21"/>
              <w:rPr>
                <w:sz w:val="15"/>
              </w:rPr>
            </w:pPr>
            <w:r>
              <w:rPr>
                <w:w w:val="105"/>
                <w:sz w:val="15"/>
              </w:rPr>
              <w:t>El municipio dispone de controles para que las obras contratadas se ejecuten en el tiempo contratado, además, de conducir adecuadamente el proceso de </w:t>
            </w:r>
            <w:r>
              <w:rPr>
                <w:sz w:val="15"/>
              </w:rPr>
              <w:t>participación social.</w:t>
            </w:r>
          </w:p>
        </w:tc>
        <w:tc>
          <w:tcPr>
            <w:tcW w:w="2311" w:type="dxa"/>
          </w:tcPr>
          <w:p>
            <w:pPr>
              <w:pStyle w:val="TableParagraph"/>
              <w:spacing w:line="271" w:lineRule="auto" w:before="3"/>
              <w:ind w:left="21" w:right="-9"/>
              <w:rPr>
                <w:sz w:val="15"/>
              </w:rPr>
            </w:pPr>
            <w:r>
              <w:rPr>
                <w:w w:val="105"/>
                <w:sz w:val="15"/>
              </w:rPr>
              <w:t>El municipio no dispone con una adecuada comunicación entre las áreas involucradas en la ejecución, ejercicio y operación del fondo.</w:t>
            </w:r>
          </w:p>
        </w:tc>
        <w:tc>
          <w:tcPr>
            <w:tcW w:w="2169" w:type="dxa"/>
          </w:tcPr>
          <w:p>
            <w:pPr>
              <w:pStyle w:val="TableParagraph"/>
              <w:spacing w:line="271" w:lineRule="auto" w:before="3"/>
              <w:ind w:left="22" w:right="35"/>
              <w:rPr>
                <w:sz w:val="15"/>
              </w:rPr>
            </w:pPr>
            <w:r>
              <w:rPr>
                <w:w w:val="105"/>
                <w:sz w:val="15"/>
              </w:rPr>
              <w:t>Los recursos del fondo se registran por medio de una cuenta bancaria específica.</w:t>
            </w:r>
          </w:p>
        </w:tc>
        <w:tc>
          <w:tcPr>
            <w:tcW w:w="2169" w:type="dxa"/>
          </w:tcPr>
          <w:p>
            <w:pPr>
              <w:pStyle w:val="TableParagraph"/>
              <w:spacing w:line="271" w:lineRule="auto" w:before="3"/>
              <w:ind w:left="22" w:right="31"/>
              <w:rPr>
                <w:sz w:val="15"/>
              </w:rPr>
            </w:pPr>
            <w:r>
              <w:rPr>
                <w:w w:val="105"/>
                <w:sz w:val="15"/>
              </w:rPr>
              <w:t>La subdirección de RAMO 33 es insuficiente en cuanto a recursos humanos y espacio físico, en función del volumen de información que se genera y para su adecuado desempeño.</w:t>
            </w:r>
          </w:p>
        </w:tc>
      </w:tr>
      <w:tr>
        <w:trPr>
          <w:trHeight w:val="1855" w:hRule="exact"/>
        </w:trPr>
        <w:tc>
          <w:tcPr>
            <w:tcW w:w="2557" w:type="dxa"/>
          </w:tcPr>
          <w:p>
            <w:pPr>
              <w:pStyle w:val="TableParagraph"/>
              <w:spacing w:line="271" w:lineRule="auto" w:before="3"/>
              <w:ind w:left="21"/>
              <w:rPr>
                <w:sz w:val="15"/>
              </w:rPr>
            </w:pPr>
            <w:r>
              <w:rPr>
                <w:w w:val="105"/>
                <w:sz w:val="15"/>
              </w:rPr>
              <w:t>El municipio realiza las obras con el recurso dentro de lo que establece la normatividad.</w:t>
            </w:r>
          </w:p>
        </w:tc>
        <w:tc>
          <w:tcPr>
            <w:tcW w:w="2311" w:type="dxa"/>
          </w:tcPr>
          <w:p>
            <w:pPr>
              <w:pStyle w:val="TableParagraph"/>
              <w:spacing w:line="271" w:lineRule="auto" w:before="3"/>
              <w:ind w:left="24" w:right="-9" w:hanging="2"/>
              <w:rPr>
                <w:sz w:val="15"/>
              </w:rPr>
            </w:pPr>
            <w:r>
              <w:rPr>
                <w:w w:val="105"/>
                <w:sz w:val="15"/>
              </w:rPr>
              <w:t>El municipio presentó un subejercicio del 28.4% al 31 de</w:t>
            </w:r>
          </w:p>
          <w:p>
            <w:pPr>
              <w:pStyle w:val="TableParagraph"/>
              <w:spacing w:before="1"/>
              <w:ind w:left="24" w:right="-9"/>
              <w:rPr>
                <w:sz w:val="15"/>
              </w:rPr>
            </w:pPr>
            <w:r>
              <w:rPr>
                <w:w w:val="105"/>
                <w:sz w:val="15"/>
              </w:rPr>
              <w:t>diciembre de 2011.</w:t>
            </w:r>
          </w:p>
        </w:tc>
        <w:tc>
          <w:tcPr>
            <w:tcW w:w="2169" w:type="dxa"/>
          </w:tcPr>
          <w:p>
            <w:pPr>
              <w:pStyle w:val="TableParagraph"/>
              <w:spacing w:line="271" w:lineRule="auto" w:before="3"/>
              <w:ind w:left="22" w:right="35"/>
              <w:rPr>
                <w:sz w:val="15"/>
              </w:rPr>
            </w:pPr>
            <w:r>
              <w:rPr>
                <w:w w:val="105"/>
                <w:sz w:val="15"/>
              </w:rPr>
              <w:t>La mayor parte de los recursos se destinó a los rubros de Seguridad Pública, a la atención de las obligaciones</w:t>
            </w:r>
            <w:r>
              <w:rPr>
                <w:spacing w:val="-20"/>
                <w:w w:val="105"/>
                <w:sz w:val="15"/>
              </w:rPr>
              <w:t> </w:t>
            </w:r>
            <w:r>
              <w:rPr>
                <w:w w:val="105"/>
                <w:sz w:val="15"/>
              </w:rPr>
              <w:t>financieras,</w:t>
            </w:r>
            <w:r>
              <w:rPr>
                <w:spacing w:val="-19"/>
                <w:w w:val="105"/>
                <w:sz w:val="15"/>
              </w:rPr>
              <w:t> </w:t>
            </w:r>
            <w:r>
              <w:rPr>
                <w:w w:val="105"/>
                <w:sz w:val="15"/>
              </w:rPr>
              <w:t>pago de derechos y aprovechamientos por concepto de agua, en cumplimiento</w:t>
            </w:r>
            <w:r>
              <w:rPr>
                <w:spacing w:val="-15"/>
                <w:w w:val="105"/>
                <w:sz w:val="15"/>
              </w:rPr>
              <w:t> </w:t>
            </w:r>
            <w:r>
              <w:rPr>
                <w:w w:val="105"/>
                <w:sz w:val="15"/>
              </w:rPr>
              <w:t>de</w:t>
            </w:r>
            <w:r>
              <w:rPr>
                <w:spacing w:val="-15"/>
                <w:w w:val="105"/>
                <w:sz w:val="15"/>
              </w:rPr>
              <w:t> </w:t>
            </w:r>
            <w:r>
              <w:rPr>
                <w:w w:val="105"/>
                <w:sz w:val="15"/>
              </w:rPr>
              <w:t>la</w:t>
            </w:r>
            <w:r>
              <w:rPr>
                <w:spacing w:val="-15"/>
                <w:w w:val="105"/>
                <w:sz w:val="15"/>
              </w:rPr>
              <w:t> </w:t>
            </w:r>
            <w:r>
              <w:rPr>
                <w:w w:val="105"/>
                <w:sz w:val="15"/>
              </w:rPr>
              <w:t>normativa.</w:t>
            </w:r>
          </w:p>
        </w:tc>
        <w:tc>
          <w:tcPr>
            <w:tcW w:w="2169" w:type="dxa"/>
          </w:tcPr>
          <w:p>
            <w:pPr>
              <w:pStyle w:val="TableParagraph"/>
              <w:spacing w:line="271" w:lineRule="auto" w:before="3"/>
              <w:ind w:left="21" w:right="-4"/>
              <w:rPr>
                <w:sz w:val="15"/>
              </w:rPr>
            </w:pPr>
            <w:r>
              <w:rPr>
                <w:w w:val="105"/>
                <w:sz w:val="15"/>
              </w:rPr>
              <w:t>No se tiene una organización adecuada de los expedientes, la información ni de la documentación del fondo.</w:t>
            </w:r>
          </w:p>
        </w:tc>
      </w:tr>
      <w:tr>
        <w:trPr>
          <w:trHeight w:val="955" w:hRule="exact"/>
        </w:trPr>
        <w:tc>
          <w:tcPr>
            <w:tcW w:w="2557" w:type="dxa"/>
          </w:tcPr>
          <w:p>
            <w:pPr/>
          </w:p>
        </w:tc>
        <w:tc>
          <w:tcPr>
            <w:tcW w:w="2311" w:type="dxa"/>
          </w:tcPr>
          <w:p>
            <w:pPr>
              <w:pStyle w:val="TableParagraph"/>
              <w:spacing w:line="271" w:lineRule="auto" w:before="2"/>
              <w:ind w:left="21" w:right="37"/>
              <w:rPr>
                <w:sz w:val="15"/>
              </w:rPr>
            </w:pPr>
            <w:r>
              <w:rPr>
                <w:w w:val="105"/>
                <w:sz w:val="15"/>
              </w:rPr>
              <w:t>Los expedientes de obras están desactualizados y no contienen todos los documentos referentes a las mismas.</w:t>
            </w:r>
          </w:p>
        </w:tc>
        <w:tc>
          <w:tcPr>
            <w:tcW w:w="2169" w:type="dxa"/>
          </w:tcPr>
          <w:p>
            <w:pPr/>
          </w:p>
        </w:tc>
        <w:tc>
          <w:tcPr>
            <w:tcW w:w="2169" w:type="dxa"/>
          </w:tcPr>
          <w:p>
            <w:pPr>
              <w:pStyle w:val="TableParagraph"/>
              <w:spacing w:line="271" w:lineRule="auto" w:before="2"/>
              <w:ind w:left="22" w:right="-4"/>
              <w:rPr>
                <w:sz w:val="15"/>
              </w:rPr>
            </w:pPr>
            <w:r>
              <w:rPr>
                <w:w w:val="105"/>
                <w:sz w:val="15"/>
              </w:rPr>
              <w:t>No existe una coordinación adecuada con las áreas a fin de disponer de información de calidad y oportunidad.</w:t>
            </w:r>
          </w:p>
        </w:tc>
      </w:tr>
    </w:tbl>
    <w:p>
      <w:pPr>
        <w:pStyle w:val="BodyText"/>
        <w:rPr>
          <w:b/>
          <w:sz w:val="20"/>
        </w:rPr>
      </w:pPr>
    </w:p>
    <w:p>
      <w:pPr>
        <w:pStyle w:val="BodyText"/>
        <w:rPr>
          <w:b/>
          <w:sz w:val="20"/>
        </w:rPr>
      </w:pPr>
    </w:p>
    <w:p>
      <w:pPr>
        <w:pStyle w:val="BodyText"/>
        <w:spacing w:before="2"/>
        <w:rPr>
          <w:b/>
          <w:sz w:val="18"/>
        </w:rPr>
      </w:pPr>
      <w:r>
        <w:rPr/>
        <w:pict>
          <v:group style="position:absolute;margin-left:160.919998pt;margin-top:12.432725pt;width:468pt;height:37.950pt;mso-position-horizontal-relative:page;mso-position-vertical-relative:paragraph;z-index:7096;mso-wrap-distance-left:0;mso-wrap-distance-right:0" coordorigin="3218,249" coordsize="9360,759">
            <v:shape style="position:absolute;left:3218;top:249;width:9360;height:758" type="#_x0000_t75" stroked="false">
              <v:imagedata r:id="rId180" o:title=""/>
            </v:shape>
            <v:shape style="position:absolute;left:3218;top:249;width:9360;height:759" type="#_x0000_t202" filled="false" stroked="false">
              <v:textbox inset="0,0,0,0">
                <w:txbxContent>
                  <w:p>
                    <w:pPr>
                      <w:spacing w:line="240" w:lineRule="auto" w:before="0"/>
                      <w:ind w:left="144" w:right="0"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w10:wrap type="topAndBottom"/>
          </v:group>
        </w:pict>
      </w:r>
    </w:p>
    <w:p>
      <w:pPr>
        <w:spacing w:after="0"/>
        <w:rPr>
          <w:sz w:val="18"/>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2"/>
        </w:rPr>
      </w:pPr>
    </w:p>
    <w:p>
      <w:pPr>
        <w:pStyle w:val="BodyText"/>
        <w:spacing w:before="69"/>
        <w:ind w:left="3082" w:right="1340"/>
      </w:pPr>
      <w:r>
        <w:rPr/>
        <w:t>Anexo 50.</w:t>
      </w:r>
    </w:p>
    <w:p>
      <w:pPr>
        <w:pStyle w:val="BodyText"/>
        <w:rPr>
          <w:sz w:val="20"/>
        </w:rPr>
      </w:pPr>
    </w:p>
    <w:p>
      <w:pPr>
        <w:pStyle w:val="BodyText"/>
        <w:spacing w:before="5"/>
        <w:rPr>
          <w:sz w:val="18"/>
        </w:rPr>
      </w:pPr>
    </w:p>
    <w:p>
      <w:pPr>
        <w:spacing w:line="266" w:lineRule="auto" w:before="0"/>
        <w:ind w:left="3409" w:right="3328" w:firstLine="3"/>
        <w:jc w:val="center"/>
        <w:rPr>
          <w:b/>
          <w:sz w:val="14"/>
        </w:rPr>
      </w:pPr>
      <w:r>
        <w:rPr>
          <w:b/>
          <w:w w:val="170"/>
          <w:sz w:val="14"/>
        </w:rPr>
        <w:t>Calidad de la Gestion Gubernamental Controles</w:t>
      </w:r>
      <w:r>
        <w:rPr>
          <w:b/>
          <w:spacing w:val="-14"/>
          <w:w w:val="170"/>
          <w:sz w:val="14"/>
        </w:rPr>
        <w:t> </w:t>
      </w:r>
      <w:r>
        <w:rPr>
          <w:b/>
          <w:w w:val="170"/>
          <w:sz w:val="14"/>
        </w:rPr>
        <w:t>internos</w:t>
      </w:r>
      <w:r>
        <w:rPr>
          <w:b/>
          <w:spacing w:val="-14"/>
          <w:w w:val="170"/>
          <w:sz w:val="14"/>
        </w:rPr>
        <w:t> </w:t>
      </w:r>
      <w:r>
        <w:rPr>
          <w:b/>
          <w:w w:val="170"/>
          <w:sz w:val="14"/>
        </w:rPr>
        <w:t>(Manejo</w:t>
      </w:r>
      <w:r>
        <w:rPr>
          <w:b/>
          <w:spacing w:val="-14"/>
          <w:w w:val="170"/>
          <w:sz w:val="14"/>
        </w:rPr>
        <w:t> </w:t>
      </w:r>
      <w:r>
        <w:rPr>
          <w:b/>
          <w:w w:val="170"/>
          <w:sz w:val="14"/>
        </w:rPr>
        <w:t>y</w:t>
      </w:r>
      <w:r>
        <w:rPr>
          <w:b/>
          <w:spacing w:val="-21"/>
          <w:w w:val="170"/>
          <w:sz w:val="14"/>
        </w:rPr>
        <w:t> </w:t>
      </w:r>
      <w:r>
        <w:rPr>
          <w:b/>
          <w:w w:val="170"/>
          <w:sz w:val="14"/>
        </w:rPr>
        <w:t>Aplicación) Sultepec Ejercicio Fiscal</w:t>
      </w:r>
      <w:r>
        <w:rPr>
          <w:b/>
          <w:spacing w:val="-43"/>
          <w:w w:val="170"/>
          <w:sz w:val="14"/>
        </w:rPr>
        <w:t> </w:t>
      </w:r>
      <w:r>
        <w:rPr>
          <w:b/>
          <w:spacing w:val="-3"/>
          <w:w w:val="170"/>
          <w:sz w:val="14"/>
        </w:rPr>
        <w:t>2011</w:t>
      </w:r>
    </w:p>
    <w:p>
      <w:pPr>
        <w:pStyle w:val="BodyText"/>
        <w:spacing w:line="20" w:lineRule="exact"/>
        <w:ind w:left="1657"/>
        <w:rPr>
          <w:sz w:val="2"/>
        </w:rPr>
      </w:pPr>
      <w:r>
        <w:rPr>
          <w:sz w:val="2"/>
        </w:rPr>
        <w:pict>
          <v:group style="width:403.8pt;height:.550pt;mso-position-horizontal-relative:char;mso-position-vertical-relative:line" coordorigin="0,0" coordsize="8076,11">
            <v:shape style="position:absolute;left:6;top:6;width:8065;height:2" coordorigin="6,6" coordsize="8065,0" path="m6,6l6,6,8070,6e" filled="false" stroked="true" strokeweight=".527639pt" strokecolor="#000000">
              <v:path arrowok="t"/>
            </v:shape>
          </v:group>
        </w:pict>
      </w:r>
      <w:r>
        <w:rPr>
          <w:sz w:val="2"/>
        </w:rPr>
      </w:r>
    </w:p>
    <w:p>
      <w:pPr>
        <w:pStyle w:val="BodyText"/>
        <w:spacing w:before="5"/>
        <w:rPr>
          <w:b/>
          <w:sz w:val="28"/>
        </w:rPr>
      </w:pPr>
    </w:p>
    <w:tbl>
      <w:tblPr>
        <w:tblW w:w="0" w:type="auto"/>
        <w:jc w:val="left"/>
        <w:tblInd w:w="16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84"/>
        <w:gridCol w:w="3675"/>
      </w:tblGrid>
      <w:tr>
        <w:trPr>
          <w:trHeight w:val="178" w:hRule="exact"/>
        </w:trPr>
        <w:tc>
          <w:tcPr>
            <w:tcW w:w="8059" w:type="dxa"/>
            <w:gridSpan w:val="2"/>
            <w:tcBorders>
              <w:left w:val="single" w:sz="7" w:space="0" w:color="000000"/>
              <w:right w:val="single" w:sz="7" w:space="0" w:color="000000"/>
            </w:tcBorders>
            <w:shd w:val="clear" w:color="auto" w:fill="E6B8B7"/>
          </w:tcPr>
          <w:p>
            <w:pPr>
              <w:pStyle w:val="TableParagraph"/>
              <w:spacing w:line="161" w:lineRule="exact"/>
              <w:ind w:left="3725" w:right="3708"/>
              <w:jc w:val="center"/>
              <w:rPr>
                <w:b/>
                <w:sz w:val="14"/>
              </w:rPr>
            </w:pPr>
            <w:r>
              <w:rPr>
                <w:b/>
                <w:w w:val="170"/>
                <w:sz w:val="14"/>
              </w:rPr>
              <w:t>FISM</w:t>
            </w:r>
          </w:p>
        </w:tc>
      </w:tr>
      <w:tr>
        <w:trPr>
          <w:trHeight w:val="179" w:hRule="exact"/>
        </w:trPr>
        <w:tc>
          <w:tcPr>
            <w:tcW w:w="4384" w:type="dxa"/>
            <w:tcBorders>
              <w:left w:val="single" w:sz="7" w:space="0" w:color="000000"/>
              <w:right w:val="single" w:sz="7" w:space="0" w:color="000000"/>
            </w:tcBorders>
            <w:shd w:val="clear" w:color="auto" w:fill="F1DCDB"/>
          </w:tcPr>
          <w:p>
            <w:pPr>
              <w:pStyle w:val="TableParagraph"/>
              <w:ind w:left="1580" w:right="1568"/>
              <w:jc w:val="center"/>
              <w:rPr>
                <w:b/>
                <w:sz w:val="14"/>
              </w:rPr>
            </w:pPr>
            <w:r>
              <w:rPr>
                <w:b/>
                <w:w w:val="170"/>
                <w:sz w:val="14"/>
              </w:rPr>
              <w:t>Fortalezas</w:t>
            </w:r>
          </w:p>
        </w:tc>
        <w:tc>
          <w:tcPr>
            <w:tcW w:w="3675" w:type="dxa"/>
            <w:tcBorders>
              <w:left w:val="single" w:sz="7" w:space="0" w:color="000000"/>
              <w:right w:val="single" w:sz="7" w:space="0" w:color="000000"/>
            </w:tcBorders>
            <w:shd w:val="clear" w:color="auto" w:fill="F1DCDB"/>
          </w:tcPr>
          <w:p>
            <w:pPr>
              <w:pStyle w:val="TableParagraph"/>
              <w:ind w:left="1175"/>
              <w:rPr>
                <w:b/>
                <w:sz w:val="14"/>
              </w:rPr>
            </w:pPr>
            <w:r>
              <w:rPr>
                <w:b/>
                <w:w w:val="170"/>
                <w:sz w:val="14"/>
              </w:rPr>
              <w:t>Debilidades</w:t>
            </w:r>
          </w:p>
        </w:tc>
      </w:tr>
      <w:tr>
        <w:trPr>
          <w:trHeight w:val="769" w:hRule="exact"/>
        </w:trPr>
        <w:tc>
          <w:tcPr>
            <w:tcW w:w="4384" w:type="dxa"/>
            <w:tcBorders>
              <w:left w:val="single" w:sz="7" w:space="0" w:color="000000"/>
              <w:right w:val="single" w:sz="7" w:space="0" w:color="000000"/>
            </w:tcBorders>
          </w:tcPr>
          <w:p>
            <w:pPr>
              <w:pStyle w:val="TableParagraph"/>
              <w:spacing w:line="266" w:lineRule="auto"/>
              <w:ind w:left="32" w:firstLine="1"/>
              <w:rPr>
                <w:sz w:val="14"/>
              </w:rPr>
            </w:pPr>
            <w:r>
              <w:rPr>
                <w:w w:val="170"/>
                <w:sz w:val="14"/>
              </w:rPr>
              <w:t>La rotación del personal que interviene en la operación del fondo no es relevante, lo que beneficia en la consecución de los objetivos.</w:t>
            </w:r>
          </w:p>
        </w:tc>
        <w:tc>
          <w:tcPr>
            <w:tcW w:w="3675" w:type="dxa"/>
            <w:tcBorders>
              <w:left w:val="single" w:sz="7" w:space="0" w:color="000000"/>
              <w:right w:val="single" w:sz="7" w:space="0" w:color="000000"/>
            </w:tcBorders>
          </w:tcPr>
          <w:p>
            <w:pPr>
              <w:pStyle w:val="TableParagraph"/>
              <w:spacing w:line="266" w:lineRule="auto"/>
              <w:ind w:left="32" w:firstLine="1"/>
              <w:rPr>
                <w:sz w:val="14"/>
              </w:rPr>
            </w:pPr>
            <w:r>
              <w:rPr>
                <w:w w:val="170"/>
                <w:sz w:val="14"/>
              </w:rPr>
              <w:t>No dispone de un código de conducta, ni de manuales de organización, ni de procedimientos.</w:t>
            </w:r>
          </w:p>
        </w:tc>
      </w:tr>
      <w:tr>
        <w:trPr>
          <w:trHeight w:val="716" w:hRule="exact"/>
        </w:trPr>
        <w:tc>
          <w:tcPr>
            <w:tcW w:w="4384" w:type="dxa"/>
            <w:tcBorders>
              <w:left w:val="single" w:sz="7" w:space="0" w:color="000000"/>
              <w:right w:val="single" w:sz="7" w:space="0" w:color="000000"/>
            </w:tcBorders>
          </w:tcPr>
          <w:p>
            <w:pPr>
              <w:pStyle w:val="TableParagraph"/>
              <w:spacing w:line="266" w:lineRule="auto"/>
              <w:ind w:left="32" w:right="-13" w:firstLine="1"/>
              <w:rPr>
                <w:sz w:val="14"/>
              </w:rPr>
            </w:pPr>
            <w:r>
              <w:rPr>
                <w:w w:val="170"/>
                <w:sz w:val="14"/>
              </w:rPr>
              <w:t>Realizan conciliaciones periódicas de las cifras contables contra las presupuestarias.</w:t>
            </w:r>
          </w:p>
        </w:tc>
        <w:tc>
          <w:tcPr>
            <w:tcW w:w="3675" w:type="dxa"/>
            <w:tcBorders>
              <w:left w:val="single" w:sz="7" w:space="0" w:color="000000"/>
              <w:right w:val="single" w:sz="7" w:space="0" w:color="000000"/>
            </w:tcBorders>
          </w:tcPr>
          <w:p>
            <w:pPr>
              <w:pStyle w:val="TableParagraph"/>
              <w:spacing w:line="266" w:lineRule="auto"/>
              <w:ind w:left="32" w:firstLine="1"/>
              <w:rPr>
                <w:sz w:val="14"/>
              </w:rPr>
            </w:pPr>
            <w:r>
              <w:rPr>
                <w:w w:val="170"/>
                <w:sz w:val="14"/>
              </w:rPr>
              <w:t>No cuenta con programas de capacitación para el personal.</w:t>
            </w:r>
          </w:p>
        </w:tc>
      </w:tr>
      <w:tr>
        <w:trPr>
          <w:trHeight w:val="714" w:hRule="exact"/>
        </w:trPr>
        <w:tc>
          <w:tcPr>
            <w:tcW w:w="4384" w:type="dxa"/>
            <w:tcBorders>
              <w:left w:val="single" w:sz="7" w:space="0" w:color="000000"/>
              <w:right w:val="single" w:sz="7" w:space="0" w:color="000000"/>
            </w:tcBorders>
          </w:tcPr>
          <w:p>
            <w:pPr>
              <w:pStyle w:val="TableParagraph"/>
              <w:spacing w:line="266" w:lineRule="auto"/>
              <w:ind w:left="35" w:hanging="2"/>
              <w:rPr>
                <w:sz w:val="14"/>
              </w:rPr>
            </w:pPr>
            <w:r>
              <w:rPr>
                <w:w w:val="170"/>
                <w:sz w:val="14"/>
              </w:rPr>
              <w:t>La adjudicación de obras se realiza con base en la normativa aplicable.</w:t>
            </w:r>
          </w:p>
        </w:tc>
        <w:tc>
          <w:tcPr>
            <w:tcW w:w="3675" w:type="dxa"/>
            <w:tcBorders>
              <w:left w:val="single" w:sz="7" w:space="0" w:color="000000"/>
              <w:right w:val="single" w:sz="7" w:space="0" w:color="000000"/>
            </w:tcBorders>
          </w:tcPr>
          <w:p>
            <w:pPr>
              <w:pStyle w:val="TableParagraph"/>
              <w:spacing w:line="266" w:lineRule="auto"/>
              <w:ind w:left="35" w:hanging="2"/>
              <w:rPr>
                <w:sz w:val="14"/>
              </w:rPr>
            </w:pPr>
            <w:r>
              <w:rPr>
                <w:w w:val="170"/>
                <w:sz w:val="14"/>
              </w:rPr>
              <w:t>No tienen mecanismos para abrir una cuenta bancaria específica para los recursos del</w:t>
            </w:r>
          </w:p>
          <w:p>
            <w:pPr>
              <w:pStyle w:val="TableParagraph"/>
              <w:spacing w:before="1"/>
              <w:ind w:left="35"/>
              <w:rPr>
                <w:sz w:val="14"/>
              </w:rPr>
            </w:pPr>
            <w:r>
              <w:rPr>
                <w:w w:val="170"/>
                <w:sz w:val="14"/>
              </w:rPr>
              <w:t>FISM.</w:t>
            </w:r>
          </w:p>
        </w:tc>
      </w:tr>
      <w:tr>
        <w:trPr>
          <w:trHeight w:val="894" w:hRule="exact"/>
        </w:trPr>
        <w:tc>
          <w:tcPr>
            <w:tcW w:w="4384" w:type="dxa"/>
            <w:tcBorders>
              <w:left w:val="single" w:sz="7" w:space="0" w:color="000000"/>
              <w:right w:val="single" w:sz="7" w:space="0" w:color="000000"/>
            </w:tcBorders>
          </w:tcPr>
          <w:p>
            <w:pPr>
              <w:pStyle w:val="TableParagraph"/>
              <w:spacing w:line="266" w:lineRule="auto"/>
              <w:ind w:left="35" w:hanging="2"/>
              <w:rPr>
                <w:sz w:val="14"/>
              </w:rPr>
            </w:pPr>
            <w:r>
              <w:rPr>
                <w:w w:val="170"/>
                <w:sz w:val="14"/>
              </w:rPr>
              <w:t>La información de los recursos del fondo se genera oportuna y adecuadamente, para la toma de decisiones.</w:t>
            </w:r>
          </w:p>
        </w:tc>
        <w:tc>
          <w:tcPr>
            <w:tcW w:w="3675" w:type="dxa"/>
            <w:tcBorders>
              <w:left w:val="single" w:sz="7" w:space="0" w:color="000000"/>
              <w:right w:val="single" w:sz="7" w:space="0" w:color="000000"/>
            </w:tcBorders>
          </w:tcPr>
          <w:p>
            <w:pPr>
              <w:pStyle w:val="TableParagraph"/>
              <w:spacing w:line="266" w:lineRule="auto"/>
              <w:ind w:left="32" w:firstLine="1"/>
              <w:rPr>
                <w:sz w:val="14"/>
              </w:rPr>
            </w:pPr>
            <w:r>
              <w:rPr>
                <w:w w:val="170"/>
                <w:sz w:val="14"/>
              </w:rPr>
              <w:t>Carece de mecanismos para que los expedientes de obra pública contengan las bitácoras de obra correspondientes</w:t>
            </w:r>
          </w:p>
        </w:tc>
      </w:tr>
      <w:tr>
        <w:trPr>
          <w:trHeight w:val="894" w:hRule="exact"/>
        </w:trPr>
        <w:tc>
          <w:tcPr>
            <w:tcW w:w="4384" w:type="dxa"/>
            <w:tcBorders>
              <w:left w:val="single" w:sz="7" w:space="0" w:color="000000"/>
              <w:right w:val="single" w:sz="7" w:space="0" w:color="000000"/>
            </w:tcBorders>
          </w:tcPr>
          <w:p>
            <w:pPr>
              <w:pStyle w:val="TableParagraph"/>
              <w:spacing w:line="266" w:lineRule="auto"/>
              <w:ind w:left="34" w:right="28"/>
              <w:rPr>
                <w:sz w:val="14"/>
              </w:rPr>
            </w:pPr>
            <w:r>
              <w:rPr>
                <w:w w:val="170"/>
                <w:sz w:val="14"/>
              </w:rPr>
              <w:t>Dispone de mecanismos adecuados para</w:t>
            </w:r>
            <w:r>
              <w:rPr>
                <w:spacing w:val="-9"/>
                <w:w w:val="170"/>
                <w:sz w:val="14"/>
              </w:rPr>
              <w:t> </w:t>
            </w:r>
            <w:r>
              <w:rPr>
                <w:w w:val="170"/>
                <w:sz w:val="14"/>
              </w:rPr>
              <w:t>realizar</w:t>
            </w:r>
            <w:r>
              <w:rPr>
                <w:spacing w:val="-9"/>
                <w:w w:val="170"/>
                <w:sz w:val="14"/>
              </w:rPr>
              <w:t> </w:t>
            </w:r>
            <w:r>
              <w:rPr>
                <w:w w:val="170"/>
                <w:sz w:val="14"/>
              </w:rPr>
              <w:t>la</w:t>
            </w:r>
            <w:r>
              <w:rPr>
                <w:spacing w:val="-9"/>
                <w:w w:val="170"/>
                <w:sz w:val="14"/>
              </w:rPr>
              <w:t> </w:t>
            </w:r>
            <w:r>
              <w:rPr>
                <w:w w:val="170"/>
                <w:sz w:val="14"/>
              </w:rPr>
              <w:t>difusión</w:t>
            </w:r>
            <w:r>
              <w:rPr>
                <w:spacing w:val="-9"/>
                <w:w w:val="170"/>
                <w:sz w:val="14"/>
              </w:rPr>
              <w:t> </w:t>
            </w:r>
            <w:r>
              <w:rPr>
                <w:w w:val="170"/>
                <w:sz w:val="14"/>
              </w:rPr>
              <w:t>de</w:t>
            </w:r>
            <w:r>
              <w:rPr>
                <w:spacing w:val="-10"/>
                <w:w w:val="170"/>
                <w:sz w:val="14"/>
              </w:rPr>
              <w:t> </w:t>
            </w:r>
            <w:r>
              <w:rPr>
                <w:w w:val="170"/>
                <w:sz w:val="14"/>
              </w:rPr>
              <w:t>la</w:t>
            </w:r>
            <w:r>
              <w:rPr>
                <w:spacing w:val="-10"/>
                <w:w w:val="170"/>
                <w:sz w:val="14"/>
              </w:rPr>
              <w:t> </w:t>
            </w:r>
            <w:r>
              <w:rPr>
                <w:w w:val="170"/>
                <w:sz w:val="14"/>
              </w:rPr>
              <w:t>información de</w:t>
            </w:r>
            <w:r>
              <w:rPr>
                <w:spacing w:val="-8"/>
                <w:w w:val="170"/>
                <w:sz w:val="14"/>
              </w:rPr>
              <w:t> </w:t>
            </w:r>
            <w:r>
              <w:rPr>
                <w:w w:val="170"/>
                <w:sz w:val="14"/>
              </w:rPr>
              <w:t>los</w:t>
            </w:r>
            <w:r>
              <w:rPr>
                <w:spacing w:val="-7"/>
                <w:w w:val="170"/>
                <w:sz w:val="14"/>
              </w:rPr>
              <w:t> </w:t>
            </w:r>
            <w:r>
              <w:rPr>
                <w:w w:val="170"/>
                <w:sz w:val="14"/>
              </w:rPr>
              <w:t>recursos</w:t>
            </w:r>
            <w:r>
              <w:rPr>
                <w:spacing w:val="-6"/>
                <w:w w:val="170"/>
                <w:sz w:val="14"/>
              </w:rPr>
              <w:t> </w:t>
            </w:r>
            <w:r>
              <w:rPr>
                <w:w w:val="170"/>
                <w:sz w:val="14"/>
              </w:rPr>
              <w:t>del</w:t>
            </w:r>
            <w:r>
              <w:rPr>
                <w:spacing w:val="-8"/>
                <w:w w:val="170"/>
                <w:sz w:val="14"/>
              </w:rPr>
              <w:t> </w:t>
            </w:r>
            <w:r>
              <w:rPr>
                <w:w w:val="170"/>
                <w:sz w:val="14"/>
              </w:rPr>
              <w:t>fondo</w:t>
            </w:r>
            <w:r>
              <w:rPr>
                <w:spacing w:val="-7"/>
                <w:w w:val="170"/>
                <w:sz w:val="14"/>
              </w:rPr>
              <w:t> </w:t>
            </w:r>
            <w:r>
              <w:rPr>
                <w:w w:val="170"/>
                <w:sz w:val="14"/>
              </w:rPr>
              <w:t>a</w:t>
            </w:r>
            <w:r>
              <w:rPr>
                <w:spacing w:val="-8"/>
                <w:w w:val="170"/>
                <w:sz w:val="14"/>
              </w:rPr>
              <w:t> </w:t>
            </w:r>
            <w:r>
              <w:rPr>
                <w:w w:val="170"/>
                <w:sz w:val="14"/>
              </w:rPr>
              <w:t>la</w:t>
            </w:r>
            <w:r>
              <w:rPr>
                <w:spacing w:val="-8"/>
                <w:w w:val="170"/>
                <w:sz w:val="14"/>
              </w:rPr>
              <w:t> </w:t>
            </w:r>
            <w:r>
              <w:rPr>
                <w:w w:val="170"/>
                <w:sz w:val="14"/>
              </w:rPr>
              <w:t>población.</w:t>
            </w:r>
          </w:p>
        </w:tc>
        <w:tc>
          <w:tcPr>
            <w:tcW w:w="3675" w:type="dxa"/>
            <w:tcBorders>
              <w:left w:val="single" w:sz="7" w:space="0" w:color="000000"/>
              <w:right w:val="single" w:sz="7" w:space="0" w:color="000000"/>
            </w:tcBorders>
          </w:tcPr>
          <w:p>
            <w:pPr/>
          </w:p>
        </w:tc>
      </w:tr>
      <w:tr>
        <w:trPr>
          <w:trHeight w:val="749" w:hRule="exact"/>
        </w:trPr>
        <w:tc>
          <w:tcPr>
            <w:tcW w:w="4384" w:type="dxa"/>
            <w:tcBorders>
              <w:left w:val="single" w:sz="7" w:space="0" w:color="000000"/>
              <w:right w:val="single" w:sz="7" w:space="0" w:color="000000"/>
            </w:tcBorders>
          </w:tcPr>
          <w:p>
            <w:pPr>
              <w:pStyle w:val="TableParagraph"/>
              <w:spacing w:line="266" w:lineRule="auto"/>
              <w:ind w:left="34"/>
              <w:rPr>
                <w:sz w:val="14"/>
              </w:rPr>
            </w:pPr>
            <w:r>
              <w:rPr>
                <w:w w:val="170"/>
                <w:sz w:val="14"/>
              </w:rPr>
              <w:t>Se cuenta con una estructura formal de todas las unidades administrativas que intervienen en la ejecución de las operaciones.</w:t>
            </w:r>
          </w:p>
        </w:tc>
        <w:tc>
          <w:tcPr>
            <w:tcW w:w="3675" w:type="dxa"/>
            <w:tcBorders>
              <w:left w:val="single" w:sz="7" w:space="0" w:color="000000"/>
              <w:right w:val="single" w:sz="7" w:space="0" w:color="000000"/>
            </w:tcBorders>
          </w:tcPr>
          <w:p>
            <w:pPr/>
          </w:p>
        </w:tc>
      </w:tr>
    </w:tbl>
    <w:p>
      <w:pPr>
        <w:spacing w:after="0"/>
        <w:sectPr>
          <w:pgSz w:w="15840" w:h="12240" w:orient="landscape"/>
          <w:pgMar w:header="0" w:footer="992" w:top="1140" w:bottom="1180" w:left="2260" w:right="2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6"/>
        </w:rPr>
      </w:pPr>
    </w:p>
    <w:p>
      <w:pPr>
        <w:pStyle w:val="BodyText"/>
        <w:ind w:left="1498"/>
        <w:rPr>
          <w:rFonts w:ascii="Times New Roman"/>
          <w:sz w:val="20"/>
        </w:rPr>
      </w:pPr>
      <w:r>
        <w:rPr>
          <w:rFonts w:ascii="Times New Roman"/>
          <w:sz w:val="20"/>
        </w:rPr>
        <w:pict>
          <v:group style="width:414pt;height:40.050pt;mso-position-horizontal-relative:char;mso-position-vertical-relative:line" coordorigin="0,0" coordsize="8280,801">
            <v:shape style="position:absolute;left:0;top:0;width:8280;height:756" type="#_x0000_t75" stroked="false">
              <v:imagedata r:id="rId181" o:title=""/>
            </v:shape>
            <v:shape style="position:absolute;left:1176;top:795;width:6100;height:2" coordorigin="1176,795" coordsize="6100,0" path="m1176,795l1176,795,7275,795e" filled="false" stroked="true" strokeweight=".50988pt" strokecolor="#000000">
              <v:path arrowok="t"/>
            </v:shape>
            <v:shape style="position:absolute;left:0;top:0;width:8280;height:801" type="#_x0000_t202" filled="false" stroked="false">
              <v:textbox inset="0,0,0,0">
                <w:txbxContent>
                  <w:p>
                    <w:pPr>
                      <w:spacing w:line="242" w:lineRule="auto" w:before="0"/>
                      <w:ind w:left="144" w:right="136" w:firstLine="0"/>
                      <w:jc w:val="left"/>
                      <w:rPr>
                        <w:b/>
                        <w:sz w:val="13"/>
                      </w:rPr>
                    </w:pPr>
                    <w:r>
                      <w:rPr>
                        <w:b/>
                        <w:w w:val="110"/>
                        <w:sz w:val="20"/>
                      </w:rPr>
                      <w:t>Fuente</w:t>
                    </w:r>
                    <w:r>
                      <w:rPr>
                        <w:w w:val="110"/>
                        <w:sz w:val="20"/>
                      </w:rPr>
                      <w:t>:</w:t>
                    </w:r>
                    <w:r>
                      <w:rPr>
                        <w:spacing w:val="-27"/>
                        <w:w w:val="110"/>
                        <w:sz w:val="20"/>
                      </w:rPr>
                      <w:t> </w:t>
                    </w:r>
                    <w:r>
                      <w:rPr>
                        <w:w w:val="110"/>
                        <w:sz w:val="20"/>
                      </w:rPr>
                      <w:t>Elaboración</w:t>
                    </w:r>
                    <w:r>
                      <w:rPr>
                        <w:spacing w:val="-27"/>
                        <w:w w:val="110"/>
                        <w:sz w:val="20"/>
                      </w:rPr>
                      <w:t> </w:t>
                    </w:r>
                    <w:r>
                      <w:rPr>
                        <w:w w:val="110"/>
                        <w:sz w:val="20"/>
                      </w:rPr>
                      <w:t>propia</w:t>
                    </w:r>
                    <w:r>
                      <w:rPr>
                        <w:spacing w:val="-27"/>
                        <w:w w:val="110"/>
                        <w:sz w:val="20"/>
                      </w:rPr>
                      <w:t> </w:t>
                    </w:r>
                    <w:r>
                      <w:rPr>
                        <w:w w:val="110"/>
                        <w:sz w:val="20"/>
                      </w:rPr>
                      <w:t>con</w:t>
                    </w:r>
                    <w:r>
                      <w:rPr>
                        <w:spacing w:val="-27"/>
                        <w:w w:val="110"/>
                        <w:sz w:val="20"/>
                      </w:rPr>
                      <w:t> </w:t>
                    </w:r>
                    <w:r>
                      <w:rPr>
                        <w:w w:val="110"/>
                        <w:sz w:val="20"/>
                      </w:rPr>
                      <w:t>base</w:t>
                    </w:r>
                    <w:r>
                      <w:rPr>
                        <w:spacing w:val="-27"/>
                        <w:w w:val="110"/>
                        <w:sz w:val="20"/>
                      </w:rPr>
                      <w:t> </w:t>
                    </w:r>
                    <w:r>
                      <w:rPr>
                        <w:w w:val="110"/>
                        <w:sz w:val="20"/>
                      </w:rPr>
                      <w:t>en</w:t>
                    </w:r>
                    <w:r>
                      <w:rPr>
                        <w:spacing w:val="-27"/>
                        <w:w w:val="110"/>
                        <w:sz w:val="20"/>
                      </w:rPr>
                      <w:t> </w:t>
                    </w:r>
                    <w:r>
                      <w:rPr>
                        <w:w w:val="110"/>
                        <w:sz w:val="20"/>
                      </w:rPr>
                      <w:t>el</w:t>
                    </w:r>
                    <w:r>
                      <w:rPr>
                        <w:spacing w:val="-27"/>
                        <w:w w:val="110"/>
                        <w:sz w:val="20"/>
                      </w:rPr>
                      <w:t> </w:t>
                    </w:r>
                    <w:r>
                      <w:rPr>
                        <w:w w:val="110"/>
                        <w:sz w:val="20"/>
                      </w:rPr>
                      <w:t>Informe</w:t>
                    </w:r>
                    <w:r>
                      <w:rPr>
                        <w:spacing w:val="-28"/>
                        <w:w w:val="110"/>
                        <w:sz w:val="20"/>
                      </w:rPr>
                      <w:t> </w:t>
                    </w:r>
                    <w:r>
                      <w:rPr>
                        <w:w w:val="110"/>
                        <w:sz w:val="20"/>
                      </w:rPr>
                      <w:t>de</w:t>
                    </w:r>
                    <w:r>
                      <w:rPr>
                        <w:spacing w:val="-27"/>
                        <w:w w:val="110"/>
                        <w:sz w:val="20"/>
                      </w:rPr>
                      <w:t> </w:t>
                    </w:r>
                    <w:r>
                      <w:rPr>
                        <w:w w:val="110"/>
                        <w:sz w:val="20"/>
                      </w:rPr>
                      <w:t>Resultados</w:t>
                    </w:r>
                    <w:r>
                      <w:rPr>
                        <w:spacing w:val="-26"/>
                        <w:w w:val="110"/>
                        <w:sz w:val="20"/>
                      </w:rPr>
                      <w:t> </w:t>
                    </w:r>
                    <w:r>
                      <w:rPr>
                        <w:w w:val="110"/>
                        <w:sz w:val="20"/>
                      </w:rPr>
                      <w:t>de</w:t>
                    </w:r>
                    <w:r>
                      <w:rPr>
                        <w:spacing w:val="-27"/>
                        <w:w w:val="110"/>
                        <w:sz w:val="20"/>
                      </w:rPr>
                      <w:t> </w:t>
                    </w:r>
                    <w:r>
                      <w:rPr>
                        <w:w w:val="110"/>
                        <w:sz w:val="20"/>
                      </w:rPr>
                      <w:t>la</w:t>
                    </w:r>
                    <w:r>
                      <w:rPr>
                        <w:spacing w:val="-27"/>
                        <w:w w:val="110"/>
                        <w:sz w:val="20"/>
                      </w:rPr>
                      <w:t> </w:t>
                    </w:r>
                    <w:r>
                      <w:rPr>
                        <w:w w:val="110"/>
                        <w:sz w:val="20"/>
                      </w:rPr>
                      <w:t>Fiscalización </w:t>
                    </w:r>
                    <w:r>
                      <w:rPr>
                        <w:spacing w:val="-1"/>
                        <w:w w:val="99"/>
                        <w:sz w:val="20"/>
                      </w:rPr>
                      <w:t>S</w:t>
                    </w:r>
                    <w:r>
                      <w:rPr>
                        <w:w w:val="99"/>
                        <w:sz w:val="20"/>
                      </w:rPr>
                      <w:t>u</w:t>
                    </w:r>
                    <w:r>
                      <w:rPr>
                        <w:spacing w:val="1"/>
                        <w:w w:val="99"/>
                        <w:sz w:val="20"/>
                      </w:rPr>
                      <w:t>p</w:t>
                    </w:r>
                    <w:r>
                      <w:rPr>
                        <w:w w:val="99"/>
                        <w:sz w:val="20"/>
                      </w:rPr>
                      <w:t>eri</w:t>
                    </w:r>
                    <w:r>
                      <w:rPr>
                        <w:spacing w:val="-1"/>
                        <w:w w:val="99"/>
                        <w:sz w:val="20"/>
                      </w:rPr>
                      <w:t>o</w:t>
                    </w:r>
                    <w:r>
                      <w:rPr>
                        <w:w w:val="99"/>
                        <w:sz w:val="20"/>
                      </w:rPr>
                      <w:t>r</w:t>
                    </w:r>
                    <w:r>
                      <w:rPr>
                        <w:spacing w:val="3"/>
                        <w:sz w:val="20"/>
                      </w:rPr>
                      <w:t> </w:t>
                    </w:r>
                    <w:r>
                      <w:rPr>
                        <w:w w:val="99"/>
                        <w:sz w:val="20"/>
                      </w:rPr>
                      <w:t>de</w:t>
                    </w:r>
                    <w:r>
                      <w:rPr>
                        <w:spacing w:val="1"/>
                        <w:sz w:val="20"/>
                      </w:rPr>
                      <w:t> </w:t>
                    </w:r>
                    <w:r>
                      <w:rPr>
                        <w:spacing w:val="-1"/>
                        <w:w w:val="99"/>
                        <w:sz w:val="20"/>
                      </w:rPr>
                      <w:t>l</w:t>
                    </w:r>
                    <w:r>
                      <w:rPr>
                        <w:w w:val="99"/>
                        <w:sz w:val="20"/>
                      </w:rPr>
                      <w:t>as</w:t>
                    </w:r>
                    <w:r>
                      <w:rPr>
                        <w:sz w:val="20"/>
                      </w:rPr>
                      <w:t> </w:t>
                    </w:r>
                    <w:r>
                      <w:rPr>
                        <w:w w:val="99"/>
                        <w:sz w:val="20"/>
                      </w:rPr>
                      <w:t>c</w:t>
                    </w:r>
                    <w:r>
                      <w:rPr>
                        <w:w w:val="99"/>
                        <w:sz w:val="20"/>
                      </w:rPr>
                      <w:t>u</w:t>
                    </w:r>
                    <w:r>
                      <w:rPr>
                        <w:spacing w:val="-1"/>
                        <w:w w:val="99"/>
                        <w:sz w:val="20"/>
                      </w:rPr>
                      <w:t>e</w:t>
                    </w:r>
                    <w:r>
                      <w:rPr>
                        <w:spacing w:val="1"/>
                        <w:w w:val="99"/>
                        <w:sz w:val="20"/>
                      </w:rPr>
                      <w:t>n</w:t>
                    </w:r>
                    <w:r>
                      <w:rPr>
                        <w:w w:val="99"/>
                        <w:sz w:val="20"/>
                      </w:rPr>
                      <w:t>tas</w:t>
                    </w:r>
                    <w:r>
                      <w:rPr>
                        <w:sz w:val="20"/>
                      </w:rPr>
                      <w:t> </w:t>
                    </w:r>
                    <w:r>
                      <w:rPr>
                        <w:w w:val="99"/>
                        <w:sz w:val="20"/>
                      </w:rPr>
                      <w:t>p</w:t>
                    </w:r>
                    <w:r>
                      <w:rPr>
                        <w:spacing w:val="1"/>
                        <w:w w:val="99"/>
                        <w:sz w:val="20"/>
                      </w:rPr>
                      <w:t>ú</w:t>
                    </w:r>
                    <w:r>
                      <w:rPr>
                        <w:spacing w:val="-101"/>
                        <w:w w:val="99"/>
                        <w:sz w:val="20"/>
                      </w:rPr>
                      <w:t>b</w:t>
                    </w:r>
                    <w:r>
                      <w:rPr>
                        <w:b/>
                        <w:spacing w:val="-38"/>
                        <w:w w:val="146"/>
                        <w:position w:val="1"/>
                        <w:sz w:val="13"/>
                      </w:rPr>
                      <w:t>C</w:t>
                    </w:r>
                    <w:r>
                      <w:rPr>
                        <w:spacing w:val="-6"/>
                        <w:w w:val="99"/>
                        <w:sz w:val="20"/>
                      </w:rPr>
                      <w:t>l</w:t>
                    </w:r>
                    <w:r>
                      <w:rPr>
                        <w:b/>
                        <w:spacing w:val="-102"/>
                        <w:w w:val="146"/>
                        <w:position w:val="1"/>
                        <w:sz w:val="13"/>
                      </w:rPr>
                      <w:t>a</w:t>
                    </w:r>
                    <w:r>
                      <w:rPr>
                        <w:spacing w:val="-1"/>
                        <w:w w:val="99"/>
                        <w:sz w:val="20"/>
                      </w:rPr>
                      <w:t>i</w:t>
                    </w:r>
                    <w:r>
                      <w:rPr>
                        <w:spacing w:val="-42"/>
                        <w:w w:val="99"/>
                        <w:sz w:val="20"/>
                      </w:rPr>
                      <w:t>c</w:t>
                    </w:r>
                    <w:r>
                      <w:rPr>
                        <w:b/>
                        <w:spacing w:val="-11"/>
                        <w:w w:val="146"/>
                        <w:position w:val="1"/>
                        <w:sz w:val="13"/>
                      </w:rPr>
                      <w:t>l</w:t>
                    </w:r>
                    <w:r>
                      <w:rPr>
                        <w:spacing w:val="-101"/>
                        <w:w w:val="99"/>
                        <w:sz w:val="20"/>
                      </w:rPr>
                      <w:t>a</w:t>
                    </w:r>
                    <w:r>
                      <w:rPr>
                        <w:b/>
                        <w:w w:val="146"/>
                        <w:position w:val="1"/>
                        <w:sz w:val="13"/>
                      </w:rPr>
                      <w:t>i</w:t>
                    </w:r>
                    <w:r>
                      <w:rPr>
                        <w:b/>
                        <w:spacing w:val="-70"/>
                        <w:w w:val="146"/>
                        <w:position w:val="1"/>
                        <w:sz w:val="13"/>
                      </w:rPr>
                      <w:t>d</w:t>
                    </w:r>
                    <w:r>
                      <w:rPr>
                        <w:spacing w:val="-30"/>
                        <w:w w:val="99"/>
                        <w:sz w:val="20"/>
                      </w:rPr>
                      <w:t>s</w:t>
                    </w:r>
                    <w:r>
                      <w:rPr>
                        <w:b/>
                        <w:spacing w:val="-20"/>
                        <w:w w:val="146"/>
                        <w:position w:val="1"/>
                        <w:sz w:val="13"/>
                      </w:rPr>
                      <w:t>a</w:t>
                    </w:r>
                    <w:r>
                      <w:rPr>
                        <w:spacing w:val="-92"/>
                        <w:w w:val="99"/>
                        <w:sz w:val="20"/>
                      </w:rPr>
                      <w:t>2</w:t>
                    </w:r>
                    <w:r>
                      <w:rPr>
                        <w:b/>
                        <w:spacing w:val="-25"/>
                        <w:w w:val="146"/>
                        <w:position w:val="1"/>
                        <w:sz w:val="13"/>
                      </w:rPr>
                      <w:t>d</w:t>
                    </w:r>
                    <w:r>
                      <w:rPr>
                        <w:spacing w:val="-33"/>
                        <w:w w:val="99"/>
                        <w:sz w:val="20"/>
                      </w:rPr>
                      <w:t>0</w:t>
                    </w:r>
                    <w:r>
                      <w:rPr>
                        <w:b/>
                        <w:spacing w:val="-85"/>
                        <w:w w:val="146"/>
                        <w:position w:val="1"/>
                        <w:sz w:val="13"/>
                      </w:rPr>
                      <w:t>d</w:t>
                    </w:r>
                    <w:r>
                      <w:rPr>
                        <w:spacing w:val="-28"/>
                        <w:w w:val="99"/>
                        <w:sz w:val="20"/>
                      </w:rPr>
                      <w:t>0</w:t>
                    </w:r>
                    <w:r>
                      <w:rPr>
                        <w:b/>
                        <w:spacing w:val="-78"/>
                        <w:w w:val="146"/>
                        <w:position w:val="1"/>
                        <w:sz w:val="13"/>
                      </w:rPr>
                      <w:t>e</w:t>
                    </w:r>
                    <w:r>
                      <w:rPr>
                        <w:spacing w:val="2"/>
                        <w:w w:val="99"/>
                        <w:sz w:val="20"/>
                      </w:rPr>
                      <w:t>8</w:t>
                    </w:r>
                    <w:r>
                      <w:rPr>
                        <w:spacing w:val="-49"/>
                        <w:w w:val="99"/>
                        <w:sz w:val="20"/>
                      </w:rPr>
                      <w:t>-</w:t>
                    </w:r>
                    <w:r>
                      <w:rPr>
                        <w:b/>
                        <w:spacing w:val="-4"/>
                        <w:w w:val="146"/>
                        <w:position w:val="1"/>
                        <w:sz w:val="13"/>
                      </w:rPr>
                      <w:t>l</w:t>
                    </w:r>
                    <w:r>
                      <w:rPr>
                        <w:spacing w:val="-108"/>
                        <w:w w:val="99"/>
                        <w:sz w:val="20"/>
                      </w:rPr>
                      <w:t>2</w:t>
                    </w:r>
                    <w:r>
                      <w:rPr>
                        <w:b/>
                        <w:spacing w:val="1"/>
                        <w:w w:val="146"/>
                        <w:position w:val="1"/>
                        <w:sz w:val="13"/>
                      </w:rPr>
                      <w:t>a</w:t>
                    </w:r>
                    <w:r>
                      <w:rPr>
                        <w:spacing w:val="-59"/>
                        <w:w w:val="99"/>
                        <w:sz w:val="20"/>
                      </w:rPr>
                      <w:t>0</w:t>
                    </w:r>
                    <w:r>
                      <w:rPr>
                        <w:b/>
                        <w:spacing w:val="-91"/>
                        <w:w w:val="146"/>
                        <w:position w:val="1"/>
                        <w:sz w:val="13"/>
                      </w:rPr>
                      <w:t>G</w:t>
                    </w:r>
                    <w:r>
                      <w:rPr>
                        <w:spacing w:val="-21"/>
                        <w:w w:val="99"/>
                        <w:sz w:val="20"/>
                      </w:rPr>
                      <w:t>1</w:t>
                    </w:r>
                    <w:r>
                      <w:rPr>
                        <w:b/>
                        <w:spacing w:val="-84"/>
                        <w:w w:val="146"/>
                        <w:position w:val="1"/>
                        <w:sz w:val="13"/>
                      </w:rPr>
                      <w:t>e</w:t>
                    </w:r>
                    <w:r>
                      <w:rPr>
                        <w:spacing w:val="-28"/>
                        <w:w w:val="99"/>
                        <w:sz w:val="20"/>
                      </w:rPr>
                      <w:t>4</w:t>
                    </w:r>
                    <w:r>
                      <w:rPr>
                        <w:b/>
                        <w:w w:val="146"/>
                        <w:position w:val="1"/>
                        <w:sz w:val="13"/>
                      </w:rPr>
                      <w:t>s</w:t>
                    </w:r>
                    <w:r>
                      <w:rPr>
                        <w:b/>
                        <w:spacing w:val="-1"/>
                        <w:w w:val="146"/>
                        <w:position w:val="1"/>
                        <w:sz w:val="13"/>
                      </w:rPr>
                      <w:t>t</w:t>
                    </w:r>
                    <w:r>
                      <w:rPr>
                        <w:b/>
                        <w:w w:val="146"/>
                        <w:position w:val="1"/>
                        <w:sz w:val="13"/>
                      </w:rPr>
                      <w:t>ion</w:t>
                    </w:r>
                    <w:r>
                      <w:rPr>
                        <w:b/>
                        <w:spacing w:val="16"/>
                        <w:position w:val="1"/>
                        <w:sz w:val="13"/>
                      </w:rPr>
                      <w:t> </w:t>
                    </w:r>
                    <w:r>
                      <w:rPr>
                        <w:b/>
                        <w:spacing w:val="-1"/>
                        <w:w w:val="146"/>
                        <w:position w:val="1"/>
                        <w:sz w:val="13"/>
                      </w:rPr>
                      <w:t>G</w:t>
                    </w:r>
                    <w:r>
                      <w:rPr>
                        <w:b/>
                        <w:w w:val="146"/>
                        <w:position w:val="1"/>
                        <w:sz w:val="13"/>
                      </w:rPr>
                      <w:t>ub</w:t>
                    </w:r>
                    <w:r>
                      <w:rPr>
                        <w:b/>
                        <w:w w:val="146"/>
                        <w:position w:val="1"/>
                        <w:sz w:val="13"/>
                      </w:rPr>
                      <w:t>e</w:t>
                    </w:r>
                    <w:r>
                      <w:rPr>
                        <w:b/>
                        <w:spacing w:val="-1"/>
                        <w:w w:val="146"/>
                        <w:position w:val="1"/>
                        <w:sz w:val="13"/>
                      </w:rPr>
                      <w:t>r</w:t>
                    </w:r>
                    <w:r>
                      <w:rPr>
                        <w:b/>
                        <w:w w:val="146"/>
                        <w:position w:val="1"/>
                        <w:sz w:val="13"/>
                      </w:rPr>
                      <w:t>n</w:t>
                    </w:r>
                    <w:r>
                      <w:rPr>
                        <w:b/>
                        <w:w w:val="146"/>
                        <w:position w:val="1"/>
                        <w:sz w:val="13"/>
                      </w:rPr>
                      <w:t>a</w:t>
                    </w:r>
                    <w:r>
                      <w:rPr>
                        <w:b/>
                        <w:spacing w:val="-1"/>
                        <w:w w:val="146"/>
                        <w:position w:val="1"/>
                        <w:sz w:val="13"/>
                      </w:rPr>
                      <w:t>m</w:t>
                    </w:r>
                    <w:r>
                      <w:rPr>
                        <w:b/>
                        <w:w w:val="146"/>
                        <w:position w:val="1"/>
                        <w:sz w:val="13"/>
                      </w:rPr>
                      <w:t>e</w:t>
                    </w:r>
                    <w:r>
                      <w:rPr>
                        <w:b/>
                        <w:w w:val="146"/>
                        <w:position w:val="1"/>
                        <w:sz w:val="13"/>
                      </w:rPr>
                      <w:t>n</w:t>
                    </w:r>
                    <w:r>
                      <w:rPr>
                        <w:b/>
                        <w:spacing w:val="-1"/>
                        <w:w w:val="146"/>
                        <w:position w:val="1"/>
                        <w:sz w:val="13"/>
                      </w:rPr>
                      <w:t>t</w:t>
                    </w:r>
                    <w:r>
                      <w:rPr>
                        <w:b/>
                        <w:w w:val="146"/>
                        <w:position w:val="1"/>
                        <w:sz w:val="13"/>
                      </w:rPr>
                      <w:t>a</w:t>
                    </w:r>
                    <w:r>
                      <w:rPr>
                        <w:b/>
                        <w:w w:val="146"/>
                        <w:position w:val="1"/>
                        <w:sz w:val="13"/>
                      </w:rPr>
                      <w:t>l</w:t>
                    </w:r>
                  </w:p>
                  <w:p>
                    <w:pPr>
                      <w:spacing w:line="276" w:lineRule="auto" w:before="0"/>
                      <w:ind w:left="2804" w:right="1327" w:hanging="429"/>
                      <w:jc w:val="left"/>
                      <w:rPr>
                        <w:b/>
                        <w:sz w:val="13"/>
                      </w:rPr>
                    </w:pPr>
                    <w:r>
                      <w:rPr>
                        <w:b/>
                        <w:w w:val="145"/>
                        <w:sz w:val="13"/>
                      </w:rPr>
                      <w:t>Controles internos (Manejo y Aplicación) Zacualpan Ejercicio Fiscal 2011</w:t>
                    </w:r>
                  </w:p>
                </w:txbxContent>
              </v:textbox>
              <w10:wrap type="none"/>
            </v:shape>
          </v:group>
        </w:pict>
      </w:r>
      <w:r>
        <w:rPr>
          <w:rFonts w:ascii="Times New Roman"/>
          <w:sz w:val="20"/>
        </w:rPr>
      </w:r>
    </w:p>
    <w:p>
      <w:pPr>
        <w:pStyle w:val="BodyText"/>
        <w:spacing w:before="1" w:after="1"/>
        <w:rPr>
          <w:rFonts w:ascii="Times New Roman"/>
          <w:sz w:val="26"/>
        </w:rPr>
      </w:pPr>
    </w:p>
    <w:tbl>
      <w:tblPr>
        <w:tblW w:w="0" w:type="auto"/>
        <w:jc w:val="left"/>
        <w:tblInd w:w="26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7"/>
        <w:gridCol w:w="2849"/>
      </w:tblGrid>
      <w:tr>
        <w:trPr>
          <w:trHeight w:val="172" w:hRule="exact"/>
        </w:trPr>
        <w:tc>
          <w:tcPr>
            <w:tcW w:w="6096" w:type="dxa"/>
            <w:gridSpan w:val="2"/>
            <w:tcBorders>
              <w:left w:val="single" w:sz="6" w:space="0" w:color="000000"/>
              <w:right w:val="single" w:sz="6" w:space="0" w:color="000000"/>
            </w:tcBorders>
            <w:shd w:val="clear" w:color="auto" w:fill="E6B8B7"/>
          </w:tcPr>
          <w:p>
            <w:pPr>
              <w:pStyle w:val="TableParagraph"/>
              <w:spacing w:before="4"/>
              <w:ind w:left="2802" w:right="2789"/>
              <w:jc w:val="center"/>
              <w:rPr>
                <w:b/>
                <w:sz w:val="13"/>
              </w:rPr>
            </w:pPr>
            <w:r>
              <w:rPr>
                <w:b/>
                <w:w w:val="145"/>
                <w:sz w:val="13"/>
              </w:rPr>
              <w:t>FISM</w:t>
            </w:r>
          </w:p>
        </w:tc>
      </w:tr>
      <w:tr>
        <w:trPr>
          <w:trHeight w:val="173" w:hRule="exact"/>
        </w:trPr>
        <w:tc>
          <w:tcPr>
            <w:tcW w:w="3247" w:type="dxa"/>
            <w:tcBorders>
              <w:left w:val="single" w:sz="6" w:space="0" w:color="000000"/>
              <w:right w:val="single" w:sz="6" w:space="0" w:color="000000"/>
            </w:tcBorders>
            <w:shd w:val="clear" w:color="auto" w:fill="F1DCDB"/>
          </w:tcPr>
          <w:p>
            <w:pPr>
              <w:pStyle w:val="TableParagraph"/>
              <w:spacing w:before="5"/>
              <w:ind w:left="1136" w:right="1123"/>
              <w:jc w:val="center"/>
              <w:rPr>
                <w:b/>
                <w:sz w:val="13"/>
              </w:rPr>
            </w:pPr>
            <w:r>
              <w:rPr>
                <w:b/>
                <w:w w:val="145"/>
                <w:sz w:val="13"/>
              </w:rPr>
              <w:t>Fortalezas</w:t>
            </w:r>
          </w:p>
        </w:tc>
        <w:tc>
          <w:tcPr>
            <w:tcW w:w="2849" w:type="dxa"/>
            <w:tcBorders>
              <w:left w:val="single" w:sz="6" w:space="0" w:color="000000"/>
              <w:right w:val="single" w:sz="6" w:space="0" w:color="000000"/>
            </w:tcBorders>
            <w:shd w:val="clear" w:color="auto" w:fill="F1DCDB"/>
          </w:tcPr>
          <w:p>
            <w:pPr>
              <w:pStyle w:val="TableParagraph"/>
              <w:spacing w:before="5"/>
              <w:ind w:left="887" w:right="20"/>
              <w:rPr>
                <w:b/>
                <w:sz w:val="13"/>
              </w:rPr>
            </w:pPr>
            <w:r>
              <w:rPr>
                <w:b/>
                <w:w w:val="145"/>
                <w:sz w:val="13"/>
              </w:rPr>
              <w:t>Debilidades</w:t>
            </w:r>
          </w:p>
        </w:tc>
      </w:tr>
      <w:tr>
        <w:trPr>
          <w:trHeight w:val="864" w:hRule="exact"/>
        </w:trPr>
        <w:tc>
          <w:tcPr>
            <w:tcW w:w="3247" w:type="dxa"/>
            <w:tcBorders>
              <w:left w:val="single" w:sz="6" w:space="0" w:color="000000"/>
              <w:right w:val="single" w:sz="6" w:space="0" w:color="000000"/>
            </w:tcBorders>
          </w:tcPr>
          <w:p>
            <w:pPr>
              <w:pStyle w:val="TableParagraph"/>
              <w:spacing w:line="136" w:lineRule="auto" w:before="101"/>
              <w:ind w:left="27" w:right="103"/>
              <w:rPr>
                <w:sz w:val="13"/>
              </w:rPr>
            </w:pPr>
            <w:r>
              <w:rPr>
                <w:spacing w:val="-1"/>
                <w:w w:val="146"/>
                <w:sz w:val="13"/>
              </w:rPr>
              <w:t>L</w:t>
            </w:r>
            <w:r>
              <w:rPr>
                <w:w w:val="146"/>
                <w:sz w:val="13"/>
              </w:rPr>
              <w:t>a</w:t>
            </w:r>
            <w:r>
              <w:rPr>
                <w:sz w:val="13"/>
              </w:rPr>
              <w:t> </w:t>
            </w:r>
            <w:r>
              <w:rPr>
                <w:spacing w:val="-1"/>
                <w:w w:val="146"/>
                <w:sz w:val="13"/>
              </w:rPr>
              <w:t>ro</w:t>
            </w:r>
            <w:r>
              <w:rPr>
                <w:spacing w:val="-1"/>
                <w:w w:val="146"/>
                <w:sz w:val="13"/>
              </w:rPr>
              <w:t>t</w:t>
            </w:r>
            <w:r>
              <w:rPr>
                <w:w w:val="146"/>
                <w:sz w:val="13"/>
              </w:rPr>
              <w:t>a</w:t>
            </w:r>
            <w:r>
              <w:rPr>
                <w:spacing w:val="-76"/>
                <w:w w:val="146"/>
                <w:sz w:val="13"/>
              </w:rPr>
              <w:t>c</w:t>
            </w:r>
            <w:r>
              <w:rPr>
                <w:spacing w:val="-86"/>
                <w:w w:val="100"/>
                <w:position w:val="-11"/>
                <w:sz w:val="24"/>
              </w:rPr>
              <w:t>A</w:t>
            </w:r>
            <w:r>
              <w:rPr>
                <w:spacing w:val="1"/>
                <w:w w:val="146"/>
                <w:sz w:val="13"/>
              </w:rPr>
              <w:t>i</w:t>
            </w:r>
            <w:r>
              <w:rPr>
                <w:spacing w:val="-65"/>
                <w:w w:val="146"/>
                <w:sz w:val="13"/>
              </w:rPr>
              <w:t>ó</w:t>
            </w:r>
            <w:r>
              <w:rPr>
                <w:spacing w:val="-70"/>
                <w:w w:val="99"/>
                <w:position w:val="-11"/>
                <w:sz w:val="24"/>
              </w:rPr>
              <w:t>n</w:t>
            </w:r>
            <w:r>
              <w:rPr>
                <w:spacing w:val="-37"/>
                <w:w w:val="146"/>
                <w:sz w:val="13"/>
              </w:rPr>
              <w:t>n</w:t>
            </w:r>
            <w:r>
              <w:rPr>
                <w:spacing w:val="-45"/>
                <w:w w:val="99"/>
                <w:position w:val="-11"/>
                <w:sz w:val="24"/>
              </w:rPr>
              <w:t>e</w:t>
            </w:r>
            <w:r>
              <w:rPr>
                <w:spacing w:val="-61"/>
                <w:w w:val="146"/>
                <w:sz w:val="13"/>
              </w:rPr>
              <w:t>d</w:t>
            </w:r>
            <w:r>
              <w:rPr>
                <w:spacing w:val="-60"/>
                <w:position w:val="-11"/>
                <w:sz w:val="24"/>
              </w:rPr>
              <w:t>x</w:t>
            </w:r>
            <w:r>
              <w:rPr>
                <w:spacing w:val="-50"/>
                <w:w w:val="146"/>
                <w:sz w:val="13"/>
              </w:rPr>
              <w:t>e</w:t>
            </w:r>
            <w:r>
              <w:rPr>
                <w:spacing w:val="-84"/>
                <w:w w:val="99"/>
                <w:position w:val="-11"/>
                <w:sz w:val="24"/>
              </w:rPr>
              <w:t>o</w:t>
            </w:r>
            <w:r>
              <w:rPr>
                <w:w w:val="146"/>
                <w:sz w:val="13"/>
              </w:rPr>
              <w:t>l</w:t>
            </w:r>
            <w:r>
              <w:rPr>
                <w:sz w:val="13"/>
              </w:rPr>
              <w:t> </w:t>
            </w:r>
            <w:r>
              <w:rPr>
                <w:spacing w:val="-51"/>
                <w:w w:val="146"/>
                <w:sz w:val="13"/>
              </w:rPr>
              <w:t>p</w:t>
            </w:r>
            <w:r>
              <w:rPr>
                <w:spacing w:val="-84"/>
                <w:w w:val="99"/>
                <w:position w:val="-11"/>
                <w:sz w:val="24"/>
              </w:rPr>
              <w:t>5</w:t>
            </w:r>
            <w:r>
              <w:rPr>
                <w:spacing w:val="-22"/>
                <w:w w:val="146"/>
                <w:sz w:val="13"/>
              </w:rPr>
              <w:t>e</w:t>
            </w:r>
            <w:r>
              <w:rPr>
                <w:spacing w:val="-112"/>
                <w:w w:val="99"/>
                <w:position w:val="-11"/>
                <w:sz w:val="24"/>
              </w:rPr>
              <w:t>1</w:t>
            </w:r>
            <w:r>
              <w:rPr>
                <w:w w:val="146"/>
                <w:sz w:val="13"/>
              </w:rPr>
              <w:t>r</w:t>
            </w:r>
            <w:r>
              <w:rPr>
                <w:spacing w:val="-2"/>
                <w:w w:val="146"/>
                <w:sz w:val="13"/>
              </w:rPr>
              <w:t>s</w:t>
            </w:r>
            <w:r>
              <w:rPr>
                <w:spacing w:val="2"/>
                <w:w w:val="146"/>
                <w:sz w:val="13"/>
              </w:rPr>
              <w:t>o</w:t>
            </w:r>
            <w:r>
              <w:rPr>
                <w:w w:val="146"/>
                <w:sz w:val="13"/>
              </w:rPr>
              <w:t>n</w:t>
            </w:r>
            <w:r>
              <w:rPr>
                <w:spacing w:val="-1"/>
                <w:w w:val="146"/>
                <w:sz w:val="13"/>
              </w:rPr>
              <w:t>a</w:t>
            </w:r>
            <w:r>
              <w:rPr>
                <w:w w:val="146"/>
                <w:sz w:val="13"/>
              </w:rPr>
              <w:t>l</w:t>
            </w:r>
            <w:r>
              <w:rPr>
                <w:sz w:val="13"/>
              </w:rPr>
              <w:t> </w:t>
            </w:r>
            <w:r>
              <w:rPr>
                <w:w w:val="146"/>
                <w:sz w:val="13"/>
              </w:rPr>
              <w:t>que </w:t>
            </w:r>
            <w:r>
              <w:rPr>
                <w:w w:val="145"/>
                <w:sz w:val="13"/>
              </w:rPr>
              <w:t>interviene en la operación del fondo</w:t>
            </w:r>
          </w:p>
          <w:p>
            <w:pPr>
              <w:pStyle w:val="TableParagraph"/>
              <w:spacing w:line="278" w:lineRule="auto" w:before="34"/>
              <w:ind w:left="28" w:right="103" w:hanging="2"/>
              <w:rPr>
                <w:sz w:val="13"/>
              </w:rPr>
            </w:pPr>
            <w:r>
              <w:rPr>
                <w:w w:val="145"/>
                <w:sz w:val="13"/>
              </w:rPr>
              <w:t>no es relevante, lo que beneficia en la consecución de los objetivos.</w:t>
            </w:r>
          </w:p>
        </w:tc>
        <w:tc>
          <w:tcPr>
            <w:tcW w:w="2849" w:type="dxa"/>
            <w:tcBorders>
              <w:left w:val="single" w:sz="6" w:space="0" w:color="000000"/>
              <w:right w:val="single" w:sz="6" w:space="0" w:color="000000"/>
            </w:tcBorders>
          </w:tcPr>
          <w:p>
            <w:pPr>
              <w:pStyle w:val="TableParagraph"/>
              <w:spacing w:line="278" w:lineRule="auto" w:before="5"/>
              <w:ind w:left="28" w:right="20" w:hanging="2"/>
              <w:rPr>
                <w:sz w:val="13"/>
              </w:rPr>
            </w:pPr>
            <w:r>
              <w:rPr>
                <w:w w:val="145"/>
                <w:sz w:val="13"/>
              </w:rPr>
              <w:t>No se cuenta con un código de conducta.</w:t>
            </w:r>
          </w:p>
        </w:tc>
      </w:tr>
      <w:tr>
        <w:trPr>
          <w:trHeight w:val="1165" w:hRule="exact"/>
        </w:trPr>
        <w:tc>
          <w:tcPr>
            <w:tcW w:w="3247" w:type="dxa"/>
            <w:tcBorders>
              <w:left w:val="single" w:sz="6" w:space="0" w:color="000000"/>
              <w:right w:val="single" w:sz="6" w:space="0" w:color="000000"/>
            </w:tcBorders>
          </w:tcPr>
          <w:p>
            <w:pPr>
              <w:pStyle w:val="TableParagraph"/>
              <w:spacing w:line="276" w:lineRule="auto" w:before="4"/>
              <w:ind w:left="27" w:right="103"/>
              <w:rPr>
                <w:sz w:val="13"/>
              </w:rPr>
            </w:pPr>
            <w:r>
              <w:rPr>
                <w:w w:val="145"/>
                <w:sz w:val="13"/>
              </w:rPr>
              <w:t>Se dispone de mecanismos para abrir una cuenta bancaria específica para los recursos del FISM.</w:t>
            </w:r>
          </w:p>
        </w:tc>
        <w:tc>
          <w:tcPr>
            <w:tcW w:w="2849" w:type="dxa"/>
            <w:tcBorders>
              <w:left w:val="single" w:sz="6" w:space="0" w:color="000000"/>
              <w:right w:val="single" w:sz="6" w:space="0" w:color="000000"/>
            </w:tcBorders>
          </w:tcPr>
          <w:p>
            <w:pPr>
              <w:pStyle w:val="TableParagraph"/>
              <w:spacing w:line="278" w:lineRule="auto" w:before="4"/>
              <w:ind w:left="26" w:right="20" w:firstLine="1"/>
              <w:rPr>
                <w:sz w:val="13"/>
              </w:rPr>
            </w:pPr>
            <w:r>
              <w:rPr>
                <w:w w:val="145"/>
                <w:sz w:val="13"/>
              </w:rPr>
              <w:t>Se dispone de manuales de organización y de procedimientos; sin embargo, no se encuentran publicados en un medio oficial.</w:t>
            </w:r>
          </w:p>
        </w:tc>
      </w:tr>
      <w:tr>
        <w:trPr>
          <w:trHeight w:val="690" w:hRule="exact"/>
        </w:trPr>
        <w:tc>
          <w:tcPr>
            <w:tcW w:w="3247" w:type="dxa"/>
            <w:tcBorders>
              <w:left w:val="single" w:sz="6" w:space="0" w:color="000000"/>
              <w:right w:val="single" w:sz="6" w:space="0" w:color="000000"/>
            </w:tcBorders>
          </w:tcPr>
          <w:p>
            <w:pPr>
              <w:pStyle w:val="TableParagraph"/>
              <w:spacing w:line="276" w:lineRule="auto" w:before="4"/>
              <w:ind w:left="27"/>
              <w:rPr>
                <w:sz w:val="13"/>
              </w:rPr>
            </w:pPr>
            <w:r>
              <w:rPr>
                <w:w w:val="145"/>
                <w:sz w:val="13"/>
              </w:rPr>
              <w:t>Se realizan conciliaciones periódicas de las cifras contables contra las presupuestales.</w:t>
            </w:r>
          </w:p>
        </w:tc>
        <w:tc>
          <w:tcPr>
            <w:tcW w:w="2849" w:type="dxa"/>
            <w:tcBorders>
              <w:left w:val="single" w:sz="6" w:space="0" w:color="000000"/>
              <w:right w:val="single" w:sz="6" w:space="0" w:color="000000"/>
            </w:tcBorders>
          </w:tcPr>
          <w:p>
            <w:pPr>
              <w:pStyle w:val="TableParagraph"/>
              <w:spacing w:line="278" w:lineRule="auto" w:before="4"/>
              <w:ind w:left="27" w:right="20"/>
              <w:rPr>
                <w:sz w:val="13"/>
              </w:rPr>
            </w:pPr>
            <w:r>
              <w:rPr>
                <w:w w:val="145"/>
                <w:sz w:val="13"/>
              </w:rPr>
              <w:t>Se carece de programas de capacitación para el personal.</w:t>
            </w:r>
          </w:p>
        </w:tc>
      </w:tr>
      <w:tr>
        <w:trPr>
          <w:trHeight w:val="1382" w:hRule="exact"/>
        </w:trPr>
        <w:tc>
          <w:tcPr>
            <w:tcW w:w="3247" w:type="dxa"/>
            <w:tcBorders>
              <w:left w:val="single" w:sz="6" w:space="0" w:color="000000"/>
              <w:right w:val="single" w:sz="6" w:space="0" w:color="000000"/>
            </w:tcBorders>
          </w:tcPr>
          <w:p>
            <w:pPr>
              <w:pStyle w:val="TableParagraph"/>
              <w:spacing w:line="276" w:lineRule="auto" w:before="5"/>
              <w:ind w:left="26" w:right="103" w:firstLine="1"/>
              <w:rPr>
                <w:sz w:val="13"/>
              </w:rPr>
            </w:pPr>
            <w:r>
              <w:rPr>
                <w:w w:val="145"/>
                <w:sz w:val="13"/>
              </w:rPr>
              <w:t>La adjudicación de obras se realiza con base en la normativa aplicable.</w:t>
            </w:r>
          </w:p>
        </w:tc>
        <w:tc>
          <w:tcPr>
            <w:tcW w:w="2849" w:type="dxa"/>
            <w:tcBorders>
              <w:left w:val="single" w:sz="6" w:space="0" w:color="000000"/>
              <w:right w:val="single" w:sz="6" w:space="0" w:color="000000"/>
            </w:tcBorders>
          </w:tcPr>
          <w:p>
            <w:pPr>
              <w:pStyle w:val="TableParagraph"/>
              <w:spacing w:line="278" w:lineRule="auto" w:before="5"/>
              <w:ind w:left="26" w:right="21" w:firstLine="1"/>
              <w:rPr>
                <w:sz w:val="13"/>
              </w:rPr>
            </w:pPr>
            <w:r>
              <w:rPr>
                <w:w w:val="145"/>
                <w:sz w:val="13"/>
              </w:rPr>
              <w:t>No se realizaron las evaluaciones con base en indicadores para el cumplimiento de los objetivos del FISM, por lo que no se publicaron en la página de internet del</w:t>
            </w:r>
            <w:r>
              <w:rPr>
                <w:spacing w:val="22"/>
                <w:w w:val="145"/>
                <w:sz w:val="13"/>
              </w:rPr>
              <w:t> </w:t>
            </w:r>
            <w:r>
              <w:rPr>
                <w:w w:val="145"/>
                <w:sz w:val="13"/>
              </w:rPr>
              <w:t>municipio.</w:t>
            </w:r>
          </w:p>
        </w:tc>
      </w:tr>
      <w:tr>
        <w:trPr>
          <w:trHeight w:val="863" w:hRule="exact"/>
        </w:trPr>
        <w:tc>
          <w:tcPr>
            <w:tcW w:w="3247" w:type="dxa"/>
            <w:tcBorders>
              <w:left w:val="single" w:sz="6" w:space="0" w:color="000000"/>
              <w:right w:val="single" w:sz="6" w:space="0" w:color="000000"/>
            </w:tcBorders>
          </w:tcPr>
          <w:p>
            <w:pPr>
              <w:pStyle w:val="TableParagraph"/>
              <w:spacing w:line="278" w:lineRule="auto" w:before="5"/>
              <w:ind w:left="28" w:right="103" w:hanging="2"/>
              <w:rPr>
                <w:sz w:val="13"/>
              </w:rPr>
            </w:pPr>
            <w:r>
              <w:rPr>
                <w:w w:val="145"/>
                <w:sz w:val="13"/>
              </w:rPr>
              <w:t>La información de los recursos del fondo se emite oportuna y adecuadamente para la toma de decisiones.</w:t>
            </w:r>
          </w:p>
        </w:tc>
        <w:tc>
          <w:tcPr>
            <w:tcW w:w="2849" w:type="dxa"/>
            <w:tcBorders>
              <w:left w:val="single" w:sz="6" w:space="0" w:color="000000"/>
              <w:right w:val="single" w:sz="6" w:space="0" w:color="000000"/>
            </w:tcBorders>
          </w:tcPr>
          <w:p>
            <w:pPr>
              <w:pStyle w:val="TableParagraph"/>
              <w:spacing w:line="278" w:lineRule="auto" w:before="5"/>
              <w:ind w:left="26" w:right="41" w:firstLine="1"/>
              <w:rPr>
                <w:sz w:val="13"/>
              </w:rPr>
            </w:pPr>
            <w:r>
              <w:rPr>
                <w:w w:val="145"/>
                <w:sz w:val="13"/>
              </w:rPr>
              <w:t>Se realizaron acciones que no están comprendidas en los rubros previstos por la Ley de Coordinación Fiscal.</w:t>
            </w:r>
          </w:p>
        </w:tc>
      </w:tr>
      <w:tr>
        <w:trPr>
          <w:trHeight w:val="768" w:hRule="exact"/>
        </w:trPr>
        <w:tc>
          <w:tcPr>
            <w:tcW w:w="3247" w:type="dxa"/>
            <w:tcBorders>
              <w:left w:val="single" w:sz="6" w:space="0" w:color="000000"/>
              <w:right w:val="single" w:sz="6" w:space="0" w:color="000000"/>
            </w:tcBorders>
          </w:tcPr>
          <w:p>
            <w:pPr>
              <w:pStyle w:val="TableParagraph"/>
              <w:spacing w:line="278" w:lineRule="auto" w:before="5"/>
              <w:ind w:left="26" w:right="93" w:firstLine="1"/>
              <w:rPr>
                <w:sz w:val="13"/>
              </w:rPr>
            </w:pPr>
            <w:r>
              <w:rPr>
                <w:w w:val="145"/>
                <w:sz w:val="13"/>
              </w:rPr>
              <w:t>Se dispone de mecanismos adecuados para realizar la difusión de la información de los recursos del fondo a la población.</w:t>
            </w:r>
          </w:p>
        </w:tc>
        <w:tc>
          <w:tcPr>
            <w:tcW w:w="2849" w:type="dxa"/>
            <w:tcBorders>
              <w:left w:val="single" w:sz="6" w:space="0" w:color="000000"/>
              <w:right w:val="single" w:sz="6" w:space="0" w:color="000000"/>
            </w:tcBorders>
          </w:tcPr>
          <w:p>
            <w:pPr>
              <w:pStyle w:val="TableParagraph"/>
              <w:spacing w:line="278" w:lineRule="auto" w:before="5"/>
              <w:ind w:left="27" w:right="20"/>
              <w:rPr>
                <w:sz w:val="13"/>
              </w:rPr>
            </w:pPr>
            <w:r>
              <w:rPr>
                <w:w w:val="145"/>
                <w:sz w:val="13"/>
              </w:rPr>
              <w:t>Los recursos del fondo no se ejercieron en su totalidad en el ejercicio fiscal que fueron aprobados.</w:t>
            </w:r>
          </w:p>
        </w:tc>
      </w:tr>
    </w:tbl>
    <w:p>
      <w:pPr>
        <w:spacing w:after="0" w:line="278" w:lineRule="auto"/>
        <w:rPr>
          <w:sz w:val="13"/>
        </w:rPr>
        <w:sectPr>
          <w:pgSz w:w="15840" w:h="12240" w:orient="landscape"/>
          <w:pgMar w:header="0" w:footer="992" w:top="1140" w:bottom="1180" w:left="2260" w:right="2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before="3"/>
        <w:rPr>
          <w:rFonts w:ascii="Times New Roman"/>
          <w:sz w:val="8"/>
        </w:rPr>
      </w:pPr>
    </w:p>
    <w:p>
      <w:pPr>
        <w:spacing w:line="285" w:lineRule="auto" w:before="0"/>
        <w:ind w:left="4648" w:right="4431" w:hanging="1"/>
        <w:jc w:val="center"/>
        <w:rPr>
          <w:b/>
          <w:sz w:val="8"/>
        </w:rPr>
      </w:pPr>
      <w:r>
        <w:rPr/>
        <w:pict>
          <v:shape style="position:absolute;margin-left:248.254883pt;margin-top:30.266157pt;width:172.95pt;height:10pt;mso-position-horizontal-relative:page;mso-position-vertical-relative:paragraph;z-index:-676048" type="#_x0000_t202" filled="false" stroked="false">
            <v:textbox inset="0,0,0,0">
              <w:txbxContent>
                <w:p>
                  <w:pPr>
                    <w:spacing w:line="199" w:lineRule="exact" w:before="0"/>
                    <w:ind w:left="17" w:right="0" w:firstLine="0"/>
                    <w:jc w:val="left"/>
                    <w:rPr>
                      <w:sz w:val="20"/>
                    </w:rPr>
                  </w:pPr>
                  <w:r>
                    <w:rPr>
                      <w:sz w:val="20"/>
                    </w:rPr>
                    <w:t>de la Fiscalización Superior de las cue</w:t>
                  </w:r>
                </w:p>
              </w:txbxContent>
            </v:textbox>
            <w10:wrap type="none"/>
          </v:shape>
        </w:pict>
      </w:r>
      <w:r>
        <w:rPr/>
        <w:pict>
          <v:shape style="position:absolute;margin-left:419.597351pt;margin-top:30.266157pt;width:134.6pt;height:10pt;mso-position-horizontal-relative:page;mso-position-vertical-relative:paragraph;z-index:-676024" type="#_x0000_t202" filled="false" stroked="false">
            <v:textbox inset="0,0,0,0">
              <w:txbxContent>
                <w:p>
                  <w:pPr>
                    <w:spacing w:line="199" w:lineRule="exact" w:before="0"/>
                    <w:ind w:left="0" w:right="0" w:firstLine="0"/>
                    <w:jc w:val="left"/>
                    <w:rPr>
                      <w:sz w:val="20"/>
                    </w:rPr>
                  </w:pPr>
                  <w:r>
                    <w:rPr>
                      <w:sz w:val="20"/>
                    </w:rPr>
                    <w:t>ntas públicas 2008-2014</w:t>
                  </w:r>
                </w:p>
              </w:txbxContent>
            </v:textbox>
            <w10:wrap type="none"/>
          </v:shape>
        </w:pict>
      </w:r>
      <w:r>
        <w:rPr/>
        <w:pict>
          <v:group style="position:absolute;margin-left:241.919998pt;margin-top:15.849571pt;width:315pt;height:39.75pt;mso-position-horizontal-relative:page;mso-position-vertical-relative:paragraph;z-index:-675976" coordorigin="4838,317" coordsize="6300,795">
            <v:shape style="position:absolute;left:4838;top:354;width:6300;height:758" type="#_x0000_t75" stroked="false">
              <v:imagedata r:id="rId182" o:title=""/>
            </v:shape>
            <v:shape style="position:absolute;left:4965;top:320;width:6119;height:2" coordorigin="4965,320" coordsize="6119,0" path="m4965,320l4965,320,11084,320e" filled="false" stroked="true" strokeweight=".33303pt" strokecolor="#000000">
              <v:path arrowok="t"/>
            </v:shape>
            <v:shape style="position:absolute;left:4838;top:317;width:6300;height:795" type="#_x0000_t202" filled="false" stroked="false">
              <v:textbox inset="0,0,0,0">
                <w:txbxContent>
                  <w:p>
                    <w:pPr>
                      <w:spacing w:before="31"/>
                      <w:ind w:left="144" w:right="94" w:firstLine="0"/>
                      <w:jc w:val="left"/>
                      <w:rPr>
                        <w:sz w:val="20"/>
                      </w:rPr>
                    </w:pPr>
                    <w:r>
                      <w:rPr>
                        <w:b/>
                        <w:sz w:val="20"/>
                      </w:rPr>
                      <w:t>Fuente</w:t>
                    </w:r>
                    <w:r>
                      <w:rPr>
                        <w:sz w:val="20"/>
                      </w:rPr>
                      <w:t>: Elaboración propia con base en el Informe de   Resultados</w:t>
                    </w:r>
                  </w:p>
                </w:txbxContent>
              </v:textbox>
              <w10:wrap type="none"/>
            </v:shape>
            <w10:wrap type="none"/>
          </v:group>
        </w:pict>
      </w:r>
      <w:r>
        <w:rPr>
          <w:b/>
          <w:w w:val="135"/>
          <w:sz w:val="8"/>
        </w:rPr>
        <w:t>Calidad de la Gestión Gubernamental Controles Internos (Manejo y Aplicación) Atizapán de Zaragoza Ejercicio Fiscal 2012</w:t>
      </w:r>
    </w:p>
    <w:p>
      <w:pPr>
        <w:pStyle w:val="BodyText"/>
        <w:spacing w:before="1"/>
        <w:rPr>
          <w:b/>
          <w:sz w:val="18"/>
        </w:rPr>
      </w:pPr>
    </w:p>
    <w:tbl>
      <w:tblPr>
        <w:tblW w:w="0" w:type="auto"/>
        <w:jc w:val="left"/>
        <w:tblInd w:w="27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16"/>
        <w:gridCol w:w="1640"/>
        <w:gridCol w:w="1349"/>
        <w:gridCol w:w="1311"/>
      </w:tblGrid>
      <w:tr>
        <w:trPr>
          <w:trHeight w:val="110" w:hRule="exact"/>
        </w:trPr>
        <w:tc>
          <w:tcPr>
            <w:tcW w:w="3456" w:type="dxa"/>
            <w:gridSpan w:val="2"/>
            <w:tcBorders>
              <w:left w:val="single" w:sz="3" w:space="0" w:color="000000"/>
              <w:right w:val="single" w:sz="3" w:space="0" w:color="000000"/>
            </w:tcBorders>
            <w:shd w:val="clear" w:color="auto" w:fill="E6B8B7"/>
          </w:tcPr>
          <w:p>
            <w:pPr>
              <w:pStyle w:val="TableParagraph"/>
              <w:spacing w:before="5"/>
              <w:ind w:left="1578" w:right="1570"/>
              <w:jc w:val="center"/>
              <w:rPr>
                <w:b/>
                <w:sz w:val="8"/>
              </w:rPr>
            </w:pPr>
            <w:r>
              <w:rPr>
                <w:b/>
                <w:w w:val="135"/>
                <w:sz w:val="8"/>
              </w:rPr>
              <w:t>FISM</w:t>
            </w:r>
          </w:p>
        </w:tc>
        <w:tc>
          <w:tcPr>
            <w:tcW w:w="2659" w:type="dxa"/>
            <w:gridSpan w:val="2"/>
            <w:tcBorders>
              <w:left w:val="single" w:sz="3" w:space="0" w:color="000000"/>
              <w:right w:val="single" w:sz="3" w:space="0" w:color="000000"/>
            </w:tcBorders>
            <w:shd w:val="clear" w:color="auto" w:fill="E6B8B7"/>
          </w:tcPr>
          <w:p>
            <w:pPr>
              <w:pStyle w:val="TableParagraph"/>
              <w:spacing w:before="5"/>
              <w:ind w:left="929" w:right="919"/>
              <w:jc w:val="center"/>
              <w:rPr>
                <w:b/>
                <w:sz w:val="8"/>
              </w:rPr>
            </w:pPr>
            <w:r>
              <w:rPr>
                <w:b/>
                <w:w w:val="135"/>
                <w:sz w:val="8"/>
              </w:rPr>
              <w:t>FORTAMUNDF</w:t>
            </w:r>
          </w:p>
        </w:tc>
      </w:tr>
      <w:tr>
        <w:trPr>
          <w:trHeight w:val="110" w:hRule="exact"/>
        </w:trPr>
        <w:tc>
          <w:tcPr>
            <w:tcW w:w="1816" w:type="dxa"/>
            <w:tcBorders>
              <w:left w:val="single" w:sz="3" w:space="0" w:color="000000"/>
              <w:right w:val="single" w:sz="3" w:space="0" w:color="000000"/>
            </w:tcBorders>
            <w:shd w:val="clear" w:color="auto" w:fill="F1DCDB"/>
          </w:tcPr>
          <w:p>
            <w:pPr>
              <w:pStyle w:val="TableParagraph"/>
              <w:spacing w:before="6"/>
              <w:ind w:left="648" w:right="644"/>
              <w:jc w:val="center"/>
              <w:rPr>
                <w:b/>
                <w:sz w:val="8"/>
              </w:rPr>
            </w:pPr>
            <w:r>
              <w:rPr>
                <w:b/>
                <w:w w:val="135"/>
                <w:sz w:val="8"/>
              </w:rPr>
              <w:t>Fortaleza</w:t>
            </w:r>
          </w:p>
        </w:tc>
        <w:tc>
          <w:tcPr>
            <w:tcW w:w="1640" w:type="dxa"/>
            <w:tcBorders>
              <w:left w:val="single" w:sz="3" w:space="0" w:color="000000"/>
              <w:right w:val="single" w:sz="3" w:space="0" w:color="000000"/>
            </w:tcBorders>
            <w:shd w:val="clear" w:color="auto" w:fill="F1DCDB"/>
          </w:tcPr>
          <w:p>
            <w:pPr>
              <w:pStyle w:val="TableParagraph"/>
              <w:spacing w:before="6"/>
              <w:ind w:left="510"/>
              <w:rPr>
                <w:b/>
                <w:sz w:val="8"/>
              </w:rPr>
            </w:pPr>
            <w:r>
              <w:rPr>
                <w:b/>
                <w:w w:val="135"/>
                <w:sz w:val="8"/>
              </w:rPr>
              <w:t>Debilidades</w:t>
            </w:r>
          </w:p>
        </w:tc>
        <w:tc>
          <w:tcPr>
            <w:tcW w:w="1349" w:type="dxa"/>
            <w:tcBorders>
              <w:left w:val="single" w:sz="3" w:space="0" w:color="000000"/>
              <w:right w:val="single" w:sz="3" w:space="0" w:color="000000"/>
            </w:tcBorders>
            <w:shd w:val="clear" w:color="auto" w:fill="F1DCDB"/>
          </w:tcPr>
          <w:p>
            <w:pPr>
              <w:pStyle w:val="TableParagraph"/>
              <w:spacing w:before="6"/>
              <w:ind w:left="401"/>
              <w:rPr>
                <w:b/>
                <w:sz w:val="8"/>
              </w:rPr>
            </w:pPr>
            <w:r>
              <w:rPr>
                <w:b/>
                <w:w w:val="135"/>
                <w:sz w:val="8"/>
              </w:rPr>
              <w:t>Fortalezas</w:t>
            </w:r>
          </w:p>
        </w:tc>
        <w:tc>
          <w:tcPr>
            <w:tcW w:w="1311" w:type="dxa"/>
            <w:tcBorders>
              <w:left w:val="single" w:sz="3" w:space="0" w:color="000000"/>
              <w:right w:val="single" w:sz="3" w:space="0" w:color="000000"/>
            </w:tcBorders>
            <w:shd w:val="clear" w:color="auto" w:fill="F1DCDB"/>
          </w:tcPr>
          <w:p>
            <w:pPr>
              <w:pStyle w:val="TableParagraph"/>
              <w:spacing w:before="6"/>
              <w:ind w:left="346"/>
              <w:rPr>
                <w:b/>
                <w:sz w:val="8"/>
              </w:rPr>
            </w:pPr>
            <w:r>
              <w:rPr>
                <w:b/>
                <w:w w:val="135"/>
                <w:sz w:val="8"/>
              </w:rPr>
              <w:t>Debilidades</w:t>
            </w:r>
          </w:p>
        </w:tc>
      </w:tr>
      <w:tr>
        <w:trPr>
          <w:trHeight w:val="112" w:hRule="exact"/>
        </w:trPr>
        <w:tc>
          <w:tcPr>
            <w:tcW w:w="1816" w:type="dxa"/>
            <w:tcBorders>
              <w:left w:val="single" w:sz="3" w:space="0" w:color="000000"/>
              <w:bottom w:val="nil"/>
              <w:right w:val="single" w:sz="3" w:space="0" w:color="000000"/>
            </w:tcBorders>
          </w:tcPr>
          <w:p>
            <w:pPr>
              <w:pStyle w:val="TableParagraph"/>
              <w:spacing w:before="5"/>
              <w:ind w:left="16"/>
              <w:rPr>
                <w:sz w:val="8"/>
              </w:rPr>
            </w:pPr>
            <w:r>
              <w:rPr>
                <w:w w:val="135"/>
                <w:sz w:val="8"/>
              </w:rPr>
              <w:t>El municipio cuenta con los Códigos</w:t>
            </w:r>
          </w:p>
        </w:tc>
        <w:tc>
          <w:tcPr>
            <w:tcW w:w="1640" w:type="dxa"/>
            <w:tcBorders>
              <w:left w:val="single" w:sz="3" w:space="0" w:color="000000"/>
              <w:bottom w:val="nil"/>
              <w:right w:val="single" w:sz="3" w:space="0" w:color="000000"/>
            </w:tcBorders>
          </w:tcPr>
          <w:p>
            <w:pPr>
              <w:pStyle w:val="TableParagraph"/>
              <w:spacing w:before="5"/>
              <w:ind w:left="15"/>
              <w:rPr>
                <w:sz w:val="8"/>
              </w:rPr>
            </w:pPr>
            <w:r>
              <w:rPr>
                <w:w w:val="135"/>
                <w:sz w:val="8"/>
              </w:rPr>
              <w:t>Falta de mecanismos de control</w:t>
            </w:r>
          </w:p>
        </w:tc>
        <w:tc>
          <w:tcPr>
            <w:tcW w:w="1349" w:type="dxa"/>
            <w:tcBorders>
              <w:left w:val="single" w:sz="3" w:space="0" w:color="000000"/>
              <w:bottom w:val="nil"/>
              <w:right w:val="single" w:sz="3" w:space="0" w:color="000000"/>
            </w:tcBorders>
          </w:tcPr>
          <w:p>
            <w:pPr>
              <w:pStyle w:val="TableParagraph"/>
              <w:spacing w:before="5"/>
              <w:ind w:left="16"/>
              <w:rPr>
                <w:sz w:val="8"/>
              </w:rPr>
            </w:pPr>
            <w:r>
              <w:rPr>
                <w:w w:val="135"/>
                <w:sz w:val="8"/>
              </w:rPr>
              <w:t>El municipio dispone de un</w:t>
            </w:r>
          </w:p>
        </w:tc>
        <w:tc>
          <w:tcPr>
            <w:tcW w:w="1311" w:type="dxa"/>
            <w:tcBorders>
              <w:left w:val="single" w:sz="3" w:space="0" w:color="000000"/>
              <w:bottom w:val="nil"/>
              <w:right w:val="single" w:sz="3" w:space="0" w:color="000000"/>
            </w:tcBorders>
          </w:tcPr>
          <w:p>
            <w:pPr>
              <w:pStyle w:val="TableParagraph"/>
              <w:spacing w:before="5"/>
              <w:ind w:left="16"/>
              <w:rPr>
                <w:sz w:val="8"/>
              </w:rPr>
            </w:pPr>
            <w:r>
              <w:rPr>
                <w:w w:val="135"/>
                <w:sz w:val="8"/>
              </w:rPr>
              <w:t>No se tiene documentado</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de Ética y Conducta, los cuales</w:t>
            </w:r>
          </w:p>
        </w:tc>
        <w:tc>
          <w:tcPr>
            <w:tcW w:w="1640" w:type="dxa"/>
            <w:tcBorders>
              <w:top w:val="nil"/>
              <w:left w:val="single" w:sz="3" w:space="0" w:color="000000"/>
              <w:bottom w:val="nil"/>
              <w:right w:val="single" w:sz="3" w:space="0" w:color="000000"/>
            </w:tcBorders>
          </w:tcPr>
          <w:p>
            <w:pPr>
              <w:pStyle w:val="TableParagraph"/>
              <w:spacing w:before="6"/>
              <w:ind w:left="14"/>
              <w:rPr>
                <w:sz w:val="8"/>
              </w:rPr>
            </w:pPr>
            <w:r>
              <w:rPr>
                <w:w w:val="135"/>
                <w:sz w:val="8"/>
              </w:rPr>
              <w:t>para garantizar que todas las</w:t>
            </w:r>
          </w:p>
        </w:tc>
        <w:tc>
          <w:tcPr>
            <w:tcW w:w="1349"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Código de Conducta y de</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que las metas y objetivos</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establecen los valores que se</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obras se encuentren terminadas,</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Ética que establece los</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del fondo se evalúan.</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deben aplicar en el desempeño de</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en operación y que otorguen los</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valores que se deben</w:t>
            </w:r>
          </w:p>
        </w:tc>
        <w:tc>
          <w:tcPr>
            <w:tcW w:w="1311" w:type="dxa"/>
            <w:tcBorders>
              <w:top w:val="nil"/>
              <w:left w:val="single" w:sz="3" w:space="0" w:color="000000"/>
              <w:bottom w:val="nil"/>
              <w:right w:val="single" w:sz="3" w:space="0" w:color="000000"/>
            </w:tcBorders>
          </w:tcPr>
          <w:p>
            <w:pP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las actividades como servidores</w:t>
            </w:r>
          </w:p>
        </w:tc>
        <w:tc>
          <w:tcPr>
            <w:tcW w:w="1640"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beneficios previstos a la</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aplicar en el desempeño</w:t>
            </w:r>
          </w:p>
        </w:tc>
        <w:tc>
          <w:tcPr>
            <w:tcW w:w="1311" w:type="dxa"/>
            <w:tcBorders>
              <w:top w:val="nil"/>
              <w:left w:val="single" w:sz="3" w:space="0" w:color="000000"/>
              <w:bottom w:val="nil"/>
              <w:right w:val="single" w:sz="3" w:space="0" w:color="000000"/>
            </w:tcBorders>
          </w:tcPr>
          <w:p>
            <w:pP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públicos y que son difundidos a todo</w:t>
            </w:r>
          </w:p>
        </w:tc>
        <w:tc>
          <w:tcPr>
            <w:tcW w:w="1640" w:type="dxa"/>
            <w:tcBorders>
              <w:top w:val="nil"/>
              <w:left w:val="single" w:sz="3" w:space="0" w:color="000000"/>
              <w:bottom w:val="nil"/>
              <w:right w:val="single" w:sz="3" w:space="0" w:color="000000"/>
            </w:tcBorders>
          </w:tcPr>
          <w:p>
            <w:pPr>
              <w:pStyle w:val="TableParagraph"/>
              <w:spacing w:before="7"/>
              <w:ind w:left="15"/>
              <w:rPr>
                <w:sz w:val="8"/>
              </w:rPr>
            </w:pPr>
            <w:r>
              <w:rPr>
                <w:w w:val="135"/>
                <w:sz w:val="8"/>
              </w:rPr>
              <w:t>población.</w:t>
            </w:r>
          </w:p>
        </w:tc>
        <w:tc>
          <w:tcPr>
            <w:tcW w:w="1349" w:type="dxa"/>
            <w:tcBorders>
              <w:top w:val="nil"/>
              <w:left w:val="single" w:sz="3" w:space="0" w:color="000000"/>
              <w:bottom w:val="nil"/>
              <w:right w:val="single" w:sz="3" w:space="0" w:color="000000"/>
            </w:tcBorders>
          </w:tcPr>
          <w:p>
            <w:pPr>
              <w:pStyle w:val="TableParagraph"/>
              <w:spacing w:before="7"/>
              <w:ind w:left="17"/>
              <w:rPr>
                <w:sz w:val="8"/>
              </w:rPr>
            </w:pPr>
            <w:r>
              <w:rPr>
                <w:w w:val="135"/>
                <w:sz w:val="8"/>
              </w:rPr>
              <w:t>de las actividades como</w:t>
            </w:r>
          </w:p>
        </w:tc>
        <w:tc>
          <w:tcPr>
            <w:tcW w:w="1311" w:type="dxa"/>
            <w:tcBorders>
              <w:top w:val="nil"/>
              <w:left w:val="single" w:sz="3" w:space="0" w:color="000000"/>
              <w:bottom w:val="nil"/>
              <w:right w:val="single" w:sz="3" w:space="0" w:color="000000"/>
            </w:tcBorders>
          </w:tcPr>
          <w:p>
            <w:pPr/>
          </w:p>
        </w:tc>
      </w:tr>
      <w:tr>
        <w:trPr>
          <w:trHeight w:val="329" w:hRule="exact"/>
        </w:trPr>
        <w:tc>
          <w:tcPr>
            <w:tcW w:w="1816" w:type="dxa"/>
            <w:tcBorders>
              <w:top w:val="nil"/>
              <w:left w:val="single" w:sz="3" w:space="0" w:color="000000"/>
              <w:bottom w:val="nil"/>
              <w:right w:val="single" w:sz="3" w:space="0" w:color="000000"/>
            </w:tcBorders>
          </w:tcPr>
          <w:p>
            <w:pPr>
              <w:pStyle w:val="TableParagraph"/>
              <w:spacing w:line="41" w:lineRule="exact" w:before="6"/>
              <w:ind w:left="15"/>
              <w:rPr>
                <w:sz w:val="8"/>
              </w:rPr>
            </w:pPr>
            <w:r>
              <w:rPr>
                <w:w w:val="135"/>
                <w:sz w:val="8"/>
              </w:rPr>
              <w:t>el personal por medio de su página</w:t>
            </w:r>
          </w:p>
          <w:p>
            <w:pPr>
              <w:pStyle w:val="TableParagraph"/>
              <w:spacing w:line="225" w:lineRule="exact"/>
              <w:ind w:left="15"/>
              <w:rPr>
                <w:sz w:val="24"/>
              </w:rPr>
            </w:pPr>
            <w:r>
              <w:rPr>
                <w:w w:val="136"/>
                <w:sz w:val="8"/>
              </w:rPr>
              <w:t>de</w:t>
            </w:r>
            <w:r>
              <w:rPr>
                <w:spacing w:val="9"/>
                <w:sz w:val="8"/>
              </w:rPr>
              <w:t> </w:t>
            </w:r>
            <w:r>
              <w:rPr>
                <w:spacing w:val="-7"/>
                <w:w w:val="136"/>
                <w:sz w:val="8"/>
              </w:rPr>
              <w:t>I</w:t>
            </w:r>
            <w:r>
              <w:rPr>
                <w:spacing w:val="-155"/>
                <w:w w:val="100"/>
                <w:position w:val="-2"/>
                <w:sz w:val="24"/>
              </w:rPr>
              <w:t>A</w:t>
            </w:r>
            <w:r>
              <w:rPr>
                <w:w w:val="136"/>
                <w:sz w:val="8"/>
              </w:rPr>
              <w:t>n</w:t>
            </w:r>
            <w:r>
              <w:rPr>
                <w:spacing w:val="-1"/>
                <w:w w:val="136"/>
                <w:sz w:val="8"/>
              </w:rPr>
              <w:t>t</w:t>
            </w:r>
            <w:r>
              <w:rPr>
                <w:w w:val="136"/>
                <w:sz w:val="8"/>
              </w:rPr>
              <w:t>e</w:t>
            </w:r>
            <w:r>
              <w:rPr>
                <w:spacing w:val="-35"/>
                <w:w w:val="136"/>
                <w:sz w:val="8"/>
              </w:rPr>
              <w:t>r</w:t>
            </w:r>
            <w:r>
              <w:rPr>
                <w:spacing w:val="-100"/>
                <w:w w:val="99"/>
                <w:position w:val="-2"/>
                <w:sz w:val="24"/>
              </w:rPr>
              <w:t>n</w:t>
            </w:r>
            <w:r>
              <w:rPr>
                <w:spacing w:val="1"/>
                <w:w w:val="136"/>
                <w:sz w:val="8"/>
              </w:rPr>
              <w:t>n</w:t>
            </w:r>
            <w:r>
              <w:rPr>
                <w:spacing w:val="-23"/>
                <w:w w:val="136"/>
                <w:sz w:val="8"/>
              </w:rPr>
              <w:t>e</w:t>
            </w:r>
            <w:r>
              <w:rPr>
                <w:spacing w:val="-111"/>
                <w:w w:val="99"/>
                <w:position w:val="-2"/>
                <w:sz w:val="24"/>
              </w:rPr>
              <w:t>e</w:t>
            </w:r>
            <w:r>
              <w:rPr>
                <w:w w:val="136"/>
                <w:sz w:val="8"/>
              </w:rPr>
              <w:t>t.</w:t>
            </w:r>
            <w:r>
              <w:rPr>
                <w:sz w:val="8"/>
              </w:rPr>
              <w:t> </w:t>
            </w:r>
            <w:r>
              <w:rPr>
                <w:spacing w:val="5"/>
                <w:sz w:val="8"/>
              </w:rPr>
              <w:t> </w:t>
            </w:r>
            <w:r>
              <w:rPr>
                <w:spacing w:val="-3"/>
                <w:position w:val="-2"/>
                <w:sz w:val="24"/>
              </w:rPr>
              <w:t>x</w:t>
            </w:r>
            <w:r>
              <w:rPr>
                <w:w w:val="99"/>
                <w:position w:val="-2"/>
                <w:sz w:val="24"/>
              </w:rPr>
              <w:t>o</w:t>
            </w:r>
            <w:r>
              <w:rPr>
                <w:position w:val="-2"/>
                <w:sz w:val="24"/>
              </w:rPr>
              <w:t> </w:t>
            </w:r>
            <w:r>
              <w:rPr>
                <w:spacing w:val="1"/>
                <w:w w:val="99"/>
                <w:position w:val="-2"/>
                <w:sz w:val="24"/>
              </w:rPr>
              <w:t>5</w:t>
            </w:r>
            <w:r>
              <w:rPr>
                <w:spacing w:val="-2"/>
                <w:w w:val="99"/>
                <w:position w:val="-2"/>
                <w:sz w:val="24"/>
              </w:rPr>
              <w:t>2</w:t>
            </w:r>
            <w:r>
              <w:rPr>
                <w:w w:val="100"/>
                <w:position w:val="-2"/>
                <w:sz w:val="24"/>
              </w:rPr>
              <w:t>.</w:t>
            </w: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Style w:val="TableParagraph"/>
              <w:spacing w:line="285" w:lineRule="auto" w:before="6"/>
              <w:ind w:left="15" w:right="48"/>
              <w:rPr>
                <w:sz w:val="8"/>
              </w:rPr>
            </w:pPr>
            <w:r>
              <w:rPr>
                <w:w w:val="135"/>
                <w:sz w:val="8"/>
              </w:rPr>
              <w:t>servidor público y es difundido a todo el personal por medio de su</w:t>
            </w:r>
          </w:p>
        </w:tc>
        <w:tc>
          <w:tcPr>
            <w:tcW w:w="1311" w:type="dxa"/>
            <w:tcBorders>
              <w:top w:val="nil"/>
              <w:left w:val="single" w:sz="3" w:space="0" w:color="000000"/>
              <w:bottom w:val="nil"/>
              <w:right w:val="single" w:sz="3" w:space="0" w:color="000000"/>
            </w:tcBorders>
          </w:tcPr>
          <w:p>
            <w:pPr/>
          </w:p>
        </w:tc>
      </w:tr>
      <w:tr>
        <w:trPr>
          <w:trHeight w:val="218" w:hRule="exact"/>
        </w:trPr>
        <w:tc>
          <w:tcPr>
            <w:tcW w:w="1816" w:type="dxa"/>
            <w:tcBorders>
              <w:top w:val="nil"/>
              <w:left w:val="single" w:sz="3" w:space="0" w:color="000000"/>
              <w:right w:val="single" w:sz="3" w:space="0" w:color="000000"/>
            </w:tcBorders>
          </w:tcPr>
          <w:p>
            <w:pPr/>
          </w:p>
        </w:tc>
        <w:tc>
          <w:tcPr>
            <w:tcW w:w="1640" w:type="dxa"/>
            <w:tcBorders>
              <w:top w:val="nil"/>
              <w:left w:val="single" w:sz="3" w:space="0" w:color="000000"/>
              <w:right w:val="single" w:sz="3" w:space="0" w:color="000000"/>
            </w:tcBorders>
          </w:tcPr>
          <w:p>
            <w:pPr/>
          </w:p>
        </w:tc>
        <w:tc>
          <w:tcPr>
            <w:tcW w:w="1349" w:type="dxa"/>
            <w:tcBorders>
              <w:top w:val="nil"/>
              <w:left w:val="single" w:sz="3" w:space="0" w:color="000000"/>
              <w:right w:val="single" w:sz="3" w:space="0" w:color="000000"/>
            </w:tcBorders>
          </w:tcPr>
          <w:p>
            <w:pPr>
              <w:pStyle w:val="TableParagraph"/>
              <w:spacing w:before="6"/>
              <w:ind w:left="17"/>
              <w:rPr>
                <w:sz w:val="8"/>
              </w:rPr>
            </w:pPr>
            <w:r>
              <w:rPr>
                <w:w w:val="135"/>
                <w:sz w:val="8"/>
              </w:rPr>
              <w:t>página de Internet.</w:t>
            </w:r>
          </w:p>
        </w:tc>
        <w:tc>
          <w:tcPr>
            <w:tcW w:w="1311" w:type="dxa"/>
            <w:tcBorders>
              <w:top w:val="nil"/>
              <w:left w:val="single" w:sz="3" w:space="0" w:color="000000"/>
              <w:right w:val="single" w:sz="3" w:space="0" w:color="000000"/>
            </w:tcBorders>
          </w:tcPr>
          <w:p>
            <w:pPr/>
          </w:p>
        </w:tc>
      </w:tr>
      <w:tr>
        <w:trPr>
          <w:trHeight w:val="112" w:hRule="exact"/>
        </w:trPr>
        <w:tc>
          <w:tcPr>
            <w:tcW w:w="1816" w:type="dxa"/>
            <w:tcBorders>
              <w:left w:val="single" w:sz="3" w:space="0" w:color="000000"/>
              <w:bottom w:val="nil"/>
              <w:right w:val="single" w:sz="3" w:space="0" w:color="000000"/>
            </w:tcBorders>
          </w:tcPr>
          <w:p>
            <w:pPr>
              <w:pStyle w:val="TableParagraph"/>
              <w:spacing w:before="5"/>
              <w:ind w:left="16"/>
              <w:rPr>
                <w:sz w:val="8"/>
              </w:rPr>
            </w:pPr>
            <w:r>
              <w:rPr>
                <w:w w:val="135"/>
                <w:sz w:val="8"/>
              </w:rPr>
              <w:t>El municipio tiene a disposición del</w:t>
            </w:r>
          </w:p>
        </w:tc>
        <w:tc>
          <w:tcPr>
            <w:tcW w:w="1640" w:type="dxa"/>
            <w:tcBorders>
              <w:left w:val="single" w:sz="3" w:space="0" w:color="000000"/>
              <w:bottom w:val="nil"/>
              <w:right w:val="single" w:sz="3" w:space="0" w:color="000000"/>
            </w:tcBorders>
          </w:tcPr>
          <w:p>
            <w:pPr>
              <w:pStyle w:val="TableParagraph"/>
              <w:spacing w:before="5"/>
              <w:ind w:left="15"/>
              <w:rPr>
                <w:sz w:val="8"/>
              </w:rPr>
            </w:pPr>
            <w:r>
              <w:rPr>
                <w:w w:val="135"/>
                <w:sz w:val="8"/>
              </w:rPr>
              <w:t>Falta de actividades de control</w:t>
            </w:r>
          </w:p>
        </w:tc>
        <w:tc>
          <w:tcPr>
            <w:tcW w:w="1349" w:type="dxa"/>
            <w:tcBorders>
              <w:left w:val="single" w:sz="3" w:space="0" w:color="000000"/>
              <w:bottom w:val="nil"/>
              <w:right w:val="single" w:sz="3" w:space="0" w:color="000000"/>
            </w:tcBorders>
          </w:tcPr>
          <w:p>
            <w:pPr>
              <w:pStyle w:val="TableParagraph"/>
              <w:spacing w:before="5"/>
              <w:ind w:left="16"/>
              <w:rPr>
                <w:sz w:val="8"/>
              </w:rPr>
            </w:pPr>
            <w:r>
              <w:rPr>
                <w:w w:val="135"/>
                <w:sz w:val="8"/>
              </w:rPr>
              <w:t>El municipio se asegura</w:t>
            </w:r>
          </w:p>
        </w:tc>
        <w:tc>
          <w:tcPr>
            <w:tcW w:w="1311" w:type="dxa"/>
            <w:tcBorders>
              <w:left w:val="single" w:sz="3" w:space="0" w:color="000000"/>
              <w:bottom w:val="nil"/>
              <w:right w:val="single" w:sz="3" w:space="0" w:color="000000"/>
            </w:tcBorders>
          </w:tcPr>
          <w:p>
            <w:pPr>
              <w:pStyle w:val="TableParagraph"/>
              <w:spacing w:before="5"/>
              <w:ind w:left="16"/>
              <w:rPr>
                <w:sz w:val="8"/>
              </w:rPr>
            </w:pPr>
            <w:r>
              <w:rPr>
                <w:w w:val="135"/>
                <w:sz w:val="8"/>
              </w:rPr>
              <w:t>No dispuso de controles</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personal en su página de Internet</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para verificar la correcta</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de que el personal</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para que los recursos del</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los Manuales de Organización por</w:t>
            </w:r>
          </w:p>
        </w:tc>
        <w:tc>
          <w:tcPr>
            <w:tcW w:w="1640"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aplicación de la normativa en los</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encargado de la gestión</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fondo del ejercicio 2012</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áreas, los cuales establecen las</w:t>
            </w:r>
          </w:p>
        </w:tc>
        <w:tc>
          <w:tcPr>
            <w:tcW w:w="1640" w:type="dxa"/>
            <w:tcBorders>
              <w:top w:val="nil"/>
              <w:left w:val="single" w:sz="3" w:space="0" w:color="000000"/>
              <w:bottom w:val="nil"/>
              <w:right w:val="single" w:sz="3" w:space="0" w:color="000000"/>
            </w:tcBorders>
          </w:tcPr>
          <w:p>
            <w:pPr>
              <w:pStyle w:val="TableParagraph"/>
              <w:spacing w:before="6"/>
              <w:ind w:left="14"/>
              <w:rPr>
                <w:sz w:val="8"/>
              </w:rPr>
            </w:pPr>
            <w:r>
              <w:rPr>
                <w:w w:val="135"/>
                <w:sz w:val="8"/>
              </w:rPr>
              <w:t>procesos de adjudicación y</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del fondo tenga las</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se administraran en una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funciones, así como las relaciones</w:t>
            </w:r>
          </w:p>
        </w:tc>
        <w:tc>
          <w:tcPr>
            <w:tcW w:w="1640" w:type="dxa"/>
            <w:tcBorders>
              <w:top w:val="nil"/>
              <w:left w:val="single" w:sz="3" w:space="0" w:color="000000"/>
              <w:bottom w:val="nil"/>
              <w:right w:val="single" w:sz="3" w:space="0" w:color="000000"/>
            </w:tcBorders>
          </w:tcPr>
          <w:p>
            <w:pPr>
              <w:pStyle w:val="TableParagraph"/>
              <w:spacing w:before="6"/>
              <w:ind w:left="14"/>
              <w:rPr>
                <w:sz w:val="8"/>
              </w:rPr>
            </w:pPr>
            <w:r>
              <w:rPr>
                <w:w w:val="135"/>
                <w:sz w:val="8"/>
              </w:rPr>
              <w:t>contratación de obra pública y</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competencias laborales</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cuenta bancaria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jerárquicas definidas por medio del</w:t>
            </w:r>
          </w:p>
        </w:tc>
        <w:tc>
          <w:tcPr>
            <w:tcW w:w="1640" w:type="dxa"/>
            <w:tcBorders>
              <w:top w:val="nil"/>
              <w:left w:val="single" w:sz="3" w:space="0" w:color="000000"/>
              <w:bottom w:val="nil"/>
              <w:right w:val="single" w:sz="3" w:space="0" w:color="000000"/>
            </w:tcBorders>
          </w:tcPr>
          <w:p>
            <w:pPr>
              <w:pStyle w:val="TableParagraph"/>
              <w:spacing w:before="6"/>
              <w:ind w:left="14"/>
              <w:rPr>
                <w:sz w:val="8"/>
              </w:rPr>
            </w:pPr>
            <w:r>
              <w:rPr>
                <w:w w:val="135"/>
                <w:sz w:val="8"/>
              </w:rPr>
              <w:t>de la adquisición de bienes</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necesarias para el</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específica en la que se</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organigrama publicado.</w:t>
            </w: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Style w:val="TableParagraph"/>
              <w:spacing w:before="7"/>
              <w:ind w:left="15"/>
              <w:rPr>
                <w:sz w:val="8"/>
              </w:rPr>
            </w:pPr>
            <w:r>
              <w:rPr>
                <w:w w:val="135"/>
                <w:sz w:val="8"/>
              </w:rPr>
              <w:t>desempeño de sus</w:t>
            </w:r>
          </w:p>
        </w:tc>
        <w:tc>
          <w:tcPr>
            <w:tcW w:w="1311"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manejaran</w:t>
            </w:r>
          </w:p>
        </w:tc>
      </w:tr>
      <w:tr>
        <w:trPr>
          <w:trHeight w:val="110" w:hRule="exact"/>
        </w:trPr>
        <w:tc>
          <w:tcPr>
            <w:tcW w:w="1816" w:type="dxa"/>
            <w:tcBorders>
              <w:top w:val="nil"/>
              <w:left w:val="single" w:sz="3" w:space="0" w:color="000000"/>
              <w:bottom w:val="nil"/>
              <w:right w:val="single" w:sz="3" w:space="0" w:color="000000"/>
            </w:tcBorders>
          </w:tcPr>
          <w:p>
            <w:pP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actividades.</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exclusivamente los</w:t>
            </w:r>
          </w:p>
        </w:tc>
      </w:tr>
      <w:tr>
        <w:trPr>
          <w:trHeight w:val="108" w:hRule="exact"/>
        </w:trPr>
        <w:tc>
          <w:tcPr>
            <w:tcW w:w="1816" w:type="dxa"/>
            <w:tcBorders>
              <w:top w:val="nil"/>
              <w:left w:val="single" w:sz="3" w:space="0" w:color="000000"/>
              <w:right w:val="single" w:sz="3" w:space="0" w:color="000000"/>
            </w:tcBorders>
          </w:tcPr>
          <w:p>
            <w:pPr/>
          </w:p>
        </w:tc>
        <w:tc>
          <w:tcPr>
            <w:tcW w:w="1640" w:type="dxa"/>
            <w:tcBorders>
              <w:top w:val="nil"/>
              <w:left w:val="single" w:sz="3" w:space="0" w:color="000000"/>
              <w:right w:val="single" w:sz="3" w:space="0" w:color="000000"/>
            </w:tcBorders>
          </w:tcPr>
          <w:p>
            <w:pPr/>
          </w:p>
        </w:tc>
        <w:tc>
          <w:tcPr>
            <w:tcW w:w="1349" w:type="dxa"/>
            <w:tcBorders>
              <w:top w:val="nil"/>
              <w:left w:val="single" w:sz="3" w:space="0" w:color="000000"/>
              <w:right w:val="single" w:sz="3" w:space="0" w:color="000000"/>
            </w:tcBorders>
          </w:tcPr>
          <w:p>
            <w:pPr/>
          </w:p>
        </w:tc>
        <w:tc>
          <w:tcPr>
            <w:tcW w:w="1311" w:type="dxa"/>
            <w:tcBorders>
              <w:top w:val="nil"/>
              <w:left w:val="single" w:sz="3" w:space="0" w:color="000000"/>
              <w:right w:val="single" w:sz="3" w:space="0" w:color="000000"/>
            </w:tcBorders>
          </w:tcPr>
          <w:p>
            <w:pPr>
              <w:pStyle w:val="TableParagraph"/>
              <w:spacing w:before="6"/>
              <w:ind w:left="17"/>
              <w:rPr>
                <w:sz w:val="8"/>
              </w:rPr>
            </w:pPr>
            <w:r>
              <w:rPr>
                <w:w w:val="135"/>
                <w:sz w:val="8"/>
              </w:rPr>
              <w:t>recursos del fondo.</w:t>
            </w:r>
          </w:p>
        </w:tc>
      </w:tr>
      <w:tr>
        <w:trPr>
          <w:trHeight w:val="111" w:hRule="exact"/>
        </w:trPr>
        <w:tc>
          <w:tcPr>
            <w:tcW w:w="1816" w:type="dxa"/>
            <w:tcBorders>
              <w:left w:val="single" w:sz="3" w:space="0" w:color="000000"/>
              <w:bottom w:val="nil"/>
              <w:right w:val="single" w:sz="3" w:space="0" w:color="000000"/>
            </w:tcBorders>
          </w:tcPr>
          <w:p>
            <w:pPr>
              <w:pStyle w:val="TableParagraph"/>
              <w:spacing w:before="5"/>
              <w:ind w:left="16"/>
              <w:rPr>
                <w:sz w:val="8"/>
              </w:rPr>
            </w:pPr>
            <w:r>
              <w:rPr>
                <w:w w:val="135"/>
                <w:sz w:val="8"/>
              </w:rPr>
              <w:t>Como resultado de la evaluación a</w:t>
            </w:r>
          </w:p>
        </w:tc>
        <w:tc>
          <w:tcPr>
            <w:tcW w:w="1640" w:type="dxa"/>
            <w:tcBorders>
              <w:left w:val="single" w:sz="3" w:space="0" w:color="000000"/>
              <w:bottom w:val="nil"/>
              <w:right w:val="single" w:sz="3" w:space="0" w:color="000000"/>
            </w:tcBorders>
          </w:tcPr>
          <w:p>
            <w:pPr>
              <w:pStyle w:val="TableParagraph"/>
              <w:spacing w:before="5"/>
              <w:ind w:left="15"/>
              <w:rPr>
                <w:sz w:val="8"/>
              </w:rPr>
            </w:pPr>
            <w:r>
              <w:rPr>
                <w:w w:val="135"/>
                <w:sz w:val="8"/>
              </w:rPr>
              <w:t>Falta de mecanismos de control</w:t>
            </w:r>
          </w:p>
        </w:tc>
        <w:tc>
          <w:tcPr>
            <w:tcW w:w="1349" w:type="dxa"/>
            <w:tcBorders>
              <w:left w:val="single" w:sz="3" w:space="0" w:color="000000"/>
              <w:bottom w:val="nil"/>
              <w:right w:val="single" w:sz="3" w:space="0" w:color="000000"/>
            </w:tcBorders>
          </w:tcPr>
          <w:p>
            <w:pPr>
              <w:pStyle w:val="TableParagraph"/>
              <w:spacing w:before="5"/>
              <w:ind w:left="16"/>
              <w:rPr>
                <w:sz w:val="8"/>
              </w:rPr>
            </w:pPr>
            <w:r>
              <w:rPr>
                <w:w w:val="135"/>
                <w:sz w:val="8"/>
              </w:rPr>
              <w:t>El municipio pone a</w:t>
            </w:r>
          </w:p>
        </w:tc>
        <w:tc>
          <w:tcPr>
            <w:tcW w:w="1311" w:type="dxa"/>
            <w:tcBorders>
              <w:left w:val="single" w:sz="3" w:space="0" w:color="000000"/>
              <w:bottom w:val="nil"/>
              <w:right w:val="single" w:sz="3" w:space="0" w:color="000000"/>
            </w:tcBorders>
          </w:tcPr>
          <w:p>
            <w:pPr>
              <w:pStyle w:val="TableParagraph"/>
              <w:spacing w:before="5"/>
              <w:ind w:left="16"/>
              <w:rPr>
                <w:sz w:val="8"/>
              </w:rPr>
            </w:pPr>
            <w:r>
              <w:rPr>
                <w:w w:val="135"/>
                <w:sz w:val="8"/>
              </w:rPr>
              <w:t>No existen controles para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la estructura organizacional para</w:t>
            </w:r>
          </w:p>
        </w:tc>
        <w:tc>
          <w:tcPr>
            <w:tcW w:w="1640" w:type="dxa"/>
            <w:tcBorders>
              <w:top w:val="nil"/>
              <w:left w:val="single" w:sz="3" w:space="0" w:color="000000"/>
              <w:bottom w:val="nil"/>
              <w:right w:val="single" w:sz="3" w:space="0" w:color="000000"/>
            </w:tcBorders>
          </w:tcPr>
          <w:p>
            <w:pPr>
              <w:pStyle w:val="TableParagraph"/>
              <w:spacing w:before="6"/>
              <w:ind w:left="14"/>
              <w:rPr>
                <w:sz w:val="8"/>
              </w:rPr>
            </w:pPr>
            <w:r>
              <w:rPr>
                <w:w w:val="135"/>
                <w:sz w:val="8"/>
              </w:rPr>
              <w:t>que garanticen que la ejecución</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disposición del personal,</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verificar que la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conocer si las atribuciones</w:t>
            </w:r>
          </w:p>
        </w:tc>
        <w:tc>
          <w:tcPr>
            <w:tcW w:w="1640" w:type="dxa"/>
            <w:tcBorders>
              <w:top w:val="nil"/>
              <w:left w:val="single" w:sz="3" w:space="0" w:color="000000"/>
              <w:bottom w:val="nil"/>
              <w:right w:val="single" w:sz="3" w:space="0" w:color="000000"/>
            </w:tcBorders>
          </w:tcPr>
          <w:p>
            <w:pPr>
              <w:pStyle w:val="TableParagraph"/>
              <w:spacing w:before="6"/>
              <w:ind w:left="14"/>
              <w:rPr>
                <w:sz w:val="8"/>
              </w:rPr>
            </w:pPr>
            <w:r>
              <w:rPr>
                <w:w w:val="135"/>
                <w:sz w:val="8"/>
              </w:rPr>
              <w:t>de las obras se desarrolle en los</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en su página de Internet,</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adjudicación de los</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conferidas en su normativa son</w:t>
            </w:r>
          </w:p>
        </w:tc>
        <w:tc>
          <w:tcPr>
            <w:tcW w:w="1640"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tiempos pactados en contratos y</w:t>
            </w:r>
          </w:p>
        </w:tc>
        <w:tc>
          <w:tcPr>
            <w:tcW w:w="1349" w:type="dxa"/>
            <w:tcBorders>
              <w:top w:val="nil"/>
              <w:left w:val="single" w:sz="3" w:space="0" w:color="000000"/>
              <w:bottom w:val="nil"/>
              <w:right w:val="single" w:sz="3" w:space="0" w:color="000000"/>
            </w:tcBorders>
          </w:tcPr>
          <w:p>
            <w:pPr>
              <w:pStyle w:val="TableParagraph"/>
              <w:spacing w:before="7"/>
              <w:ind w:left="15"/>
              <w:rPr>
                <w:sz w:val="8"/>
              </w:rPr>
            </w:pPr>
            <w:r>
              <w:rPr>
                <w:w w:val="135"/>
                <w:sz w:val="8"/>
              </w:rPr>
              <w:t>los manuales de</w:t>
            </w:r>
          </w:p>
        </w:tc>
        <w:tc>
          <w:tcPr>
            <w:tcW w:w="1311"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arrendamientos</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idóneas, se encuentra en proceso</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convenios y que los trabajos</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organización por áreas,</w:t>
            </w:r>
          </w:p>
        </w:tc>
        <w:tc>
          <w:tcPr>
            <w:tcW w:w="1311"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realizados con recursos</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una reforma al Reglamento</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cumplan con las</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los cuales establecen las</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del fondo se ajusta a la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Orgánico Municipal.</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especificaciones contratadas.</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atribuciones no delegables</w:t>
            </w:r>
          </w:p>
        </w:tc>
        <w:tc>
          <w:tcPr>
            <w:tcW w:w="1311"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normativa.</w:t>
            </w:r>
          </w:p>
        </w:tc>
      </w:tr>
      <w:tr>
        <w:trPr>
          <w:trHeight w:val="110" w:hRule="exact"/>
        </w:trPr>
        <w:tc>
          <w:tcPr>
            <w:tcW w:w="1816" w:type="dxa"/>
            <w:tcBorders>
              <w:top w:val="nil"/>
              <w:left w:val="single" w:sz="3" w:space="0" w:color="000000"/>
              <w:bottom w:val="nil"/>
              <w:right w:val="single" w:sz="3" w:space="0" w:color="000000"/>
            </w:tcBorders>
          </w:tcPr>
          <w:p>
            <w:pP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y funciones, así como las</w:t>
            </w:r>
          </w:p>
        </w:tc>
        <w:tc>
          <w:tcPr>
            <w:tcW w:w="1311" w:type="dxa"/>
            <w:tcBorders>
              <w:top w:val="nil"/>
              <w:left w:val="single" w:sz="3" w:space="0" w:color="000000"/>
              <w:bottom w:val="nil"/>
              <w:right w:val="single" w:sz="3" w:space="0" w:color="000000"/>
            </w:tcBorders>
          </w:tcPr>
          <w:p>
            <w:pPr/>
          </w:p>
        </w:tc>
      </w:tr>
      <w:tr>
        <w:trPr>
          <w:trHeight w:val="110" w:hRule="exact"/>
        </w:trPr>
        <w:tc>
          <w:tcPr>
            <w:tcW w:w="1816" w:type="dxa"/>
            <w:tcBorders>
              <w:top w:val="nil"/>
              <w:left w:val="single" w:sz="3" w:space="0" w:color="000000"/>
              <w:bottom w:val="nil"/>
              <w:right w:val="single" w:sz="3" w:space="0" w:color="000000"/>
            </w:tcBorders>
          </w:tcPr>
          <w:p>
            <w:pP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relaciones jerárquicas por</w:t>
            </w:r>
          </w:p>
        </w:tc>
        <w:tc>
          <w:tcPr>
            <w:tcW w:w="1311" w:type="dxa"/>
            <w:tcBorders>
              <w:top w:val="nil"/>
              <w:left w:val="single" w:sz="3" w:space="0" w:color="000000"/>
              <w:bottom w:val="nil"/>
              <w:right w:val="single" w:sz="3" w:space="0" w:color="000000"/>
            </w:tcBorders>
          </w:tcPr>
          <w:p>
            <w:pPr/>
          </w:p>
        </w:tc>
      </w:tr>
      <w:tr>
        <w:trPr>
          <w:trHeight w:val="327" w:hRule="exact"/>
        </w:trPr>
        <w:tc>
          <w:tcPr>
            <w:tcW w:w="1816" w:type="dxa"/>
            <w:tcBorders>
              <w:top w:val="nil"/>
              <w:left w:val="single" w:sz="3" w:space="0" w:color="000000"/>
              <w:right w:val="single" w:sz="3" w:space="0" w:color="000000"/>
            </w:tcBorders>
          </w:tcPr>
          <w:p>
            <w:pPr/>
          </w:p>
        </w:tc>
        <w:tc>
          <w:tcPr>
            <w:tcW w:w="1640" w:type="dxa"/>
            <w:tcBorders>
              <w:top w:val="nil"/>
              <w:left w:val="single" w:sz="3" w:space="0" w:color="000000"/>
              <w:right w:val="single" w:sz="3" w:space="0" w:color="000000"/>
            </w:tcBorders>
          </w:tcPr>
          <w:p>
            <w:pPr/>
          </w:p>
        </w:tc>
        <w:tc>
          <w:tcPr>
            <w:tcW w:w="1349" w:type="dxa"/>
            <w:tcBorders>
              <w:top w:val="nil"/>
              <w:left w:val="single" w:sz="3" w:space="0" w:color="000000"/>
              <w:right w:val="single" w:sz="3" w:space="0" w:color="000000"/>
            </w:tcBorders>
          </w:tcPr>
          <w:p>
            <w:pPr>
              <w:pStyle w:val="TableParagraph"/>
              <w:spacing w:before="6"/>
              <w:ind w:left="17"/>
              <w:rPr>
                <w:sz w:val="8"/>
              </w:rPr>
            </w:pPr>
            <w:r>
              <w:rPr>
                <w:w w:val="135"/>
                <w:sz w:val="8"/>
              </w:rPr>
              <w:t>medio del organigrama.</w:t>
            </w:r>
          </w:p>
        </w:tc>
        <w:tc>
          <w:tcPr>
            <w:tcW w:w="1311" w:type="dxa"/>
            <w:tcBorders>
              <w:top w:val="nil"/>
              <w:left w:val="single" w:sz="3" w:space="0" w:color="000000"/>
              <w:right w:val="single" w:sz="3" w:space="0" w:color="000000"/>
            </w:tcBorders>
          </w:tcPr>
          <w:p>
            <w:pPr/>
          </w:p>
        </w:tc>
      </w:tr>
      <w:tr>
        <w:trPr>
          <w:trHeight w:val="112" w:hRule="exact"/>
        </w:trPr>
        <w:tc>
          <w:tcPr>
            <w:tcW w:w="1816" w:type="dxa"/>
            <w:tcBorders>
              <w:left w:val="single" w:sz="3" w:space="0" w:color="000000"/>
              <w:bottom w:val="nil"/>
              <w:right w:val="single" w:sz="3" w:space="0" w:color="000000"/>
            </w:tcBorders>
          </w:tcPr>
          <w:p>
            <w:pPr>
              <w:pStyle w:val="TableParagraph"/>
              <w:spacing w:before="5"/>
              <w:ind w:left="16"/>
              <w:rPr>
                <w:sz w:val="8"/>
              </w:rPr>
            </w:pPr>
            <w:r>
              <w:rPr>
                <w:w w:val="135"/>
                <w:sz w:val="8"/>
              </w:rPr>
              <w:t>Las responsabilidades y</w:t>
            </w:r>
          </w:p>
        </w:tc>
        <w:tc>
          <w:tcPr>
            <w:tcW w:w="1640" w:type="dxa"/>
            <w:tcBorders>
              <w:left w:val="single" w:sz="3" w:space="0" w:color="000000"/>
              <w:bottom w:val="nil"/>
              <w:right w:val="single" w:sz="3" w:space="0" w:color="000000"/>
            </w:tcBorders>
          </w:tcPr>
          <w:p>
            <w:pPr>
              <w:pStyle w:val="TableParagraph"/>
              <w:spacing w:before="5"/>
              <w:ind w:left="15"/>
              <w:rPr>
                <w:sz w:val="8"/>
              </w:rPr>
            </w:pPr>
            <w:r>
              <w:rPr>
                <w:w w:val="135"/>
                <w:sz w:val="8"/>
              </w:rPr>
              <w:t>No existen mecanismos de</w:t>
            </w:r>
          </w:p>
        </w:tc>
        <w:tc>
          <w:tcPr>
            <w:tcW w:w="1349" w:type="dxa"/>
            <w:tcBorders>
              <w:left w:val="single" w:sz="3" w:space="0" w:color="000000"/>
              <w:bottom w:val="nil"/>
              <w:right w:val="single" w:sz="3" w:space="0" w:color="000000"/>
            </w:tcBorders>
          </w:tcPr>
          <w:p>
            <w:pPr>
              <w:pStyle w:val="TableParagraph"/>
              <w:spacing w:before="5"/>
              <w:ind w:left="16"/>
              <w:rPr>
                <w:sz w:val="8"/>
              </w:rPr>
            </w:pPr>
            <w:r>
              <w:rPr>
                <w:w w:val="135"/>
                <w:sz w:val="8"/>
              </w:rPr>
              <w:t>Se tienen establecidos</w:t>
            </w:r>
          </w:p>
        </w:tc>
        <w:tc>
          <w:tcPr>
            <w:tcW w:w="1311" w:type="dxa"/>
            <w:tcBorders>
              <w:left w:val="single" w:sz="3" w:space="0" w:color="000000"/>
              <w:bottom w:val="nil"/>
              <w:right w:val="single" w:sz="3" w:space="0" w:color="000000"/>
            </w:tcBorders>
          </w:tcPr>
          <w:p>
            <w:pPr>
              <w:pStyle w:val="TableParagraph"/>
              <w:spacing w:before="5"/>
              <w:ind w:left="16"/>
              <w:rPr>
                <w:sz w:val="8"/>
              </w:rPr>
            </w:pPr>
            <w:r>
              <w:rPr>
                <w:w w:val="135"/>
                <w:sz w:val="8"/>
              </w:rPr>
              <w:t>No se tienen mecanismos</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atribuciones del personal de mando</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supervisión para asegurar que</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mecanismos para</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de control para asegurar</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7"/>
              <w:ind w:left="17"/>
              <w:rPr>
                <w:sz w:val="8"/>
              </w:rPr>
            </w:pPr>
            <w:r>
              <w:rPr>
                <w:w w:val="135"/>
                <w:sz w:val="8"/>
              </w:rPr>
              <w:t>se encuentran definidas en los</w:t>
            </w:r>
          </w:p>
        </w:tc>
        <w:tc>
          <w:tcPr>
            <w:tcW w:w="1640"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no se realicen pagos por</w:t>
            </w:r>
          </w:p>
        </w:tc>
        <w:tc>
          <w:tcPr>
            <w:tcW w:w="1349" w:type="dxa"/>
            <w:tcBorders>
              <w:top w:val="nil"/>
              <w:left w:val="single" w:sz="3" w:space="0" w:color="000000"/>
              <w:bottom w:val="nil"/>
              <w:right w:val="single" w:sz="3" w:space="0" w:color="000000"/>
            </w:tcBorders>
          </w:tcPr>
          <w:p>
            <w:pPr>
              <w:pStyle w:val="TableParagraph"/>
              <w:spacing w:before="7"/>
              <w:ind w:left="15"/>
              <w:rPr>
                <w:sz w:val="8"/>
              </w:rPr>
            </w:pPr>
            <w:r>
              <w:rPr>
                <w:w w:val="135"/>
                <w:sz w:val="8"/>
              </w:rPr>
              <w:t>asegurar que los salarios</w:t>
            </w:r>
          </w:p>
        </w:tc>
        <w:tc>
          <w:tcPr>
            <w:tcW w:w="1311" w:type="dxa"/>
            <w:tcBorders>
              <w:top w:val="nil"/>
              <w:left w:val="single" w:sz="3" w:space="0" w:color="000000"/>
              <w:bottom w:val="nil"/>
              <w:right w:val="single" w:sz="3" w:space="0" w:color="000000"/>
            </w:tcBorders>
          </w:tcPr>
          <w:p>
            <w:pPr>
              <w:pStyle w:val="TableParagraph"/>
              <w:spacing w:before="7"/>
              <w:ind w:left="15"/>
              <w:rPr>
                <w:sz w:val="8"/>
              </w:rPr>
            </w:pPr>
            <w:r>
              <w:rPr>
                <w:w w:val="135"/>
                <w:sz w:val="8"/>
              </w:rPr>
              <w:t>que, antes de la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nombramientos, la Ley Orgánica</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conceptos de obra no</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se pagan con base en los</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contratación de créditos</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Municipal y su reglamento y en los</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ejecutados.</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tabuladores autorizados,</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con instituciones</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Manuales de Organización</w:t>
            </w: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conforme al Contrato</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financieras, se disponga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publicados en la página de Internet</w:t>
            </w: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Colectivo de Trabajo.</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de las autorizaciones que</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del municipio.</w:t>
            </w: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marca la normativa en la</w:t>
            </w:r>
          </w:p>
        </w:tc>
      </w:tr>
      <w:tr>
        <w:trPr>
          <w:trHeight w:val="217" w:hRule="exact"/>
        </w:trPr>
        <w:tc>
          <w:tcPr>
            <w:tcW w:w="1816" w:type="dxa"/>
            <w:tcBorders>
              <w:top w:val="nil"/>
              <w:left w:val="single" w:sz="3" w:space="0" w:color="000000"/>
              <w:right w:val="single" w:sz="3" w:space="0" w:color="000000"/>
            </w:tcBorders>
          </w:tcPr>
          <w:p>
            <w:pPr/>
          </w:p>
        </w:tc>
        <w:tc>
          <w:tcPr>
            <w:tcW w:w="1640" w:type="dxa"/>
            <w:tcBorders>
              <w:top w:val="nil"/>
              <w:left w:val="single" w:sz="3" w:space="0" w:color="000000"/>
              <w:right w:val="single" w:sz="3" w:space="0" w:color="000000"/>
            </w:tcBorders>
          </w:tcPr>
          <w:p>
            <w:pPr/>
          </w:p>
        </w:tc>
        <w:tc>
          <w:tcPr>
            <w:tcW w:w="1349" w:type="dxa"/>
            <w:tcBorders>
              <w:top w:val="nil"/>
              <w:left w:val="single" w:sz="3" w:space="0" w:color="000000"/>
              <w:right w:val="single" w:sz="3" w:space="0" w:color="000000"/>
            </w:tcBorders>
          </w:tcPr>
          <w:p>
            <w:pPr/>
          </w:p>
        </w:tc>
        <w:tc>
          <w:tcPr>
            <w:tcW w:w="1311" w:type="dxa"/>
            <w:tcBorders>
              <w:top w:val="nil"/>
              <w:left w:val="single" w:sz="3" w:space="0" w:color="000000"/>
              <w:right w:val="single" w:sz="3" w:space="0" w:color="000000"/>
            </w:tcBorders>
          </w:tcPr>
          <w:p>
            <w:pPr>
              <w:pStyle w:val="TableParagraph"/>
              <w:spacing w:before="7"/>
              <w:ind w:left="16"/>
              <w:rPr>
                <w:sz w:val="8"/>
              </w:rPr>
            </w:pPr>
            <w:r>
              <w:rPr>
                <w:w w:val="135"/>
                <w:sz w:val="8"/>
              </w:rPr>
              <w:t>materia.</w:t>
            </w:r>
          </w:p>
        </w:tc>
      </w:tr>
      <w:tr>
        <w:trPr>
          <w:trHeight w:val="112" w:hRule="exact"/>
        </w:trPr>
        <w:tc>
          <w:tcPr>
            <w:tcW w:w="1816" w:type="dxa"/>
            <w:tcBorders>
              <w:left w:val="single" w:sz="3" w:space="0" w:color="000000"/>
              <w:bottom w:val="nil"/>
              <w:right w:val="single" w:sz="3" w:space="0" w:color="000000"/>
            </w:tcBorders>
          </w:tcPr>
          <w:p>
            <w:pPr>
              <w:pStyle w:val="TableParagraph"/>
              <w:spacing w:before="5"/>
              <w:ind w:left="16"/>
              <w:rPr>
                <w:sz w:val="8"/>
              </w:rPr>
            </w:pPr>
            <w:r>
              <w:rPr>
                <w:w w:val="135"/>
                <w:sz w:val="8"/>
              </w:rPr>
              <w:t>La situación del municipio en</w:t>
            </w:r>
          </w:p>
        </w:tc>
        <w:tc>
          <w:tcPr>
            <w:tcW w:w="1640" w:type="dxa"/>
            <w:tcBorders>
              <w:left w:val="single" w:sz="3" w:space="0" w:color="000000"/>
              <w:bottom w:val="nil"/>
              <w:right w:val="single" w:sz="3" w:space="0" w:color="000000"/>
            </w:tcBorders>
          </w:tcPr>
          <w:p>
            <w:pPr>
              <w:pStyle w:val="TableParagraph"/>
              <w:spacing w:before="5"/>
              <w:ind w:left="15"/>
              <w:rPr>
                <w:sz w:val="8"/>
              </w:rPr>
            </w:pPr>
            <w:r>
              <w:rPr>
                <w:w w:val="135"/>
                <w:sz w:val="8"/>
              </w:rPr>
              <w:t>Falta de actividades de control</w:t>
            </w:r>
          </w:p>
        </w:tc>
        <w:tc>
          <w:tcPr>
            <w:tcW w:w="1349" w:type="dxa"/>
            <w:tcBorders>
              <w:left w:val="single" w:sz="3" w:space="0" w:color="000000"/>
              <w:bottom w:val="nil"/>
              <w:right w:val="single" w:sz="3" w:space="0" w:color="000000"/>
            </w:tcBorders>
          </w:tcPr>
          <w:p>
            <w:pPr>
              <w:pStyle w:val="TableParagraph"/>
              <w:spacing w:before="5"/>
              <w:ind w:left="16"/>
              <w:rPr>
                <w:sz w:val="8"/>
              </w:rPr>
            </w:pPr>
            <w:r>
              <w:rPr>
                <w:w w:val="135"/>
                <w:sz w:val="8"/>
              </w:rPr>
              <w:t>El municipio dispone del</w:t>
            </w:r>
          </w:p>
        </w:tc>
        <w:tc>
          <w:tcPr>
            <w:tcW w:w="1311" w:type="dxa"/>
            <w:tcBorders>
              <w:left w:val="single" w:sz="3" w:space="0" w:color="000000"/>
              <w:bottom w:val="nil"/>
              <w:right w:val="single" w:sz="3" w:space="0" w:color="000000"/>
            </w:tcBorders>
          </w:tcPr>
          <w:p>
            <w:pPr>
              <w:pStyle w:val="TableParagraph"/>
              <w:spacing w:before="5"/>
              <w:ind w:left="16"/>
              <w:rPr>
                <w:sz w:val="8"/>
              </w:rPr>
            </w:pPr>
            <w:r>
              <w:rPr>
                <w:w w:val="135"/>
                <w:sz w:val="8"/>
              </w:rPr>
              <w:t>No se dispone de</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materia de los déficits de servicios</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en las áreas para verificar que</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sistema automatizado de</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indicadores para evaluar</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básicos es mínima, por lo que las</w:t>
            </w:r>
          </w:p>
        </w:tc>
        <w:tc>
          <w:tcPr>
            <w:tcW w:w="1640" w:type="dxa"/>
            <w:tcBorders>
              <w:top w:val="nil"/>
              <w:left w:val="single" w:sz="3" w:space="0" w:color="000000"/>
              <w:bottom w:val="nil"/>
              <w:right w:val="single" w:sz="3" w:space="0" w:color="000000"/>
            </w:tcBorders>
          </w:tcPr>
          <w:p>
            <w:pPr>
              <w:pStyle w:val="TableParagraph"/>
              <w:spacing w:before="6"/>
              <w:ind w:left="14"/>
              <w:rPr>
                <w:sz w:val="8"/>
              </w:rPr>
            </w:pPr>
            <w:r>
              <w:rPr>
                <w:w w:val="135"/>
                <w:sz w:val="8"/>
              </w:rPr>
              <w:t>los riesgos más recurrentes y de</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contabilidad denominado</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la administración y</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acciones en 2012 se encaminaron a</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mayor impacto económico se</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Sistema Integral Municipal</w:t>
            </w:r>
          </w:p>
        </w:tc>
        <w:tc>
          <w:tcPr>
            <w:tcW w:w="1311"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manejo de la deuda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7"/>
              <w:ind w:left="17"/>
              <w:rPr>
                <w:sz w:val="8"/>
              </w:rPr>
            </w:pPr>
            <w:r>
              <w:rPr>
                <w:w w:val="135"/>
                <w:sz w:val="8"/>
              </w:rPr>
              <w:t>la urbanización de las colonias con</w:t>
            </w:r>
          </w:p>
        </w:tc>
        <w:tc>
          <w:tcPr>
            <w:tcW w:w="1640" w:type="dxa"/>
            <w:tcBorders>
              <w:top w:val="nil"/>
              <w:left w:val="single" w:sz="3" w:space="0" w:color="000000"/>
              <w:bottom w:val="nil"/>
              <w:right w:val="single" w:sz="3" w:space="0" w:color="000000"/>
            </w:tcBorders>
          </w:tcPr>
          <w:p>
            <w:pPr>
              <w:pStyle w:val="TableParagraph"/>
              <w:spacing w:before="7"/>
              <w:ind w:left="15"/>
              <w:rPr>
                <w:sz w:val="8"/>
              </w:rPr>
            </w:pPr>
            <w:r>
              <w:rPr>
                <w:w w:val="135"/>
                <w:sz w:val="8"/>
              </w:rPr>
              <w:t>encuentren adecuadamente</w:t>
            </w:r>
          </w:p>
        </w:tc>
        <w:tc>
          <w:tcPr>
            <w:tcW w:w="1349"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Administrativo (SIMA) para</w:t>
            </w:r>
          </w:p>
        </w:tc>
        <w:tc>
          <w:tcPr>
            <w:tcW w:w="1311" w:type="dxa"/>
            <w:tcBorders>
              <w:top w:val="nil"/>
              <w:left w:val="single" w:sz="3" w:space="0" w:color="000000"/>
              <w:bottom w:val="nil"/>
              <w:right w:val="single" w:sz="3" w:space="0" w:color="000000"/>
            </w:tcBorders>
          </w:tcPr>
          <w:p>
            <w:pPr>
              <w:pStyle w:val="TableParagraph"/>
              <w:spacing w:before="7"/>
              <w:ind w:left="15"/>
              <w:rPr>
                <w:sz w:val="8"/>
              </w:rPr>
            </w:pPr>
            <w:r>
              <w:rPr>
                <w:w w:val="135"/>
                <w:sz w:val="8"/>
              </w:rPr>
              <w:t>pública.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mayor rezago social y pobreza del</w:t>
            </w:r>
          </w:p>
        </w:tc>
        <w:tc>
          <w:tcPr>
            <w:tcW w:w="1640" w:type="dxa"/>
            <w:tcBorders>
              <w:top w:val="nil"/>
              <w:left w:val="single" w:sz="3" w:space="0" w:color="000000"/>
              <w:bottom w:val="nil"/>
              <w:right w:val="single" w:sz="3" w:space="0" w:color="000000"/>
            </w:tcBorders>
          </w:tcPr>
          <w:p>
            <w:pPr>
              <w:pStyle w:val="TableParagraph"/>
              <w:spacing w:before="6"/>
              <w:ind w:left="14"/>
              <w:rPr>
                <w:sz w:val="8"/>
              </w:rPr>
            </w:pPr>
            <w:r>
              <w:rPr>
                <w:w w:val="135"/>
                <w:sz w:val="8"/>
              </w:rPr>
              <w:t>administrados.</w:t>
            </w:r>
          </w:p>
        </w:tc>
        <w:tc>
          <w:tcPr>
            <w:tcW w:w="1349"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el registro contable de las</w:t>
            </w:r>
          </w:p>
        </w:tc>
        <w:tc>
          <w:tcPr>
            <w:tcW w:w="1311" w:type="dxa"/>
            <w:tcBorders>
              <w:top w:val="nil"/>
              <w:left w:val="single" w:sz="3" w:space="0" w:color="000000"/>
              <w:bottom w:val="nil"/>
              <w:right w:val="single" w:sz="3" w:space="0" w:color="000000"/>
            </w:tcBorders>
          </w:tcPr>
          <w:p>
            <w:pP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municipio.</w:t>
            </w: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operaciones realizadas</w:t>
            </w:r>
          </w:p>
        </w:tc>
        <w:tc>
          <w:tcPr>
            <w:tcW w:w="1311" w:type="dxa"/>
            <w:tcBorders>
              <w:top w:val="nil"/>
              <w:left w:val="single" w:sz="3" w:space="0" w:color="000000"/>
              <w:bottom w:val="nil"/>
              <w:right w:val="single" w:sz="3" w:space="0" w:color="000000"/>
            </w:tcBorders>
          </w:tcPr>
          <w:p>
            <w:pPr/>
          </w:p>
        </w:tc>
      </w:tr>
      <w:tr>
        <w:trPr>
          <w:trHeight w:val="217" w:hRule="exact"/>
        </w:trPr>
        <w:tc>
          <w:tcPr>
            <w:tcW w:w="1816" w:type="dxa"/>
            <w:tcBorders>
              <w:top w:val="nil"/>
              <w:left w:val="single" w:sz="3" w:space="0" w:color="000000"/>
              <w:right w:val="single" w:sz="3" w:space="0" w:color="000000"/>
            </w:tcBorders>
          </w:tcPr>
          <w:p>
            <w:pPr/>
          </w:p>
        </w:tc>
        <w:tc>
          <w:tcPr>
            <w:tcW w:w="1640" w:type="dxa"/>
            <w:tcBorders>
              <w:top w:val="nil"/>
              <w:left w:val="single" w:sz="3" w:space="0" w:color="000000"/>
              <w:right w:val="single" w:sz="3" w:space="0" w:color="000000"/>
            </w:tcBorders>
          </w:tcPr>
          <w:p>
            <w:pPr/>
          </w:p>
        </w:tc>
        <w:tc>
          <w:tcPr>
            <w:tcW w:w="1349" w:type="dxa"/>
            <w:tcBorders>
              <w:top w:val="nil"/>
              <w:left w:val="single" w:sz="3" w:space="0" w:color="000000"/>
              <w:right w:val="single" w:sz="3" w:space="0" w:color="000000"/>
            </w:tcBorders>
          </w:tcPr>
          <w:p>
            <w:pPr>
              <w:pStyle w:val="TableParagraph"/>
              <w:spacing w:before="6"/>
              <w:ind w:left="16"/>
              <w:rPr>
                <w:sz w:val="8"/>
              </w:rPr>
            </w:pPr>
            <w:r>
              <w:rPr>
                <w:w w:val="135"/>
                <w:sz w:val="8"/>
              </w:rPr>
              <w:t>con recursos del FISM.</w:t>
            </w:r>
          </w:p>
        </w:tc>
        <w:tc>
          <w:tcPr>
            <w:tcW w:w="1311" w:type="dxa"/>
            <w:tcBorders>
              <w:top w:val="nil"/>
              <w:left w:val="single" w:sz="3" w:space="0" w:color="000000"/>
              <w:right w:val="single" w:sz="3" w:space="0" w:color="000000"/>
            </w:tcBorders>
          </w:tcPr>
          <w:p>
            <w:pPr/>
          </w:p>
        </w:tc>
      </w:tr>
      <w:tr>
        <w:trPr>
          <w:trHeight w:val="112" w:hRule="exact"/>
        </w:trPr>
        <w:tc>
          <w:tcPr>
            <w:tcW w:w="1816" w:type="dxa"/>
            <w:tcBorders>
              <w:left w:val="single" w:sz="3" w:space="0" w:color="000000"/>
              <w:bottom w:val="nil"/>
              <w:right w:val="single" w:sz="3" w:space="0" w:color="000000"/>
            </w:tcBorders>
          </w:tcPr>
          <w:p>
            <w:pPr>
              <w:pStyle w:val="TableParagraph"/>
              <w:spacing w:before="5"/>
              <w:ind w:left="16"/>
              <w:rPr>
                <w:sz w:val="8"/>
              </w:rPr>
            </w:pPr>
            <w:r>
              <w:rPr>
                <w:w w:val="135"/>
                <w:sz w:val="8"/>
              </w:rPr>
              <w:t>Como mecanismo de control se</w:t>
            </w:r>
          </w:p>
        </w:tc>
        <w:tc>
          <w:tcPr>
            <w:tcW w:w="1640" w:type="dxa"/>
            <w:tcBorders>
              <w:left w:val="single" w:sz="3" w:space="0" w:color="000000"/>
              <w:bottom w:val="nil"/>
              <w:right w:val="single" w:sz="3" w:space="0" w:color="000000"/>
            </w:tcBorders>
          </w:tcPr>
          <w:p>
            <w:pPr>
              <w:pStyle w:val="TableParagraph"/>
              <w:spacing w:before="5"/>
              <w:ind w:left="15"/>
              <w:rPr>
                <w:sz w:val="8"/>
              </w:rPr>
            </w:pPr>
            <w:r>
              <w:rPr>
                <w:w w:val="135"/>
                <w:sz w:val="8"/>
              </w:rPr>
              <w:t>En el municipio no existe una</w:t>
            </w:r>
          </w:p>
        </w:tc>
        <w:tc>
          <w:tcPr>
            <w:tcW w:w="1349" w:type="dxa"/>
            <w:tcBorders>
              <w:left w:val="single" w:sz="3" w:space="0" w:color="000000"/>
              <w:bottom w:val="nil"/>
              <w:right w:val="single" w:sz="3" w:space="0" w:color="000000"/>
            </w:tcBorders>
          </w:tcPr>
          <w:p>
            <w:pPr>
              <w:pStyle w:val="TableParagraph"/>
              <w:spacing w:before="5"/>
              <w:ind w:left="16"/>
              <w:rPr>
                <w:sz w:val="8"/>
              </w:rPr>
            </w:pPr>
            <w:r>
              <w:rPr>
                <w:w w:val="135"/>
                <w:sz w:val="8"/>
              </w:rPr>
              <w:t>Se tienen mecanismos de</w:t>
            </w:r>
          </w:p>
        </w:tc>
        <w:tc>
          <w:tcPr>
            <w:tcW w:w="1311" w:type="dxa"/>
            <w:tcBorders>
              <w:left w:val="single" w:sz="3" w:space="0" w:color="000000"/>
              <w:bottom w:val="nil"/>
              <w:right w:val="single" w:sz="3" w:space="0" w:color="000000"/>
            </w:tcBorders>
          </w:tcPr>
          <w:p>
            <w:pPr>
              <w:pStyle w:val="TableParagraph"/>
              <w:spacing w:before="5"/>
              <w:ind w:left="16"/>
              <w:rPr>
                <w:sz w:val="8"/>
              </w:rPr>
            </w:pPr>
            <w:r>
              <w:rPr>
                <w:w w:val="135"/>
                <w:sz w:val="8"/>
              </w:rPr>
              <w:t>No se dispone de un</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verifica desde la planeación de las</w:t>
            </w:r>
          </w:p>
        </w:tc>
        <w:tc>
          <w:tcPr>
            <w:tcW w:w="1640"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cultura de evaluación, en tal</w:t>
            </w:r>
          </w:p>
        </w:tc>
        <w:tc>
          <w:tcPr>
            <w:tcW w:w="1349"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supervisión para asegurar</w:t>
            </w:r>
          </w:p>
        </w:tc>
        <w:tc>
          <w:tcPr>
            <w:tcW w:w="1311" w:type="dxa"/>
            <w:tcBorders>
              <w:top w:val="nil"/>
              <w:left w:val="single" w:sz="3" w:space="0" w:color="000000"/>
              <w:bottom w:val="nil"/>
              <w:right w:val="single" w:sz="3" w:space="0" w:color="000000"/>
            </w:tcBorders>
          </w:tcPr>
          <w:p>
            <w:pPr>
              <w:pStyle w:val="TableParagraph"/>
              <w:spacing w:before="7"/>
              <w:ind w:left="15"/>
              <w:rPr>
                <w:sz w:val="8"/>
              </w:rPr>
            </w:pPr>
            <w:r>
              <w:rPr>
                <w:w w:val="135"/>
                <w:sz w:val="8"/>
              </w:rPr>
              <w:t>programa de seguridad</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obras y acciones por realizar que el</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sentido, al cierre del ejercicio no</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que las operaciones con</w:t>
            </w:r>
          </w:p>
        </w:tc>
        <w:tc>
          <w:tcPr>
            <w:tcW w:w="1311"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pública que establezca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monto destinado al rubro de</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se evaluaron los resultados e</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recursos del fondo se</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acciones en esa materia,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desarrollo institucional no rebase el</w:t>
            </w:r>
          </w:p>
        </w:tc>
        <w:tc>
          <w:tcPr>
            <w:tcW w:w="1640"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impactos del fondo, ni se</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registran en el sistema</w:t>
            </w: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ni de indicadores que</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2.0% del total de los recursos del</w:t>
            </w:r>
          </w:p>
        </w:tc>
        <w:tc>
          <w:tcPr>
            <w:tcW w:w="1640"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hicieron del conocimiento del</w:t>
            </w:r>
          </w:p>
        </w:tc>
        <w:tc>
          <w:tcPr>
            <w:tcW w:w="1349"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establecido.</w:t>
            </w:r>
          </w:p>
        </w:tc>
        <w:tc>
          <w:tcPr>
            <w:tcW w:w="1311"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midan los resultados</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Fondo de Infraestructura Social</w:t>
            </w:r>
          </w:p>
        </w:tc>
        <w:tc>
          <w:tcPr>
            <w:tcW w:w="1640"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Cabildo.</w:t>
            </w:r>
          </w:p>
        </w:tc>
        <w:tc>
          <w:tcPr>
            <w:tcW w:w="1349" w:type="dxa"/>
            <w:tcBorders>
              <w:top w:val="nil"/>
              <w:left w:val="single" w:sz="3" w:space="0" w:color="000000"/>
              <w:bottom w:val="nil"/>
              <w:right w:val="single" w:sz="3" w:space="0" w:color="000000"/>
            </w:tcBorders>
          </w:tcPr>
          <w:p>
            <w:pPr/>
          </w:p>
        </w:tc>
        <w:tc>
          <w:tcPr>
            <w:tcW w:w="1311" w:type="dxa"/>
            <w:tcBorders>
              <w:top w:val="nil"/>
              <w:left w:val="single" w:sz="3" w:space="0" w:color="000000"/>
              <w:bottom w:val="nil"/>
              <w:right w:val="single" w:sz="3" w:space="0" w:color="000000"/>
            </w:tcBorders>
          </w:tcPr>
          <w:p>
            <w:pPr>
              <w:pStyle w:val="TableParagraph"/>
              <w:spacing w:before="6"/>
              <w:ind w:left="17"/>
              <w:rPr>
                <w:sz w:val="8"/>
              </w:rPr>
            </w:pPr>
            <w:r>
              <w:rPr>
                <w:w w:val="135"/>
                <w:sz w:val="8"/>
              </w:rPr>
              <w:t>obtenidos y la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7"/>
              <w:ind w:left="15"/>
              <w:rPr>
                <w:sz w:val="8"/>
              </w:rPr>
            </w:pPr>
            <w:r>
              <w:rPr>
                <w:w w:val="135"/>
                <w:sz w:val="8"/>
              </w:rPr>
              <w:t>Municipal (FISM) asignados al</w:t>
            </w: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
        </w:tc>
        <w:tc>
          <w:tcPr>
            <w:tcW w:w="1311" w:type="dxa"/>
            <w:tcBorders>
              <w:top w:val="nil"/>
              <w:left w:val="single" w:sz="3" w:space="0" w:color="000000"/>
              <w:bottom w:val="nil"/>
              <w:right w:val="single" w:sz="3" w:space="0" w:color="000000"/>
            </w:tcBorders>
          </w:tcPr>
          <w:p>
            <w:pPr>
              <w:pStyle w:val="TableParagraph"/>
              <w:spacing w:before="7"/>
              <w:ind w:left="16"/>
              <w:rPr>
                <w:sz w:val="8"/>
              </w:rPr>
            </w:pPr>
            <w:r>
              <w:rPr>
                <w:w w:val="135"/>
                <w:sz w:val="8"/>
              </w:rPr>
              <w:t>participación de la</w:t>
            </w:r>
          </w:p>
        </w:tc>
      </w:tr>
      <w:tr>
        <w:trPr>
          <w:trHeight w:val="110" w:hRule="exact"/>
        </w:trPr>
        <w:tc>
          <w:tcPr>
            <w:tcW w:w="1816" w:type="dxa"/>
            <w:tcBorders>
              <w:top w:val="nil"/>
              <w:left w:val="single" w:sz="3" w:space="0" w:color="000000"/>
              <w:bottom w:val="nil"/>
              <w:right w:val="single" w:sz="3" w:space="0" w:color="000000"/>
            </w:tcBorders>
          </w:tcPr>
          <w:p>
            <w:pPr>
              <w:pStyle w:val="TableParagraph"/>
              <w:spacing w:before="6"/>
              <w:ind w:left="16"/>
              <w:rPr>
                <w:sz w:val="8"/>
              </w:rPr>
            </w:pPr>
            <w:r>
              <w:rPr>
                <w:w w:val="135"/>
                <w:sz w:val="8"/>
              </w:rPr>
              <w:t>municipio.</w:t>
            </w:r>
          </w:p>
        </w:tc>
        <w:tc>
          <w:tcPr>
            <w:tcW w:w="1640" w:type="dxa"/>
            <w:tcBorders>
              <w:top w:val="nil"/>
              <w:left w:val="single" w:sz="3" w:space="0" w:color="000000"/>
              <w:bottom w:val="nil"/>
              <w:right w:val="single" w:sz="3" w:space="0" w:color="000000"/>
            </w:tcBorders>
          </w:tcPr>
          <w:p>
            <w:pPr/>
          </w:p>
        </w:tc>
        <w:tc>
          <w:tcPr>
            <w:tcW w:w="1349" w:type="dxa"/>
            <w:tcBorders>
              <w:top w:val="nil"/>
              <w:left w:val="single" w:sz="3" w:space="0" w:color="000000"/>
              <w:bottom w:val="nil"/>
              <w:right w:val="single" w:sz="3" w:space="0" w:color="000000"/>
            </w:tcBorders>
          </w:tcPr>
          <w:p>
            <w:pPr/>
          </w:p>
        </w:tc>
        <w:tc>
          <w:tcPr>
            <w:tcW w:w="1311" w:type="dxa"/>
            <w:tcBorders>
              <w:top w:val="nil"/>
              <w:left w:val="single" w:sz="3" w:space="0" w:color="000000"/>
              <w:bottom w:val="nil"/>
              <w:right w:val="single" w:sz="3" w:space="0" w:color="000000"/>
            </w:tcBorders>
          </w:tcPr>
          <w:p>
            <w:pPr>
              <w:pStyle w:val="TableParagraph"/>
              <w:spacing w:before="6"/>
              <w:ind w:left="15"/>
              <w:rPr>
                <w:sz w:val="8"/>
              </w:rPr>
            </w:pPr>
            <w:r>
              <w:rPr>
                <w:w w:val="135"/>
                <w:sz w:val="8"/>
              </w:rPr>
              <w:t>sociedad en dichas</w:t>
            </w:r>
          </w:p>
        </w:tc>
      </w:tr>
      <w:tr>
        <w:trPr>
          <w:trHeight w:val="107" w:hRule="exact"/>
        </w:trPr>
        <w:tc>
          <w:tcPr>
            <w:tcW w:w="1816" w:type="dxa"/>
            <w:tcBorders>
              <w:top w:val="nil"/>
              <w:left w:val="single" w:sz="3" w:space="0" w:color="000000"/>
              <w:right w:val="single" w:sz="3" w:space="0" w:color="000000"/>
            </w:tcBorders>
          </w:tcPr>
          <w:p>
            <w:pPr/>
          </w:p>
        </w:tc>
        <w:tc>
          <w:tcPr>
            <w:tcW w:w="1640" w:type="dxa"/>
            <w:tcBorders>
              <w:top w:val="nil"/>
              <w:left w:val="single" w:sz="3" w:space="0" w:color="000000"/>
              <w:right w:val="single" w:sz="3" w:space="0" w:color="000000"/>
            </w:tcBorders>
          </w:tcPr>
          <w:p>
            <w:pPr/>
          </w:p>
        </w:tc>
        <w:tc>
          <w:tcPr>
            <w:tcW w:w="1349" w:type="dxa"/>
            <w:tcBorders>
              <w:top w:val="nil"/>
              <w:left w:val="single" w:sz="3" w:space="0" w:color="000000"/>
              <w:right w:val="single" w:sz="3" w:space="0" w:color="000000"/>
            </w:tcBorders>
          </w:tcPr>
          <w:p>
            <w:pPr/>
          </w:p>
        </w:tc>
        <w:tc>
          <w:tcPr>
            <w:tcW w:w="1311" w:type="dxa"/>
            <w:tcBorders>
              <w:top w:val="nil"/>
              <w:left w:val="single" w:sz="3" w:space="0" w:color="000000"/>
              <w:right w:val="single" w:sz="3" w:space="0" w:color="000000"/>
            </w:tcBorders>
          </w:tcPr>
          <w:p>
            <w:pPr>
              <w:pStyle w:val="TableParagraph"/>
              <w:spacing w:before="6"/>
              <w:ind w:left="15"/>
              <w:rPr>
                <w:sz w:val="8"/>
              </w:rPr>
            </w:pPr>
            <w:r>
              <w:rPr>
                <w:w w:val="135"/>
                <w:sz w:val="8"/>
              </w:rPr>
              <w:t>acciones.</w:t>
            </w:r>
          </w:p>
        </w:tc>
      </w:tr>
    </w:tbl>
    <w:p>
      <w:pPr>
        <w:spacing w:after="0"/>
        <w:rPr>
          <w:sz w:val="8"/>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2"/>
        </w:rPr>
      </w:pPr>
    </w:p>
    <w:p>
      <w:pPr>
        <w:pStyle w:val="BodyText"/>
        <w:spacing w:before="11"/>
        <w:rPr>
          <w:b/>
          <w:sz w:val="10"/>
        </w:rPr>
      </w:pPr>
    </w:p>
    <w:p>
      <w:pPr>
        <w:spacing w:line="271" w:lineRule="auto" w:before="0"/>
        <w:ind w:left="3816" w:right="3836" w:firstLine="2"/>
        <w:jc w:val="center"/>
        <w:rPr>
          <w:b/>
          <w:sz w:val="13"/>
        </w:rPr>
      </w:pPr>
      <w:r>
        <w:rPr/>
        <w:pict>
          <v:shape style="position:absolute;margin-left:239.002457pt;margin-top:39.321960pt;width:312.55pt;height:11.15pt;mso-position-horizontal-relative:page;mso-position-vertical-relative:paragraph;z-index:-675952" type="#_x0000_t202" filled="false" stroked="false">
            <v:textbox inset="0,0,0,0">
              <w:txbxContent>
                <w:p>
                  <w:pPr>
                    <w:spacing w:line="204" w:lineRule="exact" w:before="0"/>
                    <w:ind w:left="202" w:right="0" w:firstLine="0"/>
                    <w:jc w:val="left"/>
                    <w:rPr>
                      <w:sz w:val="20"/>
                    </w:rPr>
                  </w:pPr>
                  <w:r>
                    <w:rPr>
                      <w:sz w:val="20"/>
                    </w:rPr>
                    <w:t>de la Fiscalización Superior de las cuentas públicas 2008-2014.</w:t>
                  </w:r>
                </w:p>
              </w:txbxContent>
            </v:textbox>
            <w10:wrap type="none"/>
          </v:shape>
        </w:pict>
      </w:r>
      <w:r>
        <w:rPr/>
        <w:pict>
          <v:group style="position:absolute;margin-left:238.752457pt;margin-top:24.738291pt;width:318.2pt;height:39.950pt;mso-position-horizontal-relative:page;mso-position-vertical-relative:paragraph;z-index:-675904" coordorigin="4775,495" coordsize="6364,799">
            <v:shape style="position:absolute;left:4838;top:535;width:6300;height:758" type="#_x0000_t75" stroked="false">
              <v:imagedata r:id="rId182" o:title=""/>
            </v:shape>
            <v:shape style="position:absolute;left:4780;top:500;width:6251;height:2" coordorigin="4780,500" coordsize="6251,0" path="m4780,500l4780,500,11031,500e" filled="false" stroked="true" strokeweight=".498607pt" strokecolor="#000000">
              <v:path arrowok="t"/>
            </v:shape>
            <v:shape style="position:absolute;left:4775;top:495;width:6364;height:799" type="#_x0000_t202" filled="false" stroked="false">
              <v:textbox inset="0,0,0,0">
                <w:txbxContent>
                  <w:p>
                    <w:pPr>
                      <w:spacing w:before="35"/>
                      <w:ind w:left="207" w:right="0" w:firstLine="0"/>
                      <w:jc w:val="left"/>
                      <w:rPr>
                        <w:sz w:val="20"/>
                      </w:rPr>
                    </w:pPr>
                    <w:r>
                      <w:rPr>
                        <w:b/>
                        <w:sz w:val="20"/>
                      </w:rPr>
                      <w:t>Fuente</w:t>
                    </w:r>
                    <w:r>
                      <w:rPr>
                        <w:sz w:val="20"/>
                      </w:rPr>
                      <w:t>: Elaboración propia con base en el Informe de   Resultados</w:t>
                    </w:r>
                  </w:p>
                </w:txbxContent>
              </v:textbox>
              <w10:wrap type="none"/>
            </v:shape>
            <w10:wrap type="none"/>
          </v:group>
        </w:pict>
      </w:r>
      <w:r>
        <w:rPr>
          <w:b/>
          <w:w w:val="145"/>
          <w:sz w:val="13"/>
        </w:rPr>
        <w:t>Calidad de la Gestión Gubernamental Controles Internos (Manejo y Aplicación) Cuautitlán Izcalli Ejercicio Fiscal 2012</w:t>
      </w:r>
    </w:p>
    <w:p>
      <w:pPr>
        <w:pStyle w:val="BodyText"/>
        <w:spacing w:before="4"/>
        <w:rPr>
          <w:b/>
          <w:sz w:val="28"/>
        </w:rPr>
      </w:pPr>
    </w:p>
    <w:tbl>
      <w:tblPr>
        <w:tblW w:w="0" w:type="auto"/>
        <w:jc w:val="left"/>
        <w:tblInd w:w="25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90"/>
        <w:gridCol w:w="2958"/>
      </w:tblGrid>
      <w:tr>
        <w:trPr>
          <w:trHeight w:val="168" w:hRule="exact"/>
        </w:trPr>
        <w:tc>
          <w:tcPr>
            <w:tcW w:w="6247" w:type="dxa"/>
            <w:gridSpan w:val="2"/>
            <w:tcBorders>
              <w:left w:val="single" w:sz="6" w:space="0" w:color="000000"/>
              <w:right w:val="single" w:sz="6" w:space="0" w:color="000000"/>
            </w:tcBorders>
            <w:shd w:val="clear" w:color="auto" w:fill="E6B8B7"/>
          </w:tcPr>
          <w:p>
            <w:pPr>
              <w:pStyle w:val="TableParagraph"/>
              <w:spacing w:before="2"/>
              <w:ind w:left="2877" w:right="2866"/>
              <w:jc w:val="center"/>
              <w:rPr>
                <w:b/>
                <w:sz w:val="13"/>
              </w:rPr>
            </w:pPr>
            <w:r>
              <w:rPr>
                <w:b/>
                <w:w w:val="145"/>
                <w:sz w:val="13"/>
              </w:rPr>
              <w:t>FISM</w:t>
            </w:r>
          </w:p>
        </w:tc>
      </w:tr>
      <w:tr>
        <w:trPr>
          <w:trHeight w:val="169" w:hRule="exact"/>
        </w:trPr>
        <w:tc>
          <w:tcPr>
            <w:tcW w:w="3290" w:type="dxa"/>
            <w:tcBorders>
              <w:left w:val="single" w:sz="6" w:space="0" w:color="000000"/>
              <w:right w:val="single" w:sz="6" w:space="0" w:color="000000"/>
            </w:tcBorders>
            <w:shd w:val="clear" w:color="auto" w:fill="F1DCDB"/>
          </w:tcPr>
          <w:p>
            <w:pPr>
              <w:pStyle w:val="TableParagraph"/>
              <w:spacing w:before="2"/>
              <w:ind w:left="1156" w:right="1147"/>
              <w:jc w:val="center"/>
              <w:rPr>
                <w:b/>
                <w:sz w:val="13"/>
              </w:rPr>
            </w:pPr>
            <w:r>
              <w:rPr>
                <w:b/>
                <w:w w:val="145"/>
                <w:sz w:val="13"/>
              </w:rPr>
              <w:t>Fortalezas</w:t>
            </w:r>
          </w:p>
        </w:tc>
        <w:tc>
          <w:tcPr>
            <w:tcW w:w="2958" w:type="dxa"/>
            <w:tcBorders>
              <w:left w:val="single" w:sz="6" w:space="0" w:color="000000"/>
              <w:right w:val="single" w:sz="6" w:space="0" w:color="000000"/>
            </w:tcBorders>
            <w:shd w:val="clear" w:color="auto" w:fill="F1DCDB"/>
          </w:tcPr>
          <w:p>
            <w:pPr>
              <w:pStyle w:val="TableParagraph"/>
              <w:spacing w:before="2"/>
              <w:ind w:left="948" w:right="101"/>
              <w:rPr>
                <w:b/>
                <w:sz w:val="13"/>
              </w:rPr>
            </w:pPr>
            <w:r>
              <w:rPr>
                <w:b/>
                <w:w w:val="145"/>
                <w:sz w:val="13"/>
              </w:rPr>
              <w:t>Debilidades</w:t>
            </w:r>
          </w:p>
        </w:tc>
      </w:tr>
      <w:tr>
        <w:trPr>
          <w:trHeight w:val="1182" w:hRule="exact"/>
        </w:trPr>
        <w:tc>
          <w:tcPr>
            <w:tcW w:w="3290" w:type="dxa"/>
            <w:tcBorders>
              <w:left w:val="single" w:sz="6" w:space="0" w:color="000000"/>
              <w:right w:val="single" w:sz="6" w:space="0" w:color="000000"/>
            </w:tcBorders>
          </w:tcPr>
          <w:p>
            <w:pPr>
              <w:pStyle w:val="TableParagraph"/>
              <w:spacing w:line="175" w:lineRule="exact"/>
              <w:ind w:left="27" w:right="53"/>
              <w:rPr>
                <w:sz w:val="13"/>
              </w:rPr>
            </w:pPr>
            <w:r>
              <w:rPr>
                <w:w w:val="145"/>
                <w:sz w:val="13"/>
              </w:rPr>
              <w:t>D</w:t>
            </w:r>
            <w:r>
              <w:rPr>
                <w:spacing w:val="-1"/>
                <w:w w:val="145"/>
                <w:sz w:val="13"/>
              </w:rPr>
              <w:t>i</w:t>
            </w:r>
            <w:r>
              <w:rPr>
                <w:spacing w:val="-2"/>
                <w:w w:val="145"/>
                <w:sz w:val="13"/>
              </w:rPr>
              <w:t>s</w:t>
            </w:r>
            <w:r>
              <w:rPr>
                <w:spacing w:val="1"/>
                <w:w w:val="145"/>
                <w:sz w:val="13"/>
              </w:rPr>
              <w:t>p</w:t>
            </w:r>
            <w:r>
              <w:rPr>
                <w:spacing w:val="-1"/>
                <w:w w:val="145"/>
                <w:sz w:val="13"/>
              </w:rPr>
              <w:t>o</w:t>
            </w:r>
            <w:r>
              <w:rPr>
                <w:w w:val="145"/>
                <w:sz w:val="13"/>
              </w:rPr>
              <w:t>n</w:t>
            </w:r>
            <w:r>
              <w:rPr>
                <w:spacing w:val="-104"/>
                <w:w w:val="145"/>
                <w:sz w:val="13"/>
              </w:rPr>
              <w:t>e</w:t>
            </w:r>
            <w:r>
              <w:rPr>
                <w:spacing w:val="-4"/>
                <w:w w:val="100"/>
                <w:sz w:val="24"/>
              </w:rPr>
              <w:t>A</w:t>
            </w:r>
            <w:r>
              <w:rPr>
                <w:spacing w:val="-102"/>
                <w:w w:val="145"/>
                <w:sz w:val="13"/>
              </w:rPr>
              <w:t>d</w:t>
            </w:r>
            <w:r>
              <w:rPr>
                <w:spacing w:val="-33"/>
                <w:w w:val="99"/>
                <w:sz w:val="24"/>
              </w:rPr>
              <w:t>n</w:t>
            </w:r>
            <w:r>
              <w:rPr>
                <w:spacing w:val="-73"/>
                <w:w w:val="145"/>
                <w:sz w:val="13"/>
              </w:rPr>
              <w:t>e</w:t>
            </w:r>
            <w:r>
              <w:rPr>
                <w:spacing w:val="-10"/>
                <w:w w:val="99"/>
                <w:sz w:val="24"/>
              </w:rPr>
              <w:t>e</w:t>
            </w:r>
            <w:r>
              <w:rPr>
                <w:spacing w:val="-96"/>
                <w:w w:val="145"/>
                <w:sz w:val="13"/>
              </w:rPr>
              <w:t>a</w:t>
            </w:r>
            <w:r>
              <w:rPr>
                <w:spacing w:val="-25"/>
                <w:sz w:val="24"/>
              </w:rPr>
              <w:t>x</w:t>
            </w:r>
            <w:r>
              <w:rPr>
                <w:spacing w:val="-72"/>
                <w:w w:val="145"/>
                <w:sz w:val="13"/>
              </w:rPr>
              <w:t>c</w:t>
            </w:r>
            <w:r>
              <w:rPr>
                <w:spacing w:val="-63"/>
                <w:w w:val="99"/>
                <w:sz w:val="24"/>
              </w:rPr>
              <w:t>o</w:t>
            </w:r>
            <w:r>
              <w:rPr>
                <w:spacing w:val="1"/>
                <w:w w:val="145"/>
                <w:sz w:val="13"/>
              </w:rPr>
              <w:t>t</w:t>
            </w:r>
            <w:r>
              <w:rPr>
                <w:spacing w:val="-1"/>
                <w:w w:val="145"/>
                <w:sz w:val="13"/>
              </w:rPr>
              <w:t>i</w:t>
            </w:r>
            <w:r>
              <w:rPr>
                <w:spacing w:val="-60"/>
                <w:w w:val="145"/>
                <w:sz w:val="13"/>
              </w:rPr>
              <w:t>v</w:t>
            </w:r>
            <w:r>
              <w:rPr>
                <w:spacing w:val="-75"/>
                <w:w w:val="99"/>
                <w:sz w:val="24"/>
              </w:rPr>
              <w:t>5</w:t>
            </w:r>
            <w:r>
              <w:rPr>
                <w:spacing w:val="1"/>
                <w:w w:val="145"/>
                <w:sz w:val="13"/>
              </w:rPr>
              <w:t>i</w:t>
            </w:r>
            <w:r>
              <w:rPr>
                <w:spacing w:val="-73"/>
                <w:w w:val="145"/>
                <w:sz w:val="13"/>
              </w:rPr>
              <w:t>d</w:t>
            </w:r>
            <w:r>
              <w:rPr>
                <w:spacing w:val="-61"/>
                <w:w w:val="99"/>
                <w:sz w:val="24"/>
              </w:rPr>
              <w:t>3</w:t>
            </w:r>
            <w:r>
              <w:rPr>
                <w:spacing w:val="-46"/>
                <w:w w:val="145"/>
                <w:sz w:val="13"/>
              </w:rPr>
              <w:t>a</w:t>
            </w:r>
            <w:r>
              <w:rPr>
                <w:spacing w:val="-21"/>
                <w:w w:val="100"/>
                <w:sz w:val="24"/>
              </w:rPr>
              <w:t>.</w:t>
            </w:r>
            <w:r>
              <w:rPr>
                <w:w w:val="145"/>
                <w:sz w:val="13"/>
              </w:rPr>
              <w:t>de</w:t>
            </w:r>
            <w:r>
              <w:rPr>
                <w:w w:val="145"/>
                <w:sz w:val="13"/>
              </w:rPr>
              <w:t>s</w:t>
            </w:r>
            <w:r>
              <w:rPr>
                <w:spacing w:val="15"/>
                <w:sz w:val="13"/>
              </w:rPr>
              <w:t> </w:t>
            </w:r>
            <w:r>
              <w:rPr>
                <w:w w:val="145"/>
                <w:sz w:val="13"/>
              </w:rPr>
              <w:t>de</w:t>
            </w:r>
            <w:r>
              <w:rPr>
                <w:spacing w:val="17"/>
                <w:sz w:val="13"/>
              </w:rPr>
              <w:t> </w:t>
            </w:r>
            <w:r>
              <w:rPr>
                <w:spacing w:val="-2"/>
                <w:w w:val="145"/>
                <w:sz w:val="13"/>
              </w:rPr>
              <w:t>c</w:t>
            </w:r>
            <w:r>
              <w:rPr>
                <w:spacing w:val="1"/>
                <w:w w:val="145"/>
                <w:sz w:val="13"/>
              </w:rPr>
              <w:t>o</w:t>
            </w:r>
            <w:r>
              <w:rPr>
                <w:w w:val="145"/>
                <w:sz w:val="13"/>
              </w:rPr>
              <w:t>n</w:t>
            </w:r>
            <w:r>
              <w:rPr>
                <w:spacing w:val="-1"/>
                <w:w w:val="145"/>
                <w:sz w:val="13"/>
              </w:rPr>
              <w:t>t</w:t>
            </w:r>
            <w:r>
              <w:rPr>
                <w:spacing w:val="-1"/>
                <w:w w:val="145"/>
                <w:sz w:val="13"/>
              </w:rPr>
              <w:t>r</w:t>
            </w:r>
            <w:r>
              <w:rPr>
                <w:w w:val="145"/>
                <w:sz w:val="13"/>
              </w:rPr>
              <w:t>o</w:t>
            </w:r>
            <w:r>
              <w:rPr>
                <w:w w:val="145"/>
                <w:sz w:val="13"/>
              </w:rPr>
              <w:t>l</w:t>
            </w:r>
          </w:p>
          <w:p>
            <w:pPr>
              <w:pStyle w:val="TableParagraph"/>
              <w:spacing w:line="271" w:lineRule="auto"/>
              <w:ind w:left="27" w:right="53" w:firstLine="1"/>
              <w:rPr>
                <w:sz w:val="13"/>
              </w:rPr>
            </w:pPr>
            <w:r>
              <w:rPr>
                <w:w w:val="145"/>
                <w:sz w:val="13"/>
              </w:rPr>
              <w:t>para verificar la correcta aplicación de la normatividad en los procesos de adjudicación de las obras públicas realizadas.</w:t>
            </w:r>
          </w:p>
        </w:tc>
        <w:tc>
          <w:tcPr>
            <w:tcW w:w="2958" w:type="dxa"/>
            <w:tcBorders>
              <w:left w:val="single" w:sz="6" w:space="0" w:color="000000"/>
              <w:right w:val="single" w:sz="6" w:space="0" w:color="000000"/>
            </w:tcBorders>
          </w:tcPr>
          <w:p>
            <w:pPr>
              <w:pStyle w:val="TableParagraph"/>
              <w:spacing w:line="271" w:lineRule="auto" w:before="2"/>
              <w:ind w:left="25" w:right="101" w:firstLine="1"/>
              <w:rPr>
                <w:sz w:val="13"/>
              </w:rPr>
            </w:pPr>
            <w:r>
              <w:rPr>
                <w:w w:val="145"/>
                <w:sz w:val="13"/>
              </w:rPr>
              <w:t>Insuficiencias administrativas en la planeación y programación del ejercicio de los recursos derivado de la falta de controles en la supervisión y ejecución de las obras.</w:t>
            </w:r>
          </w:p>
        </w:tc>
      </w:tr>
      <w:tr>
        <w:trPr>
          <w:trHeight w:val="1182" w:hRule="exact"/>
        </w:trPr>
        <w:tc>
          <w:tcPr>
            <w:tcW w:w="3290" w:type="dxa"/>
            <w:tcBorders>
              <w:left w:val="single" w:sz="6" w:space="0" w:color="000000"/>
              <w:right w:val="single" w:sz="6" w:space="0" w:color="000000"/>
            </w:tcBorders>
          </w:tcPr>
          <w:p>
            <w:pPr>
              <w:pStyle w:val="TableParagraph"/>
              <w:spacing w:line="271" w:lineRule="auto" w:before="2"/>
              <w:ind w:left="26" w:right="107" w:firstLine="1"/>
              <w:rPr>
                <w:sz w:val="13"/>
              </w:rPr>
            </w:pPr>
            <w:r>
              <w:rPr>
                <w:w w:val="145"/>
                <w:sz w:val="13"/>
              </w:rPr>
              <w:t>Existe transparencia en el ejercicio y destino de los recursos del fondo, ya que se informa a los habitantes al inicio y término del ejercicio sobre las obras, acciones, ubicación, costo, metas y beneficiarios programados y alcanzados.</w:t>
            </w:r>
          </w:p>
        </w:tc>
        <w:tc>
          <w:tcPr>
            <w:tcW w:w="2958" w:type="dxa"/>
            <w:tcBorders>
              <w:left w:val="single" w:sz="6" w:space="0" w:color="000000"/>
              <w:right w:val="single" w:sz="6" w:space="0" w:color="000000"/>
            </w:tcBorders>
          </w:tcPr>
          <w:p>
            <w:pPr>
              <w:pStyle w:val="TableParagraph"/>
              <w:spacing w:line="271" w:lineRule="auto" w:before="2"/>
              <w:ind w:left="25" w:right="268" w:firstLine="1"/>
              <w:rPr>
                <w:sz w:val="13"/>
              </w:rPr>
            </w:pPr>
            <w:r>
              <w:rPr>
                <w:w w:val="145"/>
                <w:sz w:val="13"/>
              </w:rPr>
              <w:t>El área de obra pública del municipio no tiene mecanismos implementados para supervisar que las obras dispongan de las fianzas de vicios ocultos.</w:t>
            </w:r>
          </w:p>
        </w:tc>
      </w:tr>
      <w:tr>
        <w:trPr>
          <w:trHeight w:val="1014" w:hRule="exact"/>
        </w:trPr>
        <w:tc>
          <w:tcPr>
            <w:tcW w:w="3290" w:type="dxa"/>
            <w:tcBorders>
              <w:left w:val="single" w:sz="6" w:space="0" w:color="000000"/>
              <w:right w:val="single" w:sz="6" w:space="0" w:color="000000"/>
            </w:tcBorders>
          </w:tcPr>
          <w:p>
            <w:pPr>
              <w:pStyle w:val="TableParagraph"/>
              <w:spacing w:line="271" w:lineRule="auto" w:before="2"/>
              <w:ind w:left="27" w:right="12"/>
              <w:rPr>
                <w:sz w:val="13"/>
              </w:rPr>
            </w:pPr>
            <w:r>
              <w:rPr>
                <w:w w:val="145"/>
                <w:sz w:val="13"/>
              </w:rPr>
              <w:t>El municipio dispone del sistema automatizado de contabilidad Sistema Integral Municipal Administrativo (SIMA) para el registro contable de las operaciones realizadas con recursos del FISM.</w:t>
            </w:r>
          </w:p>
        </w:tc>
        <w:tc>
          <w:tcPr>
            <w:tcW w:w="2958" w:type="dxa"/>
            <w:tcBorders>
              <w:left w:val="single" w:sz="6" w:space="0" w:color="000000"/>
              <w:right w:val="single" w:sz="6" w:space="0" w:color="000000"/>
            </w:tcBorders>
          </w:tcPr>
          <w:p>
            <w:pPr>
              <w:pStyle w:val="TableParagraph"/>
              <w:spacing w:line="271" w:lineRule="auto" w:before="2"/>
              <w:ind w:left="25" w:right="69" w:firstLine="1"/>
              <w:rPr>
                <w:sz w:val="13"/>
              </w:rPr>
            </w:pPr>
            <w:r>
              <w:rPr>
                <w:w w:val="145"/>
                <w:sz w:val="13"/>
              </w:rPr>
              <w:t>Falta de mecanismos de control que garanticen la amortización de los anticipos otorgados en la realización de las obras.</w:t>
            </w:r>
          </w:p>
        </w:tc>
      </w:tr>
      <w:tr>
        <w:trPr>
          <w:trHeight w:val="1351" w:hRule="exact"/>
        </w:trPr>
        <w:tc>
          <w:tcPr>
            <w:tcW w:w="3290" w:type="dxa"/>
            <w:tcBorders>
              <w:left w:val="single" w:sz="6" w:space="0" w:color="000000"/>
              <w:right w:val="single" w:sz="6" w:space="0" w:color="000000"/>
            </w:tcBorders>
          </w:tcPr>
          <w:p>
            <w:pPr>
              <w:pStyle w:val="TableParagraph"/>
              <w:spacing w:line="271" w:lineRule="auto" w:before="2"/>
              <w:ind w:left="26" w:right="2" w:firstLine="1"/>
              <w:rPr>
                <w:sz w:val="13"/>
              </w:rPr>
            </w:pPr>
            <w:r>
              <w:rPr>
                <w:w w:val="145"/>
                <w:sz w:val="13"/>
              </w:rPr>
              <w:t>Tiene controles que garantizan que la información que se genera en el área de obra pública se concilia con el área financiera respecto de los recursos del fondo.</w:t>
            </w:r>
          </w:p>
        </w:tc>
        <w:tc>
          <w:tcPr>
            <w:tcW w:w="2958" w:type="dxa"/>
            <w:tcBorders>
              <w:left w:val="single" w:sz="6" w:space="0" w:color="000000"/>
              <w:right w:val="single" w:sz="6" w:space="0" w:color="000000"/>
            </w:tcBorders>
          </w:tcPr>
          <w:p>
            <w:pPr>
              <w:pStyle w:val="TableParagraph"/>
              <w:spacing w:line="271" w:lineRule="auto" w:before="2"/>
              <w:ind w:left="25" w:right="110" w:firstLine="1"/>
              <w:rPr>
                <w:sz w:val="13"/>
              </w:rPr>
            </w:pPr>
            <w:r>
              <w:rPr>
                <w:w w:val="145"/>
                <w:sz w:val="13"/>
              </w:rPr>
              <w:t>Falta de acciones de control para garantizar que las obras ejecutadas no impactan desfavorablemente el entorno ecológico en el que se ubican, y que previo a su ejecución dispongan de los estudios y permisos correspondientes.</w:t>
            </w:r>
          </w:p>
        </w:tc>
      </w:tr>
      <w:tr>
        <w:trPr>
          <w:trHeight w:val="1088" w:hRule="exact"/>
        </w:trPr>
        <w:tc>
          <w:tcPr>
            <w:tcW w:w="3290" w:type="dxa"/>
            <w:tcBorders>
              <w:left w:val="single" w:sz="6" w:space="0" w:color="000000"/>
              <w:right w:val="single" w:sz="6" w:space="0" w:color="000000"/>
            </w:tcBorders>
          </w:tcPr>
          <w:p>
            <w:pPr/>
          </w:p>
        </w:tc>
        <w:tc>
          <w:tcPr>
            <w:tcW w:w="2958" w:type="dxa"/>
            <w:tcBorders>
              <w:left w:val="single" w:sz="6" w:space="0" w:color="000000"/>
              <w:right w:val="single" w:sz="6" w:space="0" w:color="000000"/>
            </w:tcBorders>
          </w:tcPr>
          <w:p>
            <w:pPr>
              <w:pStyle w:val="TableParagraph"/>
              <w:spacing w:line="271" w:lineRule="auto" w:before="2"/>
              <w:ind w:left="25" w:right="69" w:firstLine="1"/>
              <w:rPr>
                <w:sz w:val="13"/>
              </w:rPr>
            </w:pPr>
            <w:r>
              <w:rPr>
                <w:w w:val="145"/>
                <w:sz w:val="13"/>
              </w:rPr>
              <w:t>Falta de actividades de control en las áreas involucradas en la gestión del fondo, para verificar que los riesgos más recurrentes y de mayor impacto, se encuentran adecuadamente administrados.</w:t>
            </w:r>
          </w:p>
        </w:tc>
      </w:tr>
    </w:tbl>
    <w:p>
      <w:pPr>
        <w:spacing w:after="0" w:line="271" w:lineRule="auto"/>
        <w:rPr>
          <w:sz w:val="13"/>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1"/>
        </w:rPr>
      </w:pPr>
    </w:p>
    <w:p>
      <w:pPr>
        <w:spacing w:before="74"/>
        <w:ind w:left="2542" w:right="2588" w:firstLine="0"/>
        <w:jc w:val="left"/>
        <w:rPr>
          <w:sz w:val="20"/>
        </w:rPr>
      </w:pPr>
      <w:r>
        <w:rPr/>
        <w:drawing>
          <wp:anchor distT="0" distB="0" distL="0" distR="0" allowOverlap="1" layoutInCell="1" locked="0" behindDoc="1" simplePos="0" relativeHeight="267759599">
            <wp:simplePos x="0" y="0"/>
            <wp:positionH relativeFrom="page">
              <wp:posOffset>2958083</wp:posOffset>
            </wp:positionH>
            <wp:positionV relativeFrom="paragraph">
              <wp:posOffset>50036</wp:posOffset>
            </wp:positionV>
            <wp:extent cx="4152900" cy="481584"/>
            <wp:effectExtent l="0" t="0" r="0" b="0"/>
            <wp:wrapNone/>
            <wp:docPr id="37" name="image129.png" descr=""/>
            <wp:cNvGraphicFramePr>
              <a:graphicFrameLocks noChangeAspect="1"/>
            </wp:cNvGraphicFramePr>
            <a:graphic>
              <a:graphicData uri="http://schemas.openxmlformats.org/drawingml/2006/picture">
                <pic:pic>
                  <pic:nvPicPr>
                    <pic:cNvPr id="38" name="image129.png"/>
                    <pic:cNvPicPr/>
                  </pic:nvPicPr>
                  <pic:blipFill>
                    <a:blip r:embed="rId183" cstate="print"/>
                    <a:stretch>
                      <a:fillRect/>
                    </a:stretch>
                  </pic:blipFill>
                  <pic:spPr>
                    <a:xfrm>
                      <a:off x="0" y="0"/>
                      <a:ext cx="4152900" cy="481584"/>
                    </a:xfrm>
                    <a:prstGeom prst="rect">
                      <a:avLst/>
                    </a:prstGeom>
                  </pic:spPr>
                </pic:pic>
              </a:graphicData>
            </a:graphic>
          </wp:anchor>
        </w:drawing>
      </w:r>
      <w:r>
        <w:rPr>
          <w:b/>
          <w:sz w:val="20"/>
        </w:rPr>
        <w:t>Fuente</w:t>
      </w:r>
      <w:r>
        <w:rPr>
          <w:sz w:val="20"/>
        </w:rPr>
        <w:t>: Elaboración propia con base en el Informe de Resultados de </w:t>
      </w:r>
      <w:r>
        <w:rPr>
          <w:spacing w:val="-1"/>
          <w:w w:val="99"/>
          <w:sz w:val="20"/>
        </w:rPr>
        <w:t>l</w:t>
      </w:r>
      <w:r>
        <w:rPr>
          <w:w w:val="99"/>
          <w:sz w:val="20"/>
        </w:rPr>
        <w:t>a</w:t>
      </w:r>
      <w:r>
        <w:rPr>
          <w:sz w:val="20"/>
        </w:rPr>
        <w:t> </w:t>
      </w:r>
      <w:r>
        <w:rPr>
          <w:w w:val="99"/>
          <w:sz w:val="20"/>
        </w:rPr>
        <w:t>F</w:t>
      </w:r>
      <w:r>
        <w:rPr>
          <w:spacing w:val="-1"/>
          <w:w w:val="99"/>
          <w:sz w:val="20"/>
        </w:rPr>
        <w:t>i</w:t>
      </w:r>
      <w:r>
        <w:rPr>
          <w:spacing w:val="1"/>
          <w:w w:val="99"/>
          <w:sz w:val="20"/>
        </w:rPr>
        <w:t>sc</w:t>
      </w:r>
      <w:r>
        <w:rPr>
          <w:spacing w:val="1"/>
          <w:w w:val="99"/>
          <w:sz w:val="20"/>
        </w:rPr>
        <w:t>a</w:t>
      </w:r>
      <w:r>
        <w:rPr>
          <w:spacing w:val="-1"/>
          <w:w w:val="99"/>
          <w:sz w:val="20"/>
        </w:rPr>
        <w:t>l</w:t>
      </w:r>
      <w:r>
        <w:rPr>
          <w:spacing w:val="2"/>
          <w:w w:val="99"/>
          <w:sz w:val="20"/>
        </w:rPr>
        <w:t>i</w:t>
      </w:r>
      <w:r>
        <w:rPr>
          <w:spacing w:val="-2"/>
          <w:w w:val="99"/>
          <w:sz w:val="20"/>
        </w:rPr>
        <w:t>z</w:t>
      </w:r>
      <w:r>
        <w:rPr>
          <w:w w:val="99"/>
          <w:sz w:val="20"/>
        </w:rPr>
        <w:t>ac</w:t>
      </w:r>
      <w:r>
        <w:rPr>
          <w:spacing w:val="1"/>
          <w:w w:val="99"/>
          <w:sz w:val="20"/>
        </w:rPr>
        <w:t>i</w:t>
      </w:r>
      <w:r>
        <w:rPr>
          <w:w w:val="99"/>
          <w:sz w:val="20"/>
        </w:rPr>
        <w:t>ón</w:t>
      </w:r>
      <w:r>
        <w:rPr>
          <w:sz w:val="20"/>
        </w:rPr>
        <w:t> </w:t>
      </w:r>
      <w:r>
        <w:rPr>
          <w:spacing w:val="-1"/>
          <w:w w:val="99"/>
          <w:sz w:val="20"/>
        </w:rPr>
        <w:t>S</w:t>
      </w:r>
      <w:r>
        <w:rPr>
          <w:spacing w:val="1"/>
          <w:w w:val="99"/>
          <w:sz w:val="20"/>
        </w:rPr>
        <w:t>u</w:t>
      </w:r>
      <w:r>
        <w:rPr>
          <w:w w:val="99"/>
          <w:sz w:val="20"/>
        </w:rPr>
        <w:t>p</w:t>
      </w:r>
      <w:r>
        <w:rPr>
          <w:spacing w:val="-1"/>
          <w:w w:val="99"/>
          <w:sz w:val="20"/>
        </w:rPr>
        <w:t>e</w:t>
      </w:r>
      <w:r>
        <w:rPr>
          <w:spacing w:val="-32"/>
          <w:w w:val="99"/>
          <w:sz w:val="20"/>
        </w:rPr>
        <w:t>r</w:t>
      </w:r>
      <w:r>
        <w:rPr>
          <w:b/>
          <w:spacing w:val="-66"/>
          <w:w w:val="104"/>
          <w:position w:val="-5"/>
          <w:sz w:val="13"/>
        </w:rPr>
        <w:t>C</w:t>
      </w:r>
      <w:r>
        <w:rPr>
          <w:spacing w:val="-1"/>
          <w:w w:val="99"/>
          <w:sz w:val="20"/>
        </w:rPr>
        <w:t>i</w:t>
      </w:r>
      <w:r>
        <w:rPr>
          <w:spacing w:val="-88"/>
          <w:w w:val="99"/>
          <w:sz w:val="20"/>
        </w:rPr>
        <w:t>o</w:t>
      </w:r>
      <w:r>
        <w:rPr>
          <w:b/>
          <w:w w:val="104"/>
          <w:position w:val="-5"/>
          <w:sz w:val="13"/>
        </w:rPr>
        <w:t>a</w:t>
      </w:r>
      <w:r>
        <w:rPr>
          <w:b/>
          <w:spacing w:val="-26"/>
          <w:w w:val="104"/>
          <w:position w:val="-5"/>
          <w:sz w:val="13"/>
        </w:rPr>
        <w:t>l</w:t>
      </w:r>
      <w:r>
        <w:rPr>
          <w:spacing w:val="-41"/>
          <w:w w:val="99"/>
          <w:sz w:val="20"/>
        </w:rPr>
        <w:t>r</w:t>
      </w:r>
      <w:r>
        <w:rPr>
          <w:b/>
          <w:w w:val="104"/>
          <w:position w:val="-5"/>
          <w:sz w:val="13"/>
        </w:rPr>
        <w:t>i</w:t>
      </w:r>
      <w:r>
        <w:rPr>
          <w:b/>
          <w:spacing w:val="-23"/>
          <w:w w:val="104"/>
          <w:position w:val="-5"/>
          <w:sz w:val="13"/>
        </w:rPr>
        <w:t>d</w:t>
      </w:r>
      <w:r>
        <w:rPr>
          <w:spacing w:val="-89"/>
          <w:w w:val="99"/>
          <w:sz w:val="20"/>
        </w:rPr>
        <w:t>d</w:t>
      </w:r>
      <w:r>
        <w:rPr>
          <w:b/>
          <w:spacing w:val="1"/>
          <w:w w:val="104"/>
          <w:position w:val="-5"/>
          <w:sz w:val="13"/>
        </w:rPr>
        <w:t>a</w:t>
      </w:r>
      <w:r>
        <w:rPr>
          <w:b/>
          <w:spacing w:val="-72"/>
          <w:w w:val="104"/>
          <w:position w:val="-5"/>
          <w:sz w:val="13"/>
        </w:rPr>
        <w:t>d</w:t>
      </w:r>
      <w:r>
        <w:rPr>
          <w:spacing w:val="-2"/>
          <w:w w:val="99"/>
          <w:sz w:val="20"/>
        </w:rPr>
        <w:t>e</w:t>
      </w:r>
      <w:r>
        <w:rPr>
          <w:b/>
          <w:spacing w:val="-25"/>
          <w:w w:val="104"/>
          <w:position w:val="-5"/>
          <w:sz w:val="13"/>
        </w:rPr>
        <w:t>d</w:t>
      </w:r>
      <w:r>
        <w:rPr>
          <w:spacing w:val="-20"/>
          <w:w w:val="99"/>
          <w:sz w:val="20"/>
        </w:rPr>
        <w:t>l</w:t>
      </w:r>
      <w:r>
        <w:rPr>
          <w:b/>
          <w:spacing w:val="-58"/>
          <w:w w:val="104"/>
          <w:position w:val="-5"/>
          <w:sz w:val="13"/>
        </w:rPr>
        <w:t>e</w:t>
      </w:r>
      <w:r>
        <w:rPr>
          <w:spacing w:val="-16"/>
          <w:w w:val="99"/>
          <w:sz w:val="20"/>
        </w:rPr>
        <w:t>a</w:t>
      </w:r>
      <w:r>
        <w:rPr>
          <w:b/>
          <w:spacing w:val="-23"/>
          <w:w w:val="104"/>
          <w:position w:val="-5"/>
          <w:sz w:val="13"/>
        </w:rPr>
        <w:t>l</w:t>
      </w:r>
      <w:r>
        <w:rPr>
          <w:spacing w:val="-78"/>
          <w:w w:val="99"/>
          <w:sz w:val="20"/>
        </w:rPr>
        <w:t>s</w:t>
      </w:r>
      <w:r>
        <w:rPr>
          <w:b/>
          <w:w w:val="104"/>
          <w:position w:val="-5"/>
          <w:sz w:val="13"/>
        </w:rPr>
        <w:t>a</w:t>
      </w:r>
      <w:r>
        <w:rPr>
          <w:b/>
          <w:position w:val="-5"/>
          <w:sz w:val="13"/>
        </w:rPr>
        <w:t> </w:t>
      </w:r>
      <w:r>
        <w:rPr>
          <w:b/>
          <w:spacing w:val="-87"/>
          <w:w w:val="104"/>
          <w:position w:val="-5"/>
          <w:sz w:val="13"/>
        </w:rPr>
        <w:t>G</w:t>
      </w:r>
      <w:r>
        <w:rPr>
          <w:spacing w:val="-14"/>
          <w:w w:val="99"/>
          <w:sz w:val="20"/>
        </w:rPr>
        <w:t>c</w:t>
      </w:r>
      <w:r>
        <w:rPr>
          <w:b/>
          <w:spacing w:val="-62"/>
          <w:w w:val="104"/>
          <w:position w:val="-5"/>
          <w:sz w:val="13"/>
        </w:rPr>
        <w:t>e</w:t>
      </w:r>
      <w:r>
        <w:rPr>
          <w:spacing w:val="-49"/>
          <w:w w:val="99"/>
          <w:sz w:val="20"/>
        </w:rPr>
        <w:t>u</w:t>
      </w:r>
      <w:r>
        <w:rPr>
          <w:b/>
          <w:spacing w:val="-28"/>
          <w:w w:val="104"/>
          <w:position w:val="-5"/>
          <w:sz w:val="13"/>
        </w:rPr>
        <w:t>s</w:t>
      </w:r>
      <w:r>
        <w:rPr>
          <w:spacing w:val="-84"/>
          <w:w w:val="99"/>
          <w:sz w:val="20"/>
        </w:rPr>
        <w:t>e</w:t>
      </w:r>
      <w:r>
        <w:rPr>
          <w:b/>
          <w:spacing w:val="-1"/>
          <w:w w:val="104"/>
          <w:position w:val="-5"/>
          <w:sz w:val="13"/>
        </w:rPr>
        <w:t>t</w:t>
      </w:r>
      <w:r>
        <w:rPr>
          <w:b/>
          <w:spacing w:val="1"/>
          <w:w w:val="104"/>
          <w:position w:val="-5"/>
          <w:sz w:val="13"/>
        </w:rPr>
        <w:t>i</w:t>
      </w:r>
      <w:r>
        <w:rPr>
          <w:b/>
          <w:spacing w:val="-82"/>
          <w:w w:val="104"/>
          <w:position w:val="-5"/>
          <w:sz w:val="13"/>
        </w:rPr>
        <w:t>ó</w:t>
      </w:r>
      <w:r>
        <w:rPr>
          <w:spacing w:val="-29"/>
          <w:w w:val="99"/>
          <w:sz w:val="20"/>
        </w:rPr>
        <w:t>n</w:t>
      </w:r>
      <w:r>
        <w:rPr>
          <w:b/>
          <w:spacing w:val="-55"/>
          <w:w w:val="104"/>
          <w:position w:val="-5"/>
          <w:sz w:val="13"/>
        </w:rPr>
        <w:t>n</w:t>
      </w:r>
      <w:r>
        <w:rPr>
          <w:w w:val="99"/>
          <w:sz w:val="20"/>
        </w:rPr>
        <w:t>t</w:t>
      </w:r>
      <w:r>
        <w:rPr>
          <w:spacing w:val="-74"/>
          <w:w w:val="99"/>
          <w:sz w:val="20"/>
        </w:rPr>
        <w:t>a</w:t>
      </w:r>
      <w:r>
        <w:rPr>
          <w:b/>
          <w:spacing w:val="-33"/>
          <w:w w:val="104"/>
          <w:position w:val="-5"/>
          <w:sz w:val="13"/>
        </w:rPr>
        <w:t>G</w:t>
      </w:r>
      <w:r>
        <w:rPr>
          <w:spacing w:val="-67"/>
          <w:w w:val="99"/>
          <w:sz w:val="20"/>
        </w:rPr>
        <w:t>s</w:t>
      </w:r>
      <w:r>
        <w:rPr>
          <w:b/>
          <w:w w:val="104"/>
          <w:position w:val="-5"/>
          <w:sz w:val="13"/>
        </w:rPr>
        <w:t>u</w:t>
      </w:r>
      <w:r>
        <w:rPr>
          <w:b/>
          <w:spacing w:val="-44"/>
          <w:w w:val="104"/>
          <w:position w:val="-5"/>
          <w:sz w:val="13"/>
        </w:rPr>
        <w:t>b</w:t>
      </w:r>
      <w:r>
        <w:rPr>
          <w:spacing w:val="-67"/>
          <w:w w:val="99"/>
          <w:sz w:val="20"/>
        </w:rPr>
        <w:t>p</w:t>
      </w:r>
      <w:r>
        <w:rPr>
          <w:b/>
          <w:spacing w:val="-8"/>
          <w:w w:val="104"/>
          <w:position w:val="-5"/>
          <w:sz w:val="13"/>
        </w:rPr>
        <w:t>e</w:t>
      </w:r>
      <w:r>
        <w:rPr>
          <w:spacing w:val="-104"/>
          <w:w w:val="99"/>
          <w:sz w:val="20"/>
        </w:rPr>
        <w:t>ú</w:t>
      </w:r>
      <w:r>
        <w:rPr>
          <w:b/>
          <w:w w:val="104"/>
          <w:position w:val="-5"/>
          <w:sz w:val="13"/>
        </w:rPr>
        <w:t>r</w:t>
      </w:r>
      <w:r>
        <w:rPr>
          <w:b/>
          <w:spacing w:val="-33"/>
          <w:w w:val="104"/>
          <w:position w:val="-5"/>
          <w:sz w:val="13"/>
        </w:rPr>
        <w:t>n</w:t>
      </w:r>
      <w:r>
        <w:rPr>
          <w:spacing w:val="-78"/>
          <w:w w:val="99"/>
          <w:sz w:val="20"/>
        </w:rPr>
        <w:t>b</w:t>
      </w:r>
      <w:r>
        <w:rPr>
          <w:b/>
          <w:w w:val="104"/>
          <w:position w:val="-5"/>
          <w:sz w:val="13"/>
        </w:rPr>
        <w:t>a</w:t>
      </w:r>
      <w:r>
        <w:rPr>
          <w:b/>
          <w:spacing w:val="-120"/>
          <w:w w:val="104"/>
          <w:position w:val="-5"/>
          <w:sz w:val="13"/>
        </w:rPr>
        <w:t>m</w:t>
      </w:r>
      <w:r>
        <w:rPr>
          <w:spacing w:val="1"/>
          <w:w w:val="99"/>
          <w:sz w:val="20"/>
        </w:rPr>
        <w:t>l</w:t>
      </w:r>
      <w:r>
        <w:rPr>
          <w:spacing w:val="-1"/>
          <w:w w:val="99"/>
          <w:sz w:val="20"/>
        </w:rPr>
        <w:t>i</w:t>
      </w:r>
      <w:r>
        <w:rPr>
          <w:spacing w:val="-69"/>
          <w:w w:val="99"/>
          <w:sz w:val="20"/>
        </w:rPr>
        <w:t>c</w:t>
      </w:r>
      <w:r>
        <w:rPr>
          <w:b/>
          <w:spacing w:val="-6"/>
          <w:w w:val="104"/>
          <w:position w:val="-5"/>
          <w:sz w:val="13"/>
        </w:rPr>
        <w:t>e</w:t>
      </w:r>
      <w:r>
        <w:rPr>
          <w:spacing w:val="-105"/>
          <w:w w:val="99"/>
          <w:sz w:val="20"/>
        </w:rPr>
        <w:t>a</w:t>
      </w:r>
      <w:r>
        <w:rPr>
          <w:b/>
          <w:w w:val="104"/>
          <w:position w:val="-5"/>
          <w:sz w:val="13"/>
        </w:rPr>
        <w:t>n</w:t>
      </w:r>
      <w:r>
        <w:rPr>
          <w:b/>
          <w:spacing w:val="-24"/>
          <w:w w:val="104"/>
          <w:position w:val="-5"/>
          <w:sz w:val="13"/>
        </w:rPr>
        <w:t>t</w:t>
      </w:r>
      <w:r>
        <w:rPr>
          <w:spacing w:val="-77"/>
          <w:w w:val="99"/>
          <w:sz w:val="20"/>
        </w:rPr>
        <w:t>s</w:t>
      </w:r>
      <w:r>
        <w:rPr>
          <w:b/>
          <w:spacing w:val="2"/>
          <w:w w:val="104"/>
          <w:position w:val="-5"/>
          <w:sz w:val="13"/>
        </w:rPr>
        <w:t>a</w:t>
      </w:r>
      <w:r>
        <w:rPr>
          <w:b/>
          <w:w w:val="104"/>
          <w:position w:val="-5"/>
          <w:sz w:val="13"/>
        </w:rPr>
        <w:t>l</w:t>
      </w:r>
      <w:r>
        <w:rPr>
          <w:b/>
          <w:position w:val="-5"/>
          <w:sz w:val="13"/>
        </w:rPr>
        <w:t> </w:t>
      </w:r>
      <w:r>
        <w:rPr>
          <w:spacing w:val="1"/>
          <w:w w:val="99"/>
          <w:sz w:val="20"/>
        </w:rPr>
        <w:t>2</w:t>
      </w:r>
      <w:r>
        <w:rPr>
          <w:w w:val="99"/>
          <w:sz w:val="20"/>
        </w:rPr>
        <w:t>0</w:t>
      </w:r>
      <w:r>
        <w:rPr>
          <w:spacing w:val="-1"/>
          <w:w w:val="99"/>
          <w:sz w:val="20"/>
        </w:rPr>
        <w:t>0</w:t>
      </w:r>
      <w:r>
        <w:rPr>
          <w:spacing w:val="3"/>
          <w:w w:val="99"/>
          <w:sz w:val="20"/>
        </w:rPr>
        <w:t>8</w:t>
      </w:r>
      <w:r>
        <w:rPr>
          <w:spacing w:val="3"/>
          <w:w w:val="99"/>
          <w:sz w:val="20"/>
        </w:rPr>
        <w:t>-</w:t>
      </w:r>
      <w:r>
        <w:rPr>
          <w:spacing w:val="-1"/>
          <w:w w:val="99"/>
          <w:sz w:val="20"/>
        </w:rPr>
        <w:t>201</w:t>
      </w:r>
      <w:r>
        <w:rPr>
          <w:spacing w:val="2"/>
          <w:w w:val="99"/>
          <w:sz w:val="20"/>
        </w:rPr>
        <w:t>4</w:t>
      </w:r>
      <w:r>
        <w:rPr>
          <w:w w:val="99"/>
          <w:sz w:val="20"/>
        </w:rPr>
        <w:t>.</w:t>
      </w:r>
    </w:p>
    <w:p>
      <w:pPr>
        <w:spacing w:line="276" w:lineRule="auto" w:before="22"/>
        <w:ind w:left="4233" w:right="4221" w:firstLine="0"/>
        <w:jc w:val="center"/>
        <w:rPr>
          <w:b/>
          <w:sz w:val="13"/>
        </w:rPr>
      </w:pPr>
      <w:r>
        <w:rPr>
          <w:b/>
          <w:w w:val="105"/>
          <w:sz w:val="13"/>
        </w:rPr>
        <w:t>Controles Internos (Manejo y Aplicación) Ecatepec de Morelos Ejercicio Fiscal 2012</w:t>
      </w:r>
    </w:p>
    <w:p>
      <w:pPr>
        <w:pStyle w:val="BodyText"/>
        <w:spacing w:line="20" w:lineRule="exact"/>
        <w:ind w:left="1246"/>
        <w:rPr>
          <w:sz w:val="2"/>
        </w:rPr>
      </w:pPr>
      <w:r>
        <w:rPr>
          <w:sz w:val="2"/>
        </w:rPr>
        <w:pict>
          <v:group style="width:441.65pt;height:.550pt;mso-position-horizontal-relative:char;mso-position-vertical-relative:line" coordorigin="0,0" coordsize="8833,11">
            <v:shape style="position:absolute;left:6;top:6;width:8822;height:2" coordorigin="6,6" coordsize="8822,0" path="m6,6l6,6,8827,6e" filled="false" stroked="true" strokeweight=".528483pt" strokecolor="#000000">
              <v:path arrowok="t"/>
            </v:shape>
          </v:group>
        </w:pict>
      </w:r>
      <w:r>
        <w:rPr>
          <w:sz w:val="2"/>
        </w:rPr>
      </w:r>
    </w:p>
    <w:p>
      <w:pPr>
        <w:pStyle w:val="BodyText"/>
        <w:spacing w:before="3"/>
        <w:rPr>
          <w:b/>
          <w:sz w:val="12"/>
        </w:rPr>
      </w:pPr>
    </w:p>
    <w:p>
      <w:pPr>
        <w:pStyle w:val="BodyText"/>
        <w:spacing w:before="1"/>
        <w:ind w:left="3383" w:right="1340"/>
      </w:pPr>
      <w:r>
        <w:rPr/>
        <w:pict>
          <v:shape style="position:absolute;margin-left:175.343811pt;margin-top:8.408358pt;width:441.8pt;height:249.8pt;mso-position-horizontal-relative:page;mso-position-vertical-relative:paragraph;z-index:740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5"/>
                    <w:gridCol w:w="2035"/>
                    <w:gridCol w:w="2375"/>
                    <w:gridCol w:w="2035"/>
                  </w:tblGrid>
                  <w:tr>
                    <w:trPr>
                      <w:trHeight w:val="171" w:hRule="exact"/>
                    </w:trPr>
                    <w:tc>
                      <w:tcPr>
                        <w:tcW w:w="4409" w:type="dxa"/>
                        <w:gridSpan w:val="2"/>
                        <w:shd w:val="clear" w:color="auto" w:fill="E6B8B7"/>
                      </w:tcPr>
                      <w:p>
                        <w:pPr>
                          <w:pStyle w:val="TableParagraph"/>
                          <w:spacing w:before="4"/>
                          <w:ind w:left="2021" w:right="2010"/>
                          <w:jc w:val="center"/>
                          <w:rPr>
                            <w:b/>
                            <w:sz w:val="13"/>
                          </w:rPr>
                        </w:pPr>
                        <w:r>
                          <w:rPr>
                            <w:b/>
                            <w:w w:val="105"/>
                            <w:sz w:val="13"/>
                          </w:rPr>
                          <w:t>FISM</w:t>
                        </w:r>
                      </w:p>
                    </w:tc>
                    <w:tc>
                      <w:tcPr>
                        <w:tcW w:w="4410" w:type="dxa"/>
                        <w:gridSpan w:val="2"/>
                        <w:shd w:val="clear" w:color="auto" w:fill="E6B8B7"/>
                      </w:tcPr>
                      <w:p>
                        <w:pPr>
                          <w:pStyle w:val="TableParagraph"/>
                          <w:spacing w:before="4"/>
                          <w:ind w:left="1703" w:right="1692"/>
                          <w:jc w:val="center"/>
                          <w:rPr>
                            <w:b/>
                            <w:sz w:val="13"/>
                          </w:rPr>
                        </w:pPr>
                        <w:r>
                          <w:rPr>
                            <w:b/>
                            <w:w w:val="105"/>
                            <w:sz w:val="13"/>
                          </w:rPr>
                          <w:t>FORTAMUNDF</w:t>
                        </w:r>
                      </w:p>
                    </w:tc>
                  </w:tr>
                  <w:tr>
                    <w:trPr>
                      <w:trHeight w:val="173" w:hRule="exact"/>
                    </w:trPr>
                    <w:tc>
                      <w:tcPr>
                        <w:tcW w:w="2375" w:type="dxa"/>
                        <w:shd w:val="clear" w:color="auto" w:fill="F1DCDB"/>
                      </w:tcPr>
                      <w:p>
                        <w:pPr>
                          <w:pStyle w:val="TableParagraph"/>
                          <w:spacing w:before="4"/>
                          <w:ind w:left="828" w:right="821"/>
                          <w:jc w:val="center"/>
                          <w:rPr>
                            <w:b/>
                            <w:sz w:val="13"/>
                          </w:rPr>
                        </w:pPr>
                        <w:r>
                          <w:rPr>
                            <w:b/>
                            <w:w w:val="105"/>
                            <w:sz w:val="13"/>
                          </w:rPr>
                          <w:t>Fortalezas</w:t>
                        </w:r>
                      </w:p>
                    </w:tc>
                    <w:tc>
                      <w:tcPr>
                        <w:tcW w:w="2035" w:type="dxa"/>
                        <w:shd w:val="clear" w:color="auto" w:fill="F1DCDB"/>
                      </w:tcPr>
                      <w:p>
                        <w:pPr>
                          <w:pStyle w:val="TableParagraph"/>
                          <w:spacing w:before="4"/>
                          <w:ind w:left="633" w:right="51"/>
                          <w:rPr>
                            <w:b/>
                            <w:sz w:val="13"/>
                          </w:rPr>
                        </w:pPr>
                        <w:r>
                          <w:rPr>
                            <w:b/>
                            <w:w w:val="105"/>
                            <w:sz w:val="13"/>
                          </w:rPr>
                          <w:t>Debilidades</w:t>
                        </w:r>
                      </w:p>
                    </w:tc>
                    <w:tc>
                      <w:tcPr>
                        <w:tcW w:w="2375" w:type="dxa"/>
                        <w:shd w:val="clear" w:color="auto" w:fill="F1DCDB"/>
                      </w:tcPr>
                      <w:p>
                        <w:pPr>
                          <w:pStyle w:val="TableParagraph"/>
                          <w:spacing w:before="4"/>
                          <w:ind w:left="827" w:right="821"/>
                          <w:jc w:val="center"/>
                          <w:rPr>
                            <w:b/>
                            <w:sz w:val="13"/>
                          </w:rPr>
                        </w:pPr>
                        <w:r>
                          <w:rPr>
                            <w:b/>
                            <w:w w:val="105"/>
                            <w:sz w:val="13"/>
                          </w:rPr>
                          <w:t>Fortalezas</w:t>
                        </w:r>
                      </w:p>
                    </w:tc>
                    <w:tc>
                      <w:tcPr>
                        <w:tcW w:w="2035" w:type="dxa"/>
                        <w:shd w:val="clear" w:color="auto" w:fill="F1DCDB"/>
                      </w:tcPr>
                      <w:p>
                        <w:pPr>
                          <w:pStyle w:val="TableParagraph"/>
                          <w:spacing w:before="4"/>
                          <w:ind w:left="633" w:right="137"/>
                          <w:rPr>
                            <w:b/>
                            <w:sz w:val="13"/>
                          </w:rPr>
                        </w:pPr>
                        <w:r>
                          <w:rPr>
                            <w:b/>
                            <w:w w:val="105"/>
                            <w:sz w:val="13"/>
                          </w:rPr>
                          <w:t>Debilidades</w:t>
                        </w:r>
                      </w:p>
                    </w:tc>
                  </w:tr>
                  <w:tr>
                    <w:trPr>
                      <w:trHeight w:val="1031" w:hRule="exact"/>
                    </w:trPr>
                    <w:tc>
                      <w:tcPr>
                        <w:tcW w:w="2375" w:type="dxa"/>
                      </w:tcPr>
                      <w:p>
                        <w:pPr>
                          <w:pStyle w:val="TableParagraph"/>
                          <w:spacing w:line="276" w:lineRule="auto" w:before="4"/>
                          <w:ind w:left="19" w:right="11"/>
                          <w:rPr>
                            <w:sz w:val="13"/>
                          </w:rPr>
                        </w:pPr>
                        <w:r>
                          <w:rPr>
                            <w:w w:val="105"/>
                            <w:sz w:val="13"/>
                          </w:rPr>
                          <w:t>Se realizan sesiones de cabildo para aprobar la propuesta de obras y acciones para la distribución de los recursos presupuestales del FISM.</w:t>
                        </w:r>
                      </w:p>
                    </w:tc>
                    <w:tc>
                      <w:tcPr>
                        <w:tcW w:w="2035" w:type="dxa"/>
                      </w:tcPr>
                      <w:p>
                        <w:pPr>
                          <w:pStyle w:val="TableParagraph"/>
                          <w:spacing w:line="276" w:lineRule="auto" w:before="4"/>
                          <w:ind w:left="18" w:right="51" w:firstLine="1"/>
                          <w:rPr>
                            <w:sz w:val="13"/>
                          </w:rPr>
                        </w:pPr>
                        <w:r>
                          <w:rPr>
                            <w:w w:val="105"/>
                            <w:sz w:val="13"/>
                          </w:rPr>
                          <w:t>El municipio carece de un Código de Ética, sólo promueve los valores de manera informal entre el personal.</w:t>
                        </w:r>
                      </w:p>
                    </w:tc>
                    <w:tc>
                      <w:tcPr>
                        <w:tcW w:w="2375" w:type="dxa"/>
                      </w:tcPr>
                      <w:p>
                        <w:pPr>
                          <w:pStyle w:val="TableParagraph"/>
                          <w:spacing w:line="276" w:lineRule="auto" w:before="4"/>
                          <w:ind w:left="18" w:right="23"/>
                          <w:rPr>
                            <w:sz w:val="13"/>
                          </w:rPr>
                        </w:pPr>
                        <w:r>
                          <w:rPr>
                            <w:w w:val="105"/>
                            <w:sz w:val="13"/>
                          </w:rPr>
                          <w:t>El cabildo aprueba la propuesta de las obras y acciones para la distribución de los recursos presupuestales del FORTAMUN-DF.</w:t>
                        </w:r>
                      </w:p>
                    </w:tc>
                    <w:tc>
                      <w:tcPr>
                        <w:tcW w:w="2035" w:type="dxa"/>
                      </w:tcPr>
                      <w:p>
                        <w:pPr>
                          <w:pStyle w:val="TableParagraph"/>
                          <w:spacing w:line="276" w:lineRule="auto" w:before="4"/>
                          <w:ind w:left="18" w:right="137" w:firstLine="1"/>
                          <w:rPr>
                            <w:sz w:val="13"/>
                          </w:rPr>
                        </w:pPr>
                        <w:r>
                          <w:rPr>
                            <w:w w:val="105"/>
                            <w:sz w:val="13"/>
                          </w:rPr>
                          <w:t>No se dispone de mecanismos de control suficientes para una comunicación eficaz entre las áreas involucradas en el ejercicio de los recursos del FORTAMUN-DF.</w:t>
                        </w:r>
                      </w:p>
                    </w:tc>
                  </w:tr>
                  <w:tr>
                    <w:trPr>
                      <w:trHeight w:val="1203" w:hRule="exact"/>
                    </w:trPr>
                    <w:tc>
                      <w:tcPr>
                        <w:tcW w:w="2375" w:type="dxa"/>
                      </w:tcPr>
                      <w:p>
                        <w:pPr>
                          <w:pStyle w:val="TableParagraph"/>
                          <w:spacing w:line="276" w:lineRule="auto" w:before="4"/>
                          <w:ind w:left="18" w:right="11" w:firstLine="1"/>
                          <w:rPr>
                            <w:sz w:val="13"/>
                          </w:rPr>
                        </w:pPr>
                        <w:r>
                          <w:rPr>
                            <w:w w:val="105"/>
                            <w:sz w:val="13"/>
                          </w:rPr>
                          <w:t>Se cuenta con Manuales de Organización, de Procedimientos y con la normativa suficiente para regular adecuadamente el ejercicio de los recursos del FISM.</w:t>
                        </w:r>
                      </w:p>
                    </w:tc>
                    <w:tc>
                      <w:tcPr>
                        <w:tcW w:w="2035" w:type="dxa"/>
                      </w:tcPr>
                      <w:p>
                        <w:pPr>
                          <w:pStyle w:val="TableParagraph"/>
                          <w:spacing w:line="276" w:lineRule="auto" w:before="4"/>
                          <w:ind w:left="18" w:right="103" w:firstLine="1"/>
                          <w:rPr>
                            <w:sz w:val="13"/>
                          </w:rPr>
                        </w:pPr>
                        <w:r>
                          <w:rPr>
                            <w:w w:val="105"/>
                            <w:sz w:val="13"/>
                          </w:rPr>
                          <w:t>Los expedientes de las obras y acciones carecen de la información financiera que la vincule con la información que genera la Dirección de Obras Públicas.</w:t>
                        </w:r>
                      </w:p>
                    </w:tc>
                    <w:tc>
                      <w:tcPr>
                        <w:tcW w:w="2375" w:type="dxa"/>
                      </w:tcPr>
                      <w:p>
                        <w:pPr>
                          <w:pStyle w:val="TableParagraph"/>
                          <w:spacing w:line="276" w:lineRule="auto" w:before="4"/>
                          <w:ind w:left="18" w:right="29"/>
                          <w:rPr>
                            <w:sz w:val="13"/>
                          </w:rPr>
                        </w:pPr>
                        <w:r>
                          <w:rPr>
                            <w:w w:val="105"/>
                            <w:sz w:val="13"/>
                          </w:rPr>
                          <w:t>Se cuenta con Manuales de Organización, de Procedimientos y con la normativa suficiente para ejercer los recursos del FORTAMUN- DF.</w:t>
                        </w:r>
                      </w:p>
                    </w:tc>
                    <w:tc>
                      <w:tcPr>
                        <w:tcW w:w="2035" w:type="dxa"/>
                      </w:tcPr>
                      <w:p>
                        <w:pPr>
                          <w:pStyle w:val="TableParagraph"/>
                          <w:spacing w:line="276" w:lineRule="auto" w:before="4"/>
                          <w:ind w:left="18" w:right="51" w:firstLine="1"/>
                          <w:rPr>
                            <w:sz w:val="13"/>
                          </w:rPr>
                        </w:pPr>
                        <w:r>
                          <w:rPr>
                            <w:w w:val="105"/>
                            <w:sz w:val="13"/>
                          </w:rPr>
                          <w:t>El municipio carece de un Código de Ética; sólo promueve los valores de manera informal entre el personal.</w:t>
                        </w:r>
                      </w:p>
                    </w:tc>
                  </w:tr>
                  <w:tr>
                    <w:trPr>
                      <w:trHeight w:val="1203" w:hRule="exact"/>
                    </w:trPr>
                    <w:tc>
                      <w:tcPr>
                        <w:tcW w:w="2375" w:type="dxa"/>
                      </w:tcPr>
                      <w:p>
                        <w:pPr>
                          <w:pStyle w:val="TableParagraph"/>
                          <w:spacing w:line="276" w:lineRule="auto" w:before="4"/>
                          <w:ind w:left="18" w:right="70" w:firstLine="1"/>
                          <w:jc w:val="both"/>
                          <w:rPr>
                            <w:sz w:val="13"/>
                          </w:rPr>
                        </w:pPr>
                        <w:r>
                          <w:rPr>
                            <w:w w:val="105"/>
                            <w:sz w:val="13"/>
                          </w:rPr>
                          <w:t>Se dispone de los recursos humanos y materiales necesarios para efectuar las operaciones del fondo.</w:t>
                        </w:r>
                      </w:p>
                    </w:tc>
                    <w:tc>
                      <w:tcPr>
                        <w:tcW w:w="2035" w:type="dxa"/>
                      </w:tcPr>
                      <w:p>
                        <w:pPr>
                          <w:pStyle w:val="TableParagraph"/>
                          <w:spacing w:line="276" w:lineRule="auto" w:before="4"/>
                          <w:ind w:left="18" w:right="5" w:firstLine="1"/>
                          <w:rPr>
                            <w:sz w:val="13"/>
                          </w:rPr>
                        </w:pPr>
                        <w:r>
                          <w:rPr>
                            <w:w w:val="105"/>
                            <w:sz w:val="13"/>
                          </w:rPr>
                          <w:t>Se presentaron deficiencias de control en el archivo y resguardo de la documentación comprobatoria de los expedientes de las obras y acciones, ejercidas con los recursos del FISM.</w:t>
                        </w:r>
                      </w:p>
                    </w:tc>
                    <w:tc>
                      <w:tcPr>
                        <w:tcW w:w="2375" w:type="dxa"/>
                      </w:tcPr>
                      <w:p>
                        <w:pPr>
                          <w:pStyle w:val="TableParagraph"/>
                          <w:spacing w:line="276" w:lineRule="auto" w:before="4"/>
                          <w:ind w:left="18" w:right="221"/>
                          <w:jc w:val="both"/>
                          <w:rPr>
                            <w:sz w:val="13"/>
                          </w:rPr>
                        </w:pPr>
                        <w:r>
                          <w:rPr>
                            <w:w w:val="105"/>
                            <w:sz w:val="13"/>
                          </w:rPr>
                          <w:t>Se dispone de personal suficiente, mobiliario y equipo, vehículos y los medios de trabajo necesarios para efectuar las operaciones del fondo.</w:t>
                        </w:r>
                      </w:p>
                    </w:tc>
                    <w:tc>
                      <w:tcPr>
                        <w:tcW w:w="2035" w:type="dxa"/>
                      </w:tcPr>
                      <w:p>
                        <w:pPr>
                          <w:pStyle w:val="TableParagraph"/>
                          <w:spacing w:line="276" w:lineRule="auto" w:before="4"/>
                          <w:ind w:left="18" w:right="97" w:firstLine="1"/>
                          <w:rPr>
                            <w:sz w:val="13"/>
                          </w:rPr>
                        </w:pPr>
                        <w:r>
                          <w:rPr>
                            <w:w w:val="105"/>
                            <w:sz w:val="13"/>
                          </w:rPr>
                          <w:t>No existen mecanismos de control que vinculen la información financiera contable con la información de los expedientes de obras.</w:t>
                        </w:r>
                      </w:p>
                    </w:tc>
                  </w:tr>
                  <w:tr>
                    <w:trPr>
                      <w:trHeight w:val="1204" w:hRule="exact"/>
                    </w:trPr>
                    <w:tc>
                      <w:tcPr>
                        <w:tcW w:w="2375" w:type="dxa"/>
                      </w:tcPr>
                      <w:p>
                        <w:pPr>
                          <w:pStyle w:val="TableParagraph"/>
                          <w:spacing w:line="276" w:lineRule="auto" w:before="4"/>
                          <w:ind w:left="19" w:right="48"/>
                          <w:rPr>
                            <w:sz w:val="13"/>
                          </w:rPr>
                        </w:pPr>
                        <w:r>
                          <w:rPr>
                            <w:w w:val="105"/>
                            <w:sz w:val="13"/>
                          </w:rPr>
                          <w:t>Se tiene un sistema contable con un catálogo de cuentas y su guía contabilizadora, denominado Sistema de Contabilidad Gubernamental (SCG), implementado por la Secretaría de Finanzas a través del Gobierno del Estado.</w:t>
                        </w:r>
                      </w:p>
                    </w:tc>
                    <w:tc>
                      <w:tcPr>
                        <w:tcW w:w="2035" w:type="dxa"/>
                      </w:tcPr>
                      <w:p>
                        <w:pPr>
                          <w:pStyle w:val="TableParagraph"/>
                          <w:spacing w:line="276" w:lineRule="auto" w:before="4"/>
                          <w:ind w:left="18" w:right="43" w:firstLine="1"/>
                          <w:rPr>
                            <w:sz w:val="13"/>
                          </w:rPr>
                        </w:pPr>
                        <w:r>
                          <w:rPr>
                            <w:w w:val="105"/>
                            <w:sz w:val="13"/>
                          </w:rPr>
                          <w:t>Existen debilidades en los mecanismos de control de los procesos de adjudicación de las obras, al realizarse por una modalidad diferente de la señalada en la normativa.</w:t>
                        </w:r>
                      </w:p>
                    </w:tc>
                    <w:tc>
                      <w:tcPr>
                        <w:tcW w:w="2375" w:type="dxa"/>
                      </w:tcPr>
                      <w:p>
                        <w:pPr>
                          <w:pStyle w:val="TableParagraph"/>
                          <w:spacing w:line="276" w:lineRule="auto" w:before="4"/>
                          <w:ind w:left="18" w:right="179"/>
                          <w:rPr>
                            <w:sz w:val="13"/>
                          </w:rPr>
                        </w:pPr>
                        <w:r>
                          <w:rPr>
                            <w:w w:val="105"/>
                            <w:sz w:val="13"/>
                          </w:rPr>
                          <w:t>Existen mecanismos para realizar conciliaciones mensuales entre las cifras contables y presupuestales; para la correcta adjudicación de las obras y de bienes y servicios.</w:t>
                        </w:r>
                      </w:p>
                    </w:tc>
                    <w:tc>
                      <w:tcPr>
                        <w:tcW w:w="2035" w:type="dxa"/>
                      </w:tcPr>
                      <w:p>
                        <w:pPr>
                          <w:pStyle w:val="TableParagraph"/>
                          <w:spacing w:line="276" w:lineRule="auto" w:before="4"/>
                          <w:ind w:left="20" w:right="11"/>
                          <w:rPr>
                            <w:sz w:val="13"/>
                          </w:rPr>
                        </w:pPr>
                        <w:r>
                          <w:rPr>
                            <w:w w:val="105"/>
                            <w:sz w:val="13"/>
                          </w:rPr>
                          <w:t>No existen controles para que la documentación comprobatoria del fondo se cancele con el sello de “Operado FORTAMUN-DF”.</w:t>
                        </w:r>
                      </w:p>
                    </w:tc>
                  </w:tr>
                </w:tbl>
                <w:p>
                  <w:pPr>
                    <w:pStyle w:val="BodyText"/>
                  </w:pPr>
                </w:p>
              </w:txbxContent>
            </v:textbox>
            <w10:wrap type="none"/>
          </v:shape>
        </w:pict>
      </w:r>
      <w:r>
        <w:rPr/>
        <w:t>Anexo 54.</w:t>
      </w:r>
    </w:p>
    <w:p>
      <w:pPr>
        <w:spacing w:after="0"/>
        <w:sectPr>
          <w:pgSz w:w="15840" w:h="12240" w:orient="landscape"/>
          <w:pgMar w:header="0" w:footer="992" w:top="1140" w:bottom="1180" w:left="2260" w:right="2260"/>
        </w:sectPr>
      </w:pPr>
    </w:p>
    <w:p>
      <w:pPr>
        <w:pStyle w:val="BodyText"/>
        <w:rPr>
          <w:sz w:val="20"/>
        </w:rPr>
      </w:pPr>
    </w:p>
    <w:p>
      <w:pPr>
        <w:pStyle w:val="BodyText"/>
        <w:rPr>
          <w:sz w:val="20"/>
        </w:rPr>
      </w:pPr>
    </w:p>
    <w:p>
      <w:pPr>
        <w:pStyle w:val="BodyText"/>
        <w:rPr>
          <w:sz w:val="8"/>
        </w:rPr>
      </w:pPr>
    </w:p>
    <w:p>
      <w:pPr>
        <w:pStyle w:val="BodyText"/>
        <w:rPr>
          <w:sz w:val="8"/>
        </w:rPr>
      </w:pPr>
    </w:p>
    <w:p>
      <w:pPr>
        <w:spacing w:line="264" w:lineRule="auto" w:before="52"/>
        <w:ind w:left="4485" w:right="4439" w:firstLine="1"/>
        <w:jc w:val="center"/>
        <w:rPr>
          <w:b/>
          <w:sz w:val="9"/>
        </w:rPr>
      </w:pPr>
      <w:r>
        <w:rPr/>
        <w:pict>
          <v:shape style="position:absolute;margin-left:216.134964pt;margin-top:27.313917pt;width:187.65pt;height:10pt;mso-position-horizontal-relative:page;mso-position-vertical-relative:paragraph;z-index:-675784" type="#_x0000_t202" filled="false" stroked="false">
            <v:textbox inset="0,0,0,0">
              <w:txbxContent>
                <w:p>
                  <w:pPr>
                    <w:spacing w:line="199" w:lineRule="exact" w:before="0"/>
                    <w:ind w:left="0" w:right="0" w:firstLine="0"/>
                    <w:jc w:val="left"/>
                    <w:rPr>
                      <w:sz w:val="20"/>
                    </w:rPr>
                  </w:pPr>
                  <w:r>
                    <w:rPr>
                      <w:sz w:val="20"/>
                    </w:rPr>
                    <w:t>Elaboración propia con base en el  Inform</w:t>
                  </w:r>
                </w:p>
              </w:txbxContent>
            </v:textbox>
            <w10:wrap type="none"/>
          </v:shape>
        </w:pict>
      </w:r>
      <w:r>
        <w:rPr/>
        <w:pict>
          <v:shape style="position:absolute;margin-left:402.406891pt;margin-top:27.313917pt;width:171.5pt;height:10pt;mso-position-horizontal-relative:page;mso-position-vertical-relative:paragraph;z-index:-675760" type="#_x0000_t202" filled="false" stroked="false">
            <v:textbox inset="0,0,0,0">
              <w:txbxContent>
                <w:p>
                  <w:pPr>
                    <w:spacing w:line="199" w:lineRule="exact" w:before="0"/>
                    <w:ind w:left="0" w:right="0" w:firstLine="0"/>
                    <w:jc w:val="left"/>
                    <w:rPr>
                      <w:sz w:val="20"/>
                    </w:rPr>
                  </w:pPr>
                  <w:r>
                    <w:rPr>
                      <w:sz w:val="20"/>
                    </w:rPr>
                    <w:t>e de Resultados de la Fiscalización  S</w:t>
                  </w:r>
                </w:p>
              </w:txbxContent>
            </v:textbox>
            <w10:wrap type="none"/>
          </v:shape>
        </w:pict>
      </w:r>
      <w:r>
        <w:rPr/>
        <w:pict>
          <v:shape style="position:absolute;margin-left:211.54184pt;margin-top:38.713917pt;width:108.95pt;height:60.65pt;mso-position-horizontal-relative:page;mso-position-vertical-relative:paragraph;z-index:-675736" type="#_x0000_t202" filled="false" stroked="false">
            <v:textbox inset="0,0,0,0">
              <w:txbxContent>
                <w:p>
                  <w:pPr>
                    <w:spacing w:line="204" w:lineRule="exact" w:before="0"/>
                    <w:ind w:left="0" w:right="-16" w:firstLine="0"/>
                    <w:jc w:val="left"/>
                    <w:rPr>
                      <w:sz w:val="20"/>
                    </w:rPr>
                  </w:pPr>
                  <w:r>
                    <w:rPr>
                      <w:sz w:val="20"/>
                    </w:rPr>
                    <w:t>uentas públicas</w:t>
                  </w:r>
                  <w:r>
                    <w:rPr>
                      <w:spacing w:val="-5"/>
                      <w:sz w:val="20"/>
                    </w:rPr>
                    <w:t> </w:t>
                  </w:r>
                  <w:r>
                    <w:rPr>
                      <w:sz w:val="20"/>
                    </w:rPr>
                    <w:t>2008-20</w:t>
                  </w:r>
                </w:p>
              </w:txbxContent>
            </v:textbox>
            <w10:wrap type="none"/>
          </v:shape>
        </w:pict>
      </w:r>
      <w:r>
        <w:rPr/>
        <w:pict>
          <v:group style="position:absolute;margin-left:169.919998pt;margin-top:26.244652pt;width:441pt;height:73.150pt;mso-position-horizontal-relative:page;mso-position-vertical-relative:paragraph;z-index:-675664" coordorigin="3398,525" coordsize="8820,1463">
            <v:shape style="position:absolute;left:3398;top:525;width:8820;height:756" type="#_x0000_t75" stroked="false">
              <v:imagedata r:id="rId184" o:title=""/>
            </v:shape>
            <v:rect style="position:absolute;left:4402;top:846;width:1833;height:1141" filled="true" fillcolor="#ffffff" stroked="false">
              <v:fill type="solid"/>
            </v:rect>
            <v:shape style="position:absolute;left:3543;top:546;width:711;height:428" type="#_x0000_t202" filled="false" stroked="false">
              <v:textbox inset="0,0,0,0">
                <w:txbxContent>
                  <w:p>
                    <w:pPr>
                      <w:spacing w:line="203" w:lineRule="exact" w:before="0"/>
                      <w:ind w:left="0" w:right="0" w:firstLine="0"/>
                      <w:jc w:val="left"/>
                      <w:rPr>
                        <w:sz w:val="20"/>
                      </w:rPr>
                    </w:pPr>
                    <w:r>
                      <w:rPr>
                        <w:b/>
                        <w:w w:val="95"/>
                        <w:sz w:val="20"/>
                      </w:rPr>
                      <w:t>Fuente</w:t>
                    </w:r>
                    <w:r>
                      <w:rPr>
                        <w:w w:val="95"/>
                        <w:sz w:val="20"/>
                      </w:rPr>
                      <w:t>:</w:t>
                    </w:r>
                  </w:p>
                  <w:p>
                    <w:pPr>
                      <w:spacing w:line="224" w:lineRule="exact" w:before="0"/>
                      <w:ind w:left="0" w:right="0" w:firstLine="0"/>
                      <w:jc w:val="left"/>
                      <w:rPr>
                        <w:sz w:val="20"/>
                      </w:rPr>
                    </w:pPr>
                    <w:r>
                      <w:rPr>
                        <w:sz w:val="20"/>
                      </w:rPr>
                      <w:t>de las c</w:t>
                    </w:r>
                  </w:p>
                </w:txbxContent>
              </v:textbox>
              <w10:wrap type="none"/>
            </v:shape>
            <v:shape style="position:absolute;left:11562;top:546;width:510;height:200" type="#_x0000_t202" filled="false" stroked="false">
              <v:textbox inset="0,0,0,0">
                <w:txbxContent>
                  <w:p>
                    <w:pPr>
                      <w:spacing w:line="199" w:lineRule="exact" w:before="0"/>
                      <w:ind w:left="0" w:right="0" w:firstLine="0"/>
                      <w:jc w:val="left"/>
                      <w:rPr>
                        <w:sz w:val="20"/>
                      </w:rPr>
                    </w:pPr>
                    <w:r>
                      <w:rPr>
                        <w:w w:val="95"/>
                        <w:sz w:val="20"/>
                      </w:rPr>
                      <w:t>perior</w:t>
                    </w:r>
                  </w:p>
                </w:txbxContent>
              </v:textbox>
              <w10:wrap type="none"/>
            </v:shape>
            <w10:wrap type="none"/>
          </v:group>
        </w:pict>
      </w:r>
      <w:r>
        <w:rPr>
          <w:b/>
          <w:w w:val="135"/>
          <w:sz w:val="9"/>
        </w:rPr>
        <w:t>Calidad de la Gestión Gubernamental Controles Internos (Manejo y Aplicación) Huixquilucan Ejercicio Fiscal 2012</w:t>
      </w:r>
    </w:p>
    <w:p>
      <w:pPr>
        <w:pStyle w:val="BodyText"/>
        <w:spacing w:line="20" w:lineRule="exact"/>
        <w:ind w:left="2138"/>
        <w:rPr>
          <w:sz w:val="2"/>
        </w:rPr>
      </w:pPr>
      <w:r>
        <w:rPr>
          <w:sz w:val="2"/>
        </w:rPr>
        <w:pict>
          <v:group style="width:354.15pt;height:.35pt;mso-position-horizontal-relative:char;mso-position-vertical-relative:line" coordorigin="0,0" coordsize="7083,7">
            <v:shape style="position:absolute;left:3;top:3;width:7076;height:2" coordorigin="3,3" coordsize="7076,0" path="m3,3l3,3,7079,3e" filled="false" stroked="true" strokeweight=".345593pt" strokecolor="#000000">
              <v:path arrowok="t"/>
            </v:shape>
          </v:group>
        </w:pict>
      </w:r>
      <w:r>
        <w:rPr>
          <w:sz w:val="2"/>
        </w:rPr>
      </w:r>
    </w:p>
    <w:p>
      <w:pPr>
        <w:pStyle w:val="BodyText"/>
        <w:spacing w:before="6"/>
        <w:rPr>
          <w:b/>
          <w:sz w:val="17"/>
        </w:rPr>
      </w:pPr>
    </w:p>
    <w:tbl>
      <w:tblPr>
        <w:tblW w:w="0" w:type="auto"/>
        <w:jc w:val="left"/>
        <w:tblInd w:w="213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31"/>
        <w:gridCol w:w="1839"/>
        <w:gridCol w:w="1512"/>
        <w:gridCol w:w="1892"/>
      </w:tblGrid>
      <w:tr>
        <w:trPr>
          <w:trHeight w:val="114" w:hRule="exact"/>
        </w:trPr>
        <w:tc>
          <w:tcPr>
            <w:tcW w:w="3670" w:type="dxa"/>
            <w:gridSpan w:val="2"/>
            <w:tcBorders>
              <w:left w:val="single" w:sz="4" w:space="0" w:color="000000"/>
              <w:right w:val="single" w:sz="4" w:space="0" w:color="000000"/>
            </w:tcBorders>
            <w:shd w:val="clear" w:color="auto" w:fill="E6B8B7"/>
          </w:tcPr>
          <w:p>
            <w:pPr>
              <w:pStyle w:val="TableParagraph"/>
              <w:spacing w:line="102" w:lineRule="exact"/>
              <w:ind w:left="1668" w:right="1661"/>
              <w:jc w:val="center"/>
              <w:rPr>
                <w:b/>
                <w:sz w:val="9"/>
              </w:rPr>
            </w:pPr>
            <w:r>
              <w:rPr>
                <w:b/>
                <w:w w:val="135"/>
                <w:sz w:val="9"/>
              </w:rPr>
              <w:t>FISM</w:t>
            </w:r>
          </w:p>
        </w:tc>
        <w:tc>
          <w:tcPr>
            <w:tcW w:w="3404" w:type="dxa"/>
            <w:gridSpan w:val="2"/>
            <w:tcBorders>
              <w:left w:val="single" w:sz="4" w:space="0" w:color="000000"/>
              <w:right w:val="single" w:sz="4" w:space="0" w:color="000000"/>
            </w:tcBorders>
            <w:shd w:val="clear" w:color="auto" w:fill="E6B8B7"/>
          </w:tcPr>
          <w:p>
            <w:pPr>
              <w:pStyle w:val="TableParagraph"/>
              <w:tabs>
                <w:tab w:pos="3374" w:val="left" w:leader="none"/>
              </w:tabs>
              <w:spacing w:line="128" w:lineRule="exact"/>
              <w:ind w:left="1271" w:right="-91"/>
              <w:rPr>
                <w:sz w:val="20"/>
              </w:rPr>
            </w:pPr>
            <w:r>
              <w:rPr>
                <w:b/>
                <w:w w:val="125"/>
                <w:sz w:val="9"/>
              </w:rPr>
              <w:t>FORTAMUNDF</w:t>
              <w:tab/>
            </w:r>
            <w:r>
              <w:rPr>
                <w:w w:val="95"/>
                <w:sz w:val="20"/>
              </w:rPr>
              <w:t>u</w:t>
            </w:r>
          </w:p>
        </w:tc>
      </w:tr>
      <w:tr>
        <w:trPr>
          <w:trHeight w:val="114" w:hRule="exact"/>
        </w:trPr>
        <w:tc>
          <w:tcPr>
            <w:tcW w:w="1831" w:type="dxa"/>
            <w:tcBorders>
              <w:left w:val="single" w:sz="4" w:space="0" w:color="000000"/>
              <w:right w:val="single" w:sz="4" w:space="0" w:color="000000"/>
            </w:tcBorders>
            <w:shd w:val="clear" w:color="auto" w:fill="F1DCDB"/>
          </w:tcPr>
          <w:p>
            <w:pPr>
              <w:pStyle w:val="TableParagraph"/>
              <w:spacing w:line="103" w:lineRule="exact"/>
              <w:ind w:left="610" w:right="81"/>
              <w:rPr>
                <w:b/>
                <w:sz w:val="9"/>
              </w:rPr>
            </w:pPr>
            <w:r>
              <w:rPr>
                <w:b/>
                <w:w w:val="135"/>
                <w:sz w:val="9"/>
              </w:rPr>
              <w:t>Fortalezas</w:t>
            </w:r>
          </w:p>
        </w:tc>
        <w:tc>
          <w:tcPr>
            <w:tcW w:w="1839" w:type="dxa"/>
            <w:tcBorders>
              <w:left w:val="single" w:sz="4" w:space="0" w:color="000000"/>
              <w:right w:val="single" w:sz="4" w:space="0" w:color="000000"/>
            </w:tcBorders>
            <w:shd w:val="clear" w:color="auto" w:fill="F1DCDB"/>
          </w:tcPr>
          <w:p>
            <w:pPr>
              <w:pStyle w:val="TableParagraph"/>
              <w:spacing w:line="103" w:lineRule="exact"/>
              <w:ind w:left="572" w:right="63"/>
              <w:rPr>
                <w:b/>
                <w:sz w:val="9"/>
              </w:rPr>
            </w:pPr>
            <w:r>
              <w:rPr>
                <w:b/>
                <w:w w:val="135"/>
                <w:sz w:val="9"/>
              </w:rPr>
              <w:t>Debilidades</w:t>
            </w:r>
          </w:p>
        </w:tc>
        <w:tc>
          <w:tcPr>
            <w:tcW w:w="1512" w:type="dxa"/>
            <w:tcBorders>
              <w:left w:val="single" w:sz="4" w:space="0" w:color="000000"/>
              <w:right w:val="single" w:sz="4" w:space="0" w:color="000000"/>
            </w:tcBorders>
            <w:shd w:val="clear" w:color="auto" w:fill="F1DCDB"/>
          </w:tcPr>
          <w:p>
            <w:pPr>
              <w:pStyle w:val="TableParagraph"/>
              <w:spacing w:line="103" w:lineRule="exact"/>
              <w:ind w:left="450" w:right="28"/>
              <w:rPr>
                <w:b/>
                <w:sz w:val="9"/>
              </w:rPr>
            </w:pPr>
            <w:r>
              <w:rPr>
                <w:b/>
                <w:w w:val="135"/>
                <w:sz w:val="9"/>
              </w:rPr>
              <w:t>Fortalezas</w:t>
            </w:r>
          </w:p>
        </w:tc>
        <w:tc>
          <w:tcPr>
            <w:tcW w:w="1892" w:type="dxa"/>
            <w:tcBorders>
              <w:left w:val="single" w:sz="4" w:space="0" w:color="000000"/>
              <w:right w:val="single" w:sz="4" w:space="0" w:color="000000"/>
            </w:tcBorders>
            <w:shd w:val="clear" w:color="auto" w:fill="F1DCDB"/>
          </w:tcPr>
          <w:p>
            <w:pPr>
              <w:pStyle w:val="TableParagraph"/>
              <w:spacing w:line="103" w:lineRule="exact"/>
              <w:ind w:left="600" w:right="8"/>
              <w:rPr>
                <w:b/>
                <w:sz w:val="9"/>
              </w:rPr>
            </w:pPr>
            <w:r>
              <w:rPr>
                <w:b/>
                <w:w w:val="135"/>
                <w:sz w:val="9"/>
              </w:rPr>
              <w:t>Debilidades</w:t>
            </w:r>
          </w:p>
        </w:tc>
      </w:tr>
      <w:tr>
        <w:trPr>
          <w:trHeight w:val="1139" w:hRule="exact"/>
        </w:trPr>
        <w:tc>
          <w:tcPr>
            <w:tcW w:w="1831" w:type="dxa"/>
            <w:tcBorders>
              <w:left w:val="single" w:sz="4" w:space="0" w:color="000000"/>
              <w:right w:val="single" w:sz="4" w:space="0" w:color="000000"/>
            </w:tcBorders>
          </w:tcPr>
          <w:p>
            <w:pPr>
              <w:pStyle w:val="TableParagraph"/>
              <w:spacing w:line="264" w:lineRule="auto"/>
              <w:ind w:left="17" w:right="81" w:firstLine="1"/>
              <w:rPr>
                <w:sz w:val="9"/>
              </w:rPr>
            </w:pPr>
            <w:r>
              <w:rPr>
                <w:w w:val="135"/>
                <w:sz w:val="9"/>
              </w:rPr>
              <w:t>Mediante trípticos y evaluaciones del personal es como el municipio se asegura de que los servidores públicos</w:t>
            </w:r>
          </w:p>
          <w:p>
            <w:pPr>
              <w:pStyle w:val="TableParagraph"/>
              <w:rPr>
                <w:b/>
                <w:sz w:val="7"/>
              </w:rPr>
            </w:pPr>
          </w:p>
          <w:p>
            <w:pPr>
              <w:pStyle w:val="TableParagraph"/>
              <w:spacing w:line="9" w:lineRule="auto"/>
              <w:ind w:left="18" w:right="81"/>
              <w:rPr>
                <w:sz w:val="9"/>
              </w:rPr>
            </w:pPr>
            <w:r>
              <w:rPr>
                <w:w w:val="130"/>
                <w:sz w:val="9"/>
              </w:rPr>
              <w:t>actúan, en el desarrollo de su </w:t>
            </w:r>
            <w:r>
              <w:rPr>
                <w:spacing w:val="-17"/>
                <w:w w:val="136"/>
                <w:sz w:val="9"/>
              </w:rPr>
              <w:t>t</w:t>
            </w:r>
            <w:r>
              <w:rPr>
                <w:spacing w:val="-144"/>
                <w:w w:val="100"/>
                <w:position w:val="-2"/>
                <w:sz w:val="24"/>
              </w:rPr>
              <w:t>A</w:t>
            </w:r>
            <w:r>
              <w:rPr>
                <w:spacing w:val="-1"/>
                <w:w w:val="136"/>
                <w:sz w:val="9"/>
              </w:rPr>
              <w:t>r</w:t>
            </w:r>
            <w:r>
              <w:rPr>
                <w:spacing w:val="1"/>
                <w:w w:val="136"/>
                <w:sz w:val="9"/>
              </w:rPr>
              <w:t>a</w:t>
            </w:r>
            <w:r>
              <w:rPr>
                <w:spacing w:val="-34"/>
                <w:w w:val="136"/>
                <w:sz w:val="9"/>
              </w:rPr>
              <w:t>b</w:t>
            </w:r>
            <w:r>
              <w:rPr>
                <w:spacing w:val="-99"/>
                <w:w w:val="99"/>
                <w:position w:val="-2"/>
                <w:sz w:val="24"/>
              </w:rPr>
              <w:t>n</w:t>
            </w:r>
            <w:r>
              <w:rPr>
                <w:w w:val="136"/>
                <w:sz w:val="9"/>
              </w:rPr>
              <w:t>a</w:t>
            </w:r>
            <w:r>
              <w:rPr>
                <w:w w:val="136"/>
                <w:sz w:val="9"/>
              </w:rPr>
              <w:t>j</w:t>
            </w:r>
            <w:r>
              <w:rPr>
                <w:spacing w:val="-65"/>
                <w:w w:val="136"/>
                <w:sz w:val="9"/>
              </w:rPr>
              <w:t>o</w:t>
            </w:r>
            <w:r>
              <w:rPr>
                <w:spacing w:val="-69"/>
                <w:w w:val="99"/>
                <w:position w:val="-2"/>
                <w:sz w:val="24"/>
              </w:rPr>
              <w:t>e</w:t>
            </w:r>
            <w:r>
              <w:rPr>
                <w:w w:val="136"/>
                <w:sz w:val="9"/>
              </w:rPr>
              <w:t>,</w:t>
            </w:r>
            <w:r>
              <w:rPr>
                <w:sz w:val="9"/>
              </w:rPr>
              <w:t> </w:t>
            </w:r>
            <w:r>
              <w:rPr>
                <w:spacing w:val="-61"/>
                <w:w w:val="136"/>
                <w:sz w:val="9"/>
              </w:rPr>
              <w:t>c</w:t>
            </w:r>
            <w:r>
              <w:rPr>
                <w:spacing w:val="-60"/>
                <w:position w:val="-2"/>
                <w:sz w:val="24"/>
              </w:rPr>
              <w:t>x</w:t>
            </w:r>
            <w:r>
              <w:rPr>
                <w:spacing w:val="-12"/>
                <w:w w:val="136"/>
                <w:sz w:val="9"/>
              </w:rPr>
              <w:t>o</w:t>
            </w:r>
            <w:r>
              <w:rPr>
                <w:spacing w:val="-122"/>
                <w:w w:val="99"/>
                <w:position w:val="-2"/>
                <w:sz w:val="24"/>
              </w:rPr>
              <w:t>o</w:t>
            </w:r>
            <w:r>
              <w:rPr>
                <w:w w:val="136"/>
                <w:sz w:val="9"/>
              </w:rPr>
              <w:t>n</w:t>
            </w:r>
            <w:r>
              <w:rPr>
                <w:sz w:val="9"/>
              </w:rPr>
              <w:t> </w:t>
            </w:r>
            <w:r>
              <w:rPr>
                <w:w w:val="136"/>
                <w:sz w:val="9"/>
              </w:rPr>
              <w:t>i</w:t>
            </w:r>
            <w:r>
              <w:rPr>
                <w:spacing w:val="-9"/>
                <w:w w:val="136"/>
                <w:sz w:val="9"/>
              </w:rPr>
              <w:t>n</w:t>
            </w:r>
            <w:r>
              <w:rPr>
                <w:spacing w:val="-125"/>
                <w:w w:val="99"/>
                <w:position w:val="-2"/>
                <w:sz w:val="24"/>
              </w:rPr>
              <w:t>5</w:t>
            </w:r>
            <w:r>
              <w:rPr>
                <w:w w:val="136"/>
                <w:sz w:val="9"/>
              </w:rPr>
              <w:t>t</w:t>
            </w:r>
            <w:r>
              <w:rPr>
                <w:w w:val="136"/>
                <w:sz w:val="9"/>
              </w:rPr>
              <w:t>e</w:t>
            </w:r>
            <w:r>
              <w:rPr>
                <w:spacing w:val="-47"/>
                <w:w w:val="136"/>
                <w:sz w:val="9"/>
              </w:rPr>
              <w:t>g</w:t>
            </w:r>
            <w:r>
              <w:rPr>
                <w:spacing w:val="-87"/>
                <w:w w:val="99"/>
                <w:position w:val="-2"/>
                <w:sz w:val="24"/>
              </w:rPr>
              <w:t>5</w:t>
            </w:r>
            <w:r>
              <w:rPr>
                <w:spacing w:val="-1"/>
                <w:w w:val="136"/>
                <w:sz w:val="9"/>
              </w:rPr>
              <w:t>r</w:t>
            </w:r>
            <w:r>
              <w:rPr>
                <w:spacing w:val="1"/>
                <w:w w:val="136"/>
                <w:sz w:val="9"/>
              </w:rPr>
              <w:t>i</w:t>
            </w:r>
            <w:r>
              <w:rPr>
                <w:spacing w:val="-52"/>
                <w:w w:val="136"/>
                <w:sz w:val="9"/>
              </w:rPr>
              <w:t>d</w:t>
            </w:r>
            <w:r>
              <w:rPr>
                <w:spacing w:val="-15"/>
                <w:w w:val="100"/>
                <w:position w:val="-2"/>
                <w:sz w:val="24"/>
              </w:rPr>
              <w:t>.</w:t>
            </w:r>
            <w:r>
              <w:rPr>
                <w:w w:val="136"/>
                <w:sz w:val="9"/>
              </w:rPr>
              <w:t>ad</w:t>
            </w:r>
            <w:r>
              <w:rPr>
                <w:w w:val="136"/>
                <w:sz w:val="9"/>
              </w:rPr>
              <w:t>,</w:t>
            </w:r>
          </w:p>
          <w:p>
            <w:pPr>
              <w:pStyle w:val="TableParagraph"/>
              <w:spacing w:line="264" w:lineRule="auto"/>
              <w:ind w:left="17" w:right="81" w:firstLine="2"/>
              <w:rPr>
                <w:sz w:val="9"/>
              </w:rPr>
            </w:pPr>
            <w:r>
              <w:rPr>
                <w:w w:val="135"/>
                <w:sz w:val="9"/>
              </w:rPr>
              <w:t>honestidad y una correcta actitud de servicio.</w:t>
            </w:r>
          </w:p>
        </w:tc>
        <w:tc>
          <w:tcPr>
            <w:tcW w:w="1839" w:type="dxa"/>
            <w:tcBorders>
              <w:left w:val="single" w:sz="4" w:space="0" w:color="000000"/>
              <w:right w:val="single" w:sz="4" w:space="0" w:color="000000"/>
            </w:tcBorders>
          </w:tcPr>
          <w:p>
            <w:pPr>
              <w:pStyle w:val="TableParagraph"/>
              <w:spacing w:line="121" w:lineRule="exact"/>
              <w:ind w:left="17" w:right="63"/>
              <w:rPr>
                <w:sz w:val="9"/>
              </w:rPr>
            </w:pPr>
            <w:r>
              <w:rPr>
                <w:spacing w:val="-1"/>
                <w:w w:val="136"/>
                <w:sz w:val="9"/>
              </w:rPr>
              <w:t>E</w:t>
            </w:r>
            <w:r>
              <w:rPr>
                <w:w w:val="136"/>
                <w:sz w:val="9"/>
              </w:rPr>
              <w:t>l</w:t>
            </w:r>
            <w:r>
              <w:rPr>
                <w:spacing w:val="10"/>
                <w:sz w:val="9"/>
              </w:rPr>
              <w:t> </w:t>
            </w:r>
            <w:r>
              <w:rPr>
                <w:spacing w:val="-91"/>
                <w:w w:val="136"/>
                <w:sz w:val="9"/>
              </w:rPr>
              <w:t>m</w:t>
            </w:r>
            <w:r>
              <w:rPr>
                <w:spacing w:val="-20"/>
                <w:w w:val="99"/>
                <w:sz w:val="20"/>
              </w:rPr>
              <w:t>1</w:t>
            </w:r>
            <w:r>
              <w:rPr>
                <w:spacing w:val="-49"/>
                <w:w w:val="136"/>
                <w:sz w:val="9"/>
              </w:rPr>
              <w:t>u</w:t>
            </w:r>
            <w:r>
              <w:rPr>
                <w:spacing w:val="-62"/>
                <w:w w:val="99"/>
                <w:sz w:val="20"/>
              </w:rPr>
              <w:t>4</w:t>
            </w:r>
            <w:r>
              <w:rPr>
                <w:spacing w:val="-7"/>
                <w:w w:val="136"/>
                <w:sz w:val="9"/>
              </w:rPr>
              <w:t>n</w:t>
            </w:r>
            <w:r>
              <w:rPr>
                <w:spacing w:val="-49"/>
                <w:w w:val="99"/>
                <w:sz w:val="20"/>
              </w:rPr>
              <w:t>.</w:t>
            </w:r>
            <w:r>
              <w:rPr>
                <w:spacing w:val="-1"/>
                <w:w w:val="136"/>
                <w:sz w:val="9"/>
              </w:rPr>
              <w:t>i</w:t>
            </w:r>
            <w:r>
              <w:rPr>
                <w:spacing w:val="-1"/>
                <w:w w:val="136"/>
                <w:sz w:val="9"/>
              </w:rPr>
              <w:t>c</w:t>
            </w:r>
            <w:r>
              <w:rPr>
                <w:w w:val="136"/>
                <w:sz w:val="9"/>
              </w:rPr>
              <w:t>ip</w:t>
            </w:r>
            <w:r>
              <w:rPr>
                <w:w w:val="136"/>
                <w:sz w:val="9"/>
              </w:rPr>
              <w:t>i</w:t>
            </w:r>
            <w:r>
              <w:rPr>
                <w:w w:val="136"/>
                <w:sz w:val="9"/>
              </w:rPr>
              <w:t>o</w:t>
            </w:r>
            <w:r>
              <w:rPr>
                <w:spacing w:val="9"/>
                <w:sz w:val="9"/>
              </w:rPr>
              <w:t> </w:t>
            </w:r>
            <w:r>
              <w:rPr>
                <w:w w:val="136"/>
                <w:sz w:val="9"/>
              </w:rPr>
              <w:t>no</w:t>
            </w:r>
            <w:r>
              <w:rPr>
                <w:spacing w:val="10"/>
                <w:sz w:val="9"/>
              </w:rPr>
              <w:t> </w:t>
            </w:r>
            <w:r>
              <w:rPr>
                <w:w w:val="136"/>
                <w:sz w:val="9"/>
              </w:rPr>
              <w:t>d</w:t>
            </w:r>
            <w:r>
              <w:rPr>
                <w:w w:val="136"/>
                <w:sz w:val="9"/>
              </w:rPr>
              <w:t>i</w:t>
            </w:r>
            <w:r>
              <w:rPr>
                <w:spacing w:val="-1"/>
                <w:w w:val="136"/>
                <w:sz w:val="9"/>
              </w:rPr>
              <w:t>s</w:t>
            </w:r>
            <w:r>
              <w:rPr>
                <w:w w:val="136"/>
                <w:sz w:val="9"/>
              </w:rPr>
              <w:t>p</w:t>
            </w:r>
            <w:r>
              <w:rPr>
                <w:w w:val="136"/>
                <w:sz w:val="9"/>
              </w:rPr>
              <w:t>one</w:t>
            </w:r>
            <w:r>
              <w:rPr>
                <w:spacing w:val="9"/>
                <w:sz w:val="9"/>
              </w:rPr>
              <w:t> </w:t>
            </w:r>
            <w:r>
              <w:rPr>
                <w:w w:val="136"/>
                <w:sz w:val="9"/>
              </w:rPr>
              <w:t>de</w:t>
            </w:r>
            <w:r>
              <w:rPr>
                <w:spacing w:val="10"/>
                <w:sz w:val="9"/>
              </w:rPr>
              <w:t> </w:t>
            </w:r>
            <w:r>
              <w:rPr>
                <w:w w:val="136"/>
                <w:sz w:val="9"/>
              </w:rPr>
              <w:t>una</w:t>
            </w:r>
          </w:p>
          <w:p>
            <w:pPr>
              <w:pStyle w:val="TableParagraph"/>
              <w:spacing w:line="96" w:lineRule="exact"/>
              <w:ind w:left="17" w:right="63"/>
              <w:rPr>
                <w:sz w:val="9"/>
              </w:rPr>
            </w:pPr>
            <w:r>
              <w:rPr>
                <w:w w:val="135"/>
                <w:sz w:val="9"/>
              </w:rPr>
              <w:t>política que evite la existencia</w:t>
            </w:r>
          </w:p>
          <w:p>
            <w:pPr>
              <w:pStyle w:val="TableParagraph"/>
              <w:spacing w:line="264" w:lineRule="auto" w:before="10"/>
              <w:ind w:left="16" w:right="63" w:firstLine="1"/>
              <w:rPr>
                <w:sz w:val="9"/>
              </w:rPr>
            </w:pPr>
            <w:r>
              <w:rPr>
                <w:w w:val="135"/>
                <w:sz w:val="9"/>
              </w:rPr>
              <w:t>de conflictos de interés del personal municipal operativo y mando medio en el desempeño de su función y con los proveedores y contratistas.</w:t>
            </w:r>
          </w:p>
        </w:tc>
        <w:tc>
          <w:tcPr>
            <w:tcW w:w="1512" w:type="dxa"/>
            <w:tcBorders>
              <w:left w:val="single" w:sz="4" w:space="0" w:color="000000"/>
              <w:right w:val="single" w:sz="4" w:space="0" w:color="000000"/>
            </w:tcBorders>
          </w:tcPr>
          <w:p>
            <w:pPr>
              <w:pStyle w:val="TableParagraph"/>
              <w:spacing w:line="264" w:lineRule="auto"/>
              <w:ind w:left="17" w:right="28" w:firstLine="1"/>
              <w:rPr>
                <w:sz w:val="9"/>
              </w:rPr>
            </w:pPr>
            <w:r>
              <w:rPr>
                <w:w w:val="135"/>
                <w:sz w:val="9"/>
              </w:rPr>
              <w:t>Mediante trípticos y evaluaciones al personal es como el municipio se asegura de que los servidores  públicos actúan, en el desarrollo de su trabajo, con integridad, honestidad y una correcta actitud de servicio.</w:t>
            </w:r>
          </w:p>
        </w:tc>
        <w:tc>
          <w:tcPr>
            <w:tcW w:w="1892" w:type="dxa"/>
            <w:tcBorders>
              <w:left w:val="single" w:sz="4" w:space="0" w:color="000000"/>
              <w:right w:val="single" w:sz="4" w:space="0" w:color="000000"/>
            </w:tcBorders>
          </w:tcPr>
          <w:p>
            <w:pPr>
              <w:pStyle w:val="TableParagraph"/>
              <w:spacing w:line="264" w:lineRule="auto"/>
              <w:ind w:left="17" w:right="8" w:firstLine="1"/>
              <w:rPr>
                <w:sz w:val="9"/>
              </w:rPr>
            </w:pPr>
            <w:r>
              <w:rPr>
                <w:w w:val="135"/>
                <w:sz w:val="9"/>
              </w:rPr>
              <w:t>El municipio no dispone de una política que evite la existencia de conflictos de interés del personal municipal operativo y mando medio en el desempeño de su función y con los proveedores y contratistas.</w:t>
            </w:r>
          </w:p>
        </w:tc>
      </w:tr>
      <w:tr>
        <w:trPr>
          <w:trHeight w:val="1412" w:hRule="exact"/>
        </w:trPr>
        <w:tc>
          <w:tcPr>
            <w:tcW w:w="1831" w:type="dxa"/>
            <w:tcBorders>
              <w:left w:val="single" w:sz="4" w:space="0" w:color="000000"/>
              <w:right w:val="single" w:sz="4" w:space="0" w:color="000000"/>
            </w:tcBorders>
          </w:tcPr>
          <w:p>
            <w:pPr>
              <w:pStyle w:val="TableParagraph"/>
              <w:spacing w:line="264" w:lineRule="auto"/>
              <w:ind w:left="17" w:right="81" w:firstLine="1"/>
              <w:rPr>
                <w:sz w:val="9"/>
              </w:rPr>
            </w:pPr>
            <w:r>
              <w:rPr>
                <w:w w:val="135"/>
                <w:sz w:val="9"/>
              </w:rPr>
              <w:t>La Estructura Organizacional incluye un área de Control Interno (independiente de la operación), que informa directamente al Presidente Municipal sobre las auditorías que se realizan al municipio.</w:t>
            </w:r>
          </w:p>
        </w:tc>
        <w:tc>
          <w:tcPr>
            <w:tcW w:w="1839" w:type="dxa"/>
            <w:tcBorders>
              <w:left w:val="single" w:sz="4" w:space="0" w:color="000000"/>
              <w:right w:val="single" w:sz="4" w:space="0" w:color="000000"/>
            </w:tcBorders>
          </w:tcPr>
          <w:p>
            <w:pPr>
              <w:pStyle w:val="TableParagraph"/>
              <w:spacing w:line="264" w:lineRule="auto"/>
              <w:ind w:left="16" w:right="63" w:firstLine="1"/>
              <w:rPr>
                <w:sz w:val="9"/>
              </w:rPr>
            </w:pPr>
            <w:r>
              <w:rPr>
                <w:w w:val="135"/>
                <w:sz w:val="9"/>
              </w:rPr>
              <w:t>El municipio no dispone de un mecanismo de control para cerciorarse de que la estructura organizacional permite un adecuado flujo de actividades, de tal forma que en una sola área no recaigan excesos de responsabilidad.</w:t>
            </w:r>
          </w:p>
        </w:tc>
        <w:tc>
          <w:tcPr>
            <w:tcW w:w="1512" w:type="dxa"/>
            <w:tcBorders>
              <w:left w:val="single" w:sz="4" w:space="0" w:color="000000"/>
              <w:right w:val="single" w:sz="4" w:space="0" w:color="000000"/>
            </w:tcBorders>
          </w:tcPr>
          <w:p>
            <w:pPr>
              <w:pStyle w:val="TableParagraph"/>
              <w:spacing w:line="264" w:lineRule="auto"/>
              <w:ind w:left="17" w:right="14" w:firstLine="1"/>
              <w:rPr>
                <w:sz w:val="9"/>
              </w:rPr>
            </w:pPr>
            <w:r>
              <w:rPr>
                <w:w w:val="135"/>
                <w:sz w:val="9"/>
              </w:rPr>
              <w:t>La estructura organizacional incluye un área de control interno (independiente de la operación), que informa directamente al Presidente Municipal sobre las auditorías que se realizan al municipio.</w:t>
            </w:r>
          </w:p>
        </w:tc>
        <w:tc>
          <w:tcPr>
            <w:tcW w:w="1892" w:type="dxa"/>
            <w:tcBorders>
              <w:left w:val="single" w:sz="4" w:space="0" w:color="000000"/>
              <w:right w:val="single" w:sz="4" w:space="0" w:color="000000"/>
            </w:tcBorders>
          </w:tcPr>
          <w:p>
            <w:pPr>
              <w:pStyle w:val="TableParagraph"/>
              <w:spacing w:line="264" w:lineRule="auto"/>
              <w:ind w:left="17" w:right="35" w:firstLine="1"/>
              <w:rPr>
                <w:sz w:val="9"/>
              </w:rPr>
            </w:pPr>
            <w:r>
              <w:rPr>
                <w:w w:val="135"/>
                <w:sz w:val="9"/>
              </w:rPr>
              <w:t>No cuenta con Manuales de Procedimientos en los que se incluyan las responsabilidades del personal operativo, por lo que el municipio no dispone de un mecanismo de control para cerciorarse de que la estructura organizacional permite un adecuado flujo de actividades, de tal forma que no recaigan en una sola área excesos de responsabilidad.</w:t>
            </w:r>
          </w:p>
        </w:tc>
      </w:tr>
      <w:tr>
        <w:trPr>
          <w:trHeight w:val="1253" w:hRule="exact"/>
        </w:trPr>
        <w:tc>
          <w:tcPr>
            <w:tcW w:w="1831" w:type="dxa"/>
            <w:tcBorders>
              <w:left w:val="single" w:sz="4" w:space="0" w:color="000000"/>
              <w:right w:val="single" w:sz="4" w:space="0" w:color="000000"/>
            </w:tcBorders>
          </w:tcPr>
          <w:p>
            <w:pPr>
              <w:pStyle w:val="TableParagraph"/>
              <w:spacing w:line="264" w:lineRule="auto"/>
              <w:ind w:left="17" w:right="48" w:firstLine="1"/>
              <w:rPr>
                <w:sz w:val="9"/>
              </w:rPr>
            </w:pPr>
            <w:r>
              <w:rPr>
                <w:w w:val="135"/>
                <w:sz w:val="9"/>
              </w:rPr>
              <w:t>El municipio conoce y utiliza los indicadores de pobreza e índices de rezago social del municipio, por localidad, emitidos por la SEDESOL (polígonos de pobreza); el INEGI (índices de marginación); y el CONEVAL (índices de rezago social), para la distribución de los recursos del FISM.</w:t>
            </w:r>
          </w:p>
        </w:tc>
        <w:tc>
          <w:tcPr>
            <w:tcW w:w="1839" w:type="dxa"/>
            <w:tcBorders>
              <w:left w:val="single" w:sz="4" w:space="0" w:color="000000"/>
              <w:right w:val="single" w:sz="4" w:space="0" w:color="000000"/>
            </w:tcBorders>
          </w:tcPr>
          <w:p>
            <w:pPr>
              <w:pStyle w:val="TableParagraph"/>
              <w:spacing w:line="264" w:lineRule="auto"/>
              <w:ind w:left="16" w:right="28" w:firstLine="1"/>
              <w:rPr>
                <w:sz w:val="9"/>
              </w:rPr>
            </w:pPr>
            <w:r>
              <w:rPr>
                <w:w w:val="135"/>
                <w:sz w:val="9"/>
              </w:rPr>
              <w:t>No se dispone de mecanismos de control suficientes para garantizar que las obras reportadas como terminadas efectivamente lo estén, y operen adecuadamente.</w:t>
            </w:r>
          </w:p>
        </w:tc>
        <w:tc>
          <w:tcPr>
            <w:tcW w:w="1512" w:type="dxa"/>
            <w:tcBorders>
              <w:left w:val="single" w:sz="4" w:space="0" w:color="000000"/>
              <w:right w:val="single" w:sz="4" w:space="0" w:color="000000"/>
            </w:tcBorders>
          </w:tcPr>
          <w:p>
            <w:pPr>
              <w:pStyle w:val="TableParagraph"/>
              <w:spacing w:line="264" w:lineRule="auto"/>
              <w:ind w:left="17" w:right="25" w:firstLine="1"/>
              <w:rPr>
                <w:sz w:val="9"/>
              </w:rPr>
            </w:pPr>
            <w:r>
              <w:rPr>
                <w:w w:val="135"/>
                <w:sz w:val="9"/>
              </w:rPr>
              <w:t>El municipio dispone de los controles necesarios para asegurarse de tener una cuenta bancaria específica para la recepción y administración de los recursos correspondientes.</w:t>
            </w:r>
          </w:p>
        </w:tc>
        <w:tc>
          <w:tcPr>
            <w:tcW w:w="1892" w:type="dxa"/>
            <w:tcBorders>
              <w:left w:val="single" w:sz="4" w:space="0" w:color="000000"/>
              <w:right w:val="single" w:sz="4" w:space="0" w:color="000000"/>
            </w:tcBorders>
          </w:tcPr>
          <w:p>
            <w:pPr>
              <w:pStyle w:val="TableParagraph"/>
              <w:spacing w:line="264" w:lineRule="auto"/>
              <w:ind w:left="17" w:right="8" w:firstLine="1"/>
              <w:rPr>
                <w:sz w:val="9"/>
              </w:rPr>
            </w:pPr>
            <w:r>
              <w:rPr>
                <w:w w:val="135"/>
                <w:sz w:val="9"/>
              </w:rPr>
              <w:t>El área de obra pública del municipio no tiene mecanismos implementados para hacer efectivas las fianzas de cumplimiento, anticipo y de vicios ocultos.</w:t>
            </w:r>
          </w:p>
        </w:tc>
      </w:tr>
      <w:tr>
        <w:trPr>
          <w:trHeight w:val="1253" w:hRule="exact"/>
        </w:trPr>
        <w:tc>
          <w:tcPr>
            <w:tcW w:w="1831" w:type="dxa"/>
            <w:tcBorders>
              <w:left w:val="single" w:sz="4" w:space="0" w:color="000000"/>
              <w:right w:val="single" w:sz="4" w:space="0" w:color="000000"/>
            </w:tcBorders>
          </w:tcPr>
          <w:p>
            <w:pPr>
              <w:pStyle w:val="TableParagraph"/>
              <w:spacing w:line="264" w:lineRule="auto"/>
              <w:ind w:left="18" w:right="81"/>
              <w:rPr>
                <w:sz w:val="9"/>
              </w:rPr>
            </w:pPr>
            <w:r>
              <w:rPr>
                <w:w w:val="135"/>
                <w:sz w:val="9"/>
              </w:rPr>
              <w:t>Aplicar la normativa correspondiente es la actividad de control establecida por el municipio para verificar la correcta aplicación de los montos máximos en los procesos de adjudicación y contratación de obra pública y de la adquisición de bienes y servicios.</w:t>
            </w:r>
          </w:p>
        </w:tc>
        <w:tc>
          <w:tcPr>
            <w:tcW w:w="1839" w:type="dxa"/>
            <w:tcBorders>
              <w:left w:val="single" w:sz="4" w:space="0" w:color="000000"/>
              <w:right w:val="single" w:sz="4" w:space="0" w:color="000000"/>
            </w:tcBorders>
          </w:tcPr>
          <w:p>
            <w:pPr>
              <w:pStyle w:val="TableParagraph"/>
              <w:spacing w:line="264" w:lineRule="auto"/>
              <w:ind w:left="17" w:right="63"/>
              <w:rPr>
                <w:sz w:val="9"/>
              </w:rPr>
            </w:pPr>
            <w:r>
              <w:rPr>
                <w:w w:val="135"/>
                <w:sz w:val="9"/>
              </w:rPr>
              <w:t>El municipio no dispone de criterios suficientes para la aplicación de los recursos del FISM en las obras y acciones que llevará a cabo de conformidad con los conceptos de gasto establecidos en la Ley de Coordinación Fiscal.</w:t>
            </w:r>
          </w:p>
        </w:tc>
        <w:tc>
          <w:tcPr>
            <w:tcW w:w="1512" w:type="dxa"/>
            <w:tcBorders>
              <w:left w:val="single" w:sz="4" w:space="0" w:color="000000"/>
              <w:right w:val="single" w:sz="4" w:space="0" w:color="000000"/>
            </w:tcBorders>
          </w:tcPr>
          <w:p>
            <w:pPr>
              <w:pStyle w:val="TableParagraph"/>
              <w:spacing w:line="264" w:lineRule="auto"/>
              <w:ind w:left="17" w:right="63" w:firstLine="1"/>
              <w:rPr>
                <w:sz w:val="9"/>
              </w:rPr>
            </w:pPr>
            <w:r>
              <w:rPr>
                <w:w w:val="135"/>
                <w:sz w:val="9"/>
              </w:rPr>
              <w:t>Revisar cada mes la aplicación de los recursos del fondo es el control implementado para asegurar que los productos financieros generados en la cuenta bancaria específica son destinados a los objetivos del FORTAMUN-DF.</w:t>
            </w:r>
          </w:p>
        </w:tc>
        <w:tc>
          <w:tcPr>
            <w:tcW w:w="1892" w:type="dxa"/>
            <w:tcBorders>
              <w:left w:val="single" w:sz="4" w:space="0" w:color="000000"/>
              <w:right w:val="single" w:sz="4" w:space="0" w:color="000000"/>
            </w:tcBorders>
          </w:tcPr>
          <w:p>
            <w:pPr>
              <w:pStyle w:val="TableParagraph"/>
              <w:spacing w:line="264" w:lineRule="auto"/>
              <w:ind w:left="17" w:right="82" w:firstLine="1"/>
              <w:rPr>
                <w:sz w:val="9"/>
              </w:rPr>
            </w:pPr>
            <w:r>
              <w:rPr>
                <w:w w:val="135"/>
                <w:sz w:val="9"/>
              </w:rPr>
              <w:t>El municipio no tiene mecanismos de control suficientes para que al término del ejercicio se difunda entre la población los resultados alcanzados con los recursos recibidos.</w:t>
            </w:r>
          </w:p>
        </w:tc>
      </w:tr>
      <w:tr>
        <w:trPr>
          <w:trHeight w:val="1481" w:hRule="exact"/>
        </w:trPr>
        <w:tc>
          <w:tcPr>
            <w:tcW w:w="1831" w:type="dxa"/>
            <w:tcBorders>
              <w:left w:val="single" w:sz="4" w:space="0" w:color="000000"/>
              <w:right w:val="single" w:sz="4" w:space="0" w:color="000000"/>
            </w:tcBorders>
          </w:tcPr>
          <w:p>
            <w:pPr>
              <w:pStyle w:val="TableParagraph"/>
              <w:spacing w:line="264" w:lineRule="auto"/>
              <w:ind w:left="17" w:right="60" w:firstLine="1"/>
              <w:rPr>
                <w:sz w:val="9"/>
              </w:rPr>
            </w:pPr>
            <w:r>
              <w:rPr>
                <w:w w:val="135"/>
                <w:sz w:val="9"/>
              </w:rPr>
              <w:t>El municipio toma en cuenta todas las recomendaciones que han tenido para implementar o fortalecer los controles sugeridos por las instancias fiscalizadoras para asegurar el cumplimiento de los objetivos institucionales.</w:t>
            </w:r>
          </w:p>
        </w:tc>
        <w:tc>
          <w:tcPr>
            <w:tcW w:w="1839" w:type="dxa"/>
            <w:tcBorders>
              <w:left w:val="single" w:sz="4" w:space="0" w:color="000000"/>
              <w:right w:val="single" w:sz="4" w:space="0" w:color="000000"/>
            </w:tcBorders>
          </w:tcPr>
          <w:p>
            <w:pPr>
              <w:pStyle w:val="TableParagraph"/>
              <w:spacing w:line="264" w:lineRule="auto"/>
              <w:ind w:left="17" w:right="63"/>
              <w:rPr>
                <w:sz w:val="9"/>
              </w:rPr>
            </w:pPr>
            <w:r>
              <w:rPr>
                <w:w w:val="135"/>
                <w:sz w:val="9"/>
              </w:rPr>
              <w:t>El área de obra pública del municipio no tiene mecanismos implementados para hacer efectivas las fianzas de cumplimiento, anticipo y de vicios ocultos.</w:t>
            </w:r>
          </w:p>
        </w:tc>
        <w:tc>
          <w:tcPr>
            <w:tcW w:w="1512" w:type="dxa"/>
            <w:tcBorders>
              <w:left w:val="single" w:sz="4" w:space="0" w:color="000000"/>
              <w:right w:val="single" w:sz="4" w:space="0" w:color="000000"/>
            </w:tcBorders>
          </w:tcPr>
          <w:p>
            <w:pPr>
              <w:pStyle w:val="TableParagraph"/>
              <w:spacing w:line="103" w:lineRule="exact"/>
              <w:ind w:left="18" w:right="28"/>
              <w:rPr>
                <w:sz w:val="9"/>
              </w:rPr>
            </w:pPr>
            <w:r>
              <w:rPr>
                <w:w w:val="135"/>
                <w:sz w:val="9"/>
              </w:rPr>
              <w:t>Mediante los montos</w:t>
            </w:r>
          </w:p>
          <w:p>
            <w:pPr>
              <w:pStyle w:val="TableParagraph"/>
              <w:spacing w:line="264" w:lineRule="auto" w:before="10"/>
              <w:ind w:left="17" w:right="28" w:firstLine="1"/>
              <w:rPr>
                <w:sz w:val="9"/>
              </w:rPr>
            </w:pPr>
            <w:r>
              <w:rPr>
                <w:w w:val="135"/>
                <w:sz w:val="9"/>
              </w:rPr>
              <w:t>máximos y la normativa correspondiente establece la actividad de control el municipio para verificar la correcta aplicación de la normativa en los procesos de adjudicación y contratación de obra pública y de la adquisición de bienes y servicios.</w:t>
            </w:r>
          </w:p>
        </w:tc>
        <w:tc>
          <w:tcPr>
            <w:tcW w:w="1892" w:type="dxa"/>
            <w:tcBorders>
              <w:left w:val="single" w:sz="4" w:space="0" w:color="000000"/>
              <w:right w:val="single" w:sz="4" w:space="0" w:color="000000"/>
            </w:tcBorders>
          </w:tcPr>
          <w:p>
            <w:pPr>
              <w:pStyle w:val="TableParagraph"/>
              <w:spacing w:line="264" w:lineRule="auto"/>
              <w:ind w:left="17" w:right="82" w:firstLine="1"/>
              <w:rPr>
                <w:sz w:val="9"/>
              </w:rPr>
            </w:pPr>
            <w:r>
              <w:rPr>
                <w:w w:val="135"/>
                <w:sz w:val="9"/>
              </w:rPr>
              <w:t>No se han realizado acciones para implementar un programa de actualización y mejora de los controles internos.</w:t>
            </w:r>
          </w:p>
        </w:tc>
      </w:tr>
      <w:tr>
        <w:trPr>
          <w:trHeight w:val="1253" w:hRule="exact"/>
        </w:trPr>
        <w:tc>
          <w:tcPr>
            <w:tcW w:w="1831" w:type="dxa"/>
            <w:tcBorders>
              <w:left w:val="single" w:sz="4" w:space="0" w:color="000000"/>
              <w:right w:val="single" w:sz="4" w:space="0" w:color="000000"/>
            </w:tcBorders>
          </w:tcPr>
          <w:p>
            <w:pPr/>
          </w:p>
        </w:tc>
        <w:tc>
          <w:tcPr>
            <w:tcW w:w="1839" w:type="dxa"/>
            <w:tcBorders>
              <w:left w:val="single" w:sz="4" w:space="0" w:color="000000"/>
              <w:right w:val="single" w:sz="4" w:space="0" w:color="000000"/>
            </w:tcBorders>
          </w:tcPr>
          <w:p>
            <w:pPr>
              <w:pStyle w:val="TableParagraph"/>
              <w:spacing w:line="264" w:lineRule="auto"/>
              <w:ind w:left="17" w:right="63"/>
              <w:rPr>
                <w:sz w:val="9"/>
              </w:rPr>
            </w:pPr>
            <w:r>
              <w:rPr>
                <w:w w:val="135"/>
                <w:sz w:val="9"/>
              </w:rPr>
              <w:t>El municipio no tiene mecanismos de control suficientes para que, al término del ejercicio, se difunda entre la población los resultados alcanzados con los recursos recibidos.</w:t>
            </w:r>
          </w:p>
        </w:tc>
        <w:tc>
          <w:tcPr>
            <w:tcW w:w="1512" w:type="dxa"/>
            <w:tcBorders>
              <w:left w:val="single" w:sz="4" w:space="0" w:color="000000"/>
              <w:right w:val="single" w:sz="4" w:space="0" w:color="000000"/>
            </w:tcBorders>
          </w:tcPr>
          <w:p>
            <w:pPr>
              <w:pStyle w:val="TableParagraph"/>
              <w:spacing w:line="264" w:lineRule="auto"/>
              <w:ind w:left="17" w:right="28" w:firstLine="1"/>
              <w:rPr>
                <w:sz w:val="9"/>
              </w:rPr>
            </w:pPr>
            <w:r>
              <w:rPr>
                <w:w w:val="135"/>
                <w:sz w:val="9"/>
              </w:rPr>
              <w:t>El municipio considera todas las recomendaciones que han tenido para implementar o fortalecer los controles sugeridos por alguna instancia  fiscalizadora para asegurar el cumplimiento de los objetivos</w:t>
            </w:r>
            <w:r>
              <w:rPr>
                <w:spacing w:val="7"/>
                <w:w w:val="135"/>
                <w:sz w:val="9"/>
              </w:rPr>
              <w:t> </w:t>
            </w:r>
            <w:r>
              <w:rPr>
                <w:w w:val="135"/>
                <w:sz w:val="9"/>
              </w:rPr>
              <w:t>institucionales.</w:t>
            </w:r>
          </w:p>
        </w:tc>
        <w:tc>
          <w:tcPr>
            <w:tcW w:w="1892" w:type="dxa"/>
            <w:tcBorders>
              <w:left w:val="single" w:sz="4" w:space="0" w:color="000000"/>
              <w:right w:val="single" w:sz="4" w:space="0" w:color="000000"/>
            </w:tcBorders>
          </w:tcPr>
          <w:p>
            <w:pPr>
              <w:pStyle w:val="TableParagraph"/>
              <w:spacing w:line="264" w:lineRule="auto"/>
              <w:ind w:left="17" w:right="8" w:firstLine="1"/>
              <w:rPr>
                <w:sz w:val="9"/>
              </w:rPr>
            </w:pPr>
            <w:r>
              <w:rPr>
                <w:w w:val="135"/>
                <w:sz w:val="9"/>
              </w:rPr>
              <w:t>El municipio no proporcionó evidencia de las evaluaciones realizadas a la operación, tendentes a identificar la suficiencia de los controles.</w:t>
            </w:r>
          </w:p>
        </w:tc>
      </w:tr>
    </w:tbl>
    <w:p>
      <w:pPr>
        <w:spacing w:after="0" w:line="264" w:lineRule="auto"/>
        <w:rPr>
          <w:sz w:val="9"/>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pgSz w:w="15840" w:h="12240" w:orient="landscape"/>
          <w:pgMar w:header="0" w:footer="992" w:top="1140" w:bottom="1180" w:left="2260" w:right="2260"/>
        </w:sectPr>
      </w:pPr>
    </w:p>
    <w:p>
      <w:pPr>
        <w:pStyle w:val="BodyText"/>
        <w:rPr>
          <w:b/>
        </w:rPr>
      </w:pPr>
    </w:p>
    <w:p>
      <w:pPr>
        <w:pStyle w:val="BodyText"/>
        <w:rPr>
          <w:b/>
        </w:rPr>
      </w:pPr>
    </w:p>
    <w:p>
      <w:pPr>
        <w:pStyle w:val="BodyText"/>
        <w:rPr>
          <w:b/>
          <w:sz w:val="23"/>
        </w:rPr>
      </w:pPr>
    </w:p>
    <w:p>
      <w:pPr>
        <w:pStyle w:val="BodyText"/>
        <w:jc w:val="right"/>
      </w:pPr>
      <w:r>
        <w:rPr/>
        <w:pict>
          <v:shape style="position:absolute;margin-left:151.774658pt;margin-top:12.765672pt;width:239.9pt;height:14.2pt;mso-position-horizontal-relative:page;mso-position-vertical-relative:paragraph;z-index:-675640" type="#_x0000_t202" filled="false" stroked="false">
            <v:textbox inset="0,0,0,0">
              <w:txbxContent>
                <w:p>
                  <w:pPr>
                    <w:spacing w:line="204" w:lineRule="exact" w:before="0"/>
                    <w:ind w:left="1407" w:right="0" w:firstLine="0"/>
                    <w:jc w:val="left"/>
                    <w:rPr>
                      <w:sz w:val="20"/>
                    </w:rPr>
                  </w:pPr>
                  <w:r>
                    <w:rPr>
                      <w:b/>
                      <w:sz w:val="20"/>
                    </w:rPr>
                    <w:t>Fuente</w:t>
                  </w:r>
                  <w:r>
                    <w:rPr>
                      <w:sz w:val="20"/>
                    </w:rPr>
                    <w:t>:  Elaboración  propia  con bas</w:t>
                  </w:r>
                </w:p>
              </w:txbxContent>
            </v:textbox>
            <w10:wrap type="none"/>
          </v:shape>
        </w:pict>
      </w:r>
      <w:r>
        <w:rPr/>
        <w:pict>
          <v:shape style="position:absolute;margin-left:151.774658pt;margin-top:24.455118pt;width:238.6pt;height:11.8pt;mso-position-horizontal-relative:page;mso-position-vertical-relative:paragraph;z-index:-675592" type="#_x0000_t202" filled="false" stroked="false">
            <v:textbox inset="0,0,0,0">
              <w:txbxContent>
                <w:p>
                  <w:pPr>
                    <w:spacing w:line="204" w:lineRule="exact" w:before="0"/>
                    <w:ind w:left="1407" w:right="0" w:firstLine="0"/>
                    <w:jc w:val="left"/>
                    <w:rPr>
                      <w:sz w:val="20"/>
                    </w:rPr>
                  </w:pPr>
                  <w:r>
                    <w:rPr>
                      <w:sz w:val="20"/>
                    </w:rPr>
                    <w:t>Fiscalización Superior de las cuentas</w:t>
                  </w:r>
                </w:p>
              </w:txbxContent>
            </v:textbox>
            <w10:wrap type="none"/>
          </v:shape>
        </w:pict>
      </w:r>
      <w:r>
        <w:rPr/>
        <w:pict>
          <v:shape style="position:absolute;margin-left:389.780243pt;margin-top:24.455118pt;width:250.7pt;height:11.8pt;mso-position-horizontal-relative:page;mso-position-vertical-relative:paragraph;z-index:-675568" type="#_x0000_t202" filled="false" stroked="false">
            <v:textbox inset="0,0,0,0">
              <w:txbxContent>
                <w:p>
                  <w:pPr>
                    <w:spacing w:line="204" w:lineRule="exact" w:before="0"/>
                    <w:ind w:left="0" w:right="0" w:firstLine="0"/>
                    <w:jc w:val="left"/>
                    <w:rPr>
                      <w:sz w:val="20"/>
                    </w:rPr>
                  </w:pPr>
                  <w:r>
                    <w:rPr>
                      <w:sz w:val="20"/>
                    </w:rPr>
                    <w:t>públicas 2008-2014.</w:t>
                  </w:r>
                </w:p>
              </w:txbxContent>
            </v:textbox>
            <w10:wrap type="none"/>
          </v:shape>
        </w:pict>
      </w:r>
      <w:r>
        <w:rPr/>
        <w:drawing>
          <wp:anchor distT="0" distB="0" distL="0" distR="0" allowOverlap="1" layoutInCell="1" locked="0" behindDoc="1" simplePos="0" relativeHeight="267759911">
            <wp:simplePos x="0" y="0"/>
            <wp:positionH relativeFrom="page">
              <wp:posOffset>2729483</wp:posOffset>
            </wp:positionH>
            <wp:positionV relativeFrom="paragraph">
              <wp:posOffset>148791</wp:posOffset>
            </wp:positionV>
            <wp:extent cx="4572000" cy="402336"/>
            <wp:effectExtent l="0" t="0" r="0" b="0"/>
            <wp:wrapNone/>
            <wp:docPr id="39" name="image131.png" descr=""/>
            <wp:cNvGraphicFramePr>
              <a:graphicFrameLocks noChangeAspect="1"/>
            </wp:cNvGraphicFramePr>
            <a:graphic>
              <a:graphicData uri="http://schemas.openxmlformats.org/drawingml/2006/picture">
                <pic:pic>
                  <pic:nvPicPr>
                    <pic:cNvPr id="40" name="image131.png"/>
                    <pic:cNvPicPr/>
                  </pic:nvPicPr>
                  <pic:blipFill>
                    <a:blip r:embed="rId185" cstate="print"/>
                    <a:stretch>
                      <a:fillRect/>
                    </a:stretch>
                  </pic:blipFill>
                  <pic:spPr>
                    <a:xfrm>
                      <a:off x="0" y="0"/>
                      <a:ext cx="4572000" cy="402336"/>
                    </a:xfrm>
                    <a:prstGeom prst="rect">
                      <a:avLst/>
                    </a:prstGeom>
                  </pic:spPr>
                </pic:pic>
              </a:graphicData>
            </a:graphic>
          </wp:anchor>
        </w:drawing>
      </w:r>
      <w:r>
        <w:rPr/>
        <w:t>Anexo 56.</w:t>
      </w:r>
    </w:p>
    <w:p>
      <w:pPr>
        <w:pStyle w:val="BodyText"/>
        <w:rPr>
          <w:sz w:val="14"/>
        </w:rPr>
      </w:pPr>
      <w:r>
        <w:rPr/>
        <w:br w:type="column"/>
      </w:r>
      <w:r>
        <w:rPr>
          <w:sz w:val="14"/>
        </w:rPr>
      </w:r>
    </w:p>
    <w:p>
      <w:pPr>
        <w:spacing w:line="276" w:lineRule="auto" w:before="87"/>
        <w:ind w:left="648" w:right="4176" w:firstLine="1"/>
        <w:jc w:val="center"/>
        <w:rPr>
          <w:b/>
          <w:sz w:val="14"/>
        </w:rPr>
      </w:pPr>
      <w:r>
        <w:rPr/>
        <w:pict>
          <v:shape style="position:absolute;margin-left:390.255249pt;margin-top:45.52647pt;width:250.2pt;height:14.2pt;mso-position-horizontal-relative:page;mso-position-vertical-relative:paragraph;z-index:-675616" type="#_x0000_t202" filled="false" stroked="false">
            <v:textbox inset="0,0,0,0">
              <w:txbxContent>
                <w:p>
                  <w:pPr>
                    <w:spacing w:line="204" w:lineRule="exact" w:before="0"/>
                    <w:ind w:left="28" w:right="0" w:firstLine="0"/>
                    <w:jc w:val="left"/>
                    <w:rPr>
                      <w:sz w:val="20"/>
                    </w:rPr>
                  </w:pPr>
                  <w:r>
                    <w:rPr>
                      <w:sz w:val="20"/>
                    </w:rPr>
                    <w:t>e  en  el  Informe  de  Resultados  de la</w:t>
                  </w:r>
                </w:p>
              </w:txbxContent>
            </v:textbox>
            <w10:wrap type="none"/>
          </v:shape>
        </w:pict>
      </w:r>
      <w:r>
        <w:rPr/>
        <w:pict>
          <v:shape style="position:absolute;margin-left:151.774643pt;margin-top:31.678957pt;width:488.7pt;height:.1pt;mso-position-horizontal-relative:page;mso-position-vertical-relative:paragraph;z-index:-675520" coordorigin="3035,634" coordsize="9774,0" path="m3035,634l3035,634,12809,634e" filled="false" stroked="true" strokeweight=".537839pt" strokecolor="#000000">
            <v:path arrowok="t"/>
            <w10:wrap type="none"/>
          </v:shape>
        </w:pict>
      </w:r>
      <w:r>
        <w:rPr>
          <w:b/>
          <w:w w:val="105"/>
          <w:sz w:val="14"/>
        </w:rPr>
        <w:t>Calidad de la Gestión Gubernamental Controles Internos (Manejo y Aplicación) Naucalpan de Juárez Ejercicio Fiscal 2012</w:t>
      </w:r>
    </w:p>
    <w:p>
      <w:pPr>
        <w:spacing w:after="0" w:line="276" w:lineRule="auto"/>
        <w:jc w:val="center"/>
        <w:rPr>
          <w:sz w:val="14"/>
        </w:rPr>
        <w:sectPr>
          <w:type w:val="continuous"/>
          <w:pgSz w:w="15840" w:h="12240" w:orient="landscape"/>
          <w:pgMar w:top="0" w:bottom="280" w:left="2260" w:right="2260"/>
          <w:cols w:num="2" w:equalWidth="0">
            <w:col w:w="3504" w:space="40"/>
            <w:col w:w="7776"/>
          </w:cols>
        </w:sectPr>
      </w:pPr>
    </w:p>
    <w:p>
      <w:pPr>
        <w:pStyle w:val="BodyText"/>
        <w:rPr>
          <w:b/>
          <w:sz w:val="6"/>
        </w:rPr>
      </w:pPr>
    </w:p>
    <w:tbl>
      <w:tblPr>
        <w:tblW w:w="0" w:type="auto"/>
        <w:jc w:val="left"/>
        <w:tblInd w:w="7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9"/>
        <w:gridCol w:w="2201"/>
        <w:gridCol w:w="2507"/>
        <w:gridCol w:w="2495"/>
      </w:tblGrid>
      <w:tr>
        <w:trPr>
          <w:trHeight w:val="185" w:hRule="exact"/>
        </w:trPr>
        <w:tc>
          <w:tcPr>
            <w:tcW w:w="4770" w:type="dxa"/>
            <w:gridSpan w:val="2"/>
            <w:shd w:val="clear" w:color="auto" w:fill="E6B8B7"/>
          </w:tcPr>
          <w:p>
            <w:pPr>
              <w:pStyle w:val="TableParagraph"/>
              <w:spacing w:before="5"/>
              <w:ind w:left="2189" w:right="2177"/>
              <w:jc w:val="center"/>
              <w:rPr>
                <w:b/>
                <w:sz w:val="14"/>
              </w:rPr>
            </w:pPr>
            <w:r>
              <w:rPr>
                <w:b/>
                <w:w w:val="105"/>
                <w:sz w:val="14"/>
              </w:rPr>
              <w:t>FISM</w:t>
            </w:r>
          </w:p>
        </w:tc>
        <w:tc>
          <w:tcPr>
            <w:tcW w:w="5002" w:type="dxa"/>
            <w:gridSpan w:val="2"/>
            <w:shd w:val="clear" w:color="auto" w:fill="E6B8B7"/>
          </w:tcPr>
          <w:p>
            <w:pPr>
              <w:pStyle w:val="TableParagraph"/>
              <w:spacing w:before="5"/>
              <w:ind w:left="1960" w:right="1952"/>
              <w:jc w:val="center"/>
              <w:rPr>
                <w:b/>
                <w:sz w:val="14"/>
              </w:rPr>
            </w:pPr>
            <w:r>
              <w:rPr>
                <w:b/>
                <w:w w:val="105"/>
                <w:sz w:val="14"/>
              </w:rPr>
              <w:t>FORTAMUNDF</w:t>
            </w:r>
          </w:p>
        </w:tc>
      </w:tr>
      <w:tr>
        <w:trPr>
          <w:trHeight w:val="186" w:hRule="exact"/>
        </w:trPr>
        <w:tc>
          <w:tcPr>
            <w:tcW w:w="2569" w:type="dxa"/>
            <w:shd w:val="clear" w:color="auto" w:fill="F1DCDB"/>
          </w:tcPr>
          <w:p>
            <w:pPr>
              <w:pStyle w:val="TableParagraph"/>
              <w:spacing w:before="5"/>
              <w:ind w:left="899" w:right="891"/>
              <w:jc w:val="center"/>
              <w:rPr>
                <w:b/>
                <w:sz w:val="14"/>
              </w:rPr>
            </w:pPr>
            <w:r>
              <w:rPr>
                <w:b/>
                <w:w w:val="105"/>
                <w:sz w:val="14"/>
              </w:rPr>
              <w:t>Fortalezas</w:t>
            </w:r>
          </w:p>
        </w:tc>
        <w:tc>
          <w:tcPr>
            <w:tcW w:w="2201" w:type="dxa"/>
            <w:shd w:val="clear" w:color="auto" w:fill="F1DCDB"/>
          </w:tcPr>
          <w:p>
            <w:pPr>
              <w:pStyle w:val="TableParagraph"/>
              <w:spacing w:before="5"/>
              <w:ind w:left="685" w:right="8"/>
              <w:rPr>
                <w:b/>
                <w:sz w:val="14"/>
              </w:rPr>
            </w:pPr>
            <w:r>
              <w:rPr>
                <w:b/>
                <w:w w:val="105"/>
                <w:sz w:val="14"/>
              </w:rPr>
              <w:t>Debilidades</w:t>
            </w:r>
          </w:p>
        </w:tc>
        <w:tc>
          <w:tcPr>
            <w:tcW w:w="2507" w:type="dxa"/>
            <w:shd w:val="clear" w:color="auto" w:fill="F1DCDB"/>
          </w:tcPr>
          <w:p>
            <w:pPr>
              <w:pStyle w:val="TableParagraph"/>
              <w:spacing w:before="5"/>
              <w:ind w:left="869" w:right="860"/>
              <w:jc w:val="center"/>
              <w:rPr>
                <w:b/>
                <w:sz w:val="14"/>
              </w:rPr>
            </w:pPr>
            <w:r>
              <w:rPr>
                <w:b/>
                <w:w w:val="105"/>
                <w:sz w:val="14"/>
              </w:rPr>
              <w:t>Fortalezas</w:t>
            </w:r>
          </w:p>
        </w:tc>
        <w:tc>
          <w:tcPr>
            <w:tcW w:w="2495" w:type="dxa"/>
            <w:shd w:val="clear" w:color="auto" w:fill="F1DCDB"/>
          </w:tcPr>
          <w:p>
            <w:pPr>
              <w:pStyle w:val="TableParagraph"/>
              <w:spacing w:before="5"/>
              <w:ind w:left="811" w:right="807"/>
              <w:jc w:val="center"/>
              <w:rPr>
                <w:b/>
                <w:sz w:val="14"/>
              </w:rPr>
            </w:pPr>
            <w:r>
              <w:rPr>
                <w:b/>
                <w:w w:val="105"/>
                <w:sz w:val="14"/>
              </w:rPr>
              <w:t>Debilidades</w:t>
            </w:r>
          </w:p>
        </w:tc>
      </w:tr>
      <w:tr>
        <w:trPr>
          <w:trHeight w:val="1077" w:hRule="exact"/>
        </w:trPr>
        <w:tc>
          <w:tcPr>
            <w:tcW w:w="2569" w:type="dxa"/>
          </w:tcPr>
          <w:p>
            <w:pPr>
              <w:pStyle w:val="TableParagraph"/>
              <w:spacing w:line="278" w:lineRule="auto" w:before="5"/>
              <w:ind w:left="22" w:right="49" w:hanging="2"/>
              <w:rPr>
                <w:sz w:val="14"/>
              </w:rPr>
            </w:pPr>
            <w:r>
              <w:rPr>
                <w:w w:val="105"/>
                <w:sz w:val="14"/>
              </w:rPr>
              <w:t>El municipio dispone de un Código de Conducta que le permite promover entre el personal un comportamiento con valores de servicio, honestidad y eficiencia.</w:t>
            </w:r>
          </w:p>
        </w:tc>
        <w:tc>
          <w:tcPr>
            <w:tcW w:w="2201" w:type="dxa"/>
          </w:tcPr>
          <w:p>
            <w:pPr>
              <w:pStyle w:val="TableParagraph"/>
              <w:spacing w:line="278" w:lineRule="auto" w:before="5"/>
              <w:ind w:left="21" w:right="8"/>
              <w:rPr>
                <w:sz w:val="14"/>
              </w:rPr>
            </w:pPr>
            <w:r>
              <w:rPr>
                <w:w w:val="105"/>
                <w:sz w:val="14"/>
              </w:rPr>
              <w:t>No existen evaluaciones a la estructura organizacional para conocer si cada área responde a las atribuciones conferidas en la Ley Orgánica Municipal.</w:t>
            </w:r>
          </w:p>
        </w:tc>
        <w:tc>
          <w:tcPr>
            <w:tcW w:w="2507" w:type="dxa"/>
          </w:tcPr>
          <w:p>
            <w:pPr>
              <w:pStyle w:val="TableParagraph"/>
              <w:spacing w:line="276" w:lineRule="auto" w:before="5"/>
              <w:ind w:left="20" w:right="70" w:firstLine="1"/>
              <w:rPr>
                <w:sz w:val="14"/>
              </w:rPr>
            </w:pPr>
            <w:r>
              <w:rPr>
                <w:w w:val="105"/>
                <w:sz w:val="14"/>
              </w:rPr>
              <w:t>El municipio dispone de un código que promueve el comportamiento ético para mejorar el servicio público prestado.</w:t>
            </w:r>
          </w:p>
        </w:tc>
        <w:tc>
          <w:tcPr>
            <w:tcW w:w="2495" w:type="dxa"/>
          </w:tcPr>
          <w:p>
            <w:pPr>
              <w:pStyle w:val="TableParagraph"/>
              <w:spacing w:line="276" w:lineRule="auto" w:before="5"/>
              <w:ind w:left="20" w:right="123" w:firstLine="1"/>
              <w:rPr>
                <w:sz w:val="14"/>
              </w:rPr>
            </w:pPr>
            <w:r>
              <w:rPr>
                <w:w w:val="105"/>
                <w:sz w:val="14"/>
              </w:rPr>
              <w:t>No se tienen actividades para verificar que exista exceso de responsabilidad y cargas de trabajo en una sola persona.</w:t>
            </w:r>
          </w:p>
        </w:tc>
      </w:tr>
      <w:tr>
        <w:trPr>
          <w:trHeight w:val="1336" w:hRule="exact"/>
        </w:trPr>
        <w:tc>
          <w:tcPr>
            <w:tcW w:w="2569" w:type="dxa"/>
          </w:tcPr>
          <w:p>
            <w:pPr>
              <w:pStyle w:val="TableParagraph"/>
              <w:spacing w:line="278" w:lineRule="auto" w:before="5"/>
              <w:ind w:left="20" w:right="34" w:firstLine="1"/>
              <w:rPr>
                <w:sz w:val="14"/>
              </w:rPr>
            </w:pPr>
            <w:r>
              <w:rPr>
                <w:w w:val="105"/>
                <w:sz w:val="14"/>
              </w:rPr>
              <w:t>A través de cursos como “Comportamientos Universales”, entre otros, se promueve entre los servidores públicos municipales los principios de legalidad, honradez, lealtad, imparcialidad y eficiencia</w:t>
            </w:r>
          </w:p>
        </w:tc>
        <w:tc>
          <w:tcPr>
            <w:tcW w:w="2201" w:type="dxa"/>
          </w:tcPr>
          <w:p>
            <w:pPr>
              <w:pStyle w:val="TableParagraph"/>
              <w:spacing w:line="278" w:lineRule="auto" w:before="5"/>
              <w:ind w:left="21" w:right="32"/>
              <w:rPr>
                <w:sz w:val="14"/>
              </w:rPr>
            </w:pPr>
            <w:r>
              <w:rPr>
                <w:w w:val="105"/>
                <w:sz w:val="14"/>
              </w:rPr>
              <w:t>No dispone de las peticiones del consejo de participación ciudadana, con la que se pueda priorizar la distribución de los recursos del fondo.</w:t>
            </w:r>
          </w:p>
        </w:tc>
        <w:tc>
          <w:tcPr>
            <w:tcW w:w="2507" w:type="dxa"/>
          </w:tcPr>
          <w:p>
            <w:pPr>
              <w:pStyle w:val="TableParagraph"/>
              <w:spacing w:line="276" w:lineRule="auto" w:before="5"/>
              <w:ind w:left="21" w:right="44"/>
              <w:rPr>
                <w:sz w:val="14"/>
              </w:rPr>
            </w:pPr>
            <w:r>
              <w:rPr>
                <w:w w:val="105"/>
                <w:sz w:val="14"/>
              </w:rPr>
              <w:t>El municipio dispone de una estructura organizacional autorizada.</w:t>
            </w:r>
          </w:p>
        </w:tc>
        <w:tc>
          <w:tcPr>
            <w:tcW w:w="2495" w:type="dxa"/>
          </w:tcPr>
          <w:p>
            <w:pPr>
              <w:pStyle w:val="TableParagraph"/>
              <w:spacing w:line="276" w:lineRule="auto" w:before="5"/>
              <w:ind w:left="20" w:right="196" w:firstLine="1"/>
              <w:rPr>
                <w:sz w:val="14"/>
              </w:rPr>
            </w:pPr>
            <w:r>
              <w:rPr>
                <w:w w:val="105"/>
                <w:sz w:val="14"/>
              </w:rPr>
              <w:t>No existen mecanismos de control para evitar que los recursos se ejerzan correctamente y con oportunidad.</w:t>
            </w:r>
          </w:p>
        </w:tc>
      </w:tr>
      <w:tr>
        <w:trPr>
          <w:trHeight w:val="1302" w:hRule="exact"/>
        </w:trPr>
        <w:tc>
          <w:tcPr>
            <w:tcW w:w="2569" w:type="dxa"/>
          </w:tcPr>
          <w:p>
            <w:pPr>
              <w:pStyle w:val="TableParagraph"/>
              <w:spacing w:line="276" w:lineRule="auto" w:before="5"/>
              <w:ind w:left="21" w:right="8"/>
              <w:rPr>
                <w:sz w:val="14"/>
              </w:rPr>
            </w:pPr>
            <w:r>
              <w:rPr>
                <w:w w:val="105"/>
                <w:sz w:val="14"/>
              </w:rPr>
              <w:t>Con base a la experiencia laboral, estudios realizados y referencias laborales, el municipio se asegura que el personal disponga de los conocimientos y habilidades suficientes requeridas por el puesto contratado.</w:t>
            </w:r>
          </w:p>
        </w:tc>
        <w:tc>
          <w:tcPr>
            <w:tcW w:w="2201" w:type="dxa"/>
          </w:tcPr>
          <w:p>
            <w:pPr>
              <w:pStyle w:val="TableParagraph"/>
              <w:spacing w:line="278" w:lineRule="auto" w:before="5"/>
              <w:ind w:left="21" w:right="122"/>
              <w:rPr>
                <w:sz w:val="14"/>
              </w:rPr>
            </w:pPr>
            <w:r>
              <w:rPr>
                <w:w w:val="105"/>
                <w:sz w:val="14"/>
              </w:rPr>
              <w:t>No disponen de controles en el manejo de la cuenta del fondo para evitar transferencias de recursos del FISM a otros fondos o programas.</w:t>
            </w:r>
          </w:p>
        </w:tc>
        <w:tc>
          <w:tcPr>
            <w:tcW w:w="2507" w:type="dxa"/>
          </w:tcPr>
          <w:p>
            <w:pPr>
              <w:pStyle w:val="TableParagraph"/>
              <w:spacing w:line="278" w:lineRule="auto" w:before="5"/>
              <w:ind w:left="21" w:right="11"/>
              <w:rPr>
                <w:sz w:val="14"/>
              </w:rPr>
            </w:pPr>
            <w:r>
              <w:rPr>
                <w:w w:val="105"/>
                <w:sz w:val="14"/>
              </w:rPr>
              <w:t>El municipio dispone de 4 manuales de Organización y Procedimientos en el que se</w:t>
            </w:r>
          </w:p>
          <w:p>
            <w:pPr>
              <w:pStyle w:val="TableParagraph"/>
              <w:spacing w:line="278" w:lineRule="auto"/>
              <w:ind w:left="20" w:right="183" w:firstLine="1"/>
              <w:rPr>
                <w:sz w:val="14"/>
              </w:rPr>
            </w:pPr>
            <w:r>
              <w:rPr>
                <w:w w:val="105"/>
                <w:sz w:val="14"/>
              </w:rPr>
              <w:t>definen las funciones y actividades del personal.</w:t>
            </w:r>
          </w:p>
        </w:tc>
        <w:tc>
          <w:tcPr>
            <w:tcW w:w="2495" w:type="dxa"/>
          </w:tcPr>
          <w:p>
            <w:pPr>
              <w:pStyle w:val="TableParagraph"/>
              <w:spacing w:line="276" w:lineRule="auto" w:before="5"/>
              <w:ind w:left="20" w:right="74" w:firstLine="1"/>
              <w:rPr>
                <w:sz w:val="14"/>
              </w:rPr>
            </w:pPr>
            <w:r>
              <w:rPr>
                <w:w w:val="105"/>
                <w:sz w:val="14"/>
              </w:rPr>
              <w:t>El municipio no practica evaluaciones del cumplimiento de metas y objetivos para identificar las áreas de oportunidad de mejora.</w:t>
            </w:r>
          </w:p>
        </w:tc>
      </w:tr>
      <w:tr>
        <w:trPr>
          <w:trHeight w:val="1673" w:hRule="exact"/>
        </w:trPr>
        <w:tc>
          <w:tcPr>
            <w:tcW w:w="2569" w:type="dxa"/>
          </w:tcPr>
          <w:p>
            <w:pPr>
              <w:pStyle w:val="TableParagraph"/>
              <w:spacing w:line="276" w:lineRule="auto" w:before="5"/>
              <w:ind w:left="20" w:right="8" w:firstLine="1"/>
              <w:rPr>
                <w:sz w:val="14"/>
              </w:rPr>
            </w:pPr>
            <w:r>
              <w:rPr>
                <w:w w:val="105"/>
                <w:sz w:val="14"/>
              </w:rPr>
              <w:t>Como política ningún empleado puede tratar directamente con los proveedores, sino a través de Caja General; quien autoriza los pagos es el </w:t>
            </w:r>
            <w:r>
              <w:rPr>
                <w:spacing w:val="-3"/>
                <w:w w:val="105"/>
                <w:sz w:val="14"/>
              </w:rPr>
              <w:t>Tesorero, </w:t>
            </w:r>
            <w:r>
              <w:rPr>
                <w:w w:val="105"/>
                <w:sz w:val="14"/>
              </w:rPr>
              <w:t>con lo que el municipio evita la existencia de conflictos de interés con el personal municipal operativo y mando medio con los proveedores y</w:t>
            </w:r>
            <w:r>
              <w:rPr>
                <w:spacing w:val="-7"/>
                <w:w w:val="105"/>
                <w:sz w:val="14"/>
              </w:rPr>
              <w:t> </w:t>
            </w:r>
            <w:r>
              <w:rPr>
                <w:w w:val="105"/>
                <w:sz w:val="14"/>
              </w:rPr>
              <w:t>contratistas.</w:t>
            </w:r>
          </w:p>
        </w:tc>
        <w:tc>
          <w:tcPr>
            <w:tcW w:w="2201" w:type="dxa"/>
          </w:tcPr>
          <w:p>
            <w:pPr>
              <w:pStyle w:val="TableParagraph"/>
              <w:spacing w:line="276" w:lineRule="auto" w:before="5"/>
              <w:ind w:left="21" w:right="81"/>
              <w:rPr>
                <w:sz w:val="14"/>
              </w:rPr>
            </w:pPr>
            <w:r>
              <w:rPr>
                <w:w w:val="105"/>
                <w:sz w:val="14"/>
              </w:rPr>
              <w:t>No disponen de controles para asegurar que las obras cuenten con comités de obra y la solicitud por parte de las comunidades</w:t>
            </w:r>
          </w:p>
        </w:tc>
        <w:tc>
          <w:tcPr>
            <w:tcW w:w="2507" w:type="dxa"/>
          </w:tcPr>
          <w:p>
            <w:pPr>
              <w:pStyle w:val="TableParagraph"/>
              <w:spacing w:line="276" w:lineRule="auto" w:before="5"/>
              <w:ind w:left="20" w:right="126" w:firstLine="1"/>
              <w:rPr>
                <w:sz w:val="14"/>
              </w:rPr>
            </w:pPr>
            <w:r>
              <w:rPr>
                <w:w w:val="105"/>
                <w:sz w:val="14"/>
              </w:rPr>
              <w:t>El control principal que el municipio utiliza para un manejo adecuado de los recursos es el presupuesto autorizado.</w:t>
            </w:r>
          </w:p>
        </w:tc>
        <w:tc>
          <w:tcPr>
            <w:tcW w:w="2495" w:type="dxa"/>
          </w:tcPr>
          <w:p>
            <w:pPr>
              <w:pStyle w:val="TableParagraph"/>
              <w:spacing w:line="276" w:lineRule="auto" w:before="5"/>
              <w:ind w:left="19" w:right="32" w:firstLine="2"/>
              <w:rPr>
                <w:sz w:val="14"/>
              </w:rPr>
            </w:pPr>
            <w:r>
              <w:rPr>
                <w:w w:val="105"/>
                <w:sz w:val="14"/>
              </w:rPr>
              <w:t>No dispone de actividades de control que le permitan verificar que los riesgos más recurrentes y de mayor impacto estén adecuadamente administrados</w:t>
            </w:r>
          </w:p>
        </w:tc>
      </w:tr>
    </w:tbl>
    <w:p>
      <w:pPr>
        <w:spacing w:after="0" w:line="276" w:lineRule="auto"/>
        <w:rPr>
          <w:sz w:val="14"/>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6"/>
        </w:rPr>
      </w:pPr>
    </w:p>
    <w:p>
      <w:pPr>
        <w:spacing w:before="83"/>
        <w:ind w:left="42" w:right="0" w:firstLine="0"/>
        <w:jc w:val="center"/>
        <w:rPr>
          <w:b/>
          <w:sz w:val="16"/>
        </w:rPr>
      </w:pPr>
      <w:r>
        <w:rPr/>
        <w:pict>
          <v:group style="position:absolute;margin-left:142.919998pt;margin-top:15.297424pt;width:495pt;height:34.450pt;mso-position-horizontal-relative:page;mso-position-vertical-relative:paragraph;z-index:7792;mso-wrap-distance-left:0;mso-wrap-distance-right:0" coordorigin="2858,306" coordsize="9900,689">
            <v:shape style="position:absolute;left:2858;top:361;width:9900;height:634" type="#_x0000_t75" stroked="false">
              <v:imagedata r:id="rId187" o:title=""/>
            </v:shape>
            <v:shape style="position:absolute;left:4840;top:693;width:6188;height:2" coordorigin="4840,693" coordsize="6188,0" path="m4840,693l4840,693,11028,693e" filled="false" stroked="true" strokeweight=".608162pt" strokecolor="#000000">
              <v:path arrowok="t"/>
            </v:shape>
            <v:shape style="position:absolute;left:3003;top:306;width:9611;height:509" type="#_x0000_t202" filled="false" stroked="false">
              <v:textbox inset="0,0,0,0">
                <w:txbxContent>
                  <w:p>
                    <w:pPr>
                      <w:spacing w:line="280" w:lineRule="exact" w:before="0"/>
                      <w:ind w:left="0" w:right="0" w:firstLine="0"/>
                      <w:jc w:val="left"/>
                      <w:rPr>
                        <w:sz w:val="20"/>
                      </w:rPr>
                    </w:pPr>
                    <w:r>
                      <w:rPr>
                        <w:b/>
                        <w:w w:val="99"/>
                        <w:sz w:val="20"/>
                      </w:rPr>
                      <w:t>Fu</w:t>
                    </w:r>
                    <w:r>
                      <w:rPr>
                        <w:b/>
                        <w:w w:val="99"/>
                        <w:sz w:val="20"/>
                      </w:rPr>
                      <w:t>en</w:t>
                    </w:r>
                    <w:r>
                      <w:rPr>
                        <w:b/>
                        <w:spacing w:val="1"/>
                        <w:w w:val="99"/>
                        <w:sz w:val="20"/>
                      </w:rPr>
                      <w:t>t</w:t>
                    </w:r>
                    <w:r>
                      <w:rPr>
                        <w:b/>
                        <w:w w:val="99"/>
                        <w:sz w:val="20"/>
                      </w:rPr>
                      <w:t>e:</w:t>
                    </w:r>
                    <w:r>
                      <w:rPr>
                        <w:b/>
                        <w:spacing w:val="-7"/>
                        <w:sz w:val="20"/>
                      </w:rPr>
                      <w:t> </w:t>
                    </w:r>
                    <w:r>
                      <w:rPr>
                        <w:spacing w:val="-1"/>
                        <w:w w:val="99"/>
                        <w:sz w:val="20"/>
                      </w:rPr>
                      <w:t>E</w:t>
                    </w:r>
                    <w:r>
                      <w:rPr>
                        <w:spacing w:val="1"/>
                        <w:w w:val="99"/>
                        <w:sz w:val="20"/>
                      </w:rPr>
                      <w:t>l</w:t>
                    </w:r>
                    <w:r>
                      <w:rPr>
                        <w:w w:val="99"/>
                        <w:sz w:val="20"/>
                      </w:rPr>
                      <w:t>a</w:t>
                    </w:r>
                    <w:r>
                      <w:rPr>
                        <w:spacing w:val="1"/>
                        <w:w w:val="99"/>
                        <w:sz w:val="20"/>
                      </w:rPr>
                      <w:t>b</w:t>
                    </w:r>
                    <w:r>
                      <w:rPr>
                        <w:w w:val="99"/>
                        <w:sz w:val="20"/>
                      </w:rPr>
                      <w:t>ora</w:t>
                    </w:r>
                    <w:r>
                      <w:rPr>
                        <w:spacing w:val="1"/>
                        <w:w w:val="99"/>
                        <w:sz w:val="20"/>
                      </w:rPr>
                      <w:t>c</w:t>
                    </w:r>
                    <w:r>
                      <w:rPr>
                        <w:spacing w:val="-1"/>
                        <w:w w:val="99"/>
                        <w:sz w:val="20"/>
                      </w:rPr>
                      <w:t>i</w:t>
                    </w:r>
                    <w:r>
                      <w:rPr>
                        <w:spacing w:val="1"/>
                        <w:w w:val="99"/>
                        <w:sz w:val="20"/>
                      </w:rPr>
                      <w:t>ó</w:t>
                    </w:r>
                    <w:r>
                      <w:rPr>
                        <w:w w:val="99"/>
                        <w:sz w:val="20"/>
                      </w:rPr>
                      <w:t>n</w:t>
                    </w:r>
                    <w:r>
                      <w:rPr>
                        <w:spacing w:val="-8"/>
                        <w:sz w:val="20"/>
                      </w:rPr>
                      <w:t> </w:t>
                    </w:r>
                    <w:r>
                      <w:rPr>
                        <w:w w:val="99"/>
                        <w:sz w:val="20"/>
                      </w:rPr>
                      <w:t>pr</w:t>
                    </w:r>
                    <w:r>
                      <w:rPr>
                        <w:spacing w:val="2"/>
                        <w:w w:val="99"/>
                        <w:sz w:val="20"/>
                      </w:rPr>
                      <w:t>o</w:t>
                    </w:r>
                    <w:r>
                      <w:rPr>
                        <w:w w:val="99"/>
                        <w:sz w:val="20"/>
                      </w:rPr>
                      <w:t>pi</w:t>
                    </w:r>
                    <w:r>
                      <w:rPr>
                        <w:w w:val="99"/>
                        <w:sz w:val="20"/>
                      </w:rPr>
                      <w:t>a</w:t>
                    </w:r>
                    <w:r>
                      <w:rPr>
                        <w:spacing w:val="-6"/>
                        <w:sz w:val="20"/>
                      </w:rPr>
                      <w:t> </w:t>
                    </w:r>
                    <w:r>
                      <w:rPr>
                        <w:spacing w:val="1"/>
                        <w:w w:val="99"/>
                        <w:sz w:val="20"/>
                      </w:rPr>
                      <w:t>c</w:t>
                    </w:r>
                    <w:r>
                      <w:rPr>
                        <w:w w:val="99"/>
                        <w:sz w:val="20"/>
                      </w:rPr>
                      <w:t>on</w:t>
                    </w:r>
                    <w:r>
                      <w:rPr>
                        <w:spacing w:val="-6"/>
                        <w:sz w:val="20"/>
                      </w:rPr>
                      <w:t> </w:t>
                    </w:r>
                    <w:r>
                      <w:rPr>
                        <w:w w:val="99"/>
                        <w:sz w:val="20"/>
                      </w:rPr>
                      <w:t>b</w:t>
                    </w:r>
                    <w:r>
                      <w:rPr>
                        <w:spacing w:val="-1"/>
                        <w:w w:val="99"/>
                        <w:sz w:val="20"/>
                      </w:rPr>
                      <w:t>a</w:t>
                    </w:r>
                    <w:r>
                      <w:rPr>
                        <w:spacing w:val="-92"/>
                        <w:w w:val="99"/>
                        <w:sz w:val="20"/>
                      </w:rPr>
                      <w:t>s</w:t>
                    </w:r>
                    <w:r>
                      <w:rPr>
                        <w:b/>
                        <w:spacing w:val="-46"/>
                        <w:w w:val="119"/>
                        <w:position w:val="11"/>
                        <w:sz w:val="16"/>
                      </w:rPr>
                      <w:t>C</w:t>
                    </w:r>
                    <w:r>
                      <w:rPr>
                        <w:spacing w:val="-65"/>
                        <w:w w:val="99"/>
                        <w:sz w:val="20"/>
                      </w:rPr>
                      <w:t>e</w:t>
                    </w:r>
                    <w:r>
                      <w:rPr>
                        <w:b/>
                        <w:spacing w:val="-3"/>
                        <w:w w:val="119"/>
                        <w:position w:val="11"/>
                        <w:sz w:val="16"/>
                      </w:rPr>
                      <w:t>o</w:t>
                    </w:r>
                    <w:r>
                      <w:rPr>
                        <w:spacing w:val="-109"/>
                        <w:w w:val="99"/>
                        <w:sz w:val="20"/>
                      </w:rPr>
                      <w:t>e</w:t>
                    </w:r>
                    <w:r>
                      <w:rPr>
                        <w:b/>
                        <w:spacing w:val="-9"/>
                        <w:w w:val="119"/>
                        <w:position w:val="11"/>
                        <w:sz w:val="16"/>
                      </w:rPr>
                      <w:t>n</w:t>
                    </w:r>
                    <w:r>
                      <w:rPr>
                        <w:spacing w:val="-104"/>
                        <w:w w:val="99"/>
                        <w:sz w:val="20"/>
                      </w:rPr>
                      <w:t>n</w:t>
                    </w:r>
                    <w:r>
                      <w:rPr>
                        <w:b/>
                        <w:spacing w:val="-1"/>
                        <w:w w:val="119"/>
                        <w:position w:val="11"/>
                        <w:sz w:val="16"/>
                      </w:rPr>
                      <w:t>t</w:t>
                    </w:r>
                    <w:r>
                      <w:rPr>
                        <w:b/>
                        <w:spacing w:val="1"/>
                        <w:w w:val="119"/>
                        <w:position w:val="11"/>
                        <w:sz w:val="16"/>
                      </w:rPr>
                      <w:t>r</w:t>
                    </w:r>
                    <w:r>
                      <w:rPr>
                        <w:b/>
                        <w:spacing w:val="-103"/>
                        <w:w w:val="119"/>
                        <w:position w:val="11"/>
                        <w:sz w:val="16"/>
                      </w:rPr>
                      <w:t>o</w:t>
                    </w:r>
                    <w:r>
                      <w:rPr>
                        <w:spacing w:val="-8"/>
                        <w:w w:val="99"/>
                        <w:sz w:val="20"/>
                      </w:rPr>
                      <w:t>e</w:t>
                    </w:r>
                    <w:r>
                      <w:rPr>
                        <w:b/>
                        <w:spacing w:val="-46"/>
                        <w:w w:val="119"/>
                        <w:position w:val="11"/>
                        <w:sz w:val="16"/>
                      </w:rPr>
                      <w:t>l</w:t>
                    </w:r>
                    <w:r>
                      <w:rPr>
                        <w:w w:val="99"/>
                        <w:sz w:val="20"/>
                      </w:rPr>
                      <w:t>l</w:t>
                    </w:r>
                    <w:r>
                      <w:rPr>
                        <w:b/>
                        <w:spacing w:val="-59"/>
                        <w:w w:val="119"/>
                        <w:position w:val="11"/>
                        <w:sz w:val="16"/>
                      </w:rPr>
                      <w:t>e</w:t>
                    </w:r>
                    <w:r>
                      <w:rPr>
                        <w:w w:val="99"/>
                        <w:sz w:val="20"/>
                      </w:rPr>
                      <w:t>I</w:t>
                    </w:r>
                    <w:r>
                      <w:rPr>
                        <w:spacing w:val="-108"/>
                        <w:w w:val="99"/>
                        <w:sz w:val="20"/>
                      </w:rPr>
                      <w:t>n</w:t>
                    </w:r>
                    <w:r>
                      <w:rPr>
                        <w:b/>
                        <w:spacing w:val="1"/>
                        <w:w w:val="119"/>
                        <w:position w:val="11"/>
                        <w:sz w:val="16"/>
                      </w:rPr>
                      <w:t>s</w:t>
                    </w:r>
                    <w:r>
                      <w:rPr>
                        <w:spacing w:val="-3"/>
                        <w:w w:val="99"/>
                        <w:sz w:val="20"/>
                      </w:rPr>
                      <w:t>f</w:t>
                    </w:r>
                    <w:r>
                      <w:rPr>
                        <w:b/>
                        <w:spacing w:val="-50"/>
                        <w:w w:val="119"/>
                        <w:position w:val="11"/>
                        <w:sz w:val="16"/>
                      </w:rPr>
                      <w:t>I</w:t>
                    </w:r>
                    <w:r>
                      <w:rPr>
                        <w:spacing w:val="-63"/>
                        <w:w w:val="99"/>
                        <w:sz w:val="20"/>
                      </w:rPr>
                      <w:t>o</w:t>
                    </w:r>
                    <w:r>
                      <w:rPr>
                        <w:b/>
                        <w:spacing w:val="-55"/>
                        <w:w w:val="119"/>
                        <w:position w:val="11"/>
                        <w:sz w:val="16"/>
                      </w:rPr>
                      <w:t>n</w:t>
                    </w:r>
                    <w:r>
                      <w:rPr>
                        <w:spacing w:val="-12"/>
                        <w:w w:val="99"/>
                        <w:sz w:val="20"/>
                      </w:rPr>
                      <w:t>r</w:t>
                    </w:r>
                    <w:r>
                      <w:rPr>
                        <w:b/>
                        <w:spacing w:val="-52"/>
                        <w:w w:val="119"/>
                        <w:position w:val="11"/>
                        <w:sz w:val="16"/>
                      </w:rPr>
                      <w:t>t</w:t>
                    </w:r>
                    <w:r>
                      <w:rPr>
                        <w:spacing w:val="-115"/>
                        <w:w w:val="99"/>
                        <w:sz w:val="20"/>
                      </w:rPr>
                      <w:t>m</w:t>
                    </w:r>
                    <w:r>
                      <w:rPr>
                        <w:b/>
                        <w:w w:val="119"/>
                        <w:position w:val="11"/>
                        <w:sz w:val="16"/>
                      </w:rPr>
                      <w:t>e</w:t>
                    </w:r>
                    <w:r>
                      <w:rPr>
                        <w:b/>
                        <w:spacing w:val="-62"/>
                        <w:w w:val="119"/>
                        <w:position w:val="11"/>
                        <w:sz w:val="16"/>
                      </w:rPr>
                      <w:t>r</w:t>
                    </w:r>
                    <w:r>
                      <w:rPr>
                        <w:spacing w:val="-50"/>
                        <w:w w:val="99"/>
                        <w:sz w:val="20"/>
                      </w:rPr>
                      <w:t>e</w:t>
                    </w:r>
                    <w:r>
                      <w:rPr>
                        <w:b/>
                        <w:spacing w:val="-20"/>
                        <w:w w:val="119"/>
                        <w:position w:val="11"/>
                        <w:sz w:val="16"/>
                      </w:rPr>
                      <w:t>n</w:t>
                    </w:r>
                    <w:r>
                      <w:rPr>
                        <w:spacing w:val="-91"/>
                        <w:w w:val="99"/>
                        <w:sz w:val="20"/>
                      </w:rPr>
                      <w:t>d</w:t>
                    </w:r>
                    <w:r>
                      <w:rPr>
                        <w:b/>
                        <w:spacing w:val="-27"/>
                        <w:w w:val="119"/>
                        <w:position w:val="11"/>
                        <w:sz w:val="16"/>
                      </w:rPr>
                      <w:t>o</w:t>
                    </w:r>
                    <w:r>
                      <w:rPr>
                        <w:spacing w:val="-85"/>
                        <w:w w:val="99"/>
                        <w:sz w:val="20"/>
                      </w:rPr>
                      <w:t>e</w:t>
                    </w:r>
                    <w:r>
                      <w:rPr>
                        <w:b/>
                        <w:w w:val="119"/>
                        <w:position w:val="11"/>
                        <w:sz w:val="16"/>
                      </w:rPr>
                      <w:t>s</w:t>
                    </w:r>
                    <w:r>
                      <w:rPr>
                        <w:b/>
                        <w:spacing w:val="-17"/>
                        <w:position w:val="11"/>
                        <w:sz w:val="16"/>
                      </w:rPr>
                      <w:t> </w:t>
                    </w:r>
                    <w:r>
                      <w:rPr>
                        <w:spacing w:val="-119"/>
                        <w:w w:val="99"/>
                        <w:sz w:val="20"/>
                      </w:rPr>
                      <w:t>R</w:t>
                    </w:r>
                    <w:r>
                      <w:rPr>
                        <w:b/>
                        <w:spacing w:val="-1"/>
                        <w:w w:val="119"/>
                        <w:position w:val="11"/>
                        <w:sz w:val="16"/>
                      </w:rPr>
                      <w:t>(</w:t>
                    </w:r>
                    <w:r>
                      <w:rPr>
                        <w:b/>
                        <w:spacing w:val="-105"/>
                        <w:w w:val="119"/>
                        <w:position w:val="11"/>
                        <w:sz w:val="16"/>
                      </w:rPr>
                      <w:t>M</w:t>
                    </w:r>
                    <w:r>
                      <w:rPr>
                        <w:spacing w:val="-8"/>
                        <w:w w:val="99"/>
                        <w:sz w:val="20"/>
                      </w:rPr>
                      <w:t>e</w:t>
                    </w:r>
                    <w:r>
                      <w:rPr>
                        <w:b/>
                        <w:spacing w:val="-100"/>
                        <w:w w:val="119"/>
                        <w:position w:val="11"/>
                        <w:sz w:val="16"/>
                      </w:rPr>
                      <w:t>a</w:t>
                    </w:r>
                    <w:r>
                      <w:rPr>
                        <w:w w:val="99"/>
                        <w:sz w:val="20"/>
                      </w:rPr>
                      <w:t>s</w:t>
                    </w:r>
                    <w:r>
                      <w:rPr>
                        <w:spacing w:val="-111"/>
                        <w:w w:val="99"/>
                        <w:sz w:val="20"/>
                      </w:rPr>
                      <w:t>u</w:t>
                    </w:r>
                    <w:r>
                      <w:rPr>
                        <w:b/>
                        <w:spacing w:val="-7"/>
                        <w:w w:val="119"/>
                        <w:position w:val="11"/>
                        <w:sz w:val="16"/>
                      </w:rPr>
                      <w:t>n</w:t>
                    </w:r>
                    <w:r>
                      <w:rPr>
                        <w:spacing w:val="-39"/>
                        <w:w w:val="99"/>
                        <w:sz w:val="20"/>
                      </w:rPr>
                      <w:t>l</w:t>
                    </w:r>
                    <w:r>
                      <w:rPr>
                        <w:b/>
                        <w:spacing w:val="-69"/>
                        <w:w w:val="119"/>
                        <w:position w:val="11"/>
                        <w:sz w:val="16"/>
                      </w:rPr>
                      <w:t>e</w:t>
                    </w:r>
                    <w:r>
                      <w:rPr>
                        <w:spacing w:val="2"/>
                        <w:w w:val="99"/>
                        <w:sz w:val="20"/>
                      </w:rPr>
                      <w:t>t</w:t>
                    </w:r>
                    <w:r>
                      <w:rPr>
                        <w:spacing w:val="-100"/>
                        <w:w w:val="99"/>
                        <w:sz w:val="20"/>
                      </w:rPr>
                      <w:t>a</w:t>
                    </w:r>
                    <w:r>
                      <w:rPr>
                        <w:b/>
                        <w:w w:val="119"/>
                        <w:position w:val="11"/>
                        <w:sz w:val="16"/>
                      </w:rPr>
                      <w:t>j</w:t>
                    </w:r>
                    <w:r>
                      <w:rPr>
                        <w:b/>
                        <w:spacing w:val="-72"/>
                        <w:w w:val="119"/>
                        <w:position w:val="11"/>
                        <w:sz w:val="16"/>
                      </w:rPr>
                      <w:t>o</w:t>
                    </w:r>
                    <w:r>
                      <w:rPr>
                        <w:spacing w:val="-1"/>
                        <w:w w:val="99"/>
                        <w:sz w:val="20"/>
                      </w:rPr>
                      <w:t>d</w:t>
                    </w:r>
                    <w:r>
                      <w:rPr>
                        <w:spacing w:val="-97"/>
                        <w:w w:val="99"/>
                        <w:sz w:val="20"/>
                      </w:rPr>
                      <w:t>o</w:t>
                    </w:r>
                    <w:r>
                      <w:rPr>
                        <w:b/>
                        <w:spacing w:val="-10"/>
                        <w:w w:val="119"/>
                        <w:position w:val="11"/>
                        <w:sz w:val="16"/>
                      </w:rPr>
                      <w:t>y</w:t>
                    </w:r>
                    <w:r>
                      <w:rPr>
                        <w:spacing w:val="-44"/>
                        <w:w w:val="99"/>
                        <w:sz w:val="20"/>
                      </w:rPr>
                      <w:t>s</w:t>
                    </w:r>
                    <w:r>
                      <w:rPr>
                        <w:b/>
                        <w:spacing w:val="-44"/>
                        <w:w w:val="119"/>
                        <w:position w:val="11"/>
                        <w:sz w:val="16"/>
                      </w:rPr>
                      <w:t>A</w:t>
                    </w:r>
                    <w:r>
                      <w:rPr>
                        <w:spacing w:val="-68"/>
                        <w:w w:val="99"/>
                        <w:sz w:val="20"/>
                      </w:rPr>
                      <w:t>d</w:t>
                    </w:r>
                    <w:r>
                      <w:rPr>
                        <w:b/>
                        <w:spacing w:val="-50"/>
                        <w:w w:val="119"/>
                        <w:position w:val="11"/>
                        <w:sz w:val="16"/>
                      </w:rPr>
                      <w:t>p</w:t>
                    </w:r>
                    <w:r>
                      <w:rPr>
                        <w:spacing w:val="-61"/>
                        <w:w w:val="99"/>
                        <w:sz w:val="20"/>
                      </w:rPr>
                      <w:t>e</w:t>
                    </w:r>
                    <w:r>
                      <w:rPr>
                        <w:b/>
                        <w:spacing w:val="-1"/>
                        <w:w w:val="119"/>
                        <w:position w:val="11"/>
                        <w:sz w:val="16"/>
                      </w:rPr>
                      <w:t>l</w:t>
                    </w:r>
                    <w:r>
                      <w:rPr>
                        <w:b/>
                        <w:w w:val="119"/>
                        <w:position w:val="11"/>
                        <w:sz w:val="16"/>
                      </w:rPr>
                      <w:t>i</w:t>
                    </w:r>
                    <w:r>
                      <w:rPr>
                        <w:b/>
                        <w:spacing w:val="-103"/>
                        <w:w w:val="119"/>
                        <w:position w:val="11"/>
                        <w:sz w:val="16"/>
                      </w:rPr>
                      <w:t>c</w:t>
                    </w:r>
                    <w:r>
                      <w:rPr>
                        <w:spacing w:val="-1"/>
                        <w:w w:val="99"/>
                        <w:sz w:val="20"/>
                      </w:rPr>
                      <w:t>l</w:t>
                    </w:r>
                    <w:r>
                      <w:rPr>
                        <w:spacing w:val="-52"/>
                        <w:w w:val="99"/>
                        <w:sz w:val="20"/>
                      </w:rPr>
                      <w:t>a</w:t>
                    </w:r>
                    <w:r>
                      <w:rPr>
                        <w:b/>
                        <w:spacing w:val="-5"/>
                        <w:w w:val="119"/>
                        <w:position w:val="11"/>
                        <w:sz w:val="16"/>
                      </w:rPr>
                      <w:t>a</w:t>
                    </w:r>
                    <w:r>
                      <w:rPr>
                        <w:spacing w:val="-118"/>
                        <w:w w:val="99"/>
                        <w:sz w:val="20"/>
                      </w:rPr>
                      <w:t>F</w:t>
                    </w:r>
                    <w:r>
                      <w:rPr>
                        <w:b/>
                        <w:w w:val="119"/>
                        <w:position w:val="11"/>
                        <w:sz w:val="16"/>
                      </w:rPr>
                      <w:t>c</w:t>
                    </w:r>
                    <w:r>
                      <w:rPr>
                        <w:b/>
                        <w:spacing w:val="-43"/>
                        <w:w w:val="119"/>
                        <w:position w:val="11"/>
                        <w:sz w:val="16"/>
                      </w:rPr>
                      <w:t>i</w:t>
                    </w:r>
                    <w:r>
                      <w:rPr>
                        <w:spacing w:val="-3"/>
                        <w:w w:val="99"/>
                        <w:sz w:val="20"/>
                      </w:rPr>
                      <w:t>i</w:t>
                    </w:r>
                    <w:r>
                      <w:rPr>
                        <w:b/>
                        <w:spacing w:val="-116"/>
                        <w:w w:val="119"/>
                        <w:position w:val="11"/>
                        <w:sz w:val="16"/>
                      </w:rPr>
                      <w:t>ó</w:t>
                    </w:r>
                    <w:r>
                      <w:rPr>
                        <w:spacing w:val="1"/>
                        <w:w w:val="99"/>
                        <w:sz w:val="20"/>
                      </w:rPr>
                      <w:t>s</w:t>
                    </w:r>
                    <w:r>
                      <w:rPr>
                        <w:spacing w:val="-85"/>
                        <w:w w:val="99"/>
                        <w:sz w:val="20"/>
                      </w:rPr>
                      <w:t>c</w:t>
                    </w:r>
                    <w:r>
                      <w:rPr>
                        <w:b/>
                        <w:spacing w:val="-32"/>
                        <w:w w:val="119"/>
                        <w:position w:val="11"/>
                        <w:sz w:val="16"/>
                      </w:rPr>
                      <w:t>n</w:t>
                    </w:r>
                    <w:r>
                      <w:rPr>
                        <w:spacing w:val="-80"/>
                        <w:w w:val="99"/>
                        <w:sz w:val="20"/>
                      </w:rPr>
                      <w:t>a</w:t>
                    </w:r>
                    <w:r>
                      <w:rPr>
                        <w:b/>
                        <w:spacing w:val="15"/>
                        <w:w w:val="119"/>
                        <w:position w:val="11"/>
                        <w:sz w:val="16"/>
                      </w:rPr>
                      <w:t>)</w:t>
                    </w:r>
                    <w:r>
                      <w:rPr>
                        <w:w w:val="99"/>
                        <w:sz w:val="20"/>
                      </w:rPr>
                      <w:t>l</w:t>
                    </w:r>
                    <w:r>
                      <w:rPr>
                        <w:spacing w:val="7"/>
                        <w:w w:val="99"/>
                        <w:sz w:val="20"/>
                      </w:rPr>
                      <w:t>i</w:t>
                    </w:r>
                    <w:r>
                      <w:rPr>
                        <w:spacing w:val="-2"/>
                        <w:w w:val="99"/>
                        <w:sz w:val="20"/>
                      </w:rPr>
                      <w:t>z</w:t>
                    </w:r>
                    <w:r>
                      <w:rPr>
                        <w:w w:val="99"/>
                        <w:sz w:val="20"/>
                      </w:rPr>
                      <w:t>ac</w:t>
                    </w:r>
                    <w:r>
                      <w:rPr>
                        <w:spacing w:val="1"/>
                        <w:w w:val="99"/>
                        <w:sz w:val="20"/>
                      </w:rPr>
                      <w:t>i</w:t>
                    </w:r>
                    <w:r>
                      <w:rPr>
                        <w:w w:val="99"/>
                        <w:sz w:val="20"/>
                      </w:rPr>
                      <w:t>ón</w:t>
                    </w:r>
                    <w:r>
                      <w:rPr>
                        <w:spacing w:val="-6"/>
                        <w:sz w:val="20"/>
                      </w:rPr>
                      <w:t> </w:t>
                    </w:r>
                    <w:r>
                      <w:rPr>
                        <w:spacing w:val="-1"/>
                        <w:w w:val="99"/>
                        <w:sz w:val="20"/>
                      </w:rPr>
                      <w:t>S</w:t>
                    </w:r>
                    <w:r>
                      <w:rPr>
                        <w:w w:val="99"/>
                        <w:sz w:val="20"/>
                      </w:rPr>
                      <w:t>u</w:t>
                    </w:r>
                    <w:r>
                      <w:rPr>
                        <w:spacing w:val="1"/>
                        <w:w w:val="99"/>
                        <w:sz w:val="20"/>
                      </w:rPr>
                      <w:t>p</w:t>
                    </w:r>
                    <w:r>
                      <w:rPr>
                        <w:w w:val="99"/>
                        <w:sz w:val="20"/>
                      </w:rPr>
                      <w:t>eri</w:t>
                    </w:r>
                    <w:r>
                      <w:rPr>
                        <w:spacing w:val="-1"/>
                        <w:w w:val="99"/>
                        <w:sz w:val="20"/>
                      </w:rPr>
                      <w:t>o</w:t>
                    </w:r>
                    <w:r>
                      <w:rPr>
                        <w:w w:val="99"/>
                        <w:sz w:val="20"/>
                      </w:rPr>
                      <w:t>r</w:t>
                    </w:r>
                    <w:r>
                      <w:rPr>
                        <w:spacing w:val="-5"/>
                        <w:sz w:val="20"/>
                      </w:rPr>
                      <w:t> </w:t>
                    </w:r>
                    <w:r>
                      <w:rPr>
                        <w:w w:val="99"/>
                        <w:sz w:val="20"/>
                      </w:rPr>
                      <w:t>de</w:t>
                    </w:r>
                    <w:r>
                      <w:rPr>
                        <w:spacing w:val="-7"/>
                        <w:sz w:val="20"/>
                      </w:rPr>
                      <w:t> </w:t>
                    </w:r>
                    <w:r>
                      <w:rPr>
                        <w:spacing w:val="1"/>
                        <w:w w:val="99"/>
                        <w:sz w:val="20"/>
                      </w:rPr>
                      <w:t>l</w:t>
                    </w:r>
                    <w:r>
                      <w:rPr>
                        <w:w w:val="99"/>
                        <w:sz w:val="20"/>
                      </w:rPr>
                      <w:t>as</w:t>
                    </w:r>
                    <w:r>
                      <w:rPr>
                        <w:spacing w:val="-7"/>
                        <w:sz w:val="20"/>
                      </w:rPr>
                      <w:t> </w:t>
                    </w:r>
                    <w:r>
                      <w:rPr>
                        <w:spacing w:val="1"/>
                        <w:w w:val="99"/>
                        <w:sz w:val="20"/>
                      </w:rPr>
                      <w:t>c</w:t>
                    </w:r>
                    <w:r>
                      <w:rPr>
                        <w:w w:val="99"/>
                        <w:sz w:val="20"/>
                      </w:rPr>
                      <w:t>u</w:t>
                    </w:r>
                    <w:r>
                      <w:rPr>
                        <w:spacing w:val="-1"/>
                        <w:w w:val="99"/>
                        <w:sz w:val="20"/>
                      </w:rPr>
                      <w:t>e</w:t>
                    </w:r>
                    <w:r>
                      <w:rPr>
                        <w:spacing w:val="1"/>
                        <w:w w:val="99"/>
                        <w:sz w:val="20"/>
                      </w:rPr>
                      <w:t>n</w:t>
                    </w:r>
                    <w:r>
                      <w:rPr>
                        <w:w w:val="99"/>
                        <w:sz w:val="20"/>
                      </w:rPr>
                      <w:t>tas</w:t>
                    </w:r>
                  </w:p>
                  <w:p>
                    <w:pPr>
                      <w:spacing w:line="225" w:lineRule="exact" w:before="3"/>
                      <w:ind w:left="0" w:right="0" w:firstLine="0"/>
                      <w:jc w:val="left"/>
                      <w:rPr>
                        <w:sz w:val="20"/>
                      </w:rPr>
                    </w:pPr>
                    <w:r>
                      <w:rPr>
                        <w:sz w:val="20"/>
                      </w:rPr>
                      <w:t>públicas 2008-2014.</w:t>
                    </w:r>
                  </w:p>
                </w:txbxContent>
              </v:textbox>
              <w10:wrap type="none"/>
            </v:shape>
            <v:shape style="position:absolute;left:4923;top:512;width:5069;height:464" type="#_x0000_t202" filled="false" stroked="false">
              <v:textbox inset="0,0,0,0">
                <w:txbxContent>
                  <w:p>
                    <w:pPr>
                      <w:spacing w:line="166" w:lineRule="exact" w:before="0"/>
                      <w:ind w:left="965" w:right="-5" w:firstLine="0"/>
                      <w:jc w:val="left"/>
                      <w:rPr>
                        <w:b/>
                        <w:sz w:val="16"/>
                      </w:rPr>
                    </w:pPr>
                    <w:r>
                      <w:rPr>
                        <w:b/>
                        <w:w w:val="120"/>
                        <w:sz w:val="16"/>
                      </w:rPr>
                      <w:t>San Felipe del Progreso Ejercicio Fiscal</w:t>
                    </w:r>
                    <w:r>
                      <w:rPr>
                        <w:b/>
                        <w:spacing w:val="-31"/>
                        <w:w w:val="120"/>
                        <w:sz w:val="16"/>
                      </w:rPr>
                      <w:t> </w:t>
                    </w:r>
                    <w:r>
                      <w:rPr>
                        <w:b/>
                        <w:w w:val="120"/>
                        <w:sz w:val="16"/>
                      </w:rPr>
                      <w:t>2012</w:t>
                    </w:r>
                  </w:p>
                  <w:p>
                    <w:pPr>
                      <w:spacing w:line="271" w:lineRule="exact" w:before="26"/>
                      <w:ind w:left="0" w:right="-5" w:firstLine="0"/>
                      <w:jc w:val="left"/>
                      <w:rPr>
                        <w:sz w:val="24"/>
                      </w:rPr>
                    </w:pPr>
                    <w:r>
                      <w:rPr>
                        <w:sz w:val="24"/>
                      </w:rPr>
                      <w:t>Anexo 57.</w:t>
                    </w:r>
                  </w:p>
                </w:txbxContent>
              </v:textbox>
              <w10:wrap type="none"/>
            </v:shape>
            <w10:wrap type="topAndBottom"/>
          </v:group>
        </w:pict>
      </w:r>
      <w:r>
        <w:rPr>
          <w:b/>
          <w:w w:val="120"/>
          <w:sz w:val="16"/>
        </w:rPr>
        <w:t>Calidad de la Gestión Gubernamental</w:t>
      </w:r>
    </w:p>
    <w:p>
      <w:pPr>
        <w:pStyle w:val="BodyText"/>
        <w:spacing w:before="6"/>
        <w:rPr>
          <w:b/>
          <w:sz w:val="6"/>
        </w:rPr>
      </w:pPr>
    </w:p>
    <w:tbl>
      <w:tblPr>
        <w:tblW w:w="0" w:type="auto"/>
        <w:jc w:val="left"/>
        <w:tblInd w:w="2573"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331"/>
        <w:gridCol w:w="2853"/>
      </w:tblGrid>
      <w:tr>
        <w:trPr>
          <w:trHeight w:val="206" w:hRule="exact"/>
        </w:trPr>
        <w:tc>
          <w:tcPr>
            <w:tcW w:w="6184" w:type="dxa"/>
            <w:gridSpan w:val="2"/>
            <w:tcBorders>
              <w:left w:val="single" w:sz="6" w:space="0" w:color="000000"/>
              <w:right w:val="single" w:sz="6" w:space="0" w:color="000000"/>
            </w:tcBorders>
            <w:shd w:val="clear" w:color="auto" w:fill="E6B8B7"/>
          </w:tcPr>
          <w:p>
            <w:pPr>
              <w:pStyle w:val="TableParagraph"/>
              <w:spacing w:before="2"/>
              <w:ind w:left="2844" w:right="2827"/>
              <w:jc w:val="center"/>
              <w:rPr>
                <w:b/>
                <w:sz w:val="16"/>
              </w:rPr>
            </w:pPr>
            <w:r>
              <w:rPr>
                <w:b/>
                <w:w w:val="120"/>
                <w:sz w:val="16"/>
              </w:rPr>
              <w:t>FISM</w:t>
            </w:r>
          </w:p>
        </w:tc>
      </w:tr>
      <w:tr>
        <w:trPr>
          <w:trHeight w:val="206" w:hRule="exact"/>
        </w:trPr>
        <w:tc>
          <w:tcPr>
            <w:tcW w:w="3331" w:type="dxa"/>
            <w:tcBorders>
              <w:left w:val="single" w:sz="6" w:space="0" w:color="000000"/>
              <w:right w:val="single" w:sz="6" w:space="0" w:color="000000"/>
            </w:tcBorders>
            <w:shd w:val="clear" w:color="auto" w:fill="F1DCDB"/>
          </w:tcPr>
          <w:p>
            <w:pPr>
              <w:pStyle w:val="TableParagraph"/>
              <w:spacing w:before="1"/>
              <w:ind w:left="1168" w:right="1159"/>
              <w:jc w:val="center"/>
              <w:rPr>
                <w:b/>
                <w:sz w:val="16"/>
              </w:rPr>
            </w:pPr>
            <w:r>
              <w:rPr>
                <w:b/>
                <w:w w:val="120"/>
                <w:sz w:val="16"/>
              </w:rPr>
              <w:t>Fortalezas</w:t>
            </w:r>
          </w:p>
        </w:tc>
        <w:tc>
          <w:tcPr>
            <w:tcW w:w="2853" w:type="dxa"/>
            <w:tcBorders>
              <w:left w:val="single" w:sz="6" w:space="0" w:color="000000"/>
              <w:right w:val="single" w:sz="6" w:space="0" w:color="000000"/>
            </w:tcBorders>
            <w:shd w:val="clear" w:color="auto" w:fill="F1DCDB"/>
          </w:tcPr>
          <w:p>
            <w:pPr>
              <w:pStyle w:val="TableParagraph"/>
              <w:spacing w:before="1"/>
              <w:ind w:left="888"/>
              <w:rPr>
                <w:b/>
                <w:sz w:val="16"/>
              </w:rPr>
            </w:pPr>
            <w:r>
              <w:rPr>
                <w:b/>
                <w:w w:val="120"/>
                <w:sz w:val="16"/>
              </w:rPr>
              <w:t>Debilidades</w:t>
            </w:r>
          </w:p>
        </w:tc>
      </w:tr>
      <w:tr>
        <w:trPr>
          <w:trHeight w:val="1442" w:hRule="exact"/>
        </w:trPr>
        <w:tc>
          <w:tcPr>
            <w:tcW w:w="3331" w:type="dxa"/>
            <w:tcBorders>
              <w:left w:val="single" w:sz="6" w:space="0" w:color="000000"/>
              <w:right w:val="single" w:sz="6" w:space="0" w:color="000000"/>
            </w:tcBorders>
          </w:tcPr>
          <w:p>
            <w:pPr>
              <w:pStyle w:val="TableParagraph"/>
              <w:spacing w:line="268" w:lineRule="auto" w:before="1"/>
              <w:ind w:left="27" w:right="-6"/>
              <w:rPr>
                <w:sz w:val="16"/>
              </w:rPr>
            </w:pPr>
            <w:r>
              <w:rPr>
                <w:w w:val="120"/>
                <w:sz w:val="16"/>
              </w:rPr>
              <w:t>El municipio implementó mecanismos de control para limitar los riesgos que afectan las actividades relacionadas con las operaciones del fondo, así como la emisión de información financiera y el cumplimiento de la normativa vigente aplicable.</w:t>
            </w:r>
          </w:p>
        </w:tc>
        <w:tc>
          <w:tcPr>
            <w:tcW w:w="2853" w:type="dxa"/>
            <w:tcBorders>
              <w:left w:val="single" w:sz="6" w:space="0" w:color="000000"/>
              <w:right w:val="single" w:sz="6" w:space="0" w:color="000000"/>
            </w:tcBorders>
          </w:tcPr>
          <w:p>
            <w:pPr>
              <w:pStyle w:val="TableParagraph"/>
              <w:spacing w:line="268" w:lineRule="auto" w:before="1"/>
              <w:ind w:left="25" w:firstLine="1"/>
              <w:rPr>
                <w:sz w:val="16"/>
              </w:rPr>
            </w:pPr>
            <w:r>
              <w:rPr>
                <w:w w:val="120"/>
                <w:sz w:val="16"/>
              </w:rPr>
              <w:t>El municipio no dispone de mecanismos que le permitan garantizar que las obras ejecutadas impacten favorablemente el entorno y medio ambiente.</w:t>
            </w:r>
          </w:p>
        </w:tc>
      </w:tr>
      <w:tr>
        <w:trPr>
          <w:trHeight w:val="2151" w:hRule="exact"/>
        </w:trPr>
        <w:tc>
          <w:tcPr>
            <w:tcW w:w="3331" w:type="dxa"/>
            <w:tcBorders>
              <w:left w:val="single" w:sz="6" w:space="0" w:color="000000"/>
              <w:right w:val="single" w:sz="6" w:space="0" w:color="000000"/>
            </w:tcBorders>
          </w:tcPr>
          <w:p>
            <w:pPr>
              <w:pStyle w:val="TableParagraph"/>
              <w:spacing w:line="268" w:lineRule="auto" w:before="1"/>
              <w:ind w:left="26" w:right="11" w:firstLine="1"/>
              <w:rPr>
                <w:sz w:val="16"/>
              </w:rPr>
            </w:pPr>
            <w:r>
              <w:rPr>
                <w:w w:val="120"/>
                <w:sz w:val="16"/>
              </w:rPr>
              <w:t>El municipio dispone de registros actualizados de servicios básicos en las localidades con base en los</w:t>
            </w:r>
            <w:r>
              <w:rPr>
                <w:spacing w:val="-26"/>
                <w:w w:val="120"/>
                <w:sz w:val="16"/>
              </w:rPr>
              <w:t> </w:t>
            </w:r>
            <w:r>
              <w:rPr>
                <w:w w:val="120"/>
                <w:sz w:val="16"/>
              </w:rPr>
              <w:t>mapas de pobreza, así como de manuales de operación de los diferentes programas estatales y federales para definir las fuentes de financiamiento a utilizar en obras y acciones llevadas a cabo en el</w:t>
            </w:r>
            <w:r>
              <w:rPr>
                <w:spacing w:val="-13"/>
                <w:w w:val="120"/>
                <w:sz w:val="16"/>
              </w:rPr>
              <w:t> </w:t>
            </w:r>
            <w:r>
              <w:rPr>
                <w:w w:val="120"/>
                <w:sz w:val="16"/>
              </w:rPr>
              <w:t>municipio.</w:t>
            </w:r>
          </w:p>
        </w:tc>
        <w:tc>
          <w:tcPr>
            <w:tcW w:w="2853" w:type="dxa"/>
            <w:tcBorders>
              <w:left w:val="single" w:sz="6" w:space="0" w:color="000000"/>
              <w:right w:val="single" w:sz="6" w:space="0" w:color="000000"/>
            </w:tcBorders>
          </w:tcPr>
          <w:p>
            <w:pPr/>
          </w:p>
        </w:tc>
      </w:tr>
      <w:tr>
        <w:trPr>
          <w:trHeight w:val="618" w:hRule="exact"/>
        </w:trPr>
        <w:tc>
          <w:tcPr>
            <w:tcW w:w="3331" w:type="dxa"/>
            <w:tcBorders>
              <w:left w:val="single" w:sz="6" w:space="0" w:color="000000"/>
              <w:right w:val="single" w:sz="6" w:space="0" w:color="000000"/>
            </w:tcBorders>
          </w:tcPr>
          <w:p>
            <w:pPr>
              <w:pStyle w:val="TableParagraph"/>
              <w:spacing w:line="268" w:lineRule="auto" w:before="2"/>
              <w:ind w:left="26" w:right="-6" w:firstLine="1"/>
              <w:rPr>
                <w:sz w:val="16"/>
              </w:rPr>
            </w:pPr>
            <w:r>
              <w:rPr>
                <w:w w:val="120"/>
                <w:sz w:val="16"/>
              </w:rPr>
              <w:t>El municipio dispone de mecanismos de control que le permiten obtener información financiera confiable.</w:t>
            </w:r>
          </w:p>
        </w:tc>
        <w:tc>
          <w:tcPr>
            <w:tcW w:w="2853" w:type="dxa"/>
            <w:tcBorders>
              <w:left w:val="single" w:sz="6" w:space="0" w:color="000000"/>
              <w:right w:val="single" w:sz="6" w:space="0" w:color="000000"/>
            </w:tcBorders>
          </w:tcPr>
          <w:p>
            <w:pPr/>
          </w:p>
        </w:tc>
      </w:tr>
      <w:tr>
        <w:trPr>
          <w:trHeight w:val="710" w:hRule="exact"/>
        </w:trPr>
        <w:tc>
          <w:tcPr>
            <w:tcW w:w="3331" w:type="dxa"/>
            <w:tcBorders>
              <w:left w:val="single" w:sz="6" w:space="0" w:color="000000"/>
              <w:right w:val="single" w:sz="6" w:space="0" w:color="000000"/>
            </w:tcBorders>
          </w:tcPr>
          <w:p>
            <w:pPr>
              <w:pStyle w:val="TableParagraph"/>
              <w:spacing w:line="268" w:lineRule="auto" w:before="1"/>
              <w:ind w:left="28" w:right="-6" w:hanging="2"/>
              <w:rPr>
                <w:sz w:val="16"/>
              </w:rPr>
            </w:pPr>
            <w:r>
              <w:rPr>
                <w:w w:val="120"/>
                <w:sz w:val="16"/>
              </w:rPr>
              <w:t>El municipio tiene personal capacitado según su cargo y nivel de responsabilidad.</w:t>
            </w:r>
          </w:p>
        </w:tc>
        <w:tc>
          <w:tcPr>
            <w:tcW w:w="2853" w:type="dxa"/>
            <w:tcBorders>
              <w:left w:val="single" w:sz="6" w:space="0" w:color="000000"/>
              <w:right w:val="single" w:sz="6" w:space="0" w:color="000000"/>
            </w:tcBorders>
          </w:tcPr>
          <w:p>
            <w:pPr/>
          </w:p>
        </w:tc>
      </w:tr>
      <w:tr>
        <w:trPr>
          <w:trHeight w:val="1513" w:hRule="exact"/>
        </w:trPr>
        <w:tc>
          <w:tcPr>
            <w:tcW w:w="3331" w:type="dxa"/>
            <w:tcBorders>
              <w:left w:val="single" w:sz="6" w:space="0" w:color="000000"/>
              <w:right w:val="single" w:sz="6" w:space="0" w:color="000000"/>
            </w:tcBorders>
          </w:tcPr>
          <w:p>
            <w:pPr>
              <w:pStyle w:val="TableParagraph"/>
              <w:spacing w:line="268" w:lineRule="auto" w:before="1"/>
              <w:ind w:left="26" w:right="24" w:firstLine="1"/>
              <w:rPr>
                <w:sz w:val="16"/>
              </w:rPr>
            </w:pPr>
            <w:r>
              <w:rPr>
                <w:w w:val="120"/>
                <w:sz w:val="16"/>
              </w:rPr>
              <w:t>El municipio dispone de mecanismos para evaluar los sistemas de información que maneja, para presentar de manera oportuna y ágil la información de las actividades relacionadas con el origen y el</w:t>
            </w:r>
            <w:r>
              <w:rPr>
                <w:spacing w:val="-29"/>
                <w:w w:val="120"/>
                <w:sz w:val="16"/>
              </w:rPr>
              <w:t> </w:t>
            </w:r>
            <w:r>
              <w:rPr>
                <w:w w:val="120"/>
                <w:sz w:val="16"/>
              </w:rPr>
              <w:t>manejo del</w:t>
            </w:r>
            <w:r>
              <w:rPr>
                <w:spacing w:val="-19"/>
                <w:w w:val="120"/>
                <w:sz w:val="16"/>
              </w:rPr>
              <w:t> </w:t>
            </w:r>
            <w:r>
              <w:rPr>
                <w:w w:val="120"/>
                <w:sz w:val="16"/>
              </w:rPr>
              <w:t>fondo.</w:t>
            </w:r>
          </w:p>
        </w:tc>
        <w:tc>
          <w:tcPr>
            <w:tcW w:w="2853" w:type="dxa"/>
            <w:tcBorders>
              <w:left w:val="single" w:sz="6" w:space="0" w:color="000000"/>
              <w:right w:val="single" w:sz="6" w:space="0" w:color="000000"/>
            </w:tcBorders>
          </w:tcPr>
          <w:p>
            <w:pPr/>
          </w:p>
        </w:tc>
      </w:tr>
    </w:tbl>
    <w:p>
      <w:pPr>
        <w:spacing w:after="0"/>
        <w:sectPr>
          <w:footerReference w:type="default" r:id="rId186"/>
          <w:pgSz w:w="15840" w:h="12240" w:orient="landscape"/>
          <w:pgMar w:footer="992" w:header="0" w:top="1140" w:bottom="1180" w:left="2260" w:right="2260"/>
        </w:sectPr>
      </w:pPr>
    </w:p>
    <w:p>
      <w:pPr>
        <w:pStyle w:val="BodyText"/>
        <w:rPr>
          <w:b/>
          <w:sz w:val="20"/>
        </w:rPr>
      </w:pPr>
    </w:p>
    <w:p>
      <w:pPr>
        <w:pStyle w:val="BodyText"/>
        <w:rPr>
          <w:b/>
          <w:sz w:val="20"/>
        </w:rPr>
      </w:pPr>
    </w:p>
    <w:p>
      <w:pPr>
        <w:pStyle w:val="BodyText"/>
        <w:rPr>
          <w:b/>
          <w:sz w:val="20"/>
        </w:rPr>
      </w:pPr>
    </w:p>
    <w:p>
      <w:pPr>
        <w:spacing w:after="0"/>
        <w:rPr>
          <w:sz w:val="20"/>
        </w:rPr>
        <w:sectPr>
          <w:footerReference w:type="default" r:id="rId188"/>
          <w:pgSz w:w="15840" w:h="12240" w:orient="landscape"/>
          <w:pgMar w:footer="992" w:header="0" w:top="1140" w:bottom="1180" w:left="2260" w:right="2260"/>
          <w:pgNumType w:start="261"/>
        </w:sectPr>
      </w:pPr>
    </w:p>
    <w:p>
      <w:pPr>
        <w:pStyle w:val="BodyText"/>
        <w:spacing w:before="203"/>
        <w:jc w:val="right"/>
      </w:pPr>
      <w:r>
        <w:rPr/>
        <w:t>Anexo 58.</w:t>
      </w:r>
    </w:p>
    <w:p>
      <w:pPr>
        <w:pStyle w:val="BodyText"/>
        <w:rPr>
          <w:sz w:val="14"/>
        </w:rPr>
      </w:pPr>
      <w:r>
        <w:rPr/>
        <w:br w:type="column"/>
      </w:r>
      <w:r>
        <w:rPr>
          <w:sz w:val="14"/>
        </w:rPr>
      </w:r>
    </w:p>
    <w:p>
      <w:pPr>
        <w:spacing w:before="92"/>
        <w:ind w:left="179" w:right="2918" w:firstLine="0"/>
        <w:jc w:val="left"/>
        <w:rPr>
          <w:b/>
          <w:sz w:val="15"/>
        </w:rPr>
      </w:pPr>
      <w:r>
        <w:rPr>
          <w:b/>
          <w:w w:val="120"/>
          <w:sz w:val="15"/>
        </w:rPr>
        <w:t>Calidad de la Gestión Gubernamental</w:t>
      </w:r>
    </w:p>
    <w:p>
      <w:pPr>
        <w:spacing w:after="0"/>
        <w:jc w:val="left"/>
        <w:rPr>
          <w:sz w:val="15"/>
        </w:rPr>
        <w:sectPr>
          <w:type w:val="continuous"/>
          <w:pgSz w:w="15840" w:h="12240" w:orient="landscape"/>
          <w:pgMar w:top="0" w:bottom="280" w:left="2260" w:right="2260"/>
          <w:cols w:num="2" w:equalWidth="0">
            <w:col w:w="3804" w:space="40"/>
            <w:col w:w="7476"/>
          </w:cols>
        </w:sectPr>
      </w:pPr>
    </w:p>
    <w:p>
      <w:pPr>
        <w:pStyle w:val="BodyText"/>
        <w:ind w:left="2398"/>
        <w:rPr>
          <w:sz w:val="20"/>
        </w:rPr>
      </w:pPr>
      <w:r>
        <w:rPr>
          <w:sz w:val="20"/>
        </w:rPr>
        <w:pict>
          <v:group style="width:315pt;height:34.550pt;mso-position-horizontal-relative:char;mso-position-vertical-relative:line" coordorigin="0,0" coordsize="6300,691">
            <v:shape style="position:absolute;left:0;top:54;width:6300;height:636" type="#_x0000_t75" stroked="false">
              <v:imagedata r:id="rId189" o:title=""/>
            </v:shape>
            <v:shape style="position:absolute;left:329;top:362;width:5725;height:2" coordorigin="329,362" coordsize="5725,0" path="m329,362l329,362,6053,362e" filled="false" stroked="true" strokeweight=".568941pt" strokecolor="#000000">
              <v:path arrowok="t"/>
            </v:shape>
            <v:shape style="position:absolute;left:144;top:0;width:6005;height:275" type="#_x0000_t202" filled="false" stroked="false">
              <v:textbox inset="0,0,0,0">
                <w:txbxContent>
                  <w:p>
                    <w:pPr>
                      <w:spacing w:line="275" w:lineRule="exact" w:before="0"/>
                      <w:ind w:left="0" w:right="0" w:firstLine="0"/>
                      <w:jc w:val="left"/>
                      <w:rPr>
                        <w:sz w:val="20"/>
                      </w:rPr>
                    </w:pPr>
                    <w:r>
                      <w:rPr>
                        <w:b/>
                        <w:w w:val="99"/>
                        <w:sz w:val="20"/>
                      </w:rPr>
                      <w:t>Fu</w:t>
                    </w:r>
                    <w:r>
                      <w:rPr>
                        <w:b/>
                        <w:w w:val="99"/>
                        <w:sz w:val="20"/>
                      </w:rPr>
                      <w:t>en</w:t>
                    </w:r>
                    <w:r>
                      <w:rPr>
                        <w:b/>
                        <w:spacing w:val="1"/>
                        <w:w w:val="99"/>
                        <w:sz w:val="20"/>
                      </w:rPr>
                      <w:t>t</w:t>
                    </w:r>
                    <w:r>
                      <w:rPr>
                        <w:b/>
                        <w:spacing w:val="1"/>
                        <w:w w:val="99"/>
                        <w:sz w:val="20"/>
                      </w:rPr>
                      <w:t>e</w:t>
                    </w:r>
                    <w:r>
                      <w:rPr>
                        <w:w w:val="99"/>
                        <w:sz w:val="20"/>
                      </w:rPr>
                      <w:t>:</w:t>
                    </w:r>
                    <w:r>
                      <w:rPr>
                        <w:spacing w:val="16"/>
                        <w:sz w:val="20"/>
                      </w:rPr>
                      <w:t> </w:t>
                    </w:r>
                    <w:r>
                      <w:rPr>
                        <w:spacing w:val="1"/>
                        <w:w w:val="99"/>
                        <w:sz w:val="20"/>
                      </w:rPr>
                      <w:t>E</w:t>
                    </w:r>
                    <w:r>
                      <w:rPr>
                        <w:spacing w:val="-1"/>
                        <w:w w:val="99"/>
                        <w:sz w:val="20"/>
                      </w:rPr>
                      <w:t>l</w:t>
                    </w:r>
                    <w:r>
                      <w:rPr>
                        <w:w w:val="99"/>
                        <w:sz w:val="20"/>
                      </w:rPr>
                      <w:t>a</w:t>
                    </w:r>
                    <w:r>
                      <w:rPr>
                        <w:spacing w:val="1"/>
                        <w:w w:val="99"/>
                        <w:sz w:val="20"/>
                      </w:rPr>
                      <w:t>b</w:t>
                    </w:r>
                    <w:r>
                      <w:rPr>
                        <w:w w:val="99"/>
                        <w:sz w:val="20"/>
                      </w:rPr>
                      <w:t>o</w:t>
                    </w:r>
                    <w:r>
                      <w:rPr>
                        <w:spacing w:val="-26"/>
                        <w:w w:val="99"/>
                        <w:sz w:val="20"/>
                      </w:rPr>
                      <w:t>r</w:t>
                    </w:r>
                    <w:r>
                      <w:rPr>
                        <w:b/>
                        <w:spacing w:val="-102"/>
                        <w:w w:val="117"/>
                        <w:position w:val="11"/>
                        <w:sz w:val="15"/>
                      </w:rPr>
                      <w:t>C</w:t>
                    </w:r>
                    <w:r>
                      <w:rPr>
                        <w:spacing w:val="-9"/>
                        <w:w w:val="99"/>
                        <w:sz w:val="20"/>
                      </w:rPr>
                      <w:t>a</w:t>
                    </w:r>
                    <w:r>
                      <w:rPr>
                        <w:b/>
                        <w:spacing w:val="-100"/>
                        <w:w w:val="117"/>
                        <w:position w:val="11"/>
                        <w:sz w:val="15"/>
                      </w:rPr>
                      <w:t>o</w:t>
                    </w:r>
                    <w:r>
                      <w:rPr>
                        <w:w w:val="99"/>
                        <w:sz w:val="20"/>
                      </w:rPr>
                      <w:t>c</w:t>
                    </w:r>
                    <w:r>
                      <w:rPr>
                        <w:b/>
                        <w:spacing w:val="-107"/>
                        <w:w w:val="117"/>
                        <w:position w:val="11"/>
                        <w:sz w:val="15"/>
                      </w:rPr>
                      <w:t>n</w:t>
                    </w:r>
                    <w:r>
                      <w:rPr>
                        <w:spacing w:val="-1"/>
                        <w:w w:val="99"/>
                        <w:sz w:val="20"/>
                      </w:rPr>
                      <w:t>i</w:t>
                    </w:r>
                    <w:r>
                      <w:rPr>
                        <w:spacing w:val="-48"/>
                        <w:w w:val="99"/>
                        <w:sz w:val="20"/>
                      </w:rPr>
                      <w:t>ó</w:t>
                    </w:r>
                    <w:r>
                      <w:rPr>
                        <w:b/>
                        <w:spacing w:val="-10"/>
                        <w:w w:val="117"/>
                        <w:position w:val="11"/>
                        <w:sz w:val="15"/>
                      </w:rPr>
                      <w:t>t</w:t>
                    </w:r>
                    <w:r>
                      <w:rPr>
                        <w:spacing w:val="-102"/>
                        <w:w w:val="99"/>
                        <w:sz w:val="20"/>
                      </w:rPr>
                      <w:t>n</w:t>
                    </w:r>
                    <w:r>
                      <w:rPr>
                        <w:b/>
                        <w:w w:val="117"/>
                        <w:position w:val="11"/>
                        <w:sz w:val="15"/>
                      </w:rPr>
                      <w:t>r</w:t>
                    </w:r>
                    <w:r>
                      <w:rPr>
                        <w:b/>
                        <w:spacing w:val="-5"/>
                        <w:w w:val="117"/>
                        <w:position w:val="11"/>
                        <w:sz w:val="15"/>
                      </w:rPr>
                      <w:t>o</w:t>
                    </w:r>
                    <w:r>
                      <w:rPr>
                        <w:spacing w:val="-106"/>
                        <w:w w:val="99"/>
                        <w:sz w:val="20"/>
                      </w:rPr>
                      <w:t>p</w:t>
                    </w:r>
                    <w:r>
                      <w:rPr>
                        <w:b/>
                        <w:spacing w:val="-1"/>
                        <w:w w:val="117"/>
                        <w:position w:val="11"/>
                        <w:sz w:val="15"/>
                      </w:rPr>
                      <w:t>l</w:t>
                    </w:r>
                    <w:r>
                      <w:rPr>
                        <w:b/>
                        <w:spacing w:val="-41"/>
                        <w:w w:val="117"/>
                        <w:position w:val="11"/>
                        <w:sz w:val="15"/>
                      </w:rPr>
                      <w:t>e</w:t>
                    </w:r>
                    <w:r>
                      <w:rPr>
                        <w:spacing w:val="-26"/>
                        <w:w w:val="99"/>
                        <w:sz w:val="20"/>
                      </w:rPr>
                      <w:t>r</w:t>
                    </w:r>
                    <w:r>
                      <w:rPr>
                        <w:b/>
                        <w:spacing w:val="-73"/>
                        <w:w w:val="117"/>
                        <w:position w:val="11"/>
                        <w:sz w:val="15"/>
                      </w:rPr>
                      <w:t>s</w:t>
                    </w:r>
                    <w:r>
                      <w:rPr>
                        <w:spacing w:val="2"/>
                        <w:w w:val="99"/>
                        <w:sz w:val="20"/>
                      </w:rPr>
                      <w:t>o</w:t>
                    </w:r>
                    <w:r>
                      <w:rPr>
                        <w:spacing w:val="-101"/>
                        <w:w w:val="99"/>
                        <w:sz w:val="20"/>
                      </w:rPr>
                      <w:t>p</w:t>
                    </w:r>
                    <w:r>
                      <w:rPr>
                        <w:b/>
                        <w:spacing w:val="-1"/>
                        <w:w w:val="117"/>
                        <w:position w:val="11"/>
                        <w:sz w:val="15"/>
                      </w:rPr>
                      <w:t>I</w:t>
                    </w:r>
                    <w:r>
                      <w:rPr>
                        <w:b/>
                        <w:spacing w:val="-56"/>
                        <w:w w:val="117"/>
                        <w:position w:val="11"/>
                        <w:sz w:val="15"/>
                      </w:rPr>
                      <w:t>n</w:t>
                    </w:r>
                    <w:r>
                      <w:rPr>
                        <w:w w:val="99"/>
                        <w:sz w:val="20"/>
                      </w:rPr>
                      <w:t>i</w:t>
                    </w:r>
                    <w:r>
                      <w:rPr>
                        <w:spacing w:val="-100"/>
                        <w:w w:val="99"/>
                        <w:sz w:val="20"/>
                      </w:rPr>
                      <w:t>a</w:t>
                    </w:r>
                    <w:r>
                      <w:rPr>
                        <w:b/>
                        <w:spacing w:val="-1"/>
                        <w:w w:val="117"/>
                        <w:position w:val="11"/>
                        <w:sz w:val="15"/>
                      </w:rPr>
                      <w:t>t</w:t>
                    </w:r>
                    <w:r>
                      <w:rPr>
                        <w:b/>
                        <w:w w:val="117"/>
                        <w:position w:val="11"/>
                        <w:sz w:val="15"/>
                      </w:rPr>
                      <w:t>e</w:t>
                    </w:r>
                    <w:r>
                      <w:rPr>
                        <w:b/>
                        <w:spacing w:val="-55"/>
                        <w:w w:val="117"/>
                        <w:position w:val="11"/>
                        <w:sz w:val="15"/>
                      </w:rPr>
                      <w:t>r</w:t>
                    </w:r>
                    <w:r>
                      <w:rPr>
                        <w:spacing w:val="-46"/>
                        <w:w w:val="99"/>
                        <w:sz w:val="20"/>
                      </w:rPr>
                      <w:t>c</w:t>
                    </w:r>
                    <w:r>
                      <w:rPr>
                        <w:b/>
                        <w:spacing w:val="-62"/>
                        <w:w w:val="117"/>
                        <w:position w:val="11"/>
                        <w:sz w:val="15"/>
                      </w:rPr>
                      <w:t>n</w:t>
                    </w:r>
                    <w:r>
                      <w:rPr>
                        <w:spacing w:val="-49"/>
                        <w:w w:val="99"/>
                        <w:sz w:val="20"/>
                      </w:rPr>
                      <w:t>o</w:t>
                    </w:r>
                    <w:r>
                      <w:rPr>
                        <w:b/>
                        <w:spacing w:val="-60"/>
                        <w:w w:val="117"/>
                        <w:position w:val="11"/>
                        <w:sz w:val="15"/>
                      </w:rPr>
                      <w:t>o</w:t>
                    </w:r>
                    <w:r>
                      <w:rPr>
                        <w:spacing w:val="-52"/>
                        <w:w w:val="99"/>
                        <w:sz w:val="20"/>
                      </w:rPr>
                      <w:t>n</w:t>
                    </w:r>
                    <w:r>
                      <w:rPr>
                        <w:b/>
                        <w:w w:val="117"/>
                        <w:position w:val="11"/>
                        <w:sz w:val="15"/>
                      </w:rPr>
                      <w:t>s</w:t>
                    </w:r>
                    <w:r>
                      <w:rPr>
                        <w:b/>
                        <w:spacing w:val="-16"/>
                        <w:position w:val="11"/>
                        <w:sz w:val="15"/>
                      </w:rPr>
                      <w:t> </w:t>
                    </w:r>
                    <w:r>
                      <w:rPr>
                        <w:spacing w:val="-88"/>
                        <w:w w:val="99"/>
                        <w:sz w:val="20"/>
                      </w:rPr>
                      <w:t>b</w:t>
                    </w:r>
                    <w:r>
                      <w:rPr>
                        <w:b/>
                        <w:spacing w:val="-1"/>
                        <w:w w:val="117"/>
                        <w:position w:val="11"/>
                        <w:sz w:val="15"/>
                      </w:rPr>
                      <w:t>(</w:t>
                    </w:r>
                    <w:r>
                      <w:rPr>
                        <w:b/>
                        <w:spacing w:val="-118"/>
                        <w:w w:val="117"/>
                        <w:position w:val="11"/>
                        <w:sz w:val="15"/>
                      </w:rPr>
                      <w:t>M</w:t>
                    </w:r>
                    <w:r>
                      <w:rPr>
                        <w:spacing w:val="-1"/>
                        <w:w w:val="99"/>
                        <w:sz w:val="20"/>
                      </w:rPr>
                      <w:t>a</w:t>
                    </w:r>
                    <w:r>
                      <w:rPr>
                        <w:spacing w:val="-93"/>
                        <w:w w:val="99"/>
                        <w:sz w:val="20"/>
                      </w:rPr>
                      <w:t>s</w:t>
                    </w:r>
                    <w:r>
                      <w:rPr>
                        <w:b/>
                        <w:spacing w:val="-6"/>
                        <w:w w:val="117"/>
                        <w:position w:val="11"/>
                        <w:sz w:val="15"/>
                      </w:rPr>
                      <w:t>a</w:t>
                    </w:r>
                    <w:r>
                      <w:rPr>
                        <w:spacing w:val="-105"/>
                        <w:w w:val="99"/>
                        <w:sz w:val="20"/>
                      </w:rPr>
                      <w:t>e</w:t>
                    </w:r>
                    <w:r>
                      <w:rPr>
                        <w:b/>
                        <w:spacing w:val="-1"/>
                        <w:w w:val="117"/>
                        <w:position w:val="11"/>
                        <w:sz w:val="15"/>
                      </w:rPr>
                      <w:t>n</w:t>
                    </w:r>
                    <w:r>
                      <w:rPr>
                        <w:b/>
                        <w:spacing w:val="-28"/>
                        <w:w w:val="117"/>
                        <w:position w:val="11"/>
                        <w:sz w:val="15"/>
                      </w:rPr>
                      <w:t>e</w:t>
                    </w:r>
                    <w:r>
                      <w:rPr>
                        <w:spacing w:val="-84"/>
                        <w:w w:val="99"/>
                        <w:sz w:val="20"/>
                      </w:rPr>
                      <w:t>e</w:t>
                    </w:r>
                    <w:r>
                      <w:rPr>
                        <w:b/>
                        <w:w w:val="117"/>
                        <w:position w:val="11"/>
                        <w:sz w:val="15"/>
                      </w:rPr>
                      <w:t>j</w:t>
                    </w:r>
                    <w:r>
                      <w:rPr>
                        <w:b/>
                        <w:spacing w:val="-75"/>
                        <w:w w:val="117"/>
                        <w:position w:val="11"/>
                        <w:sz w:val="15"/>
                      </w:rPr>
                      <w:t>o</w:t>
                    </w:r>
                    <w:r>
                      <w:rPr>
                        <w:spacing w:val="12"/>
                        <w:w w:val="99"/>
                        <w:sz w:val="20"/>
                      </w:rPr>
                      <w:t>n</w:t>
                    </w:r>
                    <w:r>
                      <w:rPr>
                        <w:b/>
                        <w:spacing w:val="-41"/>
                        <w:w w:val="117"/>
                        <w:position w:val="11"/>
                        <w:sz w:val="15"/>
                      </w:rPr>
                      <w:t>y</w:t>
                    </w:r>
                    <w:r>
                      <w:rPr>
                        <w:spacing w:val="-28"/>
                        <w:w w:val="99"/>
                        <w:sz w:val="20"/>
                      </w:rPr>
                      <w:t>e</w:t>
                    </w:r>
                    <w:r>
                      <w:rPr>
                        <w:b/>
                        <w:spacing w:val="-99"/>
                        <w:w w:val="117"/>
                        <w:position w:val="11"/>
                        <w:sz w:val="15"/>
                      </w:rPr>
                      <w:t>A</w:t>
                    </w:r>
                    <w:r>
                      <w:rPr>
                        <w:w w:val="99"/>
                        <w:sz w:val="20"/>
                      </w:rPr>
                      <w:t>l</w:t>
                    </w:r>
                    <w:r>
                      <w:rPr>
                        <w:spacing w:val="-2"/>
                        <w:sz w:val="20"/>
                      </w:rPr>
                      <w:t> </w:t>
                    </w:r>
                    <w:r>
                      <w:rPr>
                        <w:b/>
                        <w:spacing w:val="-92"/>
                        <w:w w:val="117"/>
                        <w:position w:val="11"/>
                        <w:sz w:val="15"/>
                      </w:rPr>
                      <w:t>p</w:t>
                    </w:r>
                    <w:r>
                      <w:rPr>
                        <w:spacing w:val="2"/>
                        <w:w w:val="99"/>
                        <w:sz w:val="20"/>
                      </w:rPr>
                      <w:t>I</w:t>
                    </w:r>
                    <w:r>
                      <w:rPr>
                        <w:spacing w:val="-77"/>
                        <w:w w:val="99"/>
                        <w:sz w:val="20"/>
                      </w:rPr>
                      <w:t>n</w:t>
                    </w:r>
                    <w:r>
                      <w:rPr>
                        <w:b/>
                        <w:spacing w:val="-1"/>
                        <w:w w:val="117"/>
                        <w:position w:val="11"/>
                        <w:sz w:val="15"/>
                      </w:rPr>
                      <w:t>l</w:t>
                    </w:r>
                    <w:r>
                      <w:rPr>
                        <w:b/>
                        <w:spacing w:val="-22"/>
                        <w:w w:val="117"/>
                        <w:position w:val="11"/>
                        <w:sz w:val="15"/>
                      </w:rPr>
                      <w:t>i</w:t>
                    </w:r>
                    <w:r>
                      <w:rPr>
                        <w:spacing w:val="-34"/>
                        <w:w w:val="99"/>
                        <w:sz w:val="20"/>
                      </w:rPr>
                      <w:t>f</w:t>
                    </w:r>
                    <w:r>
                      <w:rPr>
                        <w:b/>
                        <w:spacing w:val="-64"/>
                        <w:w w:val="117"/>
                        <w:position w:val="11"/>
                        <w:sz w:val="15"/>
                      </w:rPr>
                      <w:t>c</w:t>
                    </w:r>
                    <w:r>
                      <w:rPr>
                        <w:spacing w:val="-48"/>
                        <w:w w:val="99"/>
                        <w:sz w:val="20"/>
                      </w:rPr>
                      <w:t>o</w:t>
                    </w:r>
                    <w:r>
                      <w:rPr>
                        <w:b/>
                        <w:spacing w:val="-51"/>
                        <w:w w:val="117"/>
                        <w:position w:val="11"/>
                        <w:sz w:val="15"/>
                      </w:rPr>
                      <w:t>a</w:t>
                    </w:r>
                    <w:r>
                      <w:rPr>
                        <w:spacing w:val="-16"/>
                        <w:w w:val="99"/>
                        <w:sz w:val="20"/>
                      </w:rPr>
                      <w:t>r</w:t>
                    </w:r>
                    <w:r>
                      <w:rPr>
                        <w:b/>
                        <w:spacing w:val="-85"/>
                        <w:w w:val="117"/>
                        <w:position w:val="11"/>
                        <w:sz w:val="15"/>
                      </w:rPr>
                      <w:t>c</w:t>
                    </w:r>
                    <w:r>
                      <w:rPr>
                        <w:spacing w:val="-82"/>
                        <w:w w:val="99"/>
                        <w:sz w:val="20"/>
                      </w:rPr>
                      <w:t>m</w:t>
                    </w:r>
                    <w:r>
                      <w:rPr>
                        <w:b/>
                        <w:spacing w:val="-1"/>
                        <w:w w:val="117"/>
                        <w:position w:val="11"/>
                        <w:sz w:val="15"/>
                      </w:rPr>
                      <w:t>i</w:t>
                    </w:r>
                    <w:r>
                      <w:rPr>
                        <w:b/>
                        <w:spacing w:val="-72"/>
                        <w:w w:val="117"/>
                        <w:position w:val="11"/>
                        <w:sz w:val="15"/>
                      </w:rPr>
                      <w:t>ó</w:t>
                    </w:r>
                    <w:r>
                      <w:rPr>
                        <w:spacing w:val="-40"/>
                        <w:w w:val="99"/>
                        <w:sz w:val="20"/>
                      </w:rPr>
                      <w:t>e</w:t>
                    </w:r>
                    <w:r>
                      <w:rPr>
                        <w:b/>
                        <w:w w:val="117"/>
                        <w:position w:val="11"/>
                        <w:sz w:val="15"/>
                      </w:rPr>
                      <w:t>n</w:t>
                    </w:r>
                    <w:r>
                      <w:rPr>
                        <w:b/>
                        <w:spacing w:val="-57"/>
                        <w:w w:val="117"/>
                        <w:position w:val="11"/>
                        <w:sz w:val="15"/>
                      </w:rPr>
                      <w:t>)</w:t>
                    </w:r>
                    <w:r>
                      <w:rPr>
                        <w:w w:val="99"/>
                        <w:sz w:val="20"/>
                      </w:rPr>
                      <w:t>de</w:t>
                    </w:r>
                    <w:r>
                      <w:rPr>
                        <w:spacing w:val="15"/>
                        <w:sz w:val="20"/>
                      </w:rPr>
                      <w:t> </w:t>
                    </w:r>
                    <w:r>
                      <w:rPr>
                        <w:w w:val="99"/>
                        <w:sz w:val="20"/>
                      </w:rPr>
                      <w:t>Re</w:t>
                    </w:r>
                    <w:r>
                      <w:rPr>
                        <w:spacing w:val="3"/>
                        <w:w w:val="99"/>
                        <w:sz w:val="20"/>
                      </w:rPr>
                      <w:t>s</w:t>
                    </w:r>
                    <w:r>
                      <w:rPr>
                        <w:w w:val="99"/>
                        <w:sz w:val="20"/>
                      </w:rPr>
                      <w:t>u</w:t>
                    </w:r>
                    <w:r>
                      <w:rPr>
                        <w:spacing w:val="-2"/>
                        <w:w w:val="99"/>
                        <w:sz w:val="20"/>
                      </w:rPr>
                      <w:t>l</w:t>
                    </w:r>
                    <w:r>
                      <w:rPr>
                        <w:spacing w:val="2"/>
                        <w:w w:val="99"/>
                        <w:sz w:val="20"/>
                      </w:rPr>
                      <w:t>t</w:t>
                    </w:r>
                    <w:r>
                      <w:rPr>
                        <w:w w:val="99"/>
                        <w:sz w:val="20"/>
                      </w:rPr>
                      <w:t>a</w:t>
                    </w:r>
                    <w:r>
                      <w:rPr>
                        <w:spacing w:val="-1"/>
                        <w:w w:val="99"/>
                        <w:sz w:val="20"/>
                      </w:rPr>
                      <w:t>d</w:t>
                    </w:r>
                    <w:r>
                      <w:rPr>
                        <w:w w:val="99"/>
                        <w:sz w:val="20"/>
                      </w:rPr>
                      <w:t>os</w:t>
                    </w:r>
                  </w:p>
                </w:txbxContent>
              </v:textbox>
              <w10:wrap type="none"/>
            </v:shape>
            <v:shape style="position:absolute;left:144;top:192;width:5646;height:318" type="#_x0000_t202" filled="false" stroked="false">
              <v:textbox inset="0,0,0,0">
                <w:txbxContent>
                  <w:p>
                    <w:pPr>
                      <w:spacing w:line="124" w:lineRule="exact" w:before="0"/>
                      <w:ind w:left="1295" w:right="-7" w:firstLine="0"/>
                      <w:jc w:val="left"/>
                      <w:rPr>
                        <w:b/>
                        <w:sz w:val="15"/>
                      </w:rPr>
                    </w:pPr>
                    <w:r>
                      <w:rPr>
                        <w:b/>
                        <w:w w:val="120"/>
                        <w:sz w:val="15"/>
                      </w:rPr>
                      <w:t>San José del Rincón Ejercicio Fiscal 2012</w:t>
                    </w:r>
                  </w:p>
                  <w:p>
                    <w:pPr>
                      <w:spacing w:line="194" w:lineRule="exact" w:before="0"/>
                      <w:ind w:left="0" w:right="-7" w:firstLine="0"/>
                      <w:jc w:val="left"/>
                      <w:rPr>
                        <w:sz w:val="20"/>
                      </w:rPr>
                    </w:pPr>
                    <w:r>
                      <w:rPr>
                        <w:sz w:val="20"/>
                      </w:rPr>
                      <w:t>de la Fiscalización Superior de las cuentas públicas</w:t>
                    </w:r>
                    <w:r>
                      <w:rPr>
                        <w:spacing w:val="-15"/>
                        <w:sz w:val="20"/>
                      </w:rPr>
                      <w:t> </w:t>
                    </w:r>
                    <w:r>
                      <w:rPr>
                        <w:sz w:val="20"/>
                      </w:rPr>
                      <w:t>2008-2014.</w:t>
                    </w:r>
                  </w:p>
                </w:txbxContent>
              </v:textbox>
              <w10:wrap type="none"/>
            </v:shape>
          </v:group>
        </w:pict>
      </w:r>
      <w:r>
        <w:rPr>
          <w:sz w:val="20"/>
        </w:rPr>
      </w:r>
    </w:p>
    <w:tbl>
      <w:tblPr>
        <w:tblW w:w="0" w:type="auto"/>
        <w:jc w:val="left"/>
        <w:tblInd w:w="272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082"/>
        <w:gridCol w:w="2639"/>
      </w:tblGrid>
      <w:tr>
        <w:trPr>
          <w:trHeight w:val="192" w:hRule="exact"/>
        </w:trPr>
        <w:tc>
          <w:tcPr>
            <w:tcW w:w="5721" w:type="dxa"/>
            <w:gridSpan w:val="2"/>
            <w:tcBorders>
              <w:left w:val="single" w:sz="5" w:space="0" w:color="000000"/>
              <w:right w:val="single" w:sz="5" w:space="0" w:color="000000"/>
            </w:tcBorders>
            <w:shd w:val="clear" w:color="auto" w:fill="E6B8B7"/>
          </w:tcPr>
          <w:p>
            <w:pPr>
              <w:pStyle w:val="TableParagraph"/>
              <w:ind w:left="2627" w:right="2611"/>
              <w:jc w:val="center"/>
              <w:rPr>
                <w:b/>
                <w:sz w:val="15"/>
              </w:rPr>
            </w:pPr>
            <w:r>
              <w:rPr>
                <w:b/>
                <w:w w:val="120"/>
                <w:sz w:val="15"/>
              </w:rPr>
              <w:t>FISM</w:t>
            </w:r>
          </w:p>
        </w:tc>
      </w:tr>
      <w:tr>
        <w:trPr>
          <w:trHeight w:val="193" w:hRule="exact"/>
        </w:trPr>
        <w:tc>
          <w:tcPr>
            <w:tcW w:w="3082" w:type="dxa"/>
            <w:tcBorders>
              <w:left w:val="single" w:sz="5" w:space="0" w:color="000000"/>
              <w:right w:val="single" w:sz="5" w:space="0" w:color="000000"/>
            </w:tcBorders>
            <w:shd w:val="clear" w:color="auto" w:fill="F1DCDB"/>
          </w:tcPr>
          <w:p>
            <w:pPr>
              <w:pStyle w:val="TableParagraph"/>
              <w:spacing w:before="1"/>
              <w:ind w:left="1073" w:right="1065"/>
              <w:jc w:val="center"/>
              <w:rPr>
                <w:b/>
                <w:sz w:val="15"/>
              </w:rPr>
            </w:pPr>
            <w:r>
              <w:rPr>
                <w:b/>
                <w:w w:val="120"/>
                <w:sz w:val="15"/>
              </w:rPr>
              <w:t>Fortalezas</w:t>
            </w:r>
          </w:p>
        </w:tc>
        <w:tc>
          <w:tcPr>
            <w:tcW w:w="2639" w:type="dxa"/>
            <w:tcBorders>
              <w:left w:val="single" w:sz="5" w:space="0" w:color="000000"/>
              <w:right w:val="single" w:sz="5" w:space="0" w:color="000000"/>
            </w:tcBorders>
            <w:shd w:val="clear" w:color="auto" w:fill="F1DCDB"/>
          </w:tcPr>
          <w:p>
            <w:pPr>
              <w:pStyle w:val="TableParagraph"/>
              <w:spacing w:before="1"/>
              <w:ind w:left="821" w:right="25"/>
              <w:rPr>
                <w:b/>
                <w:sz w:val="15"/>
              </w:rPr>
            </w:pPr>
            <w:r>
              <w:rPr>
                <w:b/>
                <w:w w:val="120"/>
                <w:sz w:val="15"/>
              </w:rPr>
              <w:t>Debilidades</w:t>
            </w:r>
          </w:p>
        </w:tc>
      </w:tr>
      <w:tr>
        <w:trPr>
          <w:trHeight w:val="1260" w:hRule="exact"/>
        </w:trPr>
        <w:tc>
          <w:tcPr>
            <w:tcW w:w="3082" w:type="dxa"/>
            <w:tcBorders>
              <w:left w:val="single" w:sz="5" w:space="0" w:color="000000"/>
              <w:right w:val="single" w:sz="5" w:space="0" w:color="000000"/>
            </w:tcBorders>
          </w:tcPr>
          <w:p>
            <w:pPr>
              <w:pStyle w:val="TableParagraph"/>
              <w:spacing w:line="268" w:lineRule="auto" w:before="1"/>
              <w:ind w:left="24" w:right="82" w:firstLine="1"/>
              <w:rPr>
                <w:sz w:val="15"/>
              </w:rPr>
            </w:pPr>
            <w:r>
              <w:rPr>
                <w:w w:val="120"/>
                <w:sz w:val="15"/>
              </w:rPr>
              <w:t>El municipio tiene establecidas actividades de control para que cada servidor público conozca cuáles son las tareas que debe ejecutar con la finalidad de prevenir y neutralizar los riesgos más recurrentes</w:t>
            </w:r>
          </w:p>
        </w:tc>
        <w:tc>
          <w:tcPr>
            <w:tcW w:w="2639" w:type="dxa"/>
            <w:tcBorders>
              <w:left w:val="single" w:sz="5" w:space="0" w:color="000000"/>
              <w:right w:val="single" w:sz="5" w:space="0" w:color="000000"/>
            </w:tcBorders>
          </w:tcPr>
          <w:p>
            <w:pPr>
              <w:pStyle w:val="TableParagraph"/>
              <w:spacing w:line="268" w:lineRule="auto" w:before="1"/>
              <w:ind w:left="25" w:right="25"/>
              <w:rPr>
                <w:sz w:val="15"/>
              </w:rPr>
            </w:pPr>
            <w:r>
              <w:rPr>
                <w:w w:val="120"/>
                <w:sz w:val="15"/>
              </w:rPr>
              <w:t>El municipio no tiene definidos los criterios para contratar al personal</w:t>
            </w:r>
            <w:r>
              <w:rPr>
                <w:spacing w:val="-11"/>
                <w:w w:val="120"/>
                <w:sz w:val="15"/>
              </w:rPr>
              <w:t> </w:t>
            </w:r>
            <w:r>
              <w:rPr>
                <w:w w:val="120"/>
                <w:sz w:val="15"/>
              </w:rPr>
              <w:t>de</w:t>
            </w:r>
            <w:r>
              <w:rPr>
                <w:spacing w:val="-11"/>
                <w:w w:val="120"/>
                <w:sz w:val="15"/>
              </w:rPr>
              <w:t> </w:t>
            </w:r>
            <w:r>
              <w:rPr>
                <w:w w:val="120"/>
                <w:sz w:val="15"/>
              </w:rPr>
              <w:t>acuerdo</w:t>
            </w:r>
            <w:r>
              <w:rPr>
                <w:spacing w:val="-11"/>
                <w:w w:val="120"/>
                <w:sz w:val="15"/>
              </w:rPr>
              <w:t> </w:t>
            </w:r>
            <w:r>
              <w:rPr>
                <w:w w:val="120"/>
                <w:sz w:val="15"/>
              </w:rPr>
              <w:t>con</w:t>
            </w:r>
            <w:r>
              <w:rPr>
                <w:spacing w:val="-12"/>
                <w:w w:val="120"/>
                <w:sz w:val="15"/>
              </w:rPr>
              <w:t> </w:t>
            </w:r>
            <w:r>
              <w:rPr>
                <w:w w:val="120"/>
                <w:sz w:val="15"/>
              </w:rPr>
              <w:t>el</w:t>
            </w:r>
            <w:r>
              <w:rPr>
                <w:spacing w:val="-11"/>
                <w:w w:val="120"/>
                <w:sz w:val="15"/>
              </w:rPr>
              <w:t> </w:t>
            </w:r>
            <w:r>
              <w:rPr>
                <w:w w:val="120"/>
                <w:sz w:val="15"/>
              </w:rPr>
              <w:t>perfil requerido.</w:t>
            </w:r>
          </w:p>
        </w:tc>
      </w:tr>
      <w:tr>
        <w:trPr>
          <w:trHeight w:val="1350" w:hRule="exact"/>
        </w:trPr>
        <w:tc>
          <w:tcPr>
            <w:tcW w:w="3082" w:type="dxa"/>
            <w:tcBorders>
              <w:left w:val="single" w:sz="5" w:space="0" w:color="000000"/>
              <w:right w:val="single" w:sz="5" w:space="0" w:color="000000"/>
            </w:tcBorders>
          </w:tcPr>
          <w:p>
            <w:pPr>
              <w:pStyle w:val="TableParagraph"/>
              <w:spacing w:line="268" w:lineRule="auto" w:before="2"/>
              <w:ind w:left="24" w:right="28" w:firstLine="1"/>
              <w:rPr>
                <w:sz w:val="15"/>
              </w:rPr>
            </w:pPr>
            <w:r>
              <w:rPr>
                <w:w w:val="120"/>
                <w:sz w:val="15"/>
              </w:rPr>
              <w:t>El municipio dispone de controles internos referentes a los sistemas de información</w:t>
            </w:r>
            <w:r>
              <w:rPr>
                <w:spacing w:val="-16"/>
                <w:w w:val="120"/>
                <w:sz w:val="15"/>
              </w:rPr>
              <w:t> </w:t>
            </w:r>
            <w:r>
              <w:rPr>
                <w:w w:val="120"/>
                <w:sz w:val="15"/>
              </w:rPr>
              <w:t>para</w:t>
            </w:r>
            <w:r>
              <w:rPr>
                <w:spacing w:val="-16"/>
                <w:w w:val="120"/>
                <w:sz w:val="15"/>
              </w:rPr>
              <w:t> </w:t>
            </w:r>
            <w:r>
              <w:rPr>
                <w:w w:val="120"/>
                <w:sz w:val="15"/>
              </w:rPr>
              <w:t>presentar</w:t>
            </w:r>
            <w:r>
              <w:rPr>
                <w:spacing w:val="-16"/>
                <w:w w:val="120"/>
                <w:sz w:val="15"/>
              </w:rPr>
              <w:t> </w:t>
            </w:r>
            <w:r>
              <w:rPr>
                <w:w w:val="120"/>
                <w:sz w:val="15"/>
              </w:rPr>
              <w:t>de</w:t>
            </w:r>
            <w:r>
              <w:rPr>
                <w:spacing w:val="-17"/>
                <w:w w:val="120"/>
                <w:sz w:val="15"/>
              </w:rPr>
              <w:t> </w:t>
            </w:r>
            <w:r>
              <w:rPr>
                <w:w w:val="120"/>
                <w:sz w:val="15"/>
              </w:rPr>
              <w:t>manera oportuna y ágil la información que refleja las actividades relacionadas con</w:t>
            </w:r>
            <w:r>
              <w:rPr>
                <w:spacing w:val="-9"/>
                <w:w w:val="120"/>
                <w:sz w:val="15"/>
              </w:rPr>
              <w:t> </w:t>
            </w:r>
            <w:r>
              <w:rPr>
                <w:w w:val="120"/>
                <w:sz w:val="15"/>
              </w:rPr>
              <w:t>el</w:t>
            </w:r>
            <w:r>
              <w:rPr>
                <w:spacing w:val="-10"/>
                <w:w w:val="120"/>
                <w:sz w:val="15"/>
              </w:rPr>
              <w:t> </w:t>
            </w:r>
            <w:r>
              <w:rPr>
                <w:w w:val="120"/>
                <w:sz w:val="15"/>
              </w:rPr>
              <w:t>origen</w:t>
            </w:r>
            <w:r>
              <w:rPr>
                <w:spacing w:val="-10"/>
                <w:w w:val="120"/>
                <w:sz w:val="15"/>
              </w:rPr>
              <w:t> </w:t>
            </w:r>
            <w:r>
              <w:rPr>
                <w:w w:val="120"/>
                <w:sz w:val="15"/>
              </w:rPr>
              <w:t>y</w:t>
            </w:r>
            <w:r>
              <w:rPr>
                <w:spacing w:val="-9"/>
                <w:w w:val="120"/>
                <w:sz w:val="15"/>
              </w:rPr>
              <w:t> </w:t>
            </w:r>
            <w:r>
              <w:rPr>
                <w:w w:val="120"/>
                <w:sz w:val="15"/>
              </w:rPr>
              <w:t>el</w:t>
            </w:r>
            <w:r>
              <w:rPr>
                <w:spacing w:val="-10"/>
                <w:w w:val="120"/>
                <w:sz w:val="15"/>
              </w:rPr>
              <w:t> </w:t>
            </w:r>
            <w:r>
              <w:rPr>
                <w:w w:val="120"/>
                <w:sz w:val="15"/>
              </w:rPr>
              <w:t>manejo</w:t>
            </w:r>
            <w:r>
              <w:rPr>
                <w:spacing w:val="-10"/>
                <w:w w:val="120"/>
                <w:sz w:val="15"/>
              </w:rPr>
              <w:t> </w:t>
            </w:r>
            <w:r>
              <w:rPr>
                <w:w w:val="120"/>
                <w:sz w:val="15"/>
              </w:rPr>
              <w:t>del</w:t>
            </w:r>
            <w:r>
              <w:rPr>
                <w:spacing w:val="-10"/>
                <w:w w:val="120"/>
                <w:sz w:val="15"/>
              </w:rPr>
              <w:t> </w:t>
            </w:r>
            <w:r>
              <w:rPr>
                <w:w w:val="120"/>
                <w:sz w:val="15"/>
              </w:rPr>
              <w:t>fondo.</w:t>
            </w:r>
          </w:p>
        </w:tc>
        <w:tc>
          <w:tcPr>
            <w:tcW w:w="2639" w:type="dxa"/>
            <w:tcBorders>
              <w:left w:val="single" w:sz="5" w:space="0" w:color="000000"/>
              <w:right w:val="single" w:sz="5" w:space="0" w:color="000000"/>
            </w:tcBorders>
          </w:tcPr>
          <w:p>
            <w:pPr>
              <w:pStyle w:val="TableParagraph"/>
              <w:spacing w:line="268" w:lineRule="auto" w:before="2"/>
              <w:ind w:left="24" w:right="-10" w:firstLine="1"/>
              <w:rPr>
                <w:sz w:val="15"/>
              </w:rPr>
            </w:pPr>
            <w:r>
              <w:rPr>
                <w:w w:val="120"/>
                <w:sz w:val="15"/>
              </w:rPr>
              <w:t>La entidad fiscalizada carece de controles para distribuir los recursos del fondo en obras y acciones orientadas a los rubros establecidos.</w:t>
            </w:r>
          </w:p>
        </w:tc>
      </w:tr>
      <w:tr>
        <w:trPr>
          <w:trHeight w:val="1474" w:hRule="exact"/>
        </w:trPr>
        <w:tc>
          <w:tcPr>
            <w:tcW w:w="3082" w:type="dxa"/>
            <w:tcBorders>
              <w:left w:val="single" w:sz="5" w:space="0" w:color="000000"/>
              <w:right w:val="single" w:sz="5" w:space="0" w:color="000000"/>
            </w:tcBorders>
          </w:tcPr>
          <w:p>
            <w:pPr/>
          </w:p>
        </w:tc>
        <w:tc>
          <w:tcPr>
            <w:tcW w:w="2639" w:type="dxa"/>
            <w:tcBorders>
              <w:left w:val="single" w:sz="5" w:space="0" w:color="000000"/>
              <w:right w:val="single" w:sz="5" w:space="0" w:color="000000"/>
            </w:tcBorders>
          </w:tcPr>
          <w:p>
            <w:pPr>
              <w:pStyle w:val="TableParagraph"/>
              <w:spacing w:line="268" w:lineRule="auto" w:before="1"/>
              <w:ind w:left="24" w:right="25" w:firstLine="1"/>
              <w:rPr>
                <w:sz w:val="15"/>
              </w:rPr>
            </w:pPr>
            <w:r>
              <w:rPr>
                <w:w w:val="120"/>
                <w:sz w:val="15"/>
              </w:rPr>
              <w:t>No hay controles para verificar que las obras efectuadas en las zonas de pobreza extrema y rezago social del municipio satisfacen las necesidades básicas de la población, por medio de inspecciones físicas.</w:t>
            </w:r>
          </w:p>
        </w:tc>
      </w:tr>
      <w:tr>
        <w:trPr>
          <w:trHeight w:val="1453" w:hRule="exact"/>
        </w:trPr>
        <w:tc>
          <w:tcPr>
            <w:tcW w:w="3082" w:type="dxa"/>
            <w:tcBorders>
              <w:left w:val="single" w:sz="5" w:space="0" w:color="000000"/>
              <w:right w:val="single" w:sz="5" w:space="0" w:color="000000"/>
            </w:tcBorders>
          </w:tcPr>
          <w:p>
            <w:pPr/>
          </w:p>
        </w:tc>
        <w:tc>
          <w:tcPr>
            <w:tcW w:w="2639" w:type="dxa"/>
            <w:tcBorders>
              <w:left w:val="single" w:sz="5" w:space="0" w:color="000000"/>
              <w:right w:val="single" w:sz="5" w:space="0" w:color="000000"/>
            </w:tcBorders>
          </w:tcPr>
          <w:p>
            <w:pPr>
              <w:pStyle w:val="TableParagraph"/>
              <w:spacing w:line="268" w:lineRule="auto"/>
              <w:ind w:left="24" w:right="25" w:firstLine="1"/>
              <w:rPr>
                <w:sz w:val="15"/>
              </w:rPr>
            </w:pPr>
            <w:r>
              <w:rPr>
                <w:w w:val="120"/>
                <w:sz w:val="15"/>
              </w:rPr>
              <w:t>No existe un control para identificar plenamente el riesgo, a fin de que el recurso ejercido sea dirigido a los objetivos establecidos por la normativa para cada fuente de financiamiento</w:t>
            </w:r>
          </w:p>
        </w:tc>
      </w:tr>
      <w:tr>
        <w:trPr>
          <w:trHeight w:val="1089" w:hRule="exact"/>
        </w:trPr>
        <w:tc>
          <w:tcPr>
            <w:tcW w:w="3082" w:type="dxa"/>
            <w:tcBorders>
              <w:left w:val="single" w:sz="5" w:space="0" w:color="000000"/>
              <w:right w:val="single" w:sz="5" w:space="0" w:color="000000"/>
            </w:tcBorders>
          </w:tcPr>
          <w:p>
            <w:pPr/>
          </w:p>
        </w:tc>
        <w:tc>
          <w:tcPr>
            <w:tcW w:w="2639" w:type="dxa"/>
            <w:tcBorders>
              <w:left w:val="single" w:sz="5" w:space="0" w:color="000000"/>
              <w:right w:val="single" w:sz="5" w:space="0" w:color="000000"/>
            </w:tcBorders>
          </w:tcPr>
          <w:p>
            <w:pPr>
              <w:pStyle w:val="TableParagraph"/>
              <w:spacing w:line="268" w:lineRule="auto" w:before="1"/>
              <w:ind w:left="25" w:right="25"/>
              <w:rPr>
                <w:sz w:val="15"/>
              </w:rPr>
            </w:pPr>
            <w:r>
              <w:rPr>
                <w:w w:val="120"/>
                <w:sz w:val="15"/>
              </w:rPr>
              <w:t>La entidad fiscalizada no dispone de mecanismos de control para efectuar conciliaciones de la informacion reportada</w:t>
            </w:r>
          </w:p>
        </w:tc>
      </w:tr>
    </w:tbl>
    <w:p>
      <w:pPr>
        <w:spacing w:after="0" w:line="268" w:lineRule="auto"/>
        <w:rPr>
          <w:sz w:val="15"/>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spacing w:before="10"/>
        <w:rPr>
          <w:b/>
          <w:sz w:val="20"/>
        </w:rPr>
      </w:pPr>
    </w:p>
    <w:p>
      <w:pPr>
        <w:spacing w:line="242" w:lineRule="auto" w:before="1"/>
        <w:ind w:left="2782" w:right="2588" w:firstLine="0"/>
        <w:jc w:val="left"/>
        <w:rPr>
          <w:sz w:val="20"/>
        </w:rPr>
      </w:pPr>
      <w:r>
        <w:rPr/>
        <w:drawing>
          <wp:anchor distT="0" distB="0" distL="0" distR="0" allowOverlap="1" layoutInCell="1" locked="0" behindDoc="1" simplePos="0" relativeHeight="267760127">
            <wp:simplePos x="0" y="0"/>
            <wp:positionH relativeFrom="page">
              <wp:posOffset>3110483</wp:posOffset>
            </wp:positionH>
            <wp:positionV relativeFrom="paragraph">
              <wp:posOffset>3681</wp:posOffset>
            </wp:positionV>
            <wp:extent cx="3848100" cy="480060"/>
            <wp:effectExtent l="0" t="0" r="0" b="0"/>
            <wp:wrapNone/>
            <wp:docPr id="41" name="image134.png" descr=""/>
            <wp:cNvGraphicFramePr>
              <a:graphicFrameLocks noChangeAspect="1"/>
            </wp:cNvGraphicFramePr>
            <a:graphic>
              <a:graphicData uri="http://schemas.openxmlformats.org/drawingml/2006/picture">
                <pic:pic>
                  <pic:nvPicPr>
                    <pic:cNvPr id="42" name="image134.png"/>
                    <pic:cNvPicPr/>
                  </pic:nvPicPr>
                  <pic:blipFill>
                    <a:blip r:embed="rId190" cstate="print"/>
                    <a:stretch>
                      <a:fillRect/>
                    </a:stretch>
                  </pic:blipFill>
                  <pic:spPr>
                    <a:xfrm>
                      <a:off x="0" y="0"/>
                      <a:ext cx="3848100" cy="480060"/>
                    </a:xfrm>
                    <a:prstGeom prst="rect">
                      <a:avLst/>
                    </a:prstGeom>
                  </pic:spPr>
                </pic:pic>
              </a:graphicData>
            </a:graphic>
          </wp:anchor>
        </w:drawing>
      </w:r>
      <w:r>
        <w:rPr>
          <w:b/>
          <w:sz w:val="20"/>
        </w:rPr>
        <w:t>Fuente</w:t>
      </w:r>
      <w:r>
        <w:rPr>
          <w:sz w:val="20"/>
        </w:rPr>
        <w:t>:</w:t>
      </w:r>
      <w:r>
        <w:rPr>
          <w:spacing w:val="-13"/>
          <w:sz w:val="20"/>
        </w:rPr>
        <w:t> </w:t>
      </w:r>
      <w:r>
        <w:rPr>
          <w:sz w:val="20"/>
        </w:rPr>
        <w:t>Elaboración</w:t>
      </w:r>
      <w:r>
        <w:rPr>
          <w:spacing w:val="-13"/>
          <w:sz w:val="20"/>
        </w:rPr>
        <w:t> </w:t>
      </w:r>
      <w:r>
        <w:rPr>
          <w:sz w:val="20"/>
        </w:rPr>
        <w:t>propia</w:t>
      </w:r>
      <w:r>
        <w:rPr>
          <w:spacing w:val="-11"/>
          <w:sz w:val="20"/>
        </w:rPr>
        <w:t> </w:t>
      </w:r>
      <w:r>
        <w:rPr>
          <w:sz w:val="20"/>
        </w:rPr>
        <w:t>con</w:t>
      </w:r>
      <w:r>
        <w:rPr>
          <w:spacing w:val="-13"/>
          <w:sz w:val="20"/>
        </w:rPr>
        <w:t> </w:t>
      </w:r>
      <w:r>
        <w:rPr>
          <w:sz w:val="20"/>
        </w:rPr>
        <w:t>base</w:t>
      </w:r>
      <w:r>
        <w:rPr>
          <w:spacing w:val="-10"/>
          <w:sz w:val="20"/>
        </w:rPr>
        <w:t> </w:t>
      </w:r>
      <w:r>
        <w:rPr>
          <w:sz w:val="20"/>
        </w:rPr>
        <w:t>en</w:t>
      </w:r>
      <w:r>
        <w:rPr>
          <w:spacing w:val="-11"/>
          <w:sz w:val="20"/>
        </w:rPr>
        <w:t> </w:t>
      </w:r>
      <w:r>
        <w:rPr>
          <w:sz w:val="20"/>
        </w:rPr>
        <w:t>el</w:t>
      </w:r>
      <w:r>
        <w:rPr>
          <w:spacing w:val="-14"/>
          <w:sz w:val="20"/>
        </w:rPr>
        <w:t> </w:t>
      </w:r>
      <w:r>
        <w:rPr>
          <w:sz w:val="20"/>
        </w:rPr>
        <w:t>Informe</w:t>
      </w:r>
      <w:r>
        <w:rPr>
          <w:spacing w:val="-13"/>
          <w:sz w:val="20"/>
        </w:rPr>
        <w:t> </w:t>
      </w:r>
      <w:r>
        <w:rPr>
          <w:sz w:val="20"/>
        </w:rPr>
        <w:t>de</w:t>
      </w:r>
      <w:r>
        <w:rPr>
          <w:spacing w:val="-13"/>
          <w:sz w:val="20"/>
        </w:rPr>
        <w:t> </w:t>
      </w:r>
      <w:r>
        <w:rPr>
          <w:sz w:val="20"/>
        </w:rPr>
        <w:t>Resultados </w:t>
      </w:r>
      <w:r>
        <w:rPr>
          <w:w w:val="99"/>
          <w:sz w:val="20"/>
        </w:rPr>
        <w:t>de</w:t>
      </w:r>
      <w:r>
        <w:rPr>
          <w:spacing w:val="-1"/>
          <w:sz w:val="20"/>
        </w:rPr>
        <w:t> </w:t>
      </w:r>
      <w:r>
        <w:rPr>
          <w:spacing w:val="1"/>
          <w:w w:val="99"/>
          <w:sz w:val="20"/>
        </w:rPr>
        <w:t>l</w:t>
      </w:r>
      <w:r>
        <w:rPr>
          <w:w w:val="99"/>
          <w:sz w:val="20"/>
        </w:rPr>
        <w:t>a</w:t>
      </w:r>
      <w:r>
        <w:rPr>
          <w:spacing w:val="-1"/>
          <w:sz w:val="20"/>
        </w:rPr>
        <w:t> </w:t>
      </w:r>
      <w:r>
        <w:rPr>
          <w:w w:val="99"/>
          <w:sz w:val="20"/>
        </w:rPr>
        <w:t>F</w:t>
      </w:r>
      <w:r>
        <w:rPr>
          <w:spacing w:val="-1"/>
          <w:w w:val="99"/>
          <w:sz w:val="20"/>
        </w:rPr>
        <w:t>i</w:t>
      </w:r>
      <w:r>
        <w:rPr>
          <w:spacing w:val="1"/>
          <w:w w:val="99"/>
          <w:sz w:val="20"/>
        </w:rPr>
        <w:t>sc</w:t>
      </w:r>
      <w:r>
        <w:rPr>
          <w:spacing w:val="1"/>
          <w:w w:val="99"/>
          <w:sz w:val="20"/>
        </w:rPr>
        <w:t>a</w:t>
      </w:r>
      <w:r>
        <w:rPr>
          <w:spacing w:val="-1"/>
          <w:w w:val="99"/>
          <w:sz w:val="20"/>
        </w:rPr>
        <w:t>l</w:t>
      </w:r>
      <w:r>
        <w:rPr>
          <w:spacing w:val="2"/>
          <w:w w:val="99"/>
          <w:sz w:val="20"/>
        </w:rPr>
        <w:t>i</w:t>
      </w:r>
      <w:r>
        <w:rPr>
          <w:spacing w:val="-2"/>
          <w:w w:val="99"/>
          <w:sz w:val="20"/>
        </w:rPr>
        <w:t>z</w:t>
      </w:r>
      <w:r>
        <w:rPr>
          <w:w w:val="99"/>
          <w:sz w:val="20"/>
        </w:rPr>
        <w:t>a</w:t>
      </w:r>
      <w:r>
        <w:rPr>
          <w:spacing w:val="-88"/>
          <w:w w:val="99"/>
          <w:sz w:val="20"/>
        </w:rPr>
        <w:t>c</w:t>
      </w:r>
      <w:r>
        <w:rPr>
          <w:b/>
          <w:spacing w:val="-48"/>
          <w:w w:val="125"/>
          <w:position w:val="-1"/>
          <w:sz w:val="15"/>
        </w:rPr>
        <w:t>C</w:t>
      </w:r>
      <w:r>
        <w:rPr>
          <w:spacing w:val="1"/>
          <w:w w:val="99"/>
          <w:sz w:val="20"/>
        </w:rPr>
        <w:t>i</w:t>
      </w:r>
      <w:r>
        <w:rPr>
          <w:spacing w:val="-109"/>
          <w:w w:val="99"/>
          <w:sz w:val="20"/>
        </w:rPr>
        <w:t>ó</w:t>
      </w:r>
      <w:r>
        <w:rPr>
          <w:b/>
          <w:w w:val="125"/>
          <w:position w:val="-1"/>
          <w:sz w:val="15"/>
        </w:rPr>
        <w:t>a</w:t>
      </w:r>
      <w:r>
        <w:rPr>
          <w:b/>
          <w:spacing w:val="-49"/>
          <w:w w:val="125"/>
          <w:position w:val="-1"/>
          <w:sz w:val="15"/>
        </w:rPr>
        <w:t>l</w:t>
      </w:r>
      <w:r>
        <w:rPr>
          <w:spacing w:val="-62"/>
          <w:w w:val="99"/>
          <w:sz w:val="20"/>
        </w:rPr>
        <w:t>n</w:t>
      </w:r>
      <w:r>
        <w:rPr>
          <w:b/>
          <w:spacing w:val="-1"/>
          <w:w w:val="125"/>
          <w:position w:val="-1"/>
          <w:sz w:val="15"/>
        </w:rPr>
        <w:t>i</w:t>
      </w:r>
      <w:r>
        <w:rPr>
          <w:b/>
          <w:spacing w:val="-49"/>
          <w:w w:val="125"/>
          <w:position w:val="-1"/>
          <w:sz w:val="15"/>
        </w:rPr>
        <w:t>d</w:t>
      </w:r>
      <w:r>
        <w:rPr>
          <w:spacing w:val="-84"/>
          <w:w w:val="99"/>
          <w:sz w:val="20"/>
        </w:rPr>
        <w:t>S</w:t>
      </w:r>
      <w:r>
        <w:rPr>
          <w:b/>
          <w:spacing w:val="-22"/>
          <w:w w:val="125"/>
          <w:position w:val="-1"/>
          <w:sz w:val="15"/>
        </w:rPr>
        <w:t>a</w:t>
      </w:r>
      <w:r>
        <w:rPr>
          <w:spacing w:val="-89"/>
          <w:w w:val="99"/>
          <w:sz w:val="20"/>
        </w:rPr>
        <w:t>u</w:t>
      </w:r>
      <w:r>
        <w:rPr>
          <w:b/>
          <w:spacing w:val="-27"/>
          <w:w w:val="125"/>
          <w:position w:val="-1"/>
          <w:sz w:val="15"/>
        </w:rPr>
        <w:t>d</w:t>
      </w:r>
      <w:r>
        <w:rPr>
          <w:spacing w:val="-32"/>
          <w:w w:val="99"/>
          <w:sz w:val="20"/>
        </w:rPr>
        <w:t>p</w:t>
      </w:r>
      <w:r>
        <w:rPr>
          <w:b/>
          <w:spacing w:val="-82"/>
          <w:w w:val="125"/>
          <w:position w:val="-1"/>
          <w:sz w:val="15"/>
        </w:rPr>
        <w:t>d</w:t>
      </w:r>
      <w:r>
        <w:rPr>
          <w:spacing w:val="-29"/>
          <w:w w:val="99"/>
          <w:sz w:val="20"/>
        </w:rPr>
        <w:t>e</w:t>
      </w:r>
      <w:r>
        <w:rPr>
          <w:b/>
          <w:spacing w:val="-77"/>
          <w:w w:val="125"/>
          <w:position w:val="-1"/>
          <w:sz w:val="15"/>
        </w:rPr>
        <w:t>e</w:t>
      </w:r>
      <w:r>
        <w:rPr>
          <w:w w:val="99"/>
          <w:sz w:val="20"/>
        </w:rPr>
        <w:t>ri</w:t>
      </w:r>
      <w:r>
        <w:rPr>
          <w:spacing w:val="-94"/>
          <w:w w:val="99"/>
          <w:sz w:val="20"/>
        </w:rPr>
        <w:t>o</w:t>
      </w:r>
      <w:r>
        <w:rPr>
          <w:b/>
          <w:w w:val="125"/>
          <w:position w:val="-1"/>
          <w:sz w:val="15"/>
        </w:rPr>
        <w:t>l</w:t>
      </w:r>
      <w:r>
        <w:rPr>
          <w:b/>
          <w:spacing w:val="-66"/>
          <w:w w:val="125"/>
          <w:position w:val="-1"/>
          <w:sz w:val="15"/>
        </w:rPr>
        <w:t>a</w:t>
      </w:r>
      <w:r>
        <w:rPr>
          <w:w w:val="99"/>
          <w:sz w:val="20"/>
        </w:rPr>
        <w:t>r</w:t>
      </w:r>
      <w:r>
        <w:rPr>
          <w:spacing w:val="-5"/>
          <w:sz w:val="20"/>
        </w:rPr>
        <w:t> </w:t>
      </w:r>
      <w:r>
        <w:rPr>
          <w:b/>
          <w:spacing w:val="-140"/>
          <w:w w:val="125"/>
          <w:position w:val="-1"/>
          <w:sz w:val="15"/>
        </w:rPr>
        <w:t>G</w:t>
      </w:r>
      <w:r>
        <w:rPr>
          <w:w w:val="99"/>
          <w:sz w:val="20"/>
        </w:rPr>
        <w:t>d</w:t>
      </w:r>
      <w:r>
        <w:rPr>
          <w:spacing w:val="-83"/>
          <w:w w:val="99"/>
          <w:sz w:val="20"/>
        </w:rPr>
        <w:t>e</w:t>
      </w:r>
      <w:r>
        <w:rPr>
          <w:b/>
          <w:w w:val="125"/>
          <w:position w:val="-1"/>
          <w:sz w:val="15"/>
        </w:rPr>
        <w:t>e</w:t>
      </w:r>
      <w:r>
        <w:rPr>
          <w:b/>
          <w:spacing w:val="-70"/>
          <w:w w:val="125"/>
          <w:position w:val="-1"/>
          <w:sz w:val="15"/>
        </w:rPr>
        <w:t>s</w:t>
      </w:r>
      <w:r>
        <w:rPr>
          <w:spacing w:val="-1"/>
          <w:w w:val="99"/>
          <w:sz w:val="20"/>
        </w:rPr>
        <w:t>l</w:t>
      </w:r>
      <w:r>
        <w:rPr>
          <w:spacing w:val="-85"/>
          <w:w w:val="99"/>
          <w:sz w:val="20"/>
        </w:rPr>
        <w:t>a</w:t>
      </w:r>
      <w:r>
        <w:rPr>
          <w:b/>
          <w:spacing w:val="-1"/>
          <w:w w:val="125"/>
          <w:position w:val="-1"/>
          <w:sz w:val="15"/>
        </w:rPr>
        <w:t>t</w:t>
      </w:r>
      <w:r>
        <w:rPr>
          <w:b/>
          <w:spacing w:val="-31"/>
          <w:w w:val="125"/>
          <w:position w:val="-1"/>
          <w:sz w:val="15"/>
        </w:rPr>
        <w:t>i</w:t>
      </w:r>
      <w:r>
        <w:rPr>
          <w:spacing w:val="-69"/>
          <w:w w:val="99"/>
          <w:sz w:val="20"/>
        </w:rPr>
        <w:t>s</w:t>
      </w:r>
      <w:r>
        <w:rPr>
          <w:b/>
          <w:w w:val="125"/>
          <w:position w:val="-1"/>
          <w:sz w:val="15"/>
        </w:rPr>
        <w:t>ó</w:t>
      </w:r>
      <w:r>
        <w:rPr>
          <w:b/>
          <w:spacing w:val="-107"/>
          <w:w w:val="125"/>
          <w:position w:val="-1"/>
          <w:sz w:val="15"/>
        </w:rPr>
        <w:t>n</w:t>
      </w:r>
      <w:r>
        <w:rPr>
          <w:w w:val="99"/>
          <w:sz w:val="20"/>
        </w:rPr>
        <w:t>c</w:t>
      </w:r>
      <w:r>
        <w:rPr>
          <w:spacing w:val="-53"/>
          <w:w w:val="99"/>
          <w:sz w:val="20"/>
        </w:rPr>
        <w:t>u</w:t>
      </w:r>
      <w:r>
        <w:rPr>
          <w:b/>
          <w:spacing w:val="-94"/>
          <w:w w:val="125"/>
          <w:position w:val="-1"/>
          <w:sz w:val="15"/>
        </w:rPr>
        <w:t>G</w:t>
      </w:r>
      <w:r>
        <w:rPr>
          <w:spacing w:val="-17"/>
          <w:w w:val="99"/>
          <w:sz w:val="20"/>
        </w:rPr>
        <w:t>e</w:t>
      </w:r>
      <w:r>
        <w:rPr>
          <w:b/>
          <w:spacing w:val="-100"/>
          <w:w w:val="125"/>
          <w:position w:val="-1"/>
          <w:sz w:val="15"/>
        </w:rPr>
        <w:t>u</w:t>
      </w:r>
      <w:r>
        <w:rPr>
          <w:spacing w:val="-12"/>
          <w:w w:val="99"/>
          <w:sz w:val="20"/>
        </w:rPr>
        <w:t>n</w:t>
      </w:r>
      <w:r>
        <w:rPr>
          <w:b/>
          <w:spacing w:val="-102"/>
          <w:w w:val="125"/>
          <w:position w:val="-1"/>
          <w:sz w:val="15"/>
        </w:rPr>
        <w:t>b</w:t>
      </w:r>
      <w:r>
        <w:rPr>
          <w:w w:val="99"/>
          <w:sz w:val="20"/>
        </w:rPr>
        <w:t>t</w:t>
      </w:r>
      <w:r>
        <w:rPr>
          <w:spacing w:val="-65"/>
          <w:w w:val="99"/>
          <w:sz w:val="20"/>
        </w:rPr>
        <w:t>a</w:t>
      </w:r>
      <w:r>
        <w:rPr>
          <w:b/>
          <w:spacing w:val="-41"/>
          <w:w w:val="125"/>
          <w:position w:val="-1"/>
          <w:sz w:val="15"/>
        </w:rPr>
        <w:t>e</w:t>
      </w:r>
      <w:r>
        <w:rPr>
          <w:spacing w:val="-59"/>
          <w:w w:val="99"/>
          <w:sz w:val="20"/>
        </w:rPr>
        <w:t>s</w:t>
      </w:r>
      <w:r>
        <w:rPr>
          <w:b/>
          <w:spacing w:val="-1"/>
          <w:w w:val="125"/>
          <w:position w:val="-1"/>
          <w:sz w:val="15"/>
        </w:rPr>
        <w:t>r</w:t>
      </w:r>
      <w:r>
        <w:rPr>
          <w:b/>
          <w:spacing w:val="-74"/>
          <w:w w:val="125"/>
          <w:position w:val="-1"/>
          <w:sz w:val="15"/>
        </w:rPr>
        <w:t>n</w:t>
      </w:r>
      <w:r>
        <w:rPr>
          <w:spacing w:val="-37"/>
          <w:w w:val="99"/>
          <w:sz w:val="20"/>
        </w:rPr>
        <w:t>p</w:t>
      </w:r>
      <w:r>
        <w:rPr>
          <w:b/>
          <w:spacing w:val="-69"/>
          <w:w w:val="125"/>
          <w:position w:val="-1"/>
          <w:sz w:val="15"/>
        </w:rPr>
        <w:t>a</w:t>
      </w:r>
      <w:r>
        <w:rPr>
          <w:spacing w:val="-43"/>
          <w:w w:val="99"/>
          <w:sz w:val="20"/>
        </w:rPr>
        <w:t>ú</w:t>
      </w:r>
      <w:r>
        <w:rPr>
          <w:b/>
          <w:spacing w:val="-125"/>
          <w:w w:val="125"/>
          <w:position w:val="-1"/>
          <w:sz w:val="15"/>
        </w:rPr>
        <w:t>m</w:t>
      </w:r>
      <w:r>
        <w:rPr>
          <w:w w:val="99"/>
          <w:sz w:val="20"/>
        </w:rPr>
        <w:t>b</w:t>
      </w:r>
      <w:r>
        <w:rPr>
          <w:spacing w:val="-32"/>
          <w:w w:val="99"/>
          <w:sz w:val="20"/>
        </w:rPr>
        <w:t>l</w:t>
      </w:r>
      <w:r>
        <w:rPr>
          <w:b/>
          <w:spacing w:val="-73"/>
          <w:w w:val="125"/>
          <w:position w:val="-1"/>
          <w:sz w:val="15"/>
        </w:rPr>
        <w:t>e</w:t>
      </w:r>
      <w:r>
        <w:rPr>
          <w:spacing w:val="-1"/>
          <w:w w:val="99"/>
          <w:sz w:val="20"/>
        </w:rPr>
        <w:t>i</w:t>
      </w:r>
      <w:r>
        <w:rPr>
          <w:spacing w:val="-70"/>
          <w:w w:val="99"/>
          <w:sz w:val="20"/>
        </w:rPr>
        <w:t>c</w:t>
      </w:r>
      <w:r>
        <w:rPr>
          <w:b/>
          <w:spacing w:val="-45"/>
          <w:w w:val="125"/>
          <w:position w:val="-1"/>
          <w:sz w:val="15"/>
        </w:rPr>
        <w:t>n</w:t>
      </w:r>
      <w:r>
        <w:rPr>
          <w:spacing w:val="-67"/>
          <w:w w:val="99"/>
          <w:sz w:val="20"/>
        </w:rPr>
        <w:t>a</w:t>
      </w:r>
      <w:r>
        <w:rPr>
          <w:b/>
          <w:spacing w:val="-1"/>
          <w:w w:val="125"/>
          <w:position w:val="-1"/>
          <w:sz w:val="15"/>
        </w:rPr>
        <w:t>t</w:t>
      </w:r>
      <w:r>
        <w:rPr>
          <w:b/>
          <w:spacing w:val="-102"/>
          <w:w w:val="125"/>
          <w:position w:val="-1"/>
          <w:sz w:val="15"/>
        </w:rPr>
        <w:t>a</w:t>
      </w:r>
      <w:r>
        <w:rPr>
          <w:spacing w:val="1"/>
          <w:w w:val="99"/>
          <w:sz w:val="20"/>
        </w:rPr>
        <w:t>s</w:t>
      </w:r>
      <w:r>
        <w:rPr>
          <w:b/>
          <w:spacing w:val="1"/>
          <w:w w:val="125"/>
          <w:position w:val="-1"/>
          <w:sz w:val="15"/>
        </w:rPr>
        <w:t>l</w:t>
      </w:r>
      <w:r>
        <w:rPr>
          <w:w w:val="99"/>
          <w:sz w:val="20"/>
        </w:rPr>
        <w:t>2</w:t>
      </w:r>
      <w:r>
        <w:rPr>
          <w:spacing w:val="1"/>
          <w:w w:val="99"/>
          <w:sz w:val="20"/>
        </w:rPr>
        <w:t>0</w:t>
      </w:r>
      <w:r>
        <w:rPr>
          <w:w w:val="99"/>
          <w:sz w:val="20"/>
        </w:rPr>
        <w:t>0</w:t>
      </w:r>
      <w:r>
        <w:rPr>
          <w:spacing w:val="1"/>
          <w:w w:val="99"/>
          <w:sz w:val="20"/>
        </w:rPr>
        <w:t>8</w:t>
      </w:r>
      <w:r>
        <w:rPr>
          <w:w w:val="99"/>
          <w:sz w:val="20"/>
        </w:rPr>
        <w:t>-</w:t>
      </w:r>
      <w:r>
        <w:rPr>
          <w:w w:val="99"/>
          <w:sz w:val="20"/>
        </w:rPr>
        <w:t>2</w:t>
      </w:r>
      <w:r>
        <w:rPr>
          <w:spacing w:val="1"/>
          <w:w w:val="99"/>
          <w:sz w:val="20"/>
        </w:rPr>
        <w:t>0</w:t>
      </w:r>
      <w:r>
        <w:rPr>
          <w:w w:val="99"/>
          <w:sz w:val="20"/>
        </w:rPr>
        <w:t>1</w:t>
      </w:r>
      <w:r>
        <w:rPr>
          <w:spacing w:val="-1"/>
          <w:w w:val="99"/>
          <w:sz w:val="20"/>
        </w:rPr>
        <w:t>4</w:t>
      </w:r>
      <w:r>
        <w:rPr>
          <w:w w:val="99"/>
          <w:sz w:val="20"/>
        </w:rPr>
        <w:t>.</w:t>
      </w:r>
    </w:p>
    <w:p>
      <w:pPr>
        <w:spacing w:line="226" w:lineRule="exact" w:before="0"/>
        <w:ind w:left="2962" w:right="1340" w:firstLine="0"/>
        <w:jc w:val="left"/>
        <w:rPr>
          <w:b/>
          <w:sz w:val="15"/>
        </w:rPr>
      </w:pPr>
      <w:r>
        <w:rPr>
          <w:w w:val="100"/>
          <w:position w:val="-1"/>
          <w:sz w:val="24"/>
        </w:rPr>
        <w:t>A</w:t>
      </w:r>
      <w:r>
        <w:rPr>
          <w:w w:val="99"/>
          <w:position w:val="-1"/>
          <w:sz w:val="24"/>
        </w:rPr>
        <w:t>ne</w:t>
      </w:r>
      <w:r>
        <w:rPr>
          <w:spacing w:val="-3"/>
          <w:position w:val="-1"/>
          <w:sz w:val="24"/>
        </w:rPr>
        <w:t>x</w:t>
      </w:r>
      <w:r>
        <w:rPr>
          <w:w w:val="99"/>
          <w:position w:val="-1"/>
          <w:sz w:val="24"/>
        </w:rPr>
        <w:t>o</w:t>
      </w:r>
      <w:r>
        <w:rPr>
          <w:position w:val="-1"/>
          <w:sz w:val="24"/>
        </w:rPr>
        <w:t> </w:t>
      </w:r>
      <w:r>
        <w:rPr>
          <w:spacing w:val="1"/>
          <w:w w:val="99"/>
          <w:position w:val="-1"/>
          <w:sz w:val="24"/>
        </w:rPr>
        <w:t>5</w:t>
      </w:r>
      <w:r>
        <w:rPr>
          <w:spacing w:val="-74"/>
          <w:w w:val="99"/>
          <w:position w:val="-1"/>
          <w:sz w:val="24"/>
        </w:rPr>
        <w:t>9</w:t>
      </w:r>
      <w:r>
        <w:rPr>
          <w:b/>
          <w:spacing w:val="-65"/>
          <w:w w:val="125"/>
          <w:sz w:val="15"/>
        </w:rPr>
        <w:t>C</w:t>
      </w:r>
      <w:r>
        <w:rPr>
          <w:spacing w:val="-2"/>
          <w:w w:val="100"/>
          <w:position w:val="-1"/>
          <w:sz w:val="24"/>
        </w:rPr>
        <w:t>.</w:t>
      </w:r>
      <w:r>
        <w:rPr>
          <w:b/>
          <w:w w:val="125"/>
          <w:sz w:val="15"/>
        </w:rPr>
        <w:t>o</w:t>
      </w:r>
      <w:r>
        <w:rPr>
          <w:b/>
          <w:spacing w:val="-1"/>
          <w:w w:val="125"/>
          <w:sz w:val="15"/>
        </w:rPr>
        <w:t>n</w:t>
      </w:r>
      <w:r>
        <w:rPr>
          <w:b/>
          <w:spacing w:val="-1"/>
          <w:w w:val="125"/>
          <w:sz w:val="15"/>
        </w:rPr>
        <w:t>t</w:t>
      </w:r>
      <w:r>
        <w:rPr>
          <w:b/>
          <w:spacing w:val="1"/>
          <w:w w:val="125"/>
          <w:sz w:val="15"/>
        </w:rPr>
        <w:t>r</w:t>
      </w:r>
      <w:r>
        <w:rPr>
          <w:b/>
          <w:w w:val="125"/>
          <w:sz w:val="15"/>
        </w:rPr>
        <w:t>o</w:t>
      </w:r>
      <w:r>
        <w:rPr>
          <w:b/>
          <w:spacing w:val="-1"/>
          <w:w w:val="125"/>
          <w:sz w:val="15"/>
        </w:rPr>
        <w:t>l</w:t>
      </w:r>
      <w:r>
        <w:rPr>
          <w:b/>
          <w:w w:val="125"/>
          <w:sz w:val="15"/>
        </w:rPr>
        <w:t>es</w:t>
      </w:r>
      <w:r>
        <w:rPr>
          <w:b/>
          <w:spacing w:val="11"/>
          <w:sz w:val="15"/>
        </w:rPr>
        <w:t> </w:t>
      </w:r>
      <w:r>
        <w:rPr>
          <w:b/>
          <w:spacing w:val="-1"/>
          <w:w w:val="125"/>
          <w:sz w:val="15"/>
        </w:rPr>
        <w:t>I</w:t>
      </w:r>
      <w:r>
        <w:rPr>
          <w:b/>
          <w:w w:val="125"/>
          <w:sz w:val="15"/>
        </w:rPr>
        <w:t>n</w:t>
      </w:r>
      <w:r>
        <w:rPr>
          <w:b/>
          <w:spacing w:val="-1"/>
          <w:w w:val="125"/>
          <w:sz w:val="15"/>
        </w:rPr>
        <w:t>t</w:t>
      </w:r>
      <w:r>
        <w:rPr>
          <w:b/>
          <w:w w:val="125"/>
          <w:sz w:val="15"/>
        </w:rPr>
        <w:t>e</w:t>
      </w:r>
      <w:r>
        <w:rPr>
          <w:b/>
          <w:spacing w:val="-1"/>
          <w:w w:val="125"/>
          <w:sz w:val="15"/>
        </w:rPr>
        <w:t>r</w:t>
      </w:r>
      <w:r>
        <w:rPr>
          <w:b/>
          <w:w w:val="125"/>
          <w:sz w:val="15"/>
        </w:rPr>
        <w:t>no</w:t>
      </w:r>
      <w:r>
        <w:rPr>
          <w:b/>
          <w:w w:val="125"/>
          <w:sz w:val="15"/>
        </w:rPr>
        <w:t>s</w:t>
      </w:r>
      <w:r>
        <w:rPr>
          <w:b/>
          <w:spacing w:val="10"/>
          <w:sz w:val="15"/>
        </w:rPr>
        <w:t> </w:t>
      </w:r>
      <w:r>
        <w:rPr>
          <w:b/>
          <w:spacing w:val="-1"/>
          <w:w w:val="125"/>
          <w:sz w:val="15"/>
        </w:rPr>
        <w:t>(M</w:t>
      </w:r>
      <w:r>
        <w:rPr>
          <w:b/>
          <w:spacing w:val="1"/>
          <w:w w:val="125"/>
          <w:sz w:val="15"/>
        </w:rPr>
        <w:t>a</w:t>
      </w:r>
      <w:r>
        <w:rPr>
          <w:b/>
          <w:spacing w:val="-2"/>
          <w:w w:val="125"/>
          <w:sz w:val="15"/>
        </w:rPr>
        <w:t>n</w:t>
      </w:r>
      <w:r>
        <w:rPr>
          <w:b/>
          <w:w w:val="125"/>
          <w:sz w:val="15"/>
        </w:rPr>
        <w:t>e</w:t>
      </w:r>
      <w:r>
        <w:rPr>
          <w:b/>
          <w:w w:val="125"/>
          <w:sz w:val="15"/>
        </w:rPr>
        <w:t>jo</w:t>
      </w:r>
      <w:r>
        <w:rPr>
          <w:b/>
          <w:spacing w:val="10"/>
          <w:sz w:val="15"/>
        </w:rPr>
        <w:t> </w:t>
      </w:r>
      <w:r>
        <w:rPr>
          <w:b/>
          <w:w w:val="125"/>
          <w:sz w:val="15"/>
        </w:rPr>
        <w:t>y</w:t>
      </w:r>
      <w:r>
        <w:rPr>
          <w:b/>
          <w:spacing w:val="4"/>
          <w:sz w:val="15"/>
        </w:rPr>
        <w:t> </w:t>
      </w:r>
      <w:r>
        <w:rPr>
          <w:b/>
          <w:spacing w:val="-1"/>
          <w:w w:val="125"/>
          <w:sz w:val="15"/>
        </w:rPr>
        <w:t>A</w:t>
      </w:r>
      <w:r>
        <w:rPr>
          <w:b/>
          <w:w w:val="125"/>
          <w:sz w:val="15"/>
        </w:rPr>
        <w:t>p</w:t>
      </w:r>
      <w:r>
        <w:rPr>
          <w:b/>
          <w:spacing w:val="-1"/>
          <w:w w:val="125"/>
          <w:sz w:val="15"/>
        </w:rPr>
        <w:t>l</w:t>
      </w:r>
      <w:r>
        <w:rPr>
          <w:b/>
          <w:w w:val="125"/>
          <w:sz w:val="15"/>
        </w:rPr>
        <w:t>i</w:t>
      </w:r>
      <w:r>
        <w:rPr>
          <w:b/>
          <w:w w:val="125"/>
          <w:sz w:val="15"/>
        </w:rPr>
        <w:t>c</w:t>
      </w:r>
      <w:r>
        <w:rPr>
          <w:b/>
          <w:spacing w:val="-1"/>
          <w:w w:val="125"/>
          <w:sz w:val="15"/>
        </w:rPr>
        <w:t>a</w:t>
      </w:r>
      <w:r>
        <w:rPr>
          <w:b/>
          <w:w w:val="125"/>
          <w:sz w:val="15"/>
        </w:rPr>
        <w:t>c</w:t>
      </w:r>
      <w:r>
        <w:rPr>
          <w:b/>
          <w:spacing w:val="-1"/>
          <w:w w:val="125"/>
          <w:sz w:val="15"/>
        </w:rPr>
        <w:t>i</w:t>
      </w:r>
      <w:r>
        <w:rPr>
          <w:b/>
          <w:w w:val="125"/>
          <w:sz w:val="15"/>
        </w:rPr>
        <w:t>ó</w:t>
      </w:r>
      <w:r>
        <w:rPr>
          <w:b/>
          <w:w w:val="125"/>
          <w:sz w:val="15"/>
        </w:rPr>
        <w:t>n)</w:t>
      </w:r>
    </w:p>
    <w:p>
      <w:pPr>
        <w:spacing w:line="165" w:lineRule="exact" w:before="0" w:after="9"/>
        <w:ind w:left="154" w:right="0" w:firstLine="0"/>
        <w:jc w:val="center"/>
        <w:rPr>
          <w:b/>
          <w:sz w:val="15"/>
        </w:rPr>
      </w:pPr>
      <w:r>
        <w:rPr>
          <w:b/>
          <w:w w:val="125"/>
          <w:sz w:val="15"/>
        </w:rPr>
        <w:t>Tejupilco Ejercicio Fiscal 2012</w:t>
      </w:r>
    </w:p>
    <w:p>
      <w:pPr>
        <w:pStyle w:val="BodyText"/>
        <w:spacing w:line="20" w:lineRule="exact"/>
        <w:ind w:left="2672"/>
        <w:rPr>
          <w:sz w:val="2"/>
        </w:rPr>
      </w:pPr>
      <w:r>
        <w:rPr>
          <w:sz w:val="2"/>
        </w:rPr>
        <w:pict>
          <v:group style="width:305.850pt;height:.6pt;mso-position-horizontal-relative:char;mso-position-vertical-relative:line" coordorigin="0,0" coordsize="6117,12">
            <v:shape style="position:absolute;left:6;top:6;width:6105;height:2" coordorigin="6,6" coordsize="6105,0" path="m6,6l6,6,6110,6e" filled="false" stroked="true" strokeweight=".580939pt" strokecolor="#000000">
              <v:path arrowok="t"/>
            </v:shape>
          </v:group>
        </w:pict>
      </w:r>
      <w:r>
        <w:rPr>
          <w:sz w:val="2"/>
        </w:rPr>
      </w:r>
    </w:p>
    <w:p>
      <w:pPr>
        <w:pStyle w:val="BodyText"/>
        <w:rPr>
          <w:b/>
          <w:sz w:val="20"/>
        </w:rPr>
      </w:pPr>
    </w:p>
    <w:p>
      <w:pPr>
        <w:pStyle w:val="BodyText"/>
        <w:spacing w:before="5"/>
        <w:rPr>
          <w:b/>
          <w:sz w:val="12"/>
        </w:rPr>
      </w:pPr>
    </w:p>
    <w:tbl>
      <w:tblPr>
        <w:tblW w:w="0" w:type="auto"/>
        <w:jc w:val="left"/>
        <w:tblInd w:w="267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286"/>
        <w:gridCol w:w="2814"/>
      </w:tblGrid>
      <w:tr>
        <w:trPr>
          <w:trHeight w:val="196" w:hRule="exact"/>
        </w:trPr>
        <w:tc>
          <w:tcPr>
            <w:tcW w:w="6101" w:type="dxa"/>
            <w:gridSpan w:val="2"/>
            <w:tcBorders>
              <w:left w:val="single" w:sz="6" w:space="0" w:color="000000"/>
              <w:right w:val="single" w:sz="6" w:space="0" w:color="000000"/>
            </w:tcBorders>
            <w:shd w:val="clear" w:color="auto" w:fill="E6B8B7"/>
          </w:tcPr>
          <w:p>
            <w:pPr>
              <w:pStyle w:val="TableParagraph"/>
              <w:spacing w:before="3"/>
              <w:ind w:left="2808" w:right="2791"/>
              <w:jc w:val="center"/>
              <w:rPr>
                <w:b/>
                <w:sz w:val="15"/>
              </w:rPr>
            </w:pPr>
            <w:r>
              <w:rPr>
                <w:b/>
                <w:w w:val="125"/>
                <w:sz w:val="15"/>
              </w:rPr>
              <w:t>FISM</w:t>
            </w:r>
          </w:p>
        </w:tc>
      </w:tr>
      <w:tr>
        <w:trPr>
          <w:trHeight w:val="197" w:hRule="exact"/>
        </w:trPr>
        <w:tc>
          <w:tcPr>
            <w:tcW w:w="3286" w:type="dxa"/>
            <w:tcBorders>
              <w:left w:val="single" w:sz="6" w:space="0" w:color="000000"/>
              <w:right w:val="single" w:sz="6" w:space="0" w:color="000000"/>
            </w:tcBorders>
            <w:shd w:val="clear" w:color="auto" w:fill="F1DCDB"/>
          </w:tcPr>
          <w:p>
            <w:pPr>
              <w:pStyle w:val="TableParagraph"/>
              <w:spacing w:before="4"/>
              <w:ind w:left="1157" w:right="1148"/>
              <w:jc w:val="center"/>
              <w:rPr>
                <w:b/>
                <w:sz w:val="15"/>
              </w:rPr>
            </w:pPr>
            <w:r>
              <w:rPr>
                <w:b/>
                <w:w w:val="125"/>
                <w:sz w:val="15"/>
              </w:rPr>
              <w:t>Fortalezas</w:t>
            </w:r>
          </w:p>
        </w:tc>
        <w:tc>
          <w:tcPr>
            <w:tcW w:w="2814" w:type="dxa"/>
            <w:tcBorders>
              <w:left w:val="single" w:sz="6" w:space="0" w:color="000000"/>
              <w:right w:val="single" w:sz="6" w:space="0" w:color="000000"/>
            </w:tcBorders>
            <w:shd w:val="clear" w:color="auto" w:fill="F1DCDB"/>
          </w:tcPr>
          <w:p>
            <w:pPr>
              <w:pStyle w:val="TableParagraph"/>
              <w:spacing w:before="4"/>
              <w:ind w:left="876" w:right="13"/>
              <w:rPr>
                <w:b/>
                <w:sz w:val="15"/>
              </w:rPr>
            </w:pPr>
            <w:r>
              <w:rPr>
                <w:b/>
                <w:w w:val="125"/>
                <w:sz w:val="15"/>
              </w:rPr>
              <w:t>Debilidades</w:t>
            </w:r>
          </w:p>
        </w:tc>
      </w:tr>
      <w:tr>
        <w:trPr>
          <w:trHeight w:val="1181" w:hRule="exact"/>
        </w:trPr>
        <w:tc>
          <w:tcPr>
            <w:tcW w:w="3286" w:type="dxa"/>
            <w:tcBorders>
              <w:left w:val="single" w:sz="6" w:space="0" w:color="000000"/>
              <w:right w:val="single" w:sz="6" w:space="0" w:color="000000"/>
            </w:tcBorders>
          </w:tcPr>
          <w:p>
            <w:pPr>
              <w:pStyle w:val="TableParagraph"/>
              <w:spacing w:line="273" w:lineRule="auto" w:before="4"/>
              <w:ind w:left="26" w:right="34" w:firstLine="1"/>
              <w:rPr>
                <w:sz w:val="15"/>
              </w:rPr>
            </w:pPr>
            <w:r>
              <w:rPr>
                <w:w w:val="125"/>
                <w:sz w:val="15"/>
              </w:rPr>
              <w:t>El municipio dispone de controles para la operación de los fondos del Ramo General 33 y para identificar a las comunidades que son viables para la realización de</w:t>
            </w:r>
            <w:r>
              <w:rPr>
                <w:spacing w:val="-3"/>
                <w:w w:val="125"/>
                <w:sz w:val="15"/>
              </w:rPr>
              <w:t> </w:t>
            </w:r>
            <w:r>
              <w:rPr>
                <w:w w:val="125"/>
                <w:sz w:val="15"/>
              </w:rPr>
              <w:t>obras.</w:t>
            </w:r>
          </w:p>
        </w:tc>
        <w:tc>
          <w:tcPr>
            <w:tcW w:w="2814" w:type="dxa"/>
            <w:tcBorders>
              <w:left w:val="single" w:sz="6" w:space="0" w:color="000000"/>
              <w:right w:val="single" w:sz="6" w:space="0" w:color="000000"/>
            </w:tcBorders>
          </w:tcPr>
          <w:p>
            <w:pPr>
              <w:pStyle w:val="TableParagraph"/>
              <w:spacing w:line="273" w:lineRule="auto" w:before="4"/>
              <w:ind w:left="27" w:right="13" w:hanging="2"/>
              <w:rPr>
                <w:sz w:val="15"/>
              </w:rPr>
            </w:pPr>
            <w:r>
              <w:rPr>
                <w:w w:val="125"/>
                <w:sz w:val="15"/>
              </w:rPr>
              <w:t>El personal que interviene en la operación del fondo cambia en cada administración.</w:t>
            </w:r>
          </w:p>
        </w:tc>
      </w:tr>
      <w:tr>
        <w:trPr>
          <w:trHeight w:val="1071" w:hRule="exact"/>
        </w:trPr>
        <w:tc>
          <w:tcPr>
            <w:tcW w:w="3286" w:type="dxa"/>
            <w:tcBorders>
              <w:left w:val="single" w:sz="6" w:space="0" w:color="000000"/>
              <w:right w:val="single" w:sz="6" w:space="0" w:color="000000"/>
            </w:tcBorders>
          </w:tcPr>
          <w:p>
            <w:pPr>
              <w:pStyle w:val="TableParagraph"/>
              <w:spacing w:line="273" w:lineRule="auto" w:before="3"/>
              <w:ind w:left="26" w:right="34" w:firstLine="1"/>
              <w:rPr>
                <w:sz w:val="15"/>
              </w:rPr>
            </w:pPr>
            <w:r>
              <w:rPr>
                <w:w w:val="125"/>
                <w:sz w:val="15"/>
              </w:rPr>
              <w:t>El municipio garantiza la ejecución de obras por medio de la supervisión de las bitácoras de trabajo, las estimaciones y los reportes fotográficos.</w:t>
            </w:r>
          </w:p>
        </w:tc>
        <w:tc>
          <w:tcPr>
            <w:tcW w:w="2814" w:type="dxa"/>
            <w:tcBorders>
              <w:left w:val="single" w:sz="6" w:space="0" w:color="000000"/>
              <w:right w:val="single" w:sz="6" w:space="0" w:color="000000"/>
            </w:tcBorders>
          </w:tcPr>
          <w:p>
            <w:pPr>
              <w:pStyle w:val="TableParagraph"/>
              <w:spacing w:line="273" w:lineRule="auto" w:before="3"/>
              <w:ind w:left="26" w:right="13"/>
              <w:rPr>
                <w:sz w:val="15"/>
              </w:rPr>
            </w:pPr>
            <w:r>
              <w:rPr>
                <w:w w:val="125"/>
                <w:sz w:val="15"/>
              </w:rPr>
              <w:t>El municipio no dispone de un código de conducta que promueva entre su personal los valores éticos que deben aplicar.</w:t>
            </w:r>
          </w:p>
        </w:tc>
      </w:tr>
      <w:tr>
        <w:trPr>
          <w:trHeight w:val="687" w:hRule="exact"/>
        </w:trPr>
        <w:tc>
          <w:tcPr>
            <w:tcW w:w="3286" w:type="dxa"/>
            <w:tcBorders>
              <w:left w:val="single" w:sz="6" w:space="0" w:color="000000"/>
              <w:right w:val="single" w:sz="6" w:space="0" w:color="000000"/>
            </w:tcBorders>
          </w:tcPr>
          <w:p>
            <w:pPr/>
          </w:p>
        </w:tc>
        <w:tc>
          <w:tcPr>
            <w:tcW w:w="2814" w:type="dxa"/>
            <w:tcBorders>
              <w:left w:val="single" w:sz="6" w:space="0" w:color="000000"/>
              <w:right w:val="single" w:sz="6" w:space="0" w:color="000000"/>
            </w:tcBorders>
          </w:tcPr>
          <w:p>
            <w:pPr>
              <w:pStyle w:val="TableParagraph"/>
              <w:spacing w:line="273" w:lineRule="auto" w:before="4"/>
              <w:ind w:left="26" w:right="95"/>
              <w:rPr>
                <w:sz w:val="15"/>
              </w:rPr>
            </w:pPr>
            <w:r>
              <w:rPr>
                <w:w w:val="125"/>
                <w:sz w:val="15"/>
              </w:rPr>
              <w:t>El municipio carece de manuales de organización y de procedimientos.</w:t>
            </w:r>
          </w:p>
        </w:tc>
      </w:tr>
      <w:tr>
        <w:trPr>
          <w:trHeight w:val="1377" w:hRule="exact"/>
        </w:trPr>
        <w:tc>
          <w:tcPr>
            <w:tcW w:w="3286" w:type="dxa"/>
            <w:tcBorders>
              <w:left w:val="single" w:sz="6" w:space="0" w:color="000000"/>
              <w:right w:val="single" w:sz="6" w:space="0" w:color="000000"/>
            </w:tcBorders>
          </w:tcPr>
          <w:p>
            <w:pPr/>
          </w:p>
        </w:tc>
        <w:tc>
          <w:tcPr>
            <w:tcW w:w="2814" w:type="dxa"/>
            <w:tcBorders>
              <w:left w:val="single" w:sz="6" w:space="0" w:color="000000"/>
              <w:right w:val="single" w:sz="6" w:space="0" w:color="000000"/>
            </w:tcBorders>
          </w:tcPr>
          <w:p>
            <w:pPr>
              <w:pStyle w:val="TableParagraph"/>
              <w:spacing w:line="273" w:lineRule="auto" w:before="4"/>
              <w:ind w:left="25" w:right="95" w:firstLine="1"/>
              <w:rPr>
                <w:sz w:val="15"/>
              </w:rPr>
            </w:pPr>
            <w:r>
              <w:rPr>
                <w:w w:val="125"/>
                <w:sz w:val="15"/>
              </w:rPr>
              <w:t>El área de obra pública no dispone de mecanismos de control que le permitan hacer efectivas las fianzas de cumplimiento, anticipo y de vicios ocultos.</w:t>
            </w:r>
          </w:p>
        </w:tc>
      </w:tr>
      <w:tr>
        <w:trPr>
          <w:trHeight w:val="1287" w:hRule="exact"/>
        </w:trPr>
        <w:tc>
          <w:tcPr>
            <w:tcW w:w="3286" w:type="dxa"/>
            <w:tcBorders>
              <w:left w:val="single" w:sz="6" w:space="0" w:color="000000"/>
              <w:right w:val="single" w:sz="6" w:space="0" w:color="000000"/>
            </w:tcBorders>
          </w:tcPr>
          <w:p>
            <w:pPr/>
          </w:p>
        </w:tc>
        <w:tc>
          <w:tcPr>
            <w:tcW w:w="2814" w:type="dxa"/>
            <w:tcBorders>
              <w:left w:val="single" w:sz="6" w:space="0" w:color="000000"/>
              <w:right w:val="single" w:sz="6" w:space="0" w:color="000000"/>
            </w:tcBorders>
          </w:tcPr>
          <w:p>
            <w:pPr>
              <w:pStyle w:val="TableParagraph"/>
              <w:spacing w:line="273" w:lineRule="auto" w:before="5"/>
              <w:ind w:left="26" w:right="95"/>
              <w:rPr>
                <w:sz w:val="15"/>
              </w:rPr>
            </w:pPr>
            <w:r>
              <w:rPr>
                <w:w w:val="125"/>
                <w:sz w:val="15"/>
              </w:rPr>
              <w:t>El municipio no ha implementado acciones de mejora para fortalecer los controles internos utilizados en la administración y ejercicio de los recursos del fondo.</w:t>
            </w:r>
          </w:p>
        </w:tc>
      </w:tr>
      <w:tr>
        <w:trPr>
          <w:trHeight w:val="1052" w:hRule="exact"/>
        </w:trPr>
        <w:tc>
          <w:tcPr>
            <w:tcW w:w="3286" w:type="dxa"/>
            <w:tcBorders>
              <w:left w:val="single" w:sz="6" w:space="0" w:color="000000"/>
              <w:right w:val="single" w:sz="6" w:space="0" w:color="000000"/>
            </w:tcBorders>
          </w:tcPr>
          <w:p>
            <w:pPr/>
          </w:p>
        </w:tc>
        <w:tc>
          <w:tcPr>
            <w:tcW w:w="2814" w:type="dxa"/>
            <w:tcBorders>
              <w:left w:val="single" w:sz="6" w:space="0" w:color="000000"/>
              <w:right w:val="single" w:sz="6" w:space="0" w:color="000000"/>
            </w:tcBorders>
          </w:tcPr>
          <w:p>
            <w:pPr>
              <w:pStyle w:val="TableParagraph"/>
              <w:spacing w:line="273" w:lineRule="auto" w:before="4"/>
              <w:ind w:left="25" w:right="430" w:firstLine="1"/>
              <w:rPr>
                <w:sz w:val="15"/>
              </w:rPr>
            </w:pPr>
            <w:r>
              <w:rPr>
                <w:w w:val="125"/>
                <w:sz w:val="15"/>
              </w:rPr>
              <w:t>No existen actividades de control que aseguren que el personal que recibe la información la analice adecuadamente.</w:t>
            </w:r>
          </w:p>
        </w:tc>
      </w:tr>
    </w:tbl>
    <w:p>
      <w:pPr>
        <w:spacing w:after="0" w:line="273" w:lineRule="auto"/>
        <w:rPr>
          <w:sz w:val="15"/>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0"/>
        </w:rPr>
      </w:pPr>
    </w:p>
    <w:p>
      <w:pPr>
        <w:pStyle w:val="BodyText"/>
        <w:ind w:left="2578"/>
        <w:rPr>
          <w:sz w:val="20"/>
        </w:rPr>
      </w:pPr>
      <w:r>
        <w:rPr>
          <w:sz w:val="20"/>
        </w:rPr>
        <w:pict>
          <v:group style="width:306pt;height:37.8pt;mso-position-horizontal-relative:char;mso-position-vertical-relative:line" coordorigin="0,0" coordsize="6120,756">
            <v:shape style="position:absolute;left:0;top:0;width:6120;height:756" type="#_x0000_t75" stroked="false">
              <v:imagedata r:id="rId95" o:title=""/>
            </v:shape>
            <v:shape style="position:absolute;left:144;top:21;width:5827;height:200" type="#_x0000_t202" filled="false" stroked="false">
              <v:textbox inset="0,0,0,0">
                <w:txbxContent>
                  <w:p>
                    <w:pPr>
                      <w:spacing w:line="199" w:lineRule="exact" w:before="0"/>
                      <w:ind w:left="0" w:right="-4" w:firstLine="0"/>
                      <w:jc w:val="left"/>
                      <w:rPr>
                        <w:sz w:val="20"/>
                      </w:rPr>
                    </w:pPr>
                    <w:r>
                      <w:rPr>
                        <w:b/>
                        <w:sz w:val="20"/>
                      </w:rPr>
                      <w:t>Fuente</w:t>
                    </w:r>
                    <w:r>
                      <w:rPr>
                        <w:sz w:val="20"/>
                      </w:rPr>
                      <w:t>:</w:t>
                    </w:r>
                    <w:r>
                      <w:rPr>
                        <w:spacing w:val="-5"/>
                        <w:sz w:val="20"/>
                      </w:rPr>
                      <w:t> </w:t>
                    </w:r>
                    <w:r>
                      <w:rPr>
                        <w:sz w:val="20"/>
                      </w:rPr>
                      <w:t>Elaboración</w:t>
                    </w:r>
                    <w:r>
                      <w:rPr>
                        <w:spacing w:val="-3"/>
                        <w:sz w:val="20"/>
                      </w:rPr>
                      <w:t> </w:t>
                    </w:r>
                    <w:r>
                      <w:rPr>
                        <w:sz w:val="20"/>
                      </w:rPr>
                      <w:t>propia</w:t>
                    </w:r>
                    <w:r>
                      <w:rPr>
                        <w:spacing w:val="-3"/>
                        <w:sz w:val="20"/>
                      </w:rPr>
                      <w:t> </w:t>
                    </w:r>
                    <w:r>
                      <w:rPr>
                        <w:sz w:val="20"/>
                      </w:rPr>
                      <w:t>con</w:t>
                    </w:r>
                    <w:r>
                      <w:rPr>
                        <w:spacing w:val="-6"/>
                        <w:sz w:val="20"/>
                      </w:rPr>
                      <w:t> </w:t>
                    </w:r>
                    <w:r>
                      <w:rPr>
                        <w:sz w:val="20"/>
                      </w:rPr>
                      <w:t>base</w:t>
                    </w:r>
                    <w:r>
                      <w:rPr>
                        <w:spacing w:val="-6"/>
                        <w:sz w:val="20"/>
                      </w:rPr>
                      <w:t> </w:t>
                    </w:r>
                    <w:r>
                      <w:rPr>
                        <w:sz w:val="20"/>
                      </w:rPr>
                      <w:t>en</w:t>
                    </w:r>
                    <w:r>
                      <w:rPr>
                        <w:spacing w:val="-6"/>
                        <w:sz w:val="20"/>
                      </w:rPr>
                      <w:t> </w:t>
                    </w:r>
                    <w:r>
                      <w:rPr>
                        <w:sz w:val="20"/>
                      </w:rPr>
                      <w:t>el</w:t>
                    </w:r>
                    <w:r>
                      <w:rPr>
                        <w:spacing w:val="-7"/>
                        <w:sz w:val="20"/>
                      </w:rPr>
                      <w:t> </w:t>
                    </w:r>
                    <w:r>
                      <w:rPr>
                        <w:sz w:val="20"/>
                      </w:rPr>
                      <w:t>Informe</w:t>
                    </w:r>
                    <w:r>
                      <w:rPr>
                        <w:spacing w:val="-6"/>
                        <w:sz w:val="20"/>
                      </w:rPr>
                      <w:t> </w:t>
                    </w:r>
                    <w:r>
                      <w:rPr>
                        <w:sz w:val="20"/>
                      </w:rPr>
                      <w:t>de</w:t>
                    </w:r>
                    <w:r>
                      <w:rPr>
                        <w:spacing w:val="-6"/>
                        <w:sz w:val="20"/>
                      </w:rPr>
                      <w:t> </w:t>
                    </w:r>
                    <w:r>
                      <w:rPr>
                        <w:sz w:val="20"/>
                      </w:rPr>
                      <w:t>Resultados</w:t>
                    </w:r>
                  </w:p>
                </w:txbxContent>
              </v:textbox>
              <w10:wrap type="none"/>
            </v:shape>
            <v:shape style="position:absolute;left:144;top:137;width:5646;height:317" type="#_x0000_t202" filled="false" stroked="false">
              <v:textbox inset="0,0,0,0">
                <w:txbxContent>
                  <w:p>
                    <w:pPr>
                      <w:spacing w:line="316" w:lineRule="exact" w:before="0"/>
                      <w:ind w:left="0" w:right="-3" w:firstLine="0"/>
                      <w:jc w:val="left"/>
                      <w:rPr>
                        <w:sz w:val="20"/>
                      </w:rPr>
                    </w:pPr>
                    <w:r>
                      <w:rPr>
                        <w:w w:val="99"/>
                        <w:sz w:val="20"/>
                      </w:rPr>
                      <w:t>de</w:t>
                    </w:r>
                    <w:r>
                      <w:rPr>
                        <w:spacing w:val="-1"/>
                        <w:sz w:val="20"/>
                      </w:rPr>
                      <w:t> </w:t>
                    </w:r>
                    <w:r>
                      <w:rPr>
                        <w:spacing w:val="1"/>
                        <w:w w:val="99"/>
                        <w:sz w:val="20"/>
                      </w:rPr>
                      <w:t>l</w:t>
                    </w:r>
                    <w:r>
                      <w:rPr>
                        <w:w w:val="99"/>
                        <w:sz w:val="20"/>
                      </w:rPr>
                      <w:t>a</w:t>
                    </w:r>
                    <w:r>
                      <w:rPr>
                        <w:spacing w:val="-8"/>
                        <w:sz w:val="20"/>
                      </w:rPr>
                      <w:t> </w:t>
                    </w:r>
                    <w:r>
                      <w:rPr>
                        <w:spacing w:val="-154"/>
                        <w:position w:val="8"/>
                        <w:sz w:val="24"/>
                      </w:rPr>
                      <w:t>A</w:t>
                    </w:r>
                    <w:r>
                      <w:rPr>
                        <w:w w:val="99"/>
                        <w:sz w:val="20"/>
                      </w:rPr>
                      <w:t>F</w:t>
                    </w:r>
                    <w:r>
                      <w:rPr>
                        <w:spacing w:val="-13"/>
                        <w:w w:val="99"/>
                        <w:sz w:val="20"/>
                      </w:rPr>
                      <w:t>i</w:t>
                    </w:r>
                    <w:r>
                      <w:rPr>
                        <w:spacing w:val="-123"/>
                        <w:w w:val="99"/>
                        <w:position w:val="8"/>
                        <w:sz w:val="24"/>
                      </w:rPr>
                      <w:t>n</w:t>
                    </w:r>
                    <w:r>
                      <w:rPr>
                        <w:spacing w:val="1"/>
                        <w:w w:val="99"/>
                        <w:sz w:val="20"/>
                      </w:rPr>
                      <w:t>s</w:t>
                    </w:r>
                    <w:r>
                      <w:rPr>
                        <w:spacing w:val="-78"/>
                        <w:w w:val="99"/>
                        <w:sz w:val="20"/>
                      </w:rPr>
                      <w:t>c</w:t>
                    </w:r>
                    <w:r>
                      <w:rPr>
                        <w:spacing w:val="-55"/>
                        <w:w w:val="99"/>
                        <w:position w:val="8"/>
                        <w:sz w:val="24"/>
                      </w:rPr>
                      <w:t>e</w:t>
                    </w:r>
                    <w:r>
                      <w:rPr>
                        <w:spacing w:val="-56"/>
                        <w:w w:val="99"/>
                        <w:sz w:val="20"/>
                      </w:rPr>
                      <w:t>a</w:t>
                    </w:r>
                    <w:r>
                      <w:rPr>
                        <w:spacing w:val="-64"/>
                        <w:position w:val="8"/>
                        <w:sz w:val="24"/>
                      </w:rPr>
                      <w:t>x</w:t>
                    </w:r>
                    <w:r>
                      <w:rPr>
                        <w:spacing w:val="-1"/>
                        <w:w w:val="99"/>
                        <w:sz w:val="20"/>
                      </w:rPr>
                      <w:t>l</w:t>
                    </w:r>
                    <w:r>
                      <w:rPr>
                        <w:spacing w:val="-27"/>
                        <w:w w:val="99"/>
                        <w:sz w:val="20"/>
                      </w:rPr>
                      <w:t>i</w:t>
                    </w:r>
                    <w:r>
                      <w:rPr>
                        <w:spacing w:val="-104"/>
                        <w:w w:val="99"/>
                        <w:position w:val="8"/>
                        <w:sz w:val="24"/>
                      </w:rPr>
                      <w:t>o</w:t>
                    </w:r>
                    <w:r>
                      <w:rPr>
                        <w:spacing w:val="-2"/>
                        <w:w w:val="99"/>
                        <w:sz w:val="20"/>
                      </w:rPr>
                      <w:t>z</w:t>
                    </w:r>
                    <w:r>
                      <w:rPr>
                        <w:spacing w:val="-38"/>
                        <w:w w:val="99"/>
                        <w:sz w:val="20"/>
                      </w:rPr>
                      <w:t>a</w:t>
                    </w:r>
                    <w:r>
                      <w:rPr>
                        <w:spacing w:val="-96"/>
                        <w:w w:val="99"/>
                        <w:position w:val="8"/>
                        <w:sz w:val="24"/>
                      </w:rPr>
                      <w:t>6</w:t>
                    </w:r>
                    <w:r>
                      <w:rPr>
                        <w:spacing w:val="-3"/>
                        <w:w w:val="99"/>
                        <w:sz w:val="20"/>
                      </w:rPr>
                      <w:t>c</w:t>
                    </w:r>
                    <w:r>
                      <w:rPr>
                        <w:spacing w:val="-131"/>
                        <w:w w:val="99"/>
                        <w:position w:val="8"/>
                        <w:sz w:val="24"/>
                      </w:rPr>
                      <w:t>0</w:t>
                    </w:r>
                    <w:r>
                      <w:rPr>
                        <w:spacing w:val="1"/>
                        <w:w w:val="99"/>
                        <w:sz w:val="20"/>
                      </w:rPr>
                      <w:t>i</w:t>
                    </w:r>
                    <w:r>
                      <w:rPr>
                        <w:w w:val="99"/>
                        <w:sz w:val="20"/>
                      </w:rPr>
                      <w:t>ón</w:t>
                    </w:r>
                    <w:r>
                      <w:rPr>
                        <w:spacing w:val="1"/>
                        <w:sz w:val="20"/>
                      </w:rPr>
                      <w:t> </w:t>
                    </w:r>
                    <w:r>
                      <w:rPr>
                        <w:spacing w:val="-1"/>
                        <w:w w:val="99"/>
                        <w:sz w:val="20"/>
                      </w:rPr>
                      <w:t>S</w:t>
                    </w:r>
                    <w:r>
                      <w:rPr>
                        <w:w w:val="99"/>
                        <w:sz w:val="20"/>
                      </w:rPr>
                      <w:t>u</w:t>
                    </w:r>
                    <w:r>
                      <w:rPr>
                        <w:spacing w:val="1"/>
                        <w:w w:val="99"/>
                        <w:sz w:val="20"/>
                      </w:rPr>
                      <w:t>p</w:t>
                    </w:r>
                    <w:r>
                      <w:rPr>
                        <w:w w:val="99"/>
                        <w:sz w:val="20"/>
                      </w:rPr>
                      <w:t>eri</w:t>
                    </w:r>
                    <w:r>
                      <w:rPr>
                        <w:spacing w:val="-1"/>
                        <w:w w:val="99"/>
                        <w:sz w:val="20"/>
                      </w:rPr>
                      <w:t>o</w:t>
                    </w:r>
                    <w:r>
                      <w:rPr>
                        <w:w w:val="99"/>
                        <w:sz w:val="20"/>
                      </w:rPr>
                      <w:t>r</w:t>
                    </w:r>
                    <w:r>
                      <w:rPr>
                        <w:spacing w:val="2"/>
                        <w:sz w:val="20"/>
                      </w:rPr>
                      <w:t> </w:t>
                    </w:r>
                    <w:r>
                      <w:rPr>
                        <w:w w:val="99"/>
                        <w:sz w:val="20"/>
                      </w:rPr>
                      <w:t>de</w:t>
                    </w:r>
                    <w:r>
                      <w:rPr>
                        <w:spacing w:val="1"/>
                        <w:sz w:val="20"/>
                      </w:rPr>
                      <w:t> </w:t>
                    </w:r>
                    <w:r>
                      <w:rPr>
                        <w:spacing w:val="-1"/>
                        <w:w w:val="99"/>
                        <w:sz w:val="20"/>
                      </w:rPr>
                      <w:t>l</w:t>
                    </w:r>
                    <w:r>
                      <w:rPr>
                        <w:w w:val="99"/>
                        <w:sz w:val="20"/>
                      </w:rPr>
                      <w:t>as</w:t>
                    </w:r>
                    <w:r>
                      <w:rPr>
                        <w:sz w:val="20"/>
                      </w:rPr>
                      <w:t> </w:t>
                    </w:r>
                    <w:r>
                      <w:rPr>
                        <w:w w:val="99"/>
                        <w:sz w:val="20"/>
                      </w:rPr>
                      <w:t>c</w:t>
                    </w:r>
                    <w:r>
                      <w:rPr>
                        <w:w w:val="99"/>
                        <w:sz w:val="20"/>
                      </w:rPr>
                      <w:t>u</w:t>
                    </w:r>
                    <w:r>
                      <w:rPr>
                        <w:spacing w:val="-1"/>
                        <w:w w:val="99"/>
                        <w:sz w:val="20"/>
                      </w:rPr>
                      <w:t>e</w:t>
                    </w:r>
                    <w:r>
                      <w:rPr>
                        <w:spacing w:val="1"/>
                        <w:w w:val="99"/>
                        <w:sz w:val="20"/>
                      </w:rPr>
                      <w:t>n</w:t>
                    </w:r>
                    <w:r>
                      <w:rPr>
                        <w:w w:val="99"/>
                        <w:sz w:val="20"/>
                      </w:rPr>
                      <w:t>tas</w:t>
                    </w:r>
                    <w:r>
                      <w:rPr>
                        <w:sz w:val="20"/>
                      </w:rPr>
                      <w:t> </w:t>
                    </w:r>
                    <w:r>
                      <w:rPr>
                        <w:w w:val="99"/>
                        <w:sz w:val="20"/>
                      </w:rPr>
                      <w:t>p</w:t>
                    </w:r>
                    <w:r>
                      <w:rPr>
                        <w:spacing w:val="1"/>
                        <w:w w:val="99"/>
                        <w:sz w:val="20"/>
                      </w:rPr>
                      <w:t>ú</w:t>
                    </w:r>
                    <w:r>
                      <w:rPr>
                        <w:w w:val="99"/>
                        <w:sz w:val="20"/>
                      </w:rPr>
                      <w:t>bl</w:t>
                    </w:r>
                    <w:r>
                      <w:rPr>
                        <w:spacing w:val="-1"/>
                        <w:w w:val="99"/>
                        <w:sz w:val="20"/>
                      </w:rPr>
                      <w:t>i</w:t>
                    </w:r>
                    <w:r>
                      <w:rPr>
                        <w:spacing w:val="1"/>
                        <w:w w:val="99"/>
                        <w:sz w:val="20"/>
                      </w:rPr>
                      <w:t>c</w:t>
                    </w:r>
                    <w:r>
                      <w:rPr>
                        <w:w w:val="99"/>
                        <w:sz w:val="20"/>
                      </w:rPr>
                      <w:t>as</w:t>
                    </w:r>
                    <w:r>
                      <w:rPr>
                        <w:sz w:val="20"/>
                      </w:rPr>
                      <w:t> </w:t>
                    </w:r>
                    <w:r>
                      <w:rPr>
                        <w:w w:val="99"/>
                        <w:sz w:val="20"/>
                      </w:rPr>
                      <w:t>2</w:t>
                    </w:r>
                    <w:r>
                      <w:rPr>
                        <w:spacing w:val="1"/>
                        <w:w w:val="99"/>
                        <w:sz w:val="20"/>
                      </w:rPr>
                      <w:t>0</w:t>
                    </w:r>
                    <w:r>
                      <w:rPr>
                        <w:w w:val="99"/>
                        <w:sz w:val="20"/>
                      </w:rPr>
                      <w:t>0</w:t>
                    </w:r>
                    <w:r>
                      <w:rPr>
                        <w:spacing w:val="2"/>
                        <w:w w:val="99"/>
                        <w:sz w:val="20"/>
                      </w:rPr>
                      <w:t>8</w:t>
                    </w:r>
                    <w:r>
                      <w:rPr>
                        <w:w w:val="99"/>
                        <w:sz w:val="20"/>
                      </w:rPr>
                      <w:t>-</w:t>
                    </w:r>
                    <w:r>
                      <w:rPr>
                        <w:w w:val="99"/>
                        <w:sz w:val="20"/>
                      </w:rPr>
                      <w:t>2</w:t>
                    </w:r>
                    <w:r>
                      <w:rPr>
                        <w:spacing w:val="1"/>
                        <w:w w:val="99"/>
                        <w:sz w:val="20"/>
                      </w:rPr>
                      <w:t>0</w:t>
                    </w:r>
                    <w:r>
                      <w:rPr>
                        <w:w w:val="99"/>
                        <w:sz w:val="20"/>
                      </w:rPr>
                      <w:t>1</w:t>
                    </w:r>
                    <w:r>
                      <w:rPr>
                        <w:spacing w:val="-1"/>
                        <w:w w:val="99"/>
                        <w:sz w:val="20"/>
                      </w:rPr>
                      <w:t>4</w:t>
                    </w:r>
                    <w:r>
                      <w:rPr>
                        <w:w w:val="99"/>
                        <w:sz w:val="20"/>
                      </w:rPr>
                      <w:t>.</w:t>
                    </w:r>
                  </w:p>
                </w:txbxContent>
              </v:textbox>
              <w10:wrap type="none"/>
            </v:shape>
          </v:group>
        </w:pict>
      </w:r>
      <w:r>
        <w:rPr>
          <w:sz w:val="20"/>
        </w:rPr>
      </w:r>
    </w:p>
    <w:p>
      <w:pPr>
        <w:spacing w:line="276" w:lineRule="auto" w:before="142"/>
        <w:ind w:left="4180" w:right="4074" w:firstLine="2"/>
        <w:jc w:val="center"/>
        <w:rPr>
          <w:b/>
          <w:sz w:val="15"/>
        </w:rPr>
      </w:pPr>
      <w:r>
        <w:rPr>
          <w:b/>
          <w:w w:val="105"/>
          <w:sz w:val="15"/>
        </w:rPr>
        <w:t>Calidad de la Gestión Gubernamental Controles Internos (Manejo y Aplicación) Tlalnepantla de Baz Ejercicio Fiscal</w:t>
      </w:r>
    </w:p>
    <w:p>
      <w:pPr>
        <w:pStyle w:val="BodyText"/>
        <w:spacing w:line="20" w:lineRule="exact"/>
        <w:ind w:left="820"/>
        <w:rPr>
          <w:sz w:val="2"/>
        </w:rPr>
      </w:pPr>
      <w:r>
        <w:rPr>
          <w:sz w:val="2"/>
        </w:rPr>
        <w:pict>
          <v:group style="width:488.9pt;height:.6pt;mso-position-horizontal-relative:char;mso-position-vertical-relative:line" coordorigin="0,0" coordsize="9778,12">
            <v:shape style="position:absolute;left:6;top:6;width:9766;height:2" coordorigin="6,6" coordsize="9766,0" path="m6,6l6,6,9772,6e" filled="false" stroked="true" strokeweight=".591611pt" strokecolor="#000000">
              <v:path arrowok="t"/>
            </v:shape>
          </v:group>
        </w:pict>
      </w:r>
      <w:r>
        <w:rPr>
          <w:sz w:val="2"/>
        </w:rPr>
      </w:r>
    </w:p>
    <w:p>
      <w:pPr>
        <w:pStyle w:val="BodyText"/>
        <w:rPr>
          <w:b/>
          <w:sz w:val="20"/>
        </w:rPr>
      </w:pPr>
    </w:p>
    <w:p>
      <w:pPr>
        <w:pStyle w:val="BodyText"/>
        <w:spacing w:before="5"/>
        <w:rPr>
          <w:b/>
          <w:sz w:val="11"/>
        </w:rPr>
      </w:pPr>
    </w:p>
    <w:tbl>
      <w:tblPr>
        <w:tblW w:w="0" w:type="auto"/>
        <w:jc w:val="left"/>
        <w:tblInd w:w="82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749"/>
        <w:gridCol w:w="2355"/>
        <w:gridCol w:w="2394"/>
        <w:gridCol w:w="2264"/>
      </w:tblGrid>
      <w:tr>
        <w:trPr>
          <w:trHeight w:val="198" w:hRule="exact"/>
        </w:trPr>
        <w:tc>
          <w:tcPr>
            <w:tcW w:w="5104" w:type="dxa"/>
            <w:gridSpan w:val="2"/>
            <w:shd w:val="clear" w:color="auto" w:fill="E6B8B7"/>
          </w:tcPr>
          <w:p>
            <w:pPr>
              <w:pStyle w:val="TableParagraph"/>
              <w:spacing w:before="5"/>
              <w:ind w:left="2345" w:right="2330"/>
              <w:jc w:val="center"/>
              <w:rPr>
                <w:b/>
                <w:sz w:val="15"/>
              </w:rPr>
            </w:pPr>
            <w:r>
              <w:rPr>
                <w:b/>
                <w:w w:val="105"/>
                <w:sz w:val="15"/>
              </w:rPr>
              <w:t>FISM</w:t>
            </w:r>
          </w:p>
        </w:tc>
        <w:tc>
          <w:tcPr>
            <w:tcW w:w="4658" w:type="dxa"/>
            <w:gridSpan w:val="2"/>
            <w:shd w:val="clear" w:color="auto" w:fill="E6B8B7"/>
          </w:tcPr>
          <w:p>
            <w:pPr>
              <w:pStyle w:val="TableParagraph"/>
              <w:spacing w:before="5"/>
              <w:ind w:left="1754" w:right="1740"/>
              <w:jc w:val="center"/>
              <w:rPr>
                <w:b/>
                <w:sz w:val="15"/>
              </w:rPr>
            </w:pPr>
            <w:r>
              <w:rPr>
                <w:b/>
                <w:w w:val="105"/>
                <w:sz w:val="15"/>
              </w:rPr>
              <w:t>FORTAMUNDF</w:t>
            </w:r>
          </w:p>
        </w:tc>
      </w:tr>
      <w:tr>
        <w:trPr>
          <w:trHeight w:val="200" w:hRule="exact"/>
        </w:trPr>
        <w:tc>
          <w:tcPr>
            <w:tcW w:w="2749" w:type="dxa"/>
            <w:shd w:val="clear" w:color="auto" w:fill="F1DCDB"/>
          </w:tcPr>
          <w:p>
            <w:pPr>
              <w:pStyle w:val="TableParagraph"/>
              <w:spacing w:before="6"/>
              <w:ind w:left="963" w:right="955"/>
              <w:jc w:val="center"/>
              <w:rPr>
                <w:b/>
                <w:sz w:val="15"/>
              </w:rPr>
            </w:pPr>
            <w:r>
              <w:rPr>
                <w:b/>
                <w:w w:val="105"/>
                <w:sz w:val="15"/>
              </w:rPr>
              <w:t>Fortalezas</w:t>
            </w:r>
          </w:p>
        </w:tc>
        <w:tc>
          <w:tcPr>
            <w:tcW w:w="2355" w:type="dxa"/>
            <w:shd w:val="clear" w:color="auto" w:fill="F1DCDB"/>
          </w:tcPr>
          <w:p>
            <w:pPr>
              <w:pStyle w:val="TableParagraph"/>
              <w:spacing w:before="6"/>
              <w:ind w:left="733" w:right="183"/>
              <w:rPr>
                <w:b/>
                <w:sz w:val="15"/>
              </w:rPr>
            </w:pPr>
            <w:r>
              <w:rPr>
                <w:b/>
                <w:w w:val="105"/>
                <w:sz w:val="15"/>
              </w:rPr>
              <w:t>Debilidades</w:t>
            </w:r>
          </w:p>
        </w:tc>
        <w:tc>
          <w:tcPr>
            <w:tcW w:w="2394" w:type="dxa"/>
            <w:shd w:val="clear" w:color="auto" w:fill="F1DCDB"/>
          </w:tcPr>
          <w:p>
            <w:pPr>
              <w:pStyle w:val="TableParagraph"/>
              <w:spacing w:before="6"/>
              <w:ind w:left="787" w:right="776"/>
              <w:jc w:val="center"/>
              <w:rPr>
                <w:b/>
                <w:sz w:val="15"/>
              </w:rPr>
            </w:pPr>
            <w:r>
              <w:rPr>
                <w:b/>
                <w:w w:val="105"/>
                <w:sz w:val="15"/>
              </w:rPr>
              <w:t>Fortalezas</w:t>
            </w:r>
          </w:p>
        </w:tc>
        <w:tc>
          <w:tcPr>
            <w:tcW w:w="2264" w:type="dxa"/>
            <w:shd w:val="clear" w:color="auto" w:fill="F1DCDB"/>
          </w:tcPr>
          <w:p>
            <w:pPr>
              <w:pStyle w:val="TableParagraph"/>
              <w:spacing w:before="6"/>
              <w:ind w:left="688" w:right="91"/>
              <w:rPr>
                <w:b/>
                <w:sz w:val="15"/>
              </w:rPr>
            </w:pPr>
            <w:r>
              <w:rPr>
                <w:b/>
                <w:w w:val="105"/>
                <w:sz w:val="15"/>
              </w:rPr>
              <w:t>Debilidades</w:t>
            </w:r>
          </w:p>
        </w:tc>
      </w:tr>
      <w:tr>
        <w:trPr>
          <w:trHeight w:val="2189" w:hRule="exact"/>
        </w:trPr>
        <w:tc>
          <w:tcPr>
            <w:tcW w:w="2749" w:type="dxa"/>
          </w:tcPr>
          <w:p>
            <w:pPr>
              <w:pStyle w:val="TableParagraph"/>
              <w:spacing w:line="276" w:lineRule="auto" w:before="5"/>
              <w:ind w:left="20" w:right="28" w:firstLine="1"/>
              <w:rPr>
                <w:sz w:val="15"/>
              </w:rPr>
            </w:pPr>
            <w:r>
              <w:rPr>
                <w:w w:val="105"/>
                <w:sz w:val="15"/>
              </w:rPr>
              <w:t>La forma con la que el municipio se asegura de que el personal encargado de la gestión del fondo tiene las competencias laborales necesarias para el desempeño de sus actividades es su grado académico, respaldado por la documentación respectiva y la experiencia laboral que manifiesta tener en el manejo del fondo.</w:t>
            </w:r>
          </w:p>
        </w:tc>
        <w:tc>
          <w:tcPr>
            <w:tcW w:w="2355" w:type="dxa"/>
          </w:tcPr>
          <w:p>
            <w:pPr>
              <w:pStyle w:val="TableParagraph"/>
              <w:spacing w:line="276" w:lineRule="auto" w:before="5"/>
              <w:ind w:left="21" w:right="183" w:firstLine="2"/>
              <w:rPr>
                <w:sz w:val="15"/>
              </w:rPr>
            </w:pPr>
            <w:r>
              <w:rPr>
                <w:w w:val="105"/>
                <w:sz w:val="15"/>
              </w:rPr>
              <w:t>El municipio carece de un Código de Conducta que establezca los valores éticos que se deben aplicar en el desempeño de las actividades como servidor público.</w:t>
            </w:r>
          </w:p>
        </w:tc>
        <w:tc>
          <w:tcPr>
            <w:tcW w:w="2394" w:type="dxa"/>
          </w:tcPr>
          <w:p>
            <w:pPr>
              <w:pStyle w:val="TableParagraph"/>
              <w:spacing w:line="276" w:lineRule="auto" w:before="5"/>
              <w:ind w:left="22" w:right="63" w:firstLine="1"/>
              <w:rPr>
                <w:sz w:val="15"/>
              </w:rPr>
            </w:pPr>
            <w:r>
              <w:rPr>
                <w:w w:val="105"/>
                <w:sz w:val="15"/>
              </w:rPr>
              <w:t>La forma con la que el municipio se asegura de que el personal encargado de la gestión del fondo tenga las competencias laborales necesarias para el desempeño de sus actividades, es el grado académico, respaldado en la documentación respectiva y la experiencia laboral en el manejo del fondo.</w:t>
            </w:r>
          </w:p>
        </w:tc>
        <w:tc>
          <w:tcPr>
            <w:tcW w:w="2264" w:type="dxa"/>
          </w:tcPr>
          <w:p>
            <w:pPr>
              <w:pStyle w:val="TableParagraph"/>
              <w:spacing w:line="276" w:lineRule="auto" w:before="5"/>
              <w:ind w:left="22" w:right="91"/>
              <w:rPr>
                <w:sz w:val="15"/>
              </w:rPr>
            </w:pPr>
            <w:r>
              <w:rPr>
                <w:w w:val="105"/>
                <w:sz w:val="15"/>
              </w:rPr>
              <w:t>El municipio no dispone de un Código de Conducta que establezca los valores éticos que se deben aplicar en el desempeño de las actividades de los servidores públicos.</w:t>
            </w:r>
          </w:p>
        </w:tc>
      </w:tr>
      <w:tr>
        <w:trPr>
          <w:trHeight w:val="1791" w:hRule="exact"/>
        </w:trPr>
        <w:tc>
          <w:tcPr>
            <w:tcW w:w="2749" w:type="dxa"/>
          </w:tcPr>
          <w:p>
            <w:pPr>
              <w:pStyle w:val="TableParagraph"/>
              <w:spacing w:line="276" w:lineRule="auto" w:before="5"/>
              <w:ind w:left="22" w:right="34"/>
              <w:rPr>
                <w:sz w:val="15"/>
              </w:rPr>
            </w:pPr>
            <w:r>
              <w:rPr>
                <w:w w:val="105"/>
                <w:sz w:val="15"/>
              </w:rPr>
              <w:t>El Comité de Adquisiciones de Bienes y Servicios establece la política que evita la existencia de conflictos de interés del personal municipal operativo y mando medio en el desempeño de su función, así como con los proveedores y contratistas.</w:t>
            </w:r>
          </w:p>
        </w:tc>
        <w:tc>
          <w:tcPr>
            <w:tcW w:w="2355" w:type="dxa"/>
          </w:tcPr>
          <w:p>
            <w:pPr>
              <w:pStyle w:val="TableParagraph"/>
              <w:spacing w:line="276" w:lineRule="auto" w:before="5"/>
              <w:ind w:left="22" w:right="18" w:firstLine="1"/>
              <w:rPr>
                <w:sz w:val="15"/>
              </w:rPr>
            </w:pPr>
            <w:r>
              <w:rPr>
                <w:w w:val="105"/>
                <w:sz w:val="15"/>
              </w:rPr>
              <w:t>Los Manuales de Organización y Procedimientos están en proceso de actualización, conforme al Reglamento de la Administración Pública Municipal.</w:t>
            </w:r>
          </w:p>
        </w:tc>
        <w:tc>
          <w:tcPr>
            <w:tcW w:w="2394" w:type="dxa"/>
          </w:tcPr>
          <w:p>
            <w:pPr>
              <w:pStyle w:val="TableParagraph"/>
              <w:spacing w:line="276" w:lineRule="auto" w:before="5"/>
              <w:ind w:left="24" w:right="272" w:hanging="1"/>
              <w:rPr>
                <w:sz w:val="15"/>
              </w:rPr>
            </w:pPr>
            <w:r>
              <w:rPr>
                <w:w w:val="105"/>
                <w:sz w:val="15"/>
              </w:rPr>
              <w:t>El municipio cuenta con un organigrama, el cual define la delegación de autoridad.</w:t>
            </w:r>
          </w:p>
        </w:tc>
        <w:tc>
          <w:tcPr>
            <w:tcW w:w="2264" w:type="dxa"/>
          </w:tcPr>
          <w:p>
            <w:pPr>
              <w:pStyle w:val="TableParagraph"/>
              <w:spacing w:line="276" w:lineRule="auto" w:before="5"/>
              <w:ind w:left="20" w:right="39" w:firstLine="1"/>
              <w:rPr>
                <w:sz w:val="15"/>
              </w:rPr>
            </w:pPr>
            <w:r>
              <w:rPr>
                <w:w w:val="105"/>
                <w:sz w:val="15"/>
              </w:rPr>
              <w:t>Los Manuales de Organización y Procedimientos están en proceso de actualización, conforme al Reglamento de la Administración Pública Municipal.</w:t>
            </w:r>
          </w:p>
        </w:tc>
      </w:tr>
    </w:tbl>
    <w:p>
      <w:pPr>
        <w:pStyle w:val="BodyText"/>
        <w:rPr>
          <w:b/>
          <w:sz w:val="20"/>
        </w:rPr>
      </w:pPr>
    </w:p>
    <w:p>
      <w:pPr>
        <w:pStyle w:val="BodyText"/>
        <w:rPr>
          <w:b/>
          <w:sz w:val="20"/>
        </w:rPr>
      </w:pPr>
    </w:p>
    <w:p>
      <w:pPr>
        <w:pStyle w:val="BodyText"/>
        <w:spacing w:before="3"/>
        <w:rPr>
          <w:b/>
          <w:sz w:val="20"/>
        </w:rPr>
      </w:pPr>
      <w:r>
        <w:rPr/>
        <w:pict>
          <v:group style="position:absolute;margin-left:142.919998pt;margin-top:13.62312pt;width:495pt;height:31.7pt;mso-position-horizontal-relative:page;mso-position-vertical-relative:paragraph;z-index:8056;mso-wrap-distance-left:0;mso-wrap-distance-right:0" coordorigin="2858,272" coordsize="9900,634">
            <v:shape style="position:absolute;left:2858;top:272;width:9900;height:634" type="#_x0000_t75" stroked="false">
              <v:imagedata r:id="rId187" o:title=""/>
            </v:shape>
            <v:shape style="position:absolute;left:2858;top:272;width:9900;height:634" type="#_x0000_t202" filled="false" stroked="false">
              <v:textbox inset="0,0,0,0">
                <w:txbxContent>
                  <w:p>
                    <w:pPr>
                      <w:spacing w:line="244" w:lineRule="auto" w:before="0"/>
                      <w:ind w:left="144" w:right="0" w:firstLine="0"/>
                      <w:jc w:val="left"/>
                      <w:rPr>
                        <w:sz w:val="20"/>
                      </w:rPr>
                    </w:pPr>
                    <w:r>
                      <w:rPr>
                        <w:b/>
                        <w:sz w:val="20"/>
                      </w:rPr>
                      <w:t>Fuente</w:t>
                    </w:r>
                    <w:r>
                      <w:rPr>
                        <w:sz w:val="20"/>
                      </w:rPr>
                      <w:t>:</w:t>
                    </w:r>
                    <w:r>
                      <w:rPr>
                        <w:spacing w:val="-8"/>
                        <w:sz w:val="20"/>
                      </w:rPr>
                      <w:t> </w:t>
                    </w:r>
                    <w:r>
                      <w:rPr>
                        <w:sz w:val="20"/>
                      </w:rPr>
                      <w:t>Elaboración</w:t>
                    </w:r>
                    <w:r>
                      <w:rPr>
                        <w:spacing w:val="-8"/>
                        <w:sz w:val="20"/>
                      </w:rPr>
                      <w:t> </w:t>
                    </w:r>
                    <w:r>
                      <w:rPr>
                        <w:sz w:val="20"/>
                      </w:rPr>
                      <w:t>propia</w:t>
                    </w:r>
                    <w:r>
                      <w:rPr>
                        <w:spacing w:val="-6"/>
                        <w:sz w:val="20"/>
                      </w:rPr>
                      <w:t> </w:t>
                    </w:r>
                    <w:r>
                      <w:rPr>
                        <w:sz w:val="20"/>
                      </w:rPr>
                      <w:t>con</w:t>
                    </w:r>
                    <w:r>
                      <w:rPr>
                        <w:spacing w:val="-8"/>
                        <w:sz w:val="20"/>
                      </w:rPr>
                      <w:t> </w:t>
                    </w:r>
                    <w:r>
                      <w:rPr>
                        <w:sz w:val="20"/>
                      </w:rPr>
                      <w:t>base</w:t>
                    </w:r>
                    <w:r>
                      <w:rPr>
                        <w:spacing w:val="-8"/>
                        <w:sz w:val="20"/>
                      </w:rPr>
                      <w:t> </w:t>
                    </w:r>
                    <w:r>
                      <w:rPr>
                        <w:sz w:val="20"/>
                      </w:rPr>
                      <w:t>en</w:t>
                    </w:r>
                    <w:r>
                      <w:rPr>
                        <w:spacing w:val="-6"/>
                        <w:sz w:val="20"/>
                      </w:rPr>
                      <w:t> </w:t>
                    </w:r>
                    <w:r>
                      <w:rPr>
                        <w:sz w:val="20"/>
                      </w:rPr>
                      <w:t>el</w:t>
                    </w:r>
                    <w:r>
                      <w:rPr>
                        <w:spacing w:val="-9"/>
                        <w:sz w:val="20"/>
                      </w:rPr>
                      <w:t> </w:t>
                    </w:r>
                    <w:r>
                      <w:rPr>
                        <w:sz w:val="20"/>
                      </w:rPr>
                      <w:t>Informe</w:t>
                    </w:r>
                    <w:r>
                      <w:rPr>
                        <w:spacing w:val="-8"/>
                        <w:sz w:val="20"/>
                      </w:rPr>
                      <w:t> </w:t>
                    </w:r>
                    <w:r>
                      <w:rPr>
                        <w:sz w:val="20"/>
                      </w:rPr>
                      <w:t>de</w:t>
                    </w:r>
                    <w:r>
                      <w:rPr>
                        <w:spacing w:val="-8"/>
                        <w:sz w:val="20"/>
                      </w:rPr>
                      <w:t> </w:t>
                    </w:r>
                    <w:r>
                      <w:rPr>
                        <w:sz w:val="20"/>
                      </w:rPr>
                      <w:t>Resultados</w:t>
                    </w:r>
                    <w:r>
                      <w:rPr>
                        <w:spacing w:val="-7"/>
                        <w:sz w:val="20"/>
                      </w:rPr>
                      <w:t> </w:t>
                    </w:r>
                    <w:r>
                      <w:rPr>
                        <w:sz w:val="20"/>
                      </w:rPr>
                      <w:t>de</w:t>
                    </w:r>
                    <w:r>
                      <w:rPr>
                        <w:spacing w:val="-6"/>
                        <w:sz w:val="20"/>
                      </w:rPr>
                      <w:t> </w:t>
                    </w:r>
                    <w:r>
                      <w:rPr>
                        <w:sz w:val="20"/>
                      </w:rPr>
                      <w:t>la</w:t>
                    </w:r>
                    <w:r>
                      <w:rPr>
                        <w:spacing w:val="-8"/>
                        <w:sz w:val="20"/>
                      </w:rPr>
                      <w:t> </w:t>
                    </w:r>
                    <w:r>
                      <w:rPr>
                        <w:sz w:val="20"/>
                      </w:rPr>
                      <w:t>Fiscalización</w:t>
                    </w:r>
                    <w:r>
                      <w:rPr>
                        <w:spacing w:val="-8"/>
                        <w:sz w:val="20"/>
                      </w:rPr>
                      <w:t> </w:t>
                    </w:r>
                    <w:r>
                      <w:rPr>
                        <w:sz w:val="20"/>
                      </w:rPr>
                      <w:t>Superior</w:t>
                    </w:r>
                    <w:r>
                      <w:rPr>
                        <w:spacing w:val="-7"/>
                        <w:sz w:val="20"/>
                      </w:rPr>
                      <w:t> </w:t>
                    </w:r>
                    <w:r>
                      <w:rPr>
                        <w:sz w:val="20"/>
                      </w:rPr>
                      <w:t>de</w:t>
                    </w:r>
                    <w:r>
                      <w:rPr>
                        <w:spacing w:val="-8"/>
                        <w:sz w:val="20"/>
                      </w:rPr>
                      <w:t> </w:t>
                    </w:r>
                    <w:r>
                      <w:rPr>
                        <w:sz w:val="20"/>
                      </w:rPr>
                      <w:t>las</w:t>
                    </w:r>
                    <w:r>
                      <w:rPr>
                        <w:spacing w:val="-7"/>
                        <w:sz w:val="20"/>
                      </w:rPr>
                      <w:t> </w:t>
                    </w:r>
                    <w:r>
                      <w:rPr>
                        <w:sz w:val="20"/>
                      </w:rPr>
                      <w:t>cuentas públicas</w:t>
                    </w:r>
                    <w:r>
                      <w:rPr>
                        <w:spacing w:val="-7"/>
                        <w:sz w:val="20"/>
                      </w:rPr>
                      <w:t> </w:t>
                    </w:r>
                    <w:r>
                      <w:rPr>
                        <w:sz w:val="20"/>
                      </w:rPr>
                      <w:t>2008-2014.</w:t>
                    </w:r>
                  </w:p>
                </w:txbxContent>
              </v:textbox>
              <w10:wrap type="none"/>
            </v:shape>
            <w10:wrap type="topAndBottom"/>
          </v:group>
        </w:pict>
      </w:r>
    </w:p>
    <w:p>
      <w:pPr>
        <w:spacing w:after="0"/>
        <w:rPr>
          <w:sz w:val="20"/>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0"/>
        </w:rPr>
      </w:pPr>
    </w:p>
    <w:p>
      <w:pPr>
        <w:pStyle w:val="BodyText"/>
        <w:spacing w:before="1"/>
        <w:ind w:left="3443" w:right="1340"/>
      </w:pPr>
      <w:r>
        <w:rPr/>
        <w:t>Anexo 60</w:t>
      </w:r>
    </w:p>
    <w:p>
      <w:pPr>
        <w:pStyle w:val="BodyText"/>
        <w:rPr>
          <w:sz w:val="11"/>
        </w:rPr>
      </w:pPr>
    </w:p>
    <w:p>
      <w:pPr>
        <w:spacing w:line="276" w:lineRule="auto" w:before="87"/>
        <w:ind w:left="4196" w:right="4058" w:firstLine="2"/>
        <w:jc w:val="center"/>
        <w:rPr>
          <w:b/>
          <w:sz w:val="15"/>
        </w:rPr>
      </w:pPr>
      <w:r>
        <w:rPr>
          <w:b/>
          <w:w w:val="105"/>
          <w:sz w:val="15"/>
        </w:rPr>
        <w:t>Calidad de la Gestión Gubernamental Controles Internos (Manejo y Aplicación) Tlalnepantla de Baz Ejercicio Fiscal</w:t>
      </w:r>
    </w:p>
    <w:p>
      <w:pPr>
        <w:pStyle w:val="BodyText"/>
        <w:spacing w:line="20" w:lineRule="exact"/>
        <w:ind w:left="836"/>
        <w:rPr>
          <w:sz w:val="2"/>
        </w:rPr>
      </w:pPr>
      <w:r>
        <w:rPr>
          <w:sz w:val="2"/>
        </w:rPr>
        <w:pict>
          <v:group style="width:488.9pt;height:.6pt;mso-position-horizontal-relative:char;mso-position-vertical-relative:line" coordorigin="0,0" coordsize="9778,12">
            <v:shape style="position:absolute;left:6;top:6;width:9766;height:2" coordorigin="6,6" coordsize="9766,0" path="m6,6l6,6,9771,6e" filled="false" stroked="true" strokeweight=".591618pt" strokecolor="#000000">
              <v:path arrowok="t"/>
            </v:shape>
          </v:group>
        </w:pict>
      </w:r>
      <w:r>
        <w:rPr>
          <w:sz w:val="2"/>
        </w:rPr>
      </w:r>
    </w:p>
    <w:p>
      <w:pPr>
        <w:pStyle w:val="BodyText"/>
        <w:rPr>
          <w:b/>
          <w:sz w:val="20"/>
        </w:rPr>
      </w:pPr>
    </w:p>
    <w:p>
      <w:pPr>
        <w:pStyle w:val="BodyText"/>
        <w:spacing w:before="5"/>
        <w:rPr>
          <w:b/>
          <w:sz w:val="11"/>
        </w:rPr>
      </w:pPr>
    </w:p>
    <w:tbl>
      <w:tblPr>
        <w:tblW w:w="0" w:type="auto"/>
        <w:jc w:val="left"/>
        <w:tblInd w:w="83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750"/>
        <w:gridCol w:w="2355"/>
        <w:gridCol w:w="2394"/>
        <w:gridCol w:w="2264"/>
      </w:tblGrid>
      <w:tr>
        <w:trPr>
          <w:trHeight w:val="198" w:hRule="exact"/>
        </w:trPr>
        <w:tc>
          <w:tcPr>
            <w:tcW w:w="5104" w:type="dxa"/>
            <w:gridSpan w:val="2"/>
            <w:shd w:val="clear" w:color="auto" w:fill="E6B8B7"/>
          </w:tcPr>
          <w:p>
            <w:pPr>
              <w:pStyle w:val="TableParagraph"/>
              <w:spacing w:before="5"/>
              <w:ind w:left="2345" w:right="2330"/>
              <w:jc w:val="center"/>
              <w:rPr>
                <w:b/>
                <w:sz w:val="15"/>
              </w:rPr>
            </w:pPr>
            <w:r>
              <w:rPr>
                <w:b/>
                <w:w w:val="105"/>
                <w:sz w:val="15"/>
              </w:rPr>
              <w:t>FISM</w:t>
            </w:r>
          </w:p>
        </w:tc>
        <w:tc>
          <w:tcPr>
            <w:tcW w:w="4658" w:type="dxa"/>
            <w:gridSpan w:val="2"/>
            <w:shd w:val="clear" w:color="auto" w:fill="E6B8B7"/>
          </w:tcPr>
          <w:p>
            <w:pPr>
              <w:pStyle w:val="TableParagraph"/>
              <w:spacing w:before="5"/>
              <w:ind w:left="1754" w:right="1740"/>
              <w:jc w:val="center"/>
              <w:rPr>
                <w:b/>
                <w:sz w:val="15"/>
              </w:rPr>
            </w:pPr>
            <w:r>
              <w:rPr>
                <w:b/>
                <w:w w:val="105"/>
                <w:sz w:val="15"/>
              </w:rPr>
              <w:t>FORTAMUNDF</w:t>
            </w:r>
          </w:p>
        </w:tc>
      </w:tr>
      <w:tr>
        <w:trPr>
          <w:trHeight w:val="200" w:hRule="exact"/>
        </w:trPr>
        <w:tc>
          <w:tcPr>
            <w:tcW w:w="2750" w:type="dxa"/>
            <w:shd w:val="clear" w:color="auto" w:fill="F1DCDB"/>
          </w:tcPr>
          <w:p>
            <w:pPr>
              <w:pStyle w:val="TableParagraph"/>
              <w:spacing w:before="6"/>
              <w:ind w:left="963" w:right="955"/>
              <w:jc w:val="center"/>
              <w:rPr>
                <w:b/>
                <w:sz w:val="15"/>
              </w:rPr>
            </w:pPr>
            <w:r>
              <w:rPr>
                <w:b/>
                <w:w w:val="105"/>
                <w:sz w:val="15"/>
              </w:rPr>
              <w:t>Fortalezas</w:t>
            </w:r>
          </w:p>
        </w:tc>
        <w:tc>
          <w:tcPr>
            <w:tcW w:w="2355" w:type="dxa"/>
            <w:shd w:val="clear" w:color="auto" w:fill="F1DCDB"/>
          </w:tcPr>
          <w:p>
            <w:pPr>
              <w:pStyle w:val="TableParagraph"/>
              <w:spacing w:before="6"/>
              <w:ind w:left="733" w:right="183"/>
              <w:rPr>
                <w:b/>
                <w:sz w:val="15"/>
              </w:rPr>
            </w:pPr>
            <w:r>
              <w:rPr>
                <w:b/>
                <w:w w:val="105"/>
                <w:sz w:val="15"/>
              </w:rPr>
              <w:t>Debilidades</w:t>
            </w:r>
          </w:p>
        </w:tc>
        <w:tc>
          <w:tcPr>
            <w:tcW w:w="2394" w:type="dxa"/>
            <w:shd w:val="clear" w:color="auto" w:fill="F1DCDB"/>
          </w:tcPr>
          <w:p>
            <w:pPr>
              <w:pStyle w:val="TableParagraph"/>
              <w:spacing w:before="6"/>
              <w:ind w:left="787" w:right="776"/>
              <w:jc w:val="center"/>
              <w:rPr>
                <w:b/>
                <w:sz w:val="15"/>
              </w:rPr>
            </w:pPr>
            <w:r>
              <w:rPr>
                <w:b/>
                <w:w w:val="105"/>
                <w:sz w:val="15"/>
              </w:rPr>
              <w:t>Fortalezas</w:t>
            </w:r>
          </w:p>
        </w:tc>
        <w:tc>
          <w:tcPr>
            <w:tcW w:w="2264" w:type="dxa"/>
            <w:shd w:val="clear" w:color="auto" w:fill="F1DCDB"/>
          </w:tcPr>
          <w:p>
            <w:pPr>
              <w:pStyle w:val="TableParagraph"/>
              <w:spacing w:before="6"/>
              <w:ind w:left="688" w:right="91"/>
              <w:rPr>
                <w:b/>
                <w:sz w:val="15"/>
              </w:rPr>
            </w:pPr>
            <w:r>
              <w:rPr>
                <w:b/>
                <w:w w:val="105"/>
                <w:sz w:val="15"/>
              </w:rPr>
              <w:t>Debilidades</w:t>
            </w:r>
          </w:p>
        </w:tc>
      </w:tr>
      <w:tr>
        <w:trPr>
          <w:trHeight w:val="2387" w:hRule="exact"/>
        </w:trPr>
        <w:tc>
          <w:tcPr>
            <w:tcW w:w="2750" w:type="dxa"/>
          </w:tcPr>
          <w:p>
            <w:pPr>
              <w:pStyle w:val="TableParagraph"/>
              <w:spacing w:line="276" w:lineRule="auto" w:before="5"/>
              <w:ind w:left="20" w:right="3" w:firstLine="1"/>
              <w:rPr>
                <w:sz w:val="15"/>
              </w:rPr>
            </w:pPr>
            <w:r>
              <w:rPr>
                <w:w w:val="105"/>
                <w:sz w:val="15"/>
              </w:rPr>
              <w:t>El Instituto Municipal de Información (IMI) genera instrumentos técnicos y metodológicos, estrategias, modelos de gestión y líneas de acción para la toma de decisiones para el Gobierno y la Administración Municipal que funjan como herramientas para sustentar y evaluar planes, programas y acciones en materia de política y particularmente en política social y obras públicas.</w:t>
            </w:r>
          </w:p>
        </w:tc>
        <w:tc>
          <w:tcPr>
            <w:tcW w:w="2355" w:type="dxa"/>
          </w:tcPr>
          <w:p>
            <w:pPr>
              <w:pStyle w:val="TableParagraph"/>
              <w:spacing w:line="276" w:lineRule="auto" w:before="5"/>
              <w:ind w:left="21" w:right="43" w:firstLine="2"/>
              <w:rPr>
                <w:sz w:val="15"/>
              </w:rPr>
            </w:pPr>
            <w:r>
              <w:rPr>
                <w:w w:val="105"/>
                <w:sz w:val="15"/>
              </w:rPr>
              <w:t>La distribución programática de los recursos del FISM en 2012 no correspondió con la situación que observó el municipio en materia de déficits de servicios básicos.</w:t>
            </w:r>
          </w:p>
        </w:tc>
        <w:tc>
          <w:tcPr>
            <w:tcW w:w="2394" w:type="dxa"/>
          </w:tcPr>
          <w:p>
            <w:pPr>
              <w:pStyle w:val="TableParagraph"/>
              <w:spacing w:line="276" w:lineRule="auto" w:before="5"/>
              <w:ind w:left="24" w:right="79" w:hanging="2"/>
              <w:rPr>
                <w:sz w:val="15"/>
              </w:rPr>
            </w:pPr>
            <w:r>
              <w:rPr>
                <w:w w:val="105"/>
                <w:sz w:val="15"/>
              </w:rPr>
              <w:t>La distribución programática de los recursos del fondo se realiza conforme a la</w:t>
            </w:r>
          </w:p>
          <w:p>
            <w:pPr>
              <w:pStyle w:val="TableParagraph"/>
              <w:ind w:left="24" w:right="63"/>
              <w:rPr>
                <w:sz w:val="15"/>
              </w:rPr>
            </w:pPr>
            <w:r>
              <w:rPr>
                <w:w w:val="105"/>
                <w:sz w:val="15"/>
              </w:rPr>
              <w:t>normativa establecida.</w:t>
            </w:r>
          </w:p>
        </w:tc>
        <w:tc>
          <w:tcPr>
            <w:tcW w:w="2264" w:type="dxa"/>
          </w:tcPr>
          <w:p>
            <w:pPr>
              <w:pStyle w:val="TableParagraph"/>
              <w:spacing w:line="276" w:lineRule="auto" w:before="5"/>
              <w:ind w:left="20" w:right="14" w:firstLine="1"/>
              <w:rPr>
                <w:sz w:val="15"/>
              </w:rPr>
            </w:pPr>
            <w:r>
              <w:rPr>
                <w:w w:val="105"/>
                <w:sz w:val="15"/>
              </w:rPr>
              <w:t>No se tiene documentado que sean evaluadas las metas y objetivos del fondo, salvo los indicadores que se presentan a la Secretaría de Hacienda y Crédito Público (SHCP) por medio del sistema PASH.</w:t>
            </w:r>
          </w:p>
        </w:tc>
      </w:tr>
      <w:tr>
        <w:trPr>
          <w:trHeight w:val="1959" w:hRule="exact"/>
        </w:trPr>
        <w:tc>
          <w:tcPr>
            <w:tcW w:w="2750" w:type="dxa"/>
          </w:tcPr>
          <w:p>
            <w:pPr>
              <w:pStyle w:val="TableParagraph"/>
              <w:spacing w:line="276" w:lineRule="auto" w:before="5"/>
              <w:ind w:left="22" w:right="51"/>
              <w:rPr>
                <w:sz w:val="15"/>
              </w:rPr>
            </w:pPr>
            <w:r>
              <w:rPr>
                <w:w w:val="105"/>
                <w:sz w:val="15"/>
              </w:rPr>
              <w:t>Mediante el Comité de Planeación para el Desarrollo del Municipio (COPLADEM) se decide el destino de los recursos del fondo de forma democrática; además, éste es responsable de la planeación, programación, control y seguimiento de la realización de las obras en el marco del FISM.</w:t>
            </w:r>
          </w:p>
        </w:tc>
        <w:tc>
          <w:tcPr>
            <w:tcW w:w="2355" w:type="dxa"/>
          </w:tcPr>
          <w:p>
            <w:pPr>
              <w:pStyle w:val="TableParagraph"/>
              <w:spacing w:line="276" w:lineRule="auto" w:before="5"/>
              <w:ind w:left="22" w:right="84" w:firstLine="1"/>
              <w:rPr>
                <w:sz w:val="15"/>
              </w:rPr>
            </w:pPr>
            <w:r>
              <w:rPr>
                <w:w w:val="105"/>
                <w:sz w:val="15"/>
              </w:rPr>
              <w:t>No se dispone de controles que evitan la transferencia de recursos de la cuenta del fondo a otras cuentas.</w:t>
            </w:r>
          </w:p>
        </w:tc>
        <w:tc>
          <w:tcPr>
            <w:tcW w:w="2394" w:type="dxa"/>
          </w:tcPr>
          <w:p>
            <w:pPr>
              <w:pStyle w:val="TableParagraph"/>
              <w:spacing w:line="276" w:lineRule="auto" w:before="5"/>
              <w:ind w:left="22" w:right="186" w:firstLine="1"/>
              <w:rPr>
                <w:sz w:val="15"/>
              </w:rPr>
            </w:pPr>
            <w:r>
              <w:rPr>
                <w:w w:val="105"/>
                <w:sz w:val="15"/>
              </w:rPr>
              <w:t>Se tienen controles para garantizar que los recursos del fondo, del ejercicio 2012, se administraran en una cuenta bancaria específica.</w:t>
            </w:r>
          </w:p>
        </w:tc>
        <w:tc>
          <w:tcPr>
            <w:tcW w:w="2264" w:type="dxa"/>
          </w:tcPr>
          <w:p>
            <w:pPr>
              <w:pStyle w:val="TableParagraph"/>
              <w:spacing w:line="276" w:lineRule="auto" w:before="5"/>
              <w:ind w:left="20" w:right="49" w:firstLine="1"/>
              <w:rPr>
                <w:sz w:val="15"/>
              </w:rPr>
            </w:pPr>
            <w:r>
              <w:rPr>
                <w:w w:val="105"/>
                <w:sz w:val="15"/>
              </w:rPr>
              <w:t>No se tiene evidencia de que existan mecanismos de control preventivos establecidos para el mejoramiento de la gestión del fondo.</w:t>
            </w:r>
          </w:p>
        </w:tc>
      </w:tr>
    </w:tbl>
    <w:p>
      <w:pPr>
        <w:pStyle w:val="BodyText"/>
        <w:rPr>
          <w:b/>
          <w:sz w:val="20"/>
        </w:rPr>
      </w:pPr>
    </w:p>
    <w:p>
      <w:pPr>
        <w:pStyle w:val="BodyText"/>
        <w:rPr>
          <w:b/>
          <w:sz w:val="20"/>
        </w:rPr>
      </w:pPr>
    </w:p>
    <w:p>
      <w:pPr>
        <w:pStyle w:val="BodyText"/>
        <w:spacing w:before="4"/>
        <w:rPr>
          <w:b/>
          <w:sz w:val="10"/>
        </w:rPr>
      </w:pPr>
      <w:r>
        <w:rPr/>
        <w:pict>
          <v:group style="position:absolute;margin-left:151.919998pt;margin-top:7.900343pt;width:495pt;height:31.8pt;mso-position-horizontal-relative:page;mso-position-vertical-relative:paragraph;z-index:8128;mso-wrap-distance-left:0;mso-wrap-distance-right:0" coordorigin="3038,158" coordsize="9900,636">
            <v:shape style="position:absolute;left:3038;top:158;width:9900;height:636" type="#_x0000_t75" stroked="false">
              <v:imagedata r:id="rId187" o:title=""/>
            </v:shape>
            <v:shape style="position:absolute;left:3038;top:158;width:9900;height:636" type="#_x0000_t202" filled="false" stroked="false">
              <v:textbox inset="0,0,0,0">
                <w:txbxContent>
                  <w:p>
                    <w:pPr>
                      <w:spacing w:line="244" w:lineRule="auto" w:before="0"/>
                      <w:ind w:left="144" w:right="0" w:firstLine="0"/>
                      <w:jc w:val="left"/>
                      <w:rPr>
                        <w:sz w:val="20"/>
                      </w:rPr>
                    </w:pPr>
                    <w:r>
                      <w:rPr>
                        <w:b/>
                        <w:sz w:val="20"/>
                      </w:rPr>
                      <w:t>Fuente:</w:t>
                    </w:r>
                    <w:r>
                      <w:rPr>
                        <w:b/>
                        <w:spacing w:val="-9"/>
                        <w:sz w:val="20"/>
                      </w:rPr>
                      <w:t> </w:t>
                    </w:r>
                    <w:r>
                      <w:rPr>
                        <w:sz w:val="20"/>
                      </w:rPr>
                      <w:t>Elaboración</w:t>
                    </w:r>
                    <w:r>
                      <w:rPr>
                        <w:spacing w:val="-10"/>
                        <w:sz w:val="20"/>
                      </w:rPr>
                      <w:t> </w:t>
                    </w:r>
                    <w:r>
                      <w:rPr>
                        <w:sz w:val="20"/>
                      </w:rPr>
                      <w:t>propia</w:t>
                    </w:r>
                    <w:r>
                      <w:rPr>
                        <w:spacing w:val="-8"/>
                        <w:sz w:val="20"/>
                      </w:rPr>
                      <w:t> </w:t>
                    </w:r>
                    <w:r>
                      <w:rPr>
                        <w:sz w:val="20"/>
                      </w:rPr>
                      <w:t>con</w:t>
                    </w:r>
                    <w:r>
                      <w:rPr>
                        <w:spacing w:val="-8"/>
                        <w:sz w:val="20"/>
                      </w:rPr>
                      <w:t> </w:t>
                    </w:r>
                    <w:r>
                      <w:rPr>
                        <w:sz w:val="20"/>
                      </w:rPr>
                      <w:t>base</w:t>
                    </w:r>
                    <w:r>
                      <w:rPr>
                        <w:spacing w:val="-8"/>
                        <w:sz w:val="20"/>
                      </w:rPr>
                      <w:t> </w:t>
                    </w:r>
                    <w:r>
                      <w:rPr>
                        <w:sz w:val="20"/>
                      </w:rPr>
                      <w:t>en</w:t>
                    </w:r>
                    <w:r>
                      <w:rPr>
                        <w:spacing w:val="-9"/>
                        <w:sz w:val="20"/>
                      </w:rPr>
                      <w:t> </w:t>
                    </w:r>
                    <w:r>
                      <w:rPr>
                        <w:sz w:val="20"/>
                      </w:rPr>
                      <w:t>el</w:t>
                    </w:r>
                    <w:r>
                      <w:rPr>
                        <w:spacing w:val="-9"/>
                        <w:sz w:val="20"/>
                      </w:rPr>
                      <w:t> </w:t>
                    </w:r>
                    <w:r>
                      <w:rPr>
                        <w:sz w:val="20"/>
                      </w:rPr>
                      <w:t>Informe</w:t>
                    </w:r>
                    <w:r>
                      <w:rPr>
                        <w:spacing w:val="-10"/>
                        <w:sz w:val="20"/>
                      </w:rPr>
                      <w:t> </w:t>
                    </w:r>
                    <w:r>
                      <w:rPr>
                        <w:sz w:val="20"/>
                      </w:rPr>
                      <w:t>de</w:t>
                    </w:r>
                    <w:r>
                      <w:rPr>
                        <w:spacing w:val="-8"/>
                        <w:sz w:val="20"/>
                      </w:rPr>
                      <w:t> </w:t>
                    </w:r>
                    <w:r>
                      <w:rPr>
                        <w:sz w:val="20"/>
                      </w:rPr>
                      <w:t>Resultados</w:t>
                    </w:r>
                    <w:r>
                      <w:rPr>
                        <w:spacing w:val="-7"/>
                        <w:sz w:val="20"/>
                      </w:rPr>
                      <w:t> </w:t>
                    </w:r>
                    <w:r>
                      <w:rPr>
                        <w:sz w:val="20"/>
                      </w:rPr>
                      <w:t>de</w:t>
                    </w:r>
                    <w:r>
                      <w:rPr>
                        <w:spacing w:val="-9"/>
                        <w:sz w:val="20"/>
                      </w:rPr>
                      <w:t> </w:t>
                    </w:r>
                    <w:r>
                      <w:rPr>
                        <w:sz w:val="20"/>
                      </w:rPr>
                      <w:t>la</w:t>
                    </w:r>
                    <w:r>
                      <w:rPr>
                        <w:spacing w:val="-8"/>
                        <w:sz w:val="20"/>
                      </w:rPr>
                      <w:t> </w:t>
                    </w:r>
                    <w:r>
                      <w:rPr>
                        <w:sz w:val="20"/>
                      </w:rPr>
                      <w:t>Fiscalización</w:t>
                    </w:r>
                    <w:r>
                      <w:rPr>
                        <w:spacing w:val="-8"/>
                        <w:sz w:val="20"/>
                      </w:rPr>
                      <w:t> </w:t>
                    </w:r>
                    <w:r>
                      <w:rPr>
                        <w:sz w:val="20"/>
                      </w:rPr>
                      <w:t>Superior</w:t>
                    </w:r>
                    <w:r>
                      <w:rPr>
                        <w:spacing w:val="-7"/>
                        <w:sz w:val="20"/>
                      </w:rPr>
                      <w:t> </w:t>
                    </w:r>
                    <w:r>
                      <w:rPr>
                        <w:sz w:val="20"/>
                      </w:rPr>
                      <w:t>de</w:t>
                    </w:r>
                    <w:r>
                      <w:rPr>
                        <w:spacing w:val="-9"/>
                        <w:sz w:val="20"/>
                      </w:rPr>
                      <w:t> </w:t>
                    </w:r>
                    <w:r>
                      <w:rPr>
                        <w:sz w:val="20"/>
                      </w:rPr>
                      <w:t>las</w:t>
                    </w:r>
                    <w:r>
                      <w:rPr>
                        <w:spacing w:val="-9"/>
                        <w:sz w:val="20"/>
                      </w:rPr>
                      <w:t> </w:t>
                    </w:r>
                    <w:r>
                      <w:rPr>
                        <w:sz w:val="20"/>
                      </w:rPr>
                      <w:t>cuentas públicas</w:t>
                    </w:r>
                    <w:r>
                      <w:rPr>
                        <w:spacing w:val="-7"/>
                        <w:sz w:val="20"/>
                      </w:rPr>
                      <w:t> </w:t>
                    </w:r>
                    <w:r>
                      <w:rPr>
                        <w:sz w:val="20"/>
                      </w:rPr>
                      <w:t>2008-2014.</w:t>
                    </w:r>
                  </w:p>
                </w:txbxContent>
              </v:textbox>
              <w10:wrap type="none"/>
            </v:shape>
            <w10:wrap type="topAndBottom"/>
          </v:group>
        </w:pict>
      </w:r>
    </w:p>
    <w:p>
      <w:pPr>
        <w:spacing w:after="0"/>
        <w:rPr>
          <w:sz w:val="10"/>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spacing w:before="6"/>
        <w:rPr>
          <w:b/>
          <w:sz w:val="27"/>
        </w:rPr>
      </w:pPr>
    </w:p>
    <w:p>
      <w:pPr>
        <w:spacing w:after="0"/>
        <w:rPr>
          <w:sz w:val="27"/>
        </w:rPr>
        <w:sectPr>
          <w:pgSz w:w="15840" w:h="12240" w:orient="landscape"/>
          <w:pgMar w:header="0" w:footer="992" w:top="1140" w:bottom="1180" w:left="2260" w:right="2260"/>
        </w:sectPr>
      </w:pPr>
    </w:p>
    <w:p>
      <w:pPr>
        <w:pStyle w:val="BodyText"/>
        <w:spacing w:before="117"/>
        <w:jc w:val="right"/>
      </w:pPr>
      <w:r>
        <w:rPr/>
        <w:t>Anexo 61</w:t>
      </w:r>
    </w:p>
    <w:p>
      <w:pPr>
        <w:pStyle w:val="BodyText"/>
        <w:rPr>
          <w:sz w:val="8"/>
        </w:rPr>
      </w:pPr>
      <w:r>
        <w:rPr/>
        <w:br w:type="column"/>
      </w:r>
      <w:r>
        <w:rPr>
          <w:sz w:val="8"/>
        </w:rPr>
      </w:r>
    </w:p>
    <w:p>
      <w:pPr>
        <w:spacing w:line="280" w:lineRule="auto" w:before="0"/>
        <w:ind w:left="579" w:right="4210" w:firstLine="0"/>
        <w:jc w:val="center"/>
        <w:rPr>
          <w:b/>
          <w:sz w:val="10"/>
        </w:rPr>
      </w:pPr>
      <w:r>
        <w:rPr>
          <w:b/>
          <w:w w:val="135"/>
          <w:sz w:val="10"/>
        </w:rPr>
        <w:t>Calidad de la Gestión Gubernamental Controles Internos (Manejo y Aplicación) Atizapán de Zaragoza Ejercicio Fiscal 2013</w:t>
      </w:r>
    </w:p>
    <w:p>
      <w:pPr>
        <w:spacing w:after="0" w:line="280" w:lineRule="auto"/>
        <w:jc w:val="center"/>
        <w:rPr>
          <w:sz w:val="10"/>
        </w:rPr>
        <w:sectPr>
          <w:type w:val="continuous"/>
          <w:pgSz w:w="15840" w:h="12240" w:orient="landscape"/>
          <w:pgMar w:top="0" w:bottom="280" w:left="2260" w:right="2260"/>
          <w:cols w:num="2" w:equalWidth="0">
            <w:col w:w="3739" w:space="40"/>
            <w:col w:w="7541"/>
          </w:cols>
        </w:sectPr>
      </w:pPr>
    </w:p>
    <w:p>
      <w:pPr>
        <w:pStyle w:val="BodyText"/>
        <w:spacing w:line="20" w:lineRule="exact"/>
        <w:ind w:left="2613"/>
        <w:rPr>
          <w:sz w:val="2"/>
        </w:rPr>
      </w:pPr>
      <w:r>
        <w:rPr>
          <w:sz w:val="2"/>
        </w:rPr>
        <w:pict>
          <v:group style="width:310.850pt;height:.45pt;mso-position-horizontal-relative:char;mso-position-vertical-relative:line" coordorigin="0,0" coordsize="6217,9">
            <v:line style="position:absolute" from="4,4" to="6212,4" stroked="true" strokeweight=".414159pt" strokecolor="#000000"/>
          </v:group>
        </w:pict>
      </w:r>
      <w:r>
        <w:rPr>
          <w:sz w:val="2"/>
        </w:rPr>
      </w:r>
    </w:p>
    <w:p>
      <w:pPr>
        <w:pStyle w:val="BodyText"/>
        <w:spacing w:before="6"/>
        <w:rPr>
          <w:b/>
          <w:sz w:val="20"/>
        </w:rPr>
      </w:pPr>
    </w:p>
    <w:tbl>
      <w:tblPr>
        <w:tblW w:w="0" w:type="auto"/>
        <w:jc w:val="left"/>
        <w:tblInd w:w="261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66"/>
        <w:gridCol w:w="3041"/>
      </w:tblGrid>
      <w:tr>
        <w:trPr>
          <w:trHeight w:val="135" w:hRule="exact"/>
        </w:trPr>
        <w:tc>
          <w:tcPr>
            <w:tcW w:w="6207" w:type="dxa"/>
            <w:gridSpan w:val="2"/>
            <w:tcBorders>
              <w:left w:val="single" w:sz="4" w:space="0" w:color="000000"/>
              <w:right w:val="nil"/>
            </w:tcBorders>
            <w:shd w:val="clear" w:color="auto" w:fill="E6B8B7"/>
          </w:tcPr>
          <w:p>
            <w:pPr>
              <w:pStyle w:val="TableParagraph"/>
              <w:spacing w:before="5"/>
              <w:ind w:left="2926" w:right="2912"/>
              <w:jc w:val="center"/>
              <w:rPr>
                <w:b/>
                <w:sz w:val="10"/>
              </w:rPr>
            </w:pPr>
            <w:r>
              <w:rPr>
                <w:b/>
                <w:w w:val="135"/>
                <w:sz w:val="10"/>
              </w:rPr>
              <w:t>FISM</w:t>
            </w:r>
          </w:p>
        </w:tc>
      </w:tr>
      <w:tr>
        <w:trPr>
          <w:trHeight w:val="135" w:hRule="exact"/>
        </w:trPr>
        <w:tc>
          <w:tcPr>
            <w:tcW w:w="3166" w:type="dxa"/>
            <w:tcBorders>
              <w:left w:val="single" w:sz="4" w:space="0" w:color="000000"/>
              <w:right w:val="single" w:sz="4" w:space="0" w:color="000000"/>
            </w:tcBorders>
            <w:shd w:val="clear" w:color="auto" w:fill="F1DCDB"/>
          </w:tcPr>
          <w:p>
            <w:pPr>
              <w:pStyle w:val="TableParagraph"/>
              <w:spacing w:before="5"/>
              <w:ind w:left="1227" w:right="1221"/>
              <w:jc w:val="center"/>
              <w:rPr>
                <w:b/>
                <w:sz w:val="10"/>
              </w:rPr>
            </w:pPr>
            <w:r>
              <w:rPr>
                <w:b/>
                <w:w w:val="135"/>
                <w:sz w:val="10"/>
              </w:rPr>
              <w:t>Fortalezas</w:t>
            </w:r>
          </w:p>
        </w:tc>
        <w:tc>
          <w:tcPr>
            <w:tcW w:w="3041" w:type="dxa"/>
            <w:tcBorders>
              <w:left w:val="single" w:sz="4" w:space="0" w:color="000000"/>
              <w:right w:val="nil"/>
            </w:tcBorders>
            <w:shd w:val="clear" w:color="auto" w:fill="F1DCDB"/>
          </w:tcPr>
          <w:p>
            <w:pPr>
              <w:pStyle w:val="TableParagraph"/>
              <w:spacing w:before="5"/>
              <w:ind w:left="1126" w:right="1112"/>
              <w:jc w:val="center"/>
              <w:rPr>
                <w:b/>
                <w:sz w:val="10"/>
              </w:rPr>
            </w:pPr>
            <w:r>
              <w:rPr>
                <w:b/>
                <w:w w:val="135"/>
                <w:sz w:val="10"/>
              </w:rPr>
              <w:t>Debilidades</w:t>
            </w:r>
          </w:p>
        </w:tc>
      </w:tr>
      <w:tr>
        <w:trPr>
          <w:trHeight w:val="585" w:hRule="exact"/>
        </w:trPr>
        <w:tc>
          <w:tcPr>
            <w:tcW w:w="3166" w:type="dxa"/>
            <w:tcBorders>
              <w:left w:val="single" w:sz="4" w:space="0" w:color="000000"/>
              <w:right w:val="single" w:sz="4" w:space="0" w:color="000000"/>
            </w:tcBorders>
          </w:tcPr>
          <w:p>
            <w:pPr>
              <w:pStyle w:val="TableParagraph"/>
              <w:spacing w:line="280" w:lineRule="auto" w:before="5"/>
              <w:ind w:left="18" w:right="131"/>
              <w:rPr>
                <w:sz w:val="10"/>
              </w:rPr>
            </w:pPr>
            <w:r>
              <w:rPr>
                <w:w w:val="135"/>
                <w:sz w:val="10"/>
              </w:rPr>
              <w:t>Existe un Código de Ética y otro de Conducta que están debidamente formalizados y se difunden entre el personal y la ciudadanía a través de la página de internet del municipio.</w:t>
            </w:r>
          </w:p>
        </w:tc>
        <w:tc>
          <w:tcPr>
            <w:tcW w:w="3041" w:type="dxa"/>
            <w:tcBorders>
              <w:left w:val="single" w:sz="4" w:space="0" w:color="000000"/>
              <w:right w:val="nil"/>
            </w:tcBorders>
          </w:tcPr>
          <w:p>
            <w:pPr>
              <w:pStyle w:val="TableParagraph"/>
              <w:spacing w:line="280" w:lineRule="auto" w:before="5"/>
              <w:ind w:left="19" w:right="212"/>
              <w:rPr>
                <w:sz w:val="10"/>
              </w:rPr>
            </w:pPr>
            <w:r>
              <w:rPr>
                <w:w w:val="135"/>
                <w:sz w:val="10"/>
              </w:rPr>
              <w:t>No se tiene formalmente establecido un procedimiento por el cual se evalúe el cumplimiento de los servidores públicos de los Códigos de Ética y Conducta Institucionales.</w:t>
            </w:r>
          </w:p>
        </w:tc>
      </w:tr>
      <w:tr>
        <w:trPr>
          <w:trHeight w:val="767" w:hRule="exact"/>
        </w:trPr>
        <w:tc>
          <w:tcPr>
            <w:tcW w:w="3166" w:type="dxa"/>
            <w:tcBorders>
              <w:left w:val="single" w:sz="4" w:space="0" w:color="000000"/>
              <w:right w:val="single" w:sz="4" w:space="0" w:color="000000"/>
            </w:tcBorders>
          </w:tcPr>
          <w:p>
            <w:pPr>
              <w:pStyle w:val="TableParagraph"/>
              <w:spacing w:line="280" w:lineRule="auto" w:before="5"/>
              <w:ind w:left="17" w:right="12" w:firstLine="1"/>
              <w:rPr>
                <w:sz w:val="10"/>
              </w:rPr>
            </w:pPr>
            <w:r>
              <w:rPr>
                <w:w w:val="135"/>
                <w:sz w:val="10"/>
              </w:rPr>
              <w:t>Se tiene formalmente instituido un documento llamado Presupuesto Basado en la Matriz de Resultados por el cual se informa periódicamente al Titular de la Institución, la situación que guarda el funcionamiento general del sistema de control interno.</w:t>
            </w:r>
          </w:p>
        </w:tc>
        <w:tc>
          <w:tcPr>
            <w:tcW w:w="3041" w:type="dxa"/>
            <w:tcBorders>
              <w:left w:val="single" w:sz="4" w:space="0" w:color="000000"/>
              <w:right w:val="nil"/>
            </w:tcBorders>
          </w:tcPr>
          <w:p>
            <w:pPr>
              <w:pStyle w:val="TableParagraph"/>
              <w:spacing w:line="280" w:lineRule="auto" w:before="5"/>
              <w:ind w:left="19" w:right="145"/>
              <w:rPr>
                <w:sz w:val="10"/>
              </w:rPr>
            </w:pPr>
            <w:r>
              <w:rPr>
                <w:w w:val="135"/>
                <w:sz w:val="10"/>
              </w:rPr>
              <w:t>La institución no cuenta con un Comité de Ética formalmente establecido.</w:t>
            </w:r>
          </w:p>
        </w:tc>
      </w:tr>
      <w:tr>
        <w:trPr>
          <w:trHeight w:val="1078" w:hRule="exact"/>
        </w:trPr>
        <w:tc>
          <w:tcPr>
            <w:tcW w:w="3166" w:type="dxa"/>
            <w:tcBorders>
              <w:left w:val="single" w:sz="4" w:space="0" w:color="000000"/>
              <w:right w:val="single" w:sz="4" w:space="0" w:color="000000"/>
            </w:tcBorders>
          </w:tcPr>
          <w:p>
            <w:pPr>
              <w:pStyle w:val="TableParagraph"/>
              <w:spacing w:line="280" w:lineRule="auto" w:before="5"/>
              <w:ind w:left="18" w:right="191"/>
              <w:rPr>
                <w:sz w:val="10"/>
              </w:rPr>
            </w:pPr>
            <w:r>
              <w:rPr>
                <w:w w:val="135"/>
                <w:sz w:val="10"/>
              </w:rPr>
              <w:t>Existe una Planeación Estratégica que establece las acciones a seguir para la consecución de los objetivos y metas institucionales, el cual es del conocimiento de las áreas responsables de su ejecución</w:t>
            </w:r>
          </w:p>
        </w:tc>
        <w:tc>
          <w:tcPr>
            <w:tcW w:w="3041" w:type="dxa"/>
            <w:tcBorders>
              <w:left w:val="single" w:sz="4" w:space="0" w:color="000000"/>
              <w:right w:val="nil"/>
            </w:tcBorders>
          </w:tcPr>
          <w:p>
            <w:pPr>
              <w:pStyle w:val="TableParagraph"/>
              <w:spacing w:line="280" w:lineRule="auto" w:before="5"/>
              <w:ind w:left="18" w:right="33"/>
              <w:rPr>
                <w:sz w:val="10"/>
              </w:rPr>
            </w:pPr>
            <w:r>
              <w:rPr>
                <w:w w:val="135"/>
                <w:sz w:val="10"/>
              </w:rPr>
              <w:t>No existe un programa, ni se ha impartido capacitación en temas como, Control Interno y su evaluación, administración de riesgos y su evaluación, prevención, disuasión, detección y corrección de posibles actos de corrupción; situación que dificulta la actualización profesional del personal.</w:t>
            </w:r>
          </w:p>
        </w:tc>
      </w:tr>
      <w:tr>
        <w:trPr>
          <w:trHeight w:val="933" w:hRule="exact"/>
        </w:trPr>
        <w:tc>
          <w:tcPr>
            <w:tcW w:w="3166" w:type="dxa"/>
            <w:tcBorders>
              <w:left w:val="single" w:sz="4" w:space="0" w:color="000000"/>
              <w:right w:val="single" w:sz="4" w:space="0" w:color="000000"/>
            </w:tcBorders>
          </w:tcPr>
          <w:p>
            <w:pPr>
              <w:pStyle w:val="TableParagraph"/>
              <w:spacing w:line="280" w:lineRule="auto" w:before="4"/>
              <w:ind w:left="18" w:right="138"/>
              <w:rPr>
                <w:sz w:val="10"/>
              </w:rPr>
            </w:pPr>
            <w:r>
              <w:rPr>
                <w:w w:val="135"/>
                <w:sz w:val="10"/>
              </w:rPr>
              <w:t>Se ha realizado la evaluación de control interno a los procedimientos autorizados para integrar la información que se utiliza para el seguimiento de los objetivos y metas institucionales, con el propósito de asegurar la integridad y confiabilidad de dicha información.</w:t>
            </w:r>
          </w:p>
        </w:tc>
        <w:tc>
          <w:tcPr>
            <w:tcW w:w="3041" w:type="dxa"/>
            <w:tcBorders>
              <w:left w:val="single" w:sz="4" w:space="0" w:color="000000"/>
              <w:right w:val="nil"/>
            </w:tcBorders>
          </w:tcPr>
          <w:p>
            <w:pPr>
              <w:pStyle w:val="TableParagraph"/>
              <w:spacing w:line="280" w:lineRule="auto" w:before="4"/>
              <w:ind w:left="18" w:right="3"/>
              <w:rPr>
                <w:sz w:val="10"/>
              </w:rPr>
            </w:pPr>
            <w:r>
              <w:rPr>
                <w:w w:val="135"/>
                <w:sz w:val="10"/>
              </w:rPr>
              <w:t>No se han implementado las acciones para identificar los riesgos que pueden impedir la consecución de cada objetivo y meta institucional, lo que imposibilita la realización de acciones que permitan mitigar, administrar o minimizar dichos riesgos.</w:t>
            </w:r>
          </w:p>
        </w:tc>
      </w:tr>
      <w:tr>
        <w:trPr>
          <w:trHeight w:val="1137" w:hRule="exact"/>
        </w:trPr>
        <w:tc>
          <w:tcPr>
            <w:tcW w:w="3166" w:type="dxa"/>
            <w:tcBorders>
              <w:left w:val="single" w:sz="4" w:space="0" w:color="000000"/>
              <w:right w:val="single" w:sz="4" w:space="0" w:color="000000"/>
            </w:tcBorders>
          </w:tcPr>
          <w:p>
            <w:pPr>
              <w:pStyle w:val="TableParagraph"/>
              <w:spacing w:line="280" w:lineRule="auto" w:before="5"/>
              <w:ind w:left="17" w:right="27" w:firstLine="1"/>
              <w:rPr>
                <w:sz w:val="10"/>
              </w:rPr>
            </w:pPr>
            <w:r>
              <w:rPr>
                <w:w w:val="135"/>
                <w:sz w:val="10"/>
              </w:rPr>
              <w:t>La institución cuenta con un procedimiento formal por el cual se establecen los lineamientos y mecanismos necesarios para que los responsables de los procesos (controles internos), en sus respectivos ámbitos, comuniquen los resultados de sus evaluaciones de control interno y de las deficiencias identificadas al responsable de coordinar las actividades de Control Interno para su</w:t>
            </w:r>
          </w:p>
        </w:tc>
        <w:tc>
          <w:tcPr>
            <w:tcW w:w="3041" w:type="dxa"/>
            <w:tcBorders>
              <w:left w:val="single" w:sz="4" w:space="0" w:color="000000"/>
              <w:right w:val="nil"/>
            </w:tcBorders>
          </w:tcPr>
          <w:p>
            <w:pPr>
              <w:pStyle w:val="TableParagraph"/>
              <w:spacing w:line="280" w:lineRule="auto" w:before="5"/>
              <w:ind w:left="19" w:right="77"/>
              <w:rPr>
                <w:sz w:val="10"/>
              </w:rPr>
            </w:pPr>
            <w:r>
              <w:rPr>
                <w:w w:val="135"/>
                <w:sz w:val="10"/>
              </w:rPr>
              <w:t>No existe un informe sobre el estado que guarda la administración de los riesgos relevantes.</w:t>
            </w:r>
          </w:p>
        </w:tc>
      </w:tr>
      <w:tr>
        <w:trPr>
          <w:trHeight w:val="984" w:hRule="exact"/>
        </w:trPr>
        <w:tc>
          <w:tcPr>
            <w:tcW w:w="3166" w:type="dxa"/>
            <w:tcBorders>
              <w:left w:val="single" w:sz="4" w:space="0" w:color="000000"/>
              <w:right w:val="single" w:sz="4" w:space="0" w:color="000000"/>
            </w:tcBorders>
          </w:tcPr>
          <w:p>
            <w:pPr/>
          </w:p>
        </w:tc>
        <w:tc>
          <w:tcPr>
            <w:tcW w:w="3041" w:type="dxa"/>
            <w:tcBorders>
              <w:left w:val="single" w:sz="4" w:space="0" w:color="000000"/>
              <w:right w:val="nil"/>
            </w:tcBorders>
          </w:tcPr>
          <w:p>
            <w:pPr>
              <w:pStyle w:val="TableParagraph"/>
              <w:spacing w:line="280" w:lineRule="auto" w:before="5"/>
              <w:ind w:left="18" w:right="15"/>
              <w:rPr>
                <w:sz w:val="10"/>
              </w:rPr>
            </w:pPr>
            <w:r>
              <w:rPr>
                <w:w w:val="135"/>
                <w:sz w:val="10"/>
              </w:rPr>
              <w:t>La institución no cuenta con un inventario acumulado de riesgos que reconozca formalmente su existencia, identifique al responsable de su administración y precise su naturaleza (tipo, descripción, severidad, estrategias de mitigación, control y seguimiento) y el estado que guarda su control y</w:t>
            </w:r>
            <w:r>
              <w:rPr>
                <w:spacing w:val="-10"/>
                <w:w w:val="135"/>
                <w:sz w:val="10"/>
              </w:rPr>
              <w:t> </w:t>
            </w:r>
            <w:r>
              <w:rPr>
                <w:w w:val="135"/>
                <w:sz w:val="10"/>
              </w:rPr>
              <w:t>administración.</w:t>
            </w:r>
          </w:p>
        </w:tc>
      </w:tr>
      <w:tr>
        <w:trPr>
          <w:trHeight w:val="699" w:hRule="exact"/>
        </w:trPr>
        <w:tc>
          <w:tcPr>
            <w:tcW w:w="3166" w:type="dxa"/>
            <w:tcBorders>
              <w:left w:val="single" w:sz="4" w:space="0" w:color="000000"/>
              <w:right w:val="single" w:sz="4" w:space="0" w:color="000000"/>
            </w:tcBorders>
          </w:tcPr>
          <w:p>
            <w:pPr/>
          </w:p>
        </w:tc>
        <w:tc>
          <w:tcPr>
            <w:tcW w:w="3041" w:type="dxa"/>
            <w:tcBorders>
              <w:left w:val="single" w:sz="4" w:space="0" w:color="000000"/>
              <w:right w:val="nil"/>
            </w:tcBorders>
          </w:tcPr>
          <w:p>
            <w:pPr>
              <w:pStyle w:val="TableParagraph"/>
              <w:spacing w:line="280" w:lineRule="auto" w:before="4"/>
              <w:ind w:left="19" w:right="47"/>
              <w:rPr>
                <w:sz w:val="10"/>
              </w:rPr>
            </w:pPr>
            <w:r>
              <w:rPr>
                <w:w w:val="135"/>
                <w:sz w:val="10"/>
              </w:rPr>
              <w:t>Los sistemas informáticos de mayor relevancia, que se constituyen como herramientas de control del ente auditado, no han sido sujetos a evaluaciones de control interno, ni de riesgos en el último ejercicio.</w:t>
            </w:r>
          </w:p>
        </w:tc>
      </w:tr>
      <w:tr>
        <w:trPr>
          <w:trHeight w:val="1137" w:hRule="exact"/>
        </w:trPr>
        <w:tc>
          <w:tcPr>
            <w:tcW w:w="3166" w:type="dxa"/>
            <w:tcBorders>
              <w:left w:val="single" w:sz="4" w:space="0" w:color="000000"/>
              <w:right w:val="single" w:sz="4" w:space="0" w:color="000000"/>
            </w:tcBorders>
          </w:tcPr>
          <w:p>
            <w:pPr/>
          </w:p>
        </w:tc>
        <w:tc>
          <w:tcPr>
            <w:tcW w:w="3041" w:type="dxa"/>
            <w:tcBorders>
              <w:left w:val="single" w:sz="4" w:space="0" w:color="000000"/>
              <w:right w:val="nil"/>
            </w:tcBorders>
          </w:tcPr>
          <w:p>
            <w:pPr>
              <w:pStyle w:val="TableParagraph"/>
              <w:spacing w:line="280" w:lineRule="auto" w:before="4"/>
              <w:ind w:left="18" w:right="11"/>
              <w:rPr>
                <w:sz w:val="10"/>
              </w:rPr>
            </w:pPr>
            <w:r>
              <w:rPr>
                <w:w w:val="135"/>
                <w:sz w:val="10"/>
              </w:rPr>
              <w:t>No se tiene implantado formalmente una disposición o procedimiento por el cual se establezca la obligación de evaluar y actualizar periódicamente las políticas y procedimientos (controles internos) en cada ámbito de competencia, y particularmente en los procesos sustantivos y adjetivos relevantes para el logro de metas y objetivos.</w:t>
            </w:r>
          </w:p>
        </w:tc>
      </w:tr>
    </w:tbl>
    <w:p>
      <w:pPr>
        <w:spacing w:after="0" w:line="280" w:lineRule="auto"/>
        <w:rPr>
          <w:sz w:val="10"/>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rPr>
          <w:b/>
          <w:sz w:val="20"/>
        </w:rPr>
      </w:pPr>
    </w:p>
    <w:p>
      <w:pPr>
        <w:pStyle w:val="BodyText"/>
        <w:spacing w:before="6"/>
        <w:rPr>
          <w:b/>
          <w:sz w:val="16"/>
        </w:rPr>
      </w:pPr>
    </w:p>
    <w:p>
      <w:pPr>
        <w:spacing w:line="230" w:lineRule="atLeast" w:before="1"/>
        <w:ind w:left="2722" w:right="2588" w:firstLine="0"/>
        <w:jc w:val="left"/>
        <w:rPr>
          <w:sz w:val="20"/>
        </w:rPr>
      </w:pPr>
      <w:r>
        <w:rPr/>
        <w:drawing>
          <wp:anchor distT="0" distB="0" distL="0" distR="0" allowOverlap="1" layoutInCell="1" locked="0" behindDoc="1" simplePos="0" relativeHeight="267760415">
            <wp:simplePos x="0" y="0"/>
            <wp:positionH relativeFrom="page">
              <wp:posOffset>3072383</wp:posOffset>
            </wp:positionH>
            <wp:positionV relativeFrom="paragraph">
              <wp:posOffset>3693</wp:posOffset>
            </wp:positionV>
            <wp:extent cx="4000500" cy="402336"/>
            <wp:effectExtent l="0" t="0" r="0" b="0"/>
            <wp:wrapNone/>
            <wp:docPr id="43" name="image133.png" descr=""/>
            <wp:cNvGraphicFramePr>
              <a:graphicFrameLocks noChangeAspect="1"/>
            </wp:cNvGraphicFramePr>
            <a:graphic>
              <a:graphicData uri="http://schemas.openxmlformats.org/drawingml/2006/picture">
                <pic:pic>
                  <pic:nvPicPr>
                    <pic:cNvPr id="44" name="image133.png"/>
                    <pic:cNvPicPr/>
                  </pic:nvPicPr>
                  <pic:blipFill>
                    <a:blip r:embed="rId189" cstate="print"/>
                    <a:stretch>
                      <a:fillRect/>
                    </a:stretch>
                  </pic:blipFill>
                  <pic:spPr>
                    <a:xfrm>
                      <a:off x="0" y="0"/>
                      <a:ext cx="4000500" cy="402336"/>
                    </a:xfrm>
                    <a:prstGeom prst="rect">
                      <a:avLst/>
                    </a:prstGeom>
                  </pic:spPr>
                </pic:pic>
              </a:graphicData>
            </a:graphic>
          </wp:anchor>
        </w:drawing>
      </w:r>
      <w:r>
        <w:rPr>
          <w:b/>
          <w:sz w:val="20"/>
        </w:rPr>
        <w:t>Fuente: </w:t>
      </w:r>
      <w:r>
        <w:rPr>
          <w:sz w:val="20"/>
        </w:rPr>
        <w:t>Elaboración propia con base en el Informe de Resultados de la Fiscalización Superior de las cuentas públicas 2008-2014.</w:t>
      </w:r>
    </w:p>
    <w:p>
      <w:pPr>
        <w:spacing w:line="82" w:lineRule="exact" w:before="0"/>
        <w:ind w:left="120" w:right="0" w:firstLine="0"/>
        <w:jc w:val="center"/>
        <w:rPr>
          <w:b/>
          <w:sz w:val="15"/>
        </w:rPr>
      </w:pPr>
      <w:r>
        <w:rPr>
          <w:b/>
          <w:w w:val="115"/>
          <w:sz w:val="15"/>
        </w:rPr>
        <w:t>Calidad de la Gestión Gubernamental</w:t>
      </w:r>
    </w:p>
    <w:p>
      <w:pPr>
        <w:spacing w:after="0" w:line="82" w:lineRule="exact"/>
        <w:jc w:val="center"/>
        <w:rPr>
          <w:sz w:val="15"/>
        </w:rPr>
        <w:sectPr>
          <w:pgSz w:w="15840" w:h="12240" w:orient="landscape"/>
          <w:pgMar w:header="0" w:footer="992" w:top="1140" w:bottom="1180" w:left="2260" w:right="2260"/>
        </w:sectPr>
      </w:pPr>
    </w:p>
    <w:p>
      <w:pPr>
        <w:pStyle w:val="BodyText"/>
        <w:spacing w:before="6"/>
        <w:jc w:val="right"/>
      </w:pPr>
      <w:r>
        <w:rPr/>
        <w:t>Anexo 62.</w:t>
      </w:r>
    </w:p>
    <w:p>
      <w:pPr>
        <w:spacing w:line="268" w:lineRule="auto" w:before="20"/>
        <w:ind w:left="480" w:right="2918" w:hanging="292"/>
        <w:jc w:val="left"/>
        <w:rPr>
          <w:b/>
          <w:sz w:val="15"/>
        </w:rPr>
      </w:pPr>
      <w:r>
        <w:rPr/>
        <w:br w:type="column"/>
      </w:r>
      <w:r>
        <w:rPr>
          <w:b/>
          <w:w w:val="115"/>
          <w:sz w:val="15"/>
        </w:rPr>
        <w:t>Controles Internos (Manejo y Aplicación) Atlacomulco Ejercicio Fiscal 2013</w:t>
      </w:r>
    </w:p>
    <w:p>
      <w:pPr>
        <w:spacing w:after="0" w:line="268" w:lineRule="auto"/>
        <w:jc w:val="left"/>
        <w:rPr>
          <w:sz w:val="15"/>
        </w:rPr>
        <w:sectPr>
          <w:type w:val="continuous"/>
          <w:pgSz w:w="15840" w:h="12240" w:orient="landscape"/>
          <w:pgMar w:top="0" w:bottom="280" w:left="2260" w:right="2260"/>
          <w:cols w:num="2" w:equalWidth="0">
            <w:col w:w="3804" w:space="40"/>
            <w:col w:w="7476"/>
          </w:cols>
        </w:sectPr>
      </w:pPr>
    </w:p>
    <w:p>
      <w:pPr>
        <w:pStyle w:val="BodyText"/>
        <w:spacing w:line="20" w:lineRule="exact"/>
        <w:ind w:left="2592"/>
        <w:rPr>
          <w:sz w:val="2"/>
        </w:rPr>
      </w:pPr>
      <w:r>
        <w:rPr>
          <w:sz w:val="2"/>
        </w:rPr>
        <w:pict>
          <v:group style="width:312.350pt;height:.6pt;mso-position-horizontal-relative:char;mso-position-vertical-relative:line" coordorigin="0,0" coordsize="6247,12">
            <v:shape style="position:absolute;left:6;top:6;width:6235;height:2" coordorigin="6,6" coordsize="6235,0" path="m6,6l6,6,6241,6e" filled="false" stroked="true" strokeweight=".567122pt" strokecolor="#000000">
              <v:path arrowok="t"/>
            </v:shape>
          </v:group>
        </w:pict>
      </w:r>
      <w:r>
        <w:rPr>
          <w:sz w:val="2"/>
        </w:rPr>
      </w:r>
    </w:p>
    <w:p>
      <w:pPr>
        <w:pStyle w:val="BodyText"/>
        <w:rPr>
          <w:b/>
          <w:sz w:val="20"/>
        </w:rPr>
      </w:pPr>
    </w:p>
    <w:p>
      <w:pPr>
        <w:pStyle w:val="BodyText"/>
        <w:spacing w:before="8"/>
        <w:rPr>
          <w:b/>
          <w:sz w:val="10"/>
        </w:rPr>
      </w:pPr>
    </w:p>
    <w:tbl>
      <w:tblPr>
        <w:tblW w:w="0" w:type="auto"/>
        <w:jc w:val="left"/>
        <w:tblInd w:w="259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230"/>
        <w:gridCol w:w="3001"/>
      </w:tblGrid>
      <w:tr>
        <w:trPr>
          <w:trHeight w:val="193" w:hRule="exact"/>
        </w:trPr>
        <w:tc>
          <w:tcPr>
            <w:tcW w:w="6231" w:type="dxa"/>
            <w:gridSpan w:val="2"/>
            <w:tcBorders>
              <w:left w:val="single" w:sz="5" w:space="0" w:color="000000"/>
              <w:right w:val="single" w:sz="5" w:space="0" w:color="000000"/>
            </w:tcBorders>
            <w:shd w:val="clear" w:color="auto" w:fill="E6B8B7"/>
          </w:tcPr>
          <w:p>
            <w:pPr>
              <w:pStyle w:val="TableParagraph"/>
              <w:spacing w:before="1"/>
              <w:ind w:left="2889" w:right="2876"/>
              <w:jc w:val="center"/>
              <w:rPr>
                <w:b/>
                <w:sz w:val="15"/>
              </w:rPr>
            </w:pPr>
            <w:r>
              <w:rPr>
                <w:b/>
                <w:w w:val="115"/>
                <w:sz w:val="15"/>
              </w:rPr>
              <w:t>FISM</w:t>
            </w:r>
          </w:p>
        </w:tc>
      </w:tr>
      <w:tr>
        <w:trPr>
          <w:trHeight w:val="192" w:hRule="exact"/>
        </w:trPr>
        <w:tc>
          <w:tcPr>
            <w:tcW w:w="3230" w:type="dxa"/>
            <w:tcBorders>
              <w:left w:val="single" w:sz="5" w:space="0" w:color="000000"/>
              <w:right w:val="single" w:sz="5" w:space="0" w:color="000000"/>
            </w:tcBorders>
            <w:shd w:val="clear" w:color="auto" w:fill="F1DCDB"/>
          </w:tcPr>
          <w:p>
            <w:pPr>
              <w:pStyle w:val="TableParagraph"/>
              <w:ind w:left="1166" w:right="1156"/>
              <w:jc w:val="center"/>
              <w:rPr>
                <w:b/>
                <w:sz w:val="15"/>
              </w:rPr>
            </w:pPr>
            <w:r>
              <w:rPr>
                <w:b/>
                <w:w w:val="115"/>
                <w:sz w:val="15"/>
              </w:rPr>
              <w:t>Fortalezas</w:t>
            </w:r>
          </w:p>
        </w:tc>
        <w:tc>
          <w:tcPr>
            <w:tcW w:w="3001" w:type="dxa"/>
            <w:tcBorders>
              <w:left w:val="single" w:sz="5" w:space="0" w:color="000000"/>
              <w:right w:val="single" w:sz="5" w:space="0" w:color="000000"/>
            </w:tcBorders>
            <w:shd w:val="clear" w:color="auto" w:fill="F1DCDB"/>
          </w:tcPr>
          <w:p>
            <w:pPr>
              <w:pStyle w:val="TableParagraph"/>
              <w:ind w:left="991" w:right="989"/>
              <w:jc w:val="center"/>
              <w:rPr>
                <w:b/>
                <w:sz w:val="15"/>
              </w:rPr>
            </w:pPr>
            <w:r>
              <w:rPr>
                <w:b/>
                <w:w w:val="115"/>
                <w:sz w:val="15"/>
              </w:rPr>
              <w:t>Debilidades</w:t>
            </w:r>
          </w:p>
        </w:tc>
      </w:tr>
      <w:tr>
        <w:trPr>
          <w:trHeight w:val="1224" w:hRule="exact"/>
        </w:trPr>
        <w:tc>
          <w:tcPr>
            <w:tcW w:w="3230" w:type="dxa"/>
            <w:tcBorders>
              <w:left w:val="single" w:sz="5" w:space="0" w:color="000000"/>
              <w:right w:val="single" w:sz="5" w:space="0" w:color="000000"/>
            </w:tcBorders>
          </w:tcPr>
          <w:p>
            <w:pPr>
              <w:pStyle w:val="TableParagraph"/>
              <w:spacing w:line="268" w:lineRule="auto" w:before="1"/>
              <w:ind w:left="24" w:right="48" w:firstLine="1"/>
              <w:rPr>
                <w:sz w:val="15"/>
              </w:rPr>
            </w:pPr>
            <w:r>
              <w:rPr>
                <w:w w:val="115"/>
                <w:sz w:val="15"/>
              </w:rPr>
              <w:t>El gobierno del municipio cuenta con un Manual de Organización, que precisa la distribución de funciones entre los servidores públicos con nivel de mando medio y superior.</w:t>
            </w:r>
          </w:p>
        </w:tc>
        <w:tc>
          <w:tcPr>
            <w:tcW w:w="3001" w:type="dxa"/>
            <w:tcBorders>
              <w:left w:val="single" w:sz="5" w:space="0" w:color="000000"/>
              <w:right w:val="single" w:sz="5" w:space="0" w:color="000000"/>
            </w:tcBorders>
          </w:tcPr>
          <w:p>
            <w:pPr>
              <w:pStyle w:val="TableParagraph"/>
              <w:spacing w:line="268" w:lineRule="auto" w:before="1"/>
              <w:ind w:left="26" w:right="96" w:hanging="2"/>
              <w:rPr>
                <w:sz w:val="15"/>
              </w:rPr>
            </w:pPr>
            <w:r>
              <w:rPr>
                <w:w w:val="115"/>
                <w:sz w:val="15"/>
              </w:rPr>
              <w:t>El municipio no tiene implementado un Código de Ética ni de Conducta.</w:t>
            </w:r>
          </w:p>
        </w:tc>
      </w:tr>
      <w:tr>
        <w:trPr>
          <w:trHeight w:val="1453" w:hRule="exact"/>
        </w:trPr>
        <w:tc>
          <w:tcPr>
            <w:tcW w:w="3230" w:type="dxa"/>
            <w:tcBorders>
              <w:left w:val="single" w:sz="5" w:space="0" w:color="000000"/>
              <w:right w:val="single" w:sz="5" w:space="0" w:color="000000"/>
            </w:tcBorders>
          </w:tcPr>
          <w:p>
            <w:pPr>
              <w:pStyle w:val="TableParagraph"/>
              <w:spacing w:line="268" w:lineRule="auto"/>
              <w:ind w:left="24" w:right="48" w:firstLine="1"/>
              <w:rPr>
                <w:sz w:val="15"/>
              </w:rPr>
            </w:pPr>
            <w:r>
              <w:rPr>
                <w:w w:val="115"/>
                <w:sz w:val="15"/>
              </w:rPr>
              <w:t>El municipio cuenta con un Programa Operativo Anual, para encaminar las actividades al cumplimiento del mismo.</w:t>
            </w:r>
          </w:p>
        </w:tc>
        <w:tc>
          <w:tcPr>
            <w:tcW w:w="3001" w:type="dxa"/>
            <w:tcBorders>
              <w:left w:val="single" w:sz="5" w:space="0" w:color="000000"/>
              <w:right w:val="single" w:sz="5" w:space="0" w:color="000000"/>
            </w:tcBorders>
          </w:tcPr>
          <w:p>
            <w:pPr>
              <w:pStyle w:val="TableParagraph"/>
              <w:spacing w:line="268" w:lineRule="auto"/>
              <w:ind w:left="24" w:right="22" w:firstLine="1"/>
              <w:rPr>
                <w:sz w:val="15"/>
              </w:rPr>
            </w:pPr>
            <w:r>
              <w:rPr>
                <w:w w:val="115"/>
                <w:sz w:val="15"/>
              </w:rPr>
              <w:t>El gobierno del municipio no cuenta con manuales de procedimientos, que permitan precisar las actividades que deben realizarse para cumplir debidamente cada una de las funciones que demandan los puestos a desempeñar.</w:t>
            </w:r>
          </w:p>
        </w:tc>
      </w:tr>
      <w:tr>
        <w:trPr>
          <w:trHeight w:val="1242" w:hRule="exact"/>
        </w:trPr>
        <w:tc>
          <w:tcPr>
            <w:tcW w:w="3230" w:type="dxa"/>
            <w:tcBorders>
              <w:left w:val="single" w:sz="5" w:space="0" w:color="000000"/>
              <w:right w:val="single" w:sz="5" w:space="0" w:color="000000"/>
            </w:tcBorders>
          </w:tcPr>
          <w:p>
            <w:pPr>
              <w:pStyle w:val="TableParagraph"/>
              <w:spacing w:line="268" w:lineRule="auto" w:before="1"/>
              <w:ind w:left="24" w:right="48" w:firstLine="1"/>
              <w:rPr>
                <w:sz w:val="15"/>
              </w:rPr>
            </w:pPr>
            <w:r>
              <w:rPr>
                <w:w w:val="115"/>
                <w:sz w:val="15"/>
              </w:rPr>
              <w:t>El municipio tiene un Sistema integral de Contabilidad, para registrar y controlar las operaciones realizadas con los recursos del fondo.</w:t>
            </w:r>
          </w:p>
        </w:tc>
        <w:tc>
          <w:tcPr>
            <w:tcW w:w="3001" w:type="dxa"/>
            <w:tcBorders>
              <w:left w:val="single" w:sz="5" w:space="0" w:color="000000"/>
              <w:right w:val="single" w:sz="5" w:space="0" w:color="000000"/>
            </w:tcBorders>
          </w:tcPr>
          <w:p>
            <w:pPr>
              <w:pStyle w:val="TableParagraph"/>
              <w:spacing w:line="268" w:lineRule="auto" w:before="1"/>
              <w:ind w:left="24" w:right="96" w:firstLine="1"/>
              <w:rPr>
                <w:sz w:val="15"/>
              </w:rPr>
            </w:pPr>
            <w:r>
              <w:rPr>
                <w:w w:val="115"/>
                <w:sz w:val="15"/>
              </w:rPr>
              <w:t>No se realizan evaluaciones del sistema de control interno, lo que impide determinar las causas de los problemas y, en consecuencia, no se ha establecido un programa de atención.</w:t>
            </w:r>
          </w:p>
        </w:tc>
      </w:tr>
      <w:tr>
        <w:trPr>
          <w:trHeight w:val="2314" w:hRule="exact"/>
        </w:trPr>
        <w:tc>
          <w:tcPr>
            <w:tcW w:w="3230" w:type="dxa"/>
            <w:tcBorders>
              <w:left w:val="single" w:sz="5" w:space="0" w:color="000000"/>
              <w:right w:val="single" w:sz="5" w:space="0" w:color="000000"/>
            </w:tcBorders>
          </w:tcPr>
          <w:p>
            <w:pPr>
              <w:pStyle w:val="TableParagraph"/>
              <w:spacing w:line="268" w:lineRule="auto" w:before="1"/>
              <w:ind w:left="24" w:right="48" w:firstLine="1"/>
              <w:rPr>
                <w:sz w:val="15"/>
              </w:rPr>
            </w:pPr>
            <w:r>
              <w:rPr>
                <w:w w:val="115"/>
                <w:sz w:val="15"/>
              </w:rPr>
              <w:t>Se lleva a cabo una evaluación del Control Interno por parte del Órgano Superior de Fiscalización.</w:t>
            </w:r>
          </w:p>
        </w:tc>
        <w:tc>
          <w:tcPr>
            <w:tcW w:w="3001" w:type="dxa"/>
            <w:tcBorders>
              <w:left w:val="single" w:sz="5" w:space="0" w:color="000000"/>
              <w:right w:val="single" w:sz="5" w:space="0" w:color="000000"/>
            </w:tcBorders>
          </w:tcPr>
          <w:p>
            <w:pPr>
              <w:pStyle w:val="TableParagraph"/>
              <w:spacing w:line="268" w:lineRule="auto" w:before="1"/>
              <w:ind w:left="24" w:right="50" w:firstLine="1"/>
              <w:rPr>
                <w:sz w:val="15"/>
              </w:rPr>
            </w:pPr>
            <w:r>
              <w:rPr>
                <w:w w:val="115"/>
                <w:sz w:val="15"/>
              </w:rPr>
              <w:t>No existe un programa de capacitación, ni se ha impartido capacitación en temas como ética e integridad, control interno y su evaluación; administración de riesgos y su evaluación; prevención, disuasión, detección y corrección de posibles y actos de corrupción, y normativa específica de la operación del programa o fondo; situación que dificulta la actualización profesional del personal.</w:t>
            </w:r>
          </w:p>
        </w:tc>
      </w:tr>
    </w:tbl>
    <w:p>
      <w:pPr>
        <w:spacing w:after="0" w:line="268" w:lineRule="auto"/>
        <w:rPr>
          <w:sz w:val="15"/>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1"/>
        </w:rPr>
      </w:pPr>
    </w:p>
    <w:p>
      <w:pPr>
        <w:spacing w:line="130" w:lineRule="atLeast" w:before="76"/>
        <w:ind w:left="4000" w:right="4184" w:firstLine="1"/>
        <w:jc w:val="center"/>
        <w:rPr>
          <w:b/>
          <w:sz w:val="10"/>
        </w:rPr>
      </w:pPr>
      <w:r>
        <w:rPr/>
        <w:drawing>
          <wp:anchor distT="0" distB="0" distL="0" distR="0" allowOverlap="1" layoutInCell="1" locked="0" behindDoc="1" simplePos="0" relativeHeight="267760439">
            <wp:simplePos x="0" y="0"/>
            <wp:positionH relativeFrom="page">
              <wp:posOffset>2958083</wp:posOffset>
            </wp:positionH>
            <wp:positionV relativeFrom="paragraph">
              <wp:posOffset>-258089</wp:posOffset>
            </wp:positionV>
            <wp:extent cx="4114800" cy="403860"/>
            <wp:effectExtent l="0" t="0" r="0" b="0"/>
            <wp:wrapNone/>
            <wp:docPr id="45" name="image135.png" descr=""/>
            <wp:cNvGraphicFramePr>
              <a:graphicFrameLocks noChangeAspect="1"/>
            </wp:cNvGraphicFramePr>
            <a:graphic>
              <a:graphicData uri="http://schemas.openxmlformats.org/drawingml/2006/picture">
                <pic:pic>
                  <pic:nvPicPr>
                    <pic:cNvPr id="46" name="image135.png"/>
                    <pic:cNvPicPr/>
                  </pic:nvPicPr>
                  <pic:blipFill>
                    <a:blip r:embed="rId191" cstate="print"/>
                    <a:stretch>
                      <a:fillRect/>
                    </a:stretch>
                  </pic:blipFill>
                  <pic:spPr>
                    <a:xfrm>
                      <a:off x="0" y="0"/>
                      <a:ext cx="4114800" cy="403860"/>
                    </a:xfrm>
                    <a:prstGeom prst="rect">
                      <a:avLst/>
                    </a:prstGeom>
                  </pic:spPr>
                </pic:pic>
              </a:graphicData>
            </a:graphic>
          </wp:anchor>
        </w:drawing>
      </w:r>
      <w:r>
        <w:rPr/>
        <w:pict>
          <v:shape style="position:absolute;margin-left:240.467056pt;margin-top:.498746pt;width:309.4pt;height:10pt;mso-position-horizontal-relative:page;mso-position-vertical-relative:paragraph;z-index:-674968;rotation:181" type="#_x0000_t136" fillcolor="#000000" stroked="f">
            <o:extrusion v:ext="view" autorotationcenter="t"/>
            <v:textpath style="font-family:&amp;quot;Arial&amp;quot;;font-size:10pt;v-text-kern:t;mso-text-shadow:auto;font-weight:bold" string="Fuente: Elaboración propia con base en el Informe de Resultados de"/>
            <w10:wrap type="none"/>
          </v:shape>
        </w:pict>
      </w:r>
      <w:r>
        <w:rPr/>
        <w:pict>
          <v:shape style="position:absolute;margin-left:281.254639pt;margin-top:-11.261243pt;width:268.650pt;height:10pt;mso-position-horizontal-relative:page;mso-position-vertical-relative:paragraph;z-index:8296;rotation:181" type="#_x0000_t136" fillcolor="#000000" stroked="f">
            <o:extrusion v:ext="view" autorotationcenter="t"/>
            <v:textpath style="font-family:&amp;quot;Arial&amp;quot;;font-size:10pt;v-text-kern:t;mso-text-shadow:auto" string="la Fiscalización Superior de las cuentas públicas 2008-2014."/>
            <w10:wrap type="none"/>
          </v:shape>
        </w:pict>
      </w:r>
      <w:r>
        <w:rPr>
          <w:b/>
          <w:w w:val="160"/>
          <w:sz w:val="10"/>
        </w:rPr>
        <w:t>Calidad de la Gestión Gubernamental Controles Internos (Manejo y Aplicación)</w:t>
      </w:r>
    </w:p>
    <w:p>
      <w:pPr>
        <w:tabs>
          <w:tab w:pos="5427" w:val="left" w:leader="none"/>
        </w:tabs>
        <w:spacing w:line="202" w:lineRule="exact" w:before="0"/>
        <w:ind w:left="0" w:right="189" w:firstLine="0"/>
        <w:jc w:val="center"/>
        <w:rPr>
          <w:b/>
          <w:sz w:val="10"/>
        </w:rPr>
      </w:pPr>
      <w:r>
        <w:rPr/>
        <w:pict>
          <v:group style="position:absolute;margin-left:255.514709pt;margin-top:20.193682pt;width:271.75pt;height:13.6pt;mso-position-horizontal-relative:page;mso-position-vertical-relative:paragraph;z-index:-674992" coordorigin="5110,404" coordsize="5435,272">
            <v:rect style="position:absolute;left:5110;top:408;width:5428;height:135" filled="true" fillcolor="#e6b8b7" stroked="false">
              <v:fill type="solid"/>
            </v:rect>
            <v:rect style="position:absolute;left:5110;top:540;width:5428;height:135" filled="true" fillcolor="#f1dcdb" stroked="false">
              <v:fill type="solid"/>
            </v:rect>
            <v:shape style="position:absolute;left:552;top:-6061;width:8075;height:302" coordorigin="552,-6061" coordsize="8075,302" path="m5116,408l5116,408,10541,408m5116,540l5116,540,10541,540e" filled="false" stroked="true" strokeweight=".496103pt" strokecolor="#000000">
              <v:path arrowok="t"/>
            </v:shape>
            <w10:wrap type="none"/>
          </v:group>
        </w:pict>
      </w:r>
      <w:r>
        <w:rPr>
          <w:w w:val="100"/>
          <w:position w:val="-3"/>
          <w:sz w:val="24"/>
          <w:u w:val="single"/>
        </w:rPr>
        <w:t> </w:t>
      </w:r>
      <w:r>
        <w:rPr>
          <w:spacing w:val="-21"/>
          <w:position w:val="-3"/>
          <w:sz w:val="24"/>
          <w:u w:val="single"/>
        </w:rPr>
        <w:t> </w:t>
      </w:r>
      <w:r>
        <w:rPr>
          <w:w w:val="120"/>
          <w:position w:val="-3"/>
          <w:sz w:val="24"/>
          <w:u w:val="single"/>
        </w:rPr>
        <w:t>Anexo 63. </w:t>
      </w:r>
      <w:r>
        <w:rPr>
          <w:b/>
          <w:w w:val="150"/>
          <w:sz w:val="10"/>
          <w:u w:val="single"/>
        </w:rPr>
        <w:t>Chimalhuacán Ejercicio Fiscal  2013</w:t>
      </w:r>
      <w:r>
        <w:rPr>
          <w:b/>
          <w:sz w:val="10"/>
          <w:u w:val="single"/>
        </w:rPr>
        <w:tab/>
      </w:r>
    </w:p>
    <w:p>
      <w:pPr>
        <w:pStyle w:val="BodyText"/>
        <w:spacing w:before="5" w:after="1"/>
        <w:rPr>
          <w:b/>
          <w:sz w:val="17"/>
        </w:rPr>
      </w:pPr>
    </w:p>
    <w:tbl>
      <w:tblPr>
        <w:tblW w:w="0" w:type="auto"/>
        <w:jc w:val="left"/>
        <w:tblInd w:w="28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67"/>
        <w:gridCol w:w="2558"/>
      </w:tblGrid>
      <w:tr>
        <w:trPr>
          <w:trHeight w:val="270" w:hRule="exact"/>
        </w:trPr>
        <w:tc>
          <w:tcPr>
            <w:tcW w:w="5425" w:type="dxa"/>
            <w:gridSpan w:val="2"/>
            <w:tcBorders>
              <w:left w:val="single" w:sz="5" w:space="0" w:color="000000"/>
              <w:bottom w:val="single" w:sz="3" w:space="0" w:color="000000"/>
              <w:right w:val="single" w:sz="5" w:space="0" w:color="000000"/>
            </w:tcBorders>
          </w:tcPr>
          <w:p>
            <w:pPr>
              <w:pStyle w:val="TableParagraph"/>
              <w:spacing w:before="12"/>
              <w:ind w:left="2500" w:right="2489"/>
              <w:jc w:val="center"/>
              <w:rPr>
                <w:b/>
                <w:sz w:val="10"/>
              </w:rPr>
            </w:pPr>
            <w:r>
              <w:rPr>
                <w:b/>
                <w:w w:val="160"/>
                <w:sz w:val="10"/>
              </w:rPr>
              <w:t>FISM</w:t>
            </w:r>
          </w:p>
          <w:p>
            <w:pPr>
              <w:pStyle w:val="TableParagraph"/>
              <w:tabs>
                <w:tab w:pos="3691" w:val="left" w:leader="none"/>
              </w:tabs>
              <w:spacing w:before="18"/>
              <w:ind w:left="1034"/>
              <w:rPr>
                <w:b/>
                <w:sz w:val="10"/>
              </w:rPr>
            </w:pPr>
            <w:r>
              <w:rPr>
                <w:b/>
                <w:w w:val="160"/>
                <w:sz w:val="10"/>
              </w:rPr>
              <w:t>Fortalezas</w:t>
              <w:tab/>
              <w:t>Debilidades</w:t>
            </w:r>
          </w:p>
        </w:tc>
      </w:tr>
      <w:tr>
        <w:trPr>
          <w:trHeight w:val="1386" w:hRule="exact"/>
        </w:trPr>
        <w:tc>
          <w:tcPr>
            <w:tcW w:w="2867"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33" w:firstLine="1"/>
              <w:rPr>
                <w:sz w:val="10"/>
              </w:rPr>
            </w:pPr>
            <w:r>
              <w:rPr>
                <w:w w:val="160"/>
                <w:sz w:val="10"/>
              </w:rPr>
              <w:t>Existe un programa para capacitar al personal y se han impartido cursos o talleres que comprenden temas como normativa específica de la operación del fondo.</w:t>
            </w:r>
          </w:p>
        </w:tc>
        <w:tc>
          <w:tcPr>
            <w:tcW w:w="2558"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36" w:firstLine="2"/>
              <w:rPr>
                <w:sz w:val="10"/>
              </w:rPr>
            </w:pPr>
            <w:r>
              <w:rPr>
                <w:w w:val="160"/>
                <w:sz w:val="10"/>
              </w:rPr>
              <w:t>El Gobierno del municipio de Chimalhuacán cuenta con un proyecto de Manual de Organización, el cual se espera concluir el 20 de diciembre de 2014. La inexistencia de dicho Manual impide establecer la distribución de las funciones, entre los servidores públicos con nivel de mando medio y</w:t>
            </w:r>
            <w:r>
              <w:rPr>
                <w:spacing w:val="1"/>
                <w:w w:val="160"/>
                <w:sz w:val="10"/>
              </w:rPr>
              <w:t> </w:t>
            </w:r>
            <w:r>
              <w:rPr>
                <w:w w:val="160"/>
                <w:sz w:val="10"/>
              </w:rPr>
              <w:t>superior.</w:t>
            </w:r>
          </w:p>
        </w:tc>
      </w:tr>
      <w:tr>
        <w:trPr>
          <w:trHeight w:val="1108" w:hRule="exact"/>
        </w:trPr>
        <w:tc>
          <w:tcPr>
            <w:tcW w:w="2867"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3" w:right="64"/>
              <w:rPr>
                <w:sz w:val="10"/>
              </w:rPr>
            </w:pPr>
            <w:r>
              <w:rPr>
                <w:w w:val="160"/>
                <w:sz w:val="10"/>
              </w:rPr>
              <w:t>Existe una Planeación Estratégica que establece las acciones por seguir para la consecución de los objetivos y metas institucionales, y es del conocimiento de las áreas responsables de su</w:t>
            </w:r>
            <w:r>
              <w:rPr>
                <w:spacing w:val="7"/>
                <w:w w:val="160"/>
                <w:sz w:val="10"/>
              </w:rPr>
              <w:t> </w:t>
            </w:r>
            <w:r>
              <w:rPr>
                <w:w w:val="160"/>
                <w:sz w:val="10"/>
              </w:rPr>
              <w:t>ejecución.</w:t>
            </w:r>
          </w:p>
        </w:tc>
        <w:tc>
          <w:tcPr>
            <w:tcW w:w="2558"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3" w:right="33"/>
              <w:rPr>
                <w:sz w:val="10"/>
              </w:rPr>
            </w:pPr>
            <w:r>
              <w:rPr>
                <w:w w:val="160"/>
                <w:sz w:val="10"/>
              </w:rPr>
              <w:t>El Gobierno del municipio no cuenta con Manuales de Procedimientos, lo cual impide precisar las actividades que deben realizarse para cumplir debidamente con cada una de las funciones que demandan los puestos por desempeñar</w:t>
            </w:r>
          </w:p>
        </w:tc>
      </w:tr>
      <w:tr>
        <w:trPr>
          <w:trHeight w:val="337" w:hRule="exact"/>
        </w:trPr>
        <w:tc>
          <w:tcPr>
            <w:tcW w:w="2867" w:type="dxa"/>
            <w:tcBorders>
              <w:top w:val="single" w:sz="3" w:space="0" w:color="000000"/>
              <w:left w:val="single" w:sz="5" w:space="0" w:color="000000"/>
              <w:bottom w:val="single" w:sz="3" w:space="0" w:color="000000"/>
              <w:right w:val="single" w:sz="5" w:space="0" w:color="000000"/>
            </w:tcBorders>
          </w:tcPr>
          <w:p>
            <w:pPr/>
          </w:p>
        </w:tc>
        <w:tc>
          <w:tcPr>
            <w:tcW w:w="2558" w:type="dxa"/>
            <w:tcBorders>
              <w:top w:val="single" w:sz="3" w:space="0" w:color="000000"/>
              <w:left w:val="single" w:sz="5" w:space="0" w:color="000000"/>
              <w:bottom w:val="single" w:sz="3" w:space="0" w:color="000000"/>
              <w:right w:val="single" w:sz="5" w:space="0" w:color="000000"/>
            </w:tcBorders>
          </w:tcPr>
          <w:p>
            <w:pPr>
              <w:pStyle w:val="TableParagraph"/>
              <w:spacing w:line="278" w:lineRule="auto" w:before="3"/>
              <w:ind w:left="22" w:right="33" w:firstLine="2"/>
              <w:rPr>
                <w:sz w:val="10"/>
              </w:rPr>
            </w:pPr>
            <w:r>
              <w:rPr>
                <w:w w:val="160"/>
                <w:sz w:val="10"/>
              </w:rPr>
              <w:t>No existe un Código de Ética ni otro de Conducta.</w:t>
            </w:r>
          </w:p>
        </w:tc>
      </w:tr>
      <w:tr>
        <w:trPr>
          <w:trHeight w:val="929" w:hRule="exact"/>
        </w:trPr>
        <w:tc>
          <w:tcPr>
            <w:tcW w:w="2867" w:type="dxa"/>
            <w:tcBorders>
              <w:top w:val="single" w:sz="3" w:space="0" w:color="000000"/>
              <w:left w:val="single" w:sz="5" w:space="0" w:color="000000"/>
              <w:bottom w:val="single" w:sz="3" w:space="0" w:color="000000"/>
              <w:right w:val="single" w:sz="5" w:space="0" w:color="000000"/>
            </w:tcBorders>
          </w:tcPr>
          <w:p>
            <w:pPr/>
          </w:p>
        </w:tc>
        <w:tc>
          <w:tcPr>
            <w:tcW w:w="2558"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3" w:right="48"/>
              <w:rPr>
                <w:sz w:val="10"/>
              </w:rPr>
            </w:pPr>
            <w:r>
              <w:rPr>
                <w:w w:val="160"/>
                <w:sz w:val="10"/>
              </w:rPr>
              <w:t>No se realizan evaluaciones del sistema de control interno, lo que impide determinar las causas de los problemas y, en consecuencia, no se ha establecido un programa de atención.</w:t>
            </w:r>
          </w:p>
        </w:tc>
      </w:tr>
      <w:tr>
        <w:trPr>
          <w:trHeight w:val="1518" w:hRule="exact"/>
        </w:trPr>
        <w:tc>
          <w:tcPr>
            <w:tcW w:w="2867" w:type="dxa"/>
            <w:tcBorders>
              <w:top w:val="single" w:sz="3" w:space="0" w:color="000000"/>
              <w:left w:val="single" w:sz="5" w:space="0" w:color="000000"/>
              <w:bottom w:val="single" w:sz="3" w:space="0" w:color="000000"/>
              <w:right w:val="single" w:sz="5" w:space="0" w:color="000000"/>
            </w:tcBorders>
          </w:tcPr>
          <w:p>
            <w:pPr/>
          </w:p>
        </w:tc>
        <w:tc>
          <w:tcPr>
            <w:tcW w:w="2558"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48" w:firstLine="2"/>
              <w:rPr>
                <w:sz w:val="10"/>
              </w:rPr>
            </w:pPr>
            <w:r>
              <w:rPr>
                <w:w w:val="160"/>
                <w:sz w:val="10"/>
              </w:rPr>
              <w:t>No existe un programa de capacitación, ni se ha impartido capacitación en temas como ética e integridad, Control Interno y su evaluación, administración de riesgos y su evaluación, prevención, disuasión, detección y corrección de posibles actos de corrupción; lo anterior dificulta la actualización profesional del personal.</w:t>
            </w:r>
          </w:p>
        </w:tc>
      </w:tr>
      <w:tr>
        <w:trPr>
          <w:trHeight w:val="1194" w:hRule="exact"/>
        </w:trPr>
        <w:tc>
          <w:tcPr>
            <w:tcW w:w="2867" w:type="dxa"/>
            <w:tcBorders>
              <w:top w:val="single" w:sz="3" w:space="0" w:color="000000"/>
              <w:left w:val="single" w:sz="5" w:space="0" w:color="000000"/>
              <w:bottom w:val="single" w:sz="3" w:space="0" w:color="000000"/>
              <w:right w:val="single" w:sz="5" w:space="0" w:color="000000"/>
            </w:tcBorders>
          </w:tcPr>
          <w:p>
            <w:pPr/>
          </w:p>
        </w:tc>
        <w:tc>
          <w:tcPr>
            <w:tcW w:w="2558"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53" w:firstLine="2"/>
              <w:rPr>
                <w:sz w:val="10"/>
              </w:rPr>
            </w:pPr>
            <w:r>
              <w:rPr>
                <w:w w:val="160"/>
                <w:sz w:val="10"/>
              </w:rPr>
              <w:t>No se han implementado las acciones para identificar los riesgos que pueden impedir la consecución de cada objetivo y meta institucional, lo que imposibilita la realización de acciones que permitan mitigar, administrar o minimizar dichos riesgos.</w:t>
            </w:r>
          </w:p>
        </w:tc>
      </w:tr>
    </w:tbl>
    <w:p>
      <w:pPr>
        <w:spacing w:after="0" w:line="276" w:lineRule="auto"/>
        <w:rPr>
          <w:sz w:val="10"/>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9"/>
        </w:rPr>
      </w:pPr>
    </w:p>
    <w:p>
      <w:pPr>
        <w:pStyle w:val="BodyText"/>
        <w:spacing w:before="11"/>
        <w:rPr>
          <w:b/>
          <w:sz w:val="7"/>
        </w:rPr>
      </w:pPr>
    </w:p>
    <w:p>
      <w:pPr>
        <w:spacing w:line="278" w:lineRule="auto" w:before="0"/>
        <w:ind w:left="4136" w:right="4231" w:firstLine="2"/>
        <w:jc w:val="center"/>
        <w:rPr>
          <w:b/>
          <w:sz w:val="10"/>
        </w:rPr>
      </w:pPr>
      <w:r>
        <w:rPr/>
        <w:drawing>
          <wp:anchor distT="0" distB="0" distL="0" distR="0" allowOverlap="1" layoutInCell="1" locked="0" behindDoc="0" simplePos="0" relativeHeight="8320">
            <wp:simplePos x="0" y="0"/>
            <wp:positionH relativeFrom="page">
              <wp:posOffset>3186683</wp:posOffset>
            </wp:positionH>
            <wp:positionV relativeFrom="paragraph">
              <wp:posOffset>-520267</wp:posOffset>
            </wp:positionV>
            <wp:extent cx="3532087" cy="480060"/>
            <wp:effectExtent l="0" t="0" r="0" b="0"/>
            <wp:wrapNone/>
            <wp:docPr id="47" name="image136.png" descr=""/>
            <wp:cNvGraphicFramePr>
              <a:graphicFrameLocks noChangeAspect="1"/>
            </wp:cNvGraphicFramePr>
            <a:graphic>
              <a:graphicData uri="http://schemas.openxmlformats.org/drawingml/2006/picture">
                <pic:pic>
                  <pic:nvPicPr>
                    <pic:cNvPr id="48" name="image136.png"/>
                    <pic:cNvPicPr/>
                  </pic:nvPicPr>
                  <pic:blipFill>
                    <a:blip r:embed="rId192" cstate="print"/>
                    <a:stretch>
                      <a:fillRect/>
                    </a:stretch>
                  </pic:blipFill>
                  <pic:spPr>
                    <a:xfrm>
                      <a:off x="0" y="0"/>
                      <a:ext cx="3532087" cy="480060"/>
                    </a:xfrm>
                    <a:prstGeom prst="rect">
                      <a:avLst/>
                    </a:prstGeom>
                  </pic:spPr>
                </pic:pic>
              </a:graphicData>
            </a:graphic>
          </wp:anchor>
        </w:drawing>
      </w:r>
      <w:r>
        <w:rPr/>
        <w:pict>
          <v:shape style="position:absolute;margin-left:258.493439pt;margin-top:-14.0352pt;width:11.35pt;height:10pt;mso-position-horizontal-relative:page;mso-position-vertical-relative:paragraph;z-index:8392;rotation:181" type="#_x0000_t136" fillcolor="#000000" stroked="f">
            <o:extrusion v:ext="view" autorotationcenter="t"/>
            <v:textpath style="font-family:&amp;quot;Arial&amp;quot;;font-size:10pt;v-text-kern:t;mso-text-shadow:auto" string="de"/>
            <w10:wrap type="none"/>
          </v:shape>
        </w:pict>
      </w:r>
      <w:r>
        <w:rPr/>
        <w:pict>
          <v:shape style="position:absolute;margin-left:315.036102pt;margin-top:-14.035196pt;width:8.0500pt;height:10pt;mso-position-horizontal-relative:page;mso-position-vertical-relative:paragraph;z-index:8416;rotation:181" type="#_x0000_t136" fillcolor="#000000" stroked="f">
            <o:extrusion v:ext="view" autorotationcenter="t"/>
            <v:textpath style="font-family:&amp;quot;Arial&amp;quot;;font-size:10pt;v-text-kern:t;mso-text-shadow:auto" string="el"/>
            <w10:wrap type="none"/>
          </v:shape>
        </w:pict>
      </w:r>
      <w:r>
        <w:rPr/>
        <w:pict>
          <v:shape style="position:absolute;margin-left:275.397278pt;margin-top:-14.035198pt;width:34.15pt;height:10pt;mso-position-horizontal-relative:page;mso-position-vertical-relative:paragraph;z-index:8440;rotation:181" type="#_x0000_t136" fillcolor="#000000" stroked="f">
            <o:extrusion v:ext="view" autorotationcenter="t"/>
            <v:textpath style="font-family:&amp;quot;Arial&amp;quot;;font-size:10pt;v-text-kern:t;mso-text-shadow:auto" string="Informe"/>
            <w10:wrap type="none"/>
          </v:shape>
        </w:pict>
      </w:r>
      <w:r>
        <w:rPr/>
        <w:pict>
          <v:shape style="position:absolute;margin-left:373.153351pt;margin-top:-14.035188pt;width:16.3pt;height:10pt;mso-position-horizontal-relative:page;mso-position-vertical-relative:paragraph;z-index:8464;rotation:181" type="#_x0000_t136" fillcolor="#000000" stroked="f">
            <o:extrusion v:ext="view" autorotationcenter="t"/>
            <v:textpath style="font-family:&amp;quot;Arial&amp;quot;;font-size:10pt;v-text-kern:t;mso-text-shadow:auto" string="con"/>
            <w10:wrap type="none"/>
          </v:shape>
        </w:pict>
      </w:r>
      <w:r>
        <w:rPr/>
        <w:pict>
          <v:shape style="position:absolute;margin-left:328.693604pt;margin-top:-14.035193pt;width:38.85pt;height:10pt;mso-position-horizontal-relative:page;mso-position-vertical-relative:paragraph;z-index:8488;rotation:181" type="#_x0000_t136" fillcolor="#000000" stroked="f">
            <o:extrusion v:ext="view" autorotationcenter="t"/>
            <v:textpath style="font-family:&amp;quot;Arial&amp;quot;;font-size:10pt;v-text-kern:t;mso-text-shadow:auto" string="base en"/>
            <w10:wrap type="none"/>
          </v:shape>
        </w:pict>
      </w:r>
      <w:r>
        <w:rPr/>
        <w:pict>
          <v:shape style="position:absolute;margin-left:428.653259pt;margin-top:-14.035182pt;width:52.85pt;height:10pt;mso-position-horizontal-relative:page;mso-position-vertical-relative:paragraph;z-index:8512;rotation:181" type="#_x0000_t136" fillcolor="#000000" stroked="f">
            <o:extrusion v:ext="view" autorotationcenter="t"/>
            <v:textpath style="font-family:&amp;quot;Arial&amp;quot;;font-size:10pt;v-text-kern:t;mso-text-shadow:auto" string="Elaboración"/>
            <w10:wrap type="none"/>
          </v:shape>
        </w:pict>
      </w:r>
      <w:r>
        <w:rPr/>
        <w:pict>
          <v:shape style="position:absolute;margin-left:394.996521pt;margin-top:-14.035188pt;width:28.05pt;height:10pt;mso-position-horizontal-relative:page;mso-position-vertical-relative:paragraph;z-index:8536;rotation:181" type="#_x0000_t136" fillcolor="#000000" stroked="f">
            <o:extrusion v:ext="view" autorotationcenter="t"/>
            <v:textpath style="font-family:&amp;quot;Arial&amp;quot;;font-size:10pt;v-text-kern:t;mso-text-shadow:auto" string="propia"/>
            <w10:wrap type="none"/>
          </v:shape>
        </w:pict>
      </w:r>
      <w:r>
        <w:rPr/>
        <w:pict>
          <v:shape style="position:absolute;margin-left:487.17691pt;margin-top:-14.03518pt;width:35.7pt;height:10pt;mso-position-horizontal-relative:page;mso-position-vertical-relative:paragraph;z-index:8560;rotation:181" type="#_x0000_t136" fillcolor="#000000" stroked="f">
            <o:extrusion v:ext="view" autorotationcenter="t"/>
            <v:textpath style="font-family:&amp;quot;Arial&amp;quot;;font-size:10pt;v-text-kern:t;mso-text-shadow:auto;font-weight:bold" string="Fuente:"/>
            <w10:wrap type="none"/>
          </v:shape>
        </w:pict>
      </w:r>
      <w:r>
        <w:rPr/>
        <w:pict>
          <v:shape style="position:absolute;margin-left:258.414642pt;margin-top:-25.675192pt;width:35.15pt;height:10pt;mso-position-horizontal-relative:page;mso-position-vertical-relative:paragraph;z-index:8584;rotation:181" type="#_x0000_t136" fillcolor="#000000" stroked="f">
            <o:extrusion v:ext="view" autorotationcenter="t"/>
            <v:textpath style="font-family:&amp;quot;Arial&amp;quot;;font-size:10pt;v-text-kern:t;mso-text-shadow:auto" string="cuentas"/>
            <w10:wrap type="none"/>
          </v:shape>
        </w:pict>
      </w:r>
      <w:r>
        <w:rPr/>
        <w:pict>
          <v:shape style="position:absolute;margin-left:335.106873pt;margin-top:-25.675186pt;width:37.950pt;height:10pt;mso-position-horizontal-relative:page;mso-position-vertical-relative:paragraph;z-index:8608;rotation:181" type="#_x0000_t136" fillcolor="#000000" stroked="f">
            <o:extrusion v:ext="view" autorotationcenter="t"/>
            <v:textpath style="font-family:&amp;quot;Arial&amp;quot;;font-size:10pt;v-text-kern:t;mso-text-shadow:auto" string="Superior"/>
            <w10:wrap type="none"/>
          </v:shape>
        </w:pict>
      </w:r>
      <w:r>
        <w:rPr/>
        <w:pict>
          <v:shape style="position:absolute;margin-left:299.2901pt;margin-top:-25.675186pt;width:30pt;height:10pt;mso-position-horizontal-relative:page;mso-position-vertical-relative:paragraph;z-index:8632;rotation:181" type="#_x0000_t136" fillcolor="#000000" stroked="f">
            <o:extrusion v:ext="view" autorotationcenter="t"/>
            <v:textpath style="font-family:&amp;quot;Arial&amp;quot;;font-size:10pt;v-text-kern:t;mso-text-shadow:auto" string="de las"/>
            <w10:wrap type="none"/>
          </v:shape>
        </w:pict>
      </w:r>
      <w:r>
        <w:rPr/>
        <w:pict>
          <v:shape style="position:absolute;margin-left:378.782959pt;margin-top:-25.675184pt;width:57.55pt;height:10pt;mso-position-horizontal-relative:page;mso-position-vertical-relative:paragraph;z-index:8656;rotation:181" type="#_x0000_t136" fillcolor="#000000" stroked="f">
            <o:extrusion v:ext="view" autorotationcenter="t"/>
            <v:textpath style="font-family:&amp;quot;Arial&amp;quot;;font-size:10pt;v-text-kern:t;mso-text-shadow:auto" string="Fiscalización"/>
            <w10:wrap type="none"/>
          </v:shape>
        </w:pict>
      </w:r>
      <w:r>
        <w:rPr/>
        <w:pict>
          <v:shape style="position:absolute;margin-left:455.762756pt;margin-top:-25.675182pt;width:11.25pt;height:10pt;mso-position-horizontal-relative:page;mso-position-vertical-relative:paragraph;z-index:8680;rotation:181" type="#_x0000_t136" fillcolor="#000000" stroked="f">
            <o:extrusion v:ext="view" autorotationcenter="t"/>
            <v:textpath style="font-family:&amp;quot;Arial&amp;quot;;font-size:10pt;v-text-kern:t;mso-text-shadow:auto" string="de"/>
            <w10:wrap type="none"/>
          </v:shape>
        </w:pict>
      </w:r>
      <w:r>
        <w:rPr/>
        <w:pict>
          <v:shape style="position:absolute;margin-left:442.0177pt;margin-top:-25.675186pt;width:8pt;height:10pt;mso-position-horizontal-relative:page;mso-position-vertical-relative:paragraph;z-index:8704;rotation:181" type="#_x0000_t136" fillcolor="#000000" stroked="f">
            <o:extrusion v:ext="view" autorotationcenter="t"/>
            <v:textpath style="font-family:&amp;quot;Arial&amp;quot;;font-size:10pt;v-text-kern:t;mso-text-shadow:auto" string="la"/>
            <w10:wrap type="none"/>
          </v:shape>
        </w:pict>
      </w:r>
      <w:r>
        <w:rPr/>
        <w:pict>
          <v:shape style="position:absolute;margin-left:472.857056pt;margin-top:-25.675182pt;width:50.05pt;height:10pt;mso-position-horizontal-relative:page;mso-position-vertical-relative:paragraph;z-index:8728;rotation:181" type="#_x0000_t136" fillcolor="#000000" stroked="f">
            <o:extrusion v:ext="view" autorotationcenter="t"/>
            <v:textpath style="font-family:&amp;quot;Arial&amp;quot;;font-size:10pt;v-text-kern:t;mso-text-shadow:auto" string="Resultados"/>
            <w10:wrap type="none"/>
          </v:shape>
        </w:pict>
      </w:r>
      <w:r>
        <w:rPr/>
        <w:pict>
          <v:shape style="position:absolute;margin-left:432.681061pt;margin-top:-37.315178pt;width:90.2pt;height:10pt;mso-position-horizontal-relative:page;mso-position-vertical-relative:paragraph;z-index:8752;rotation:181" type="#_x0000_t136" fillcolor="#000000" stroked="f">
            <o:extrusion v:ext="view" autorotationcenter="t"/>
            <v:textpath style="font-family:&amp;quot;Arial&amp;quot;;font-size:10pt;v-text-kern:t;mso-text-shadow:auto" string="públicas 2008-2014."/>
            <w10:wrap type="none"/>
          </v:shape>
        </w:pict>
      </w:r>
      <w:r>
        <w:rPr>
          <w:b/>
          <w:w w:val="150"/>
          <w:sz w:val="10"/>
        </w:rPr>
        <w:t>Calidad de la Gestión Gubernamental Controles Internos (Manejo y Aplicación)</w:t>
      </w:r>
    </w:p>
    <w:p>
      <w:pPr>
        <w:spacing w:line="224" w:lineRule="exact" w:before="0"/>
        <w:ind w:left="3203" w:right="1340" w:firstLine="0"/>
        <w:jc w:val="left"/>
        <w:rPr>
          <w:b/>
          <w:sz w:val="10"/>
        </w:rPr>
      </w:pPr>
      <w:r>
        <w:rPr/>
        <w:pict>
          <v:group style="position:absolute;margin-left:255.670319pt;margin-top:19.300261pt;width:275.95pt;height:13.6pt;mso-position-horizontal-relative:page;mso-position-vertical-relative:paragraph;z-index:-674896" coordorigin="5113,386" coordsize="5519,272">
            <v:rect style="position:absolute;left:5113;top:390;width:5510;height:135" filled="true" fillcolor="#e6b8b7" stroked="false">
              <v:fill type="solid"/>
            </v:rect>
            <v:rect style="position:absolute;left:5113;top:522;width:5510;height:135" filled="true" fillcolor="#f1dcdb" stroked="false">
              <v:fill type="solid"/>
            </v:rect>
            <v:shape style="position:absolute;left:588;top:-5330;width:8711;height:302" coordorigin="588,-5330" coordsize="8711,302" path="m5119,390l5119,390,10627,390m5119,522l5119,522,10627,522e" filled="false" stroked="true" strokeweight=".478496pt" strokecolor="#000000">
              <v:path arrowok="t"/>
            </v:shape>
            <w10:wrap type="none"/>
          </v:group>
        </w:pict>
      </w:r>
      <w:r>
        <w:rPr/>
        <w:pict>
          <v:shape style="position:absolute;margin-left:255.670319pt;margin-top:6.241395pt;width:275.55pt;height:.1pt;mso-position-horizontal-relative:page;mso-position-vertical-relative:paragraph;z-index:-674872" coordorigin="5113,125" coordsize="5511,0" path="m5113,125l5113,125,10624,125e" filled="false" stroked="true" strokeweight=".391838pt" strokecolor="#000000">
            <v:path arrowok="t"/>
            <w10:wrap type="none"/>
          </v:shape>
        </w:pict>
      </w:r>
      <w:r>
        <w:rPr>
          <w:w w:val="100"/>
          <w:position w:val="-7"/>
          <w:sz w:val="24"/>
        </w:rPr>
        <w:t>A</w:t>
      </w:r>
      <w:r>
        <w:rPr>
          <w:w w:val="99"/>
          <w:position w:val="-7"/>
          <w:sz w:val="24"/>
        </w:rPr>
        <w:t>ne</w:t>
      </w:r>
      <w:r>
        <w:rPr>
          <w:spacing w:val="-3"/>
          <w:position w:val="-7"/>
          <w:sz w:val="24"/>
        </w:rPr>
        <w:t>x</w:t>
      </w:r>
      <w:r>
        <w:rPr>
          <w:w w:val="99"/>
          <w:position w:val="-7"/>
          <w:sz w:val="24"/>
        </w:rPr>
        <w:t>o</w:t>
      </w:r>
      <w:r>
        <w:rPr>
          <w:position w:val="-7"/>
          <w:sz w:val="24"/>
        </w:rPr>
        <w:t> </w:t>
      </w:r>
      <w:r>
        <w:rPr>
          <w:spacing w:val="1"/>
          <w:w w:val="99"/>
          <w:position w:val="-7"/>
          <w:sz w:val="24"/>
        </w:rPr>
        <w:t>6</w:t>
      </w:r>
      <w:r>
        <w:rPr>
          <w:spacing w:val="-2"/>
          <w:w w:val="99"/>
          <w:position w:val="-7"/>
          <w:sz w:val="24"/>
        </w:rPr>
        <w:t>4</w:t>
      </w:r>
      <w:r>
        <w:rPr>
          <w:spacing w:val="10"/>
          <w:w w:val="100"/>
          <w:position w:val="-7"/>
          <w:sz w:val="24"/>
        </w:rPr>
        <w:t>.</w:t>
      </w:r>
      <w:r>
        <w:rPr>
          <w:b/>
          <w:w w:val="151"/>
          <w:sz w:val="10"/>
        </w:rPr>
        <w:t>C</w:t>
      </w:r>
      <w:r>
        <w:rPr>
          <w:b/>
          <w:spacing w:val="-1"/>
          <w:w w:val="151"/>
          <w:sz w:val="10"/>
        </w:rPr>
        <w:t>u</w:t>
      </w:r>
      <w:r>
        <w:rPr>
          <w:b/>
          <w:w w:val="151"/>
          <w:sz w:val="10"/>
        </w:rPr>
        <w:t>a</w:t>
      </w:r>
      <w:r>
        <w:rPr>
          <w:b/>
          <w:spacing w:val="-1"/>
          <w:w w:val="151"/>
          <w:sz w:val="10"/>
        </w:rPr>
        <w:t>t</w:t>
      </w:r>
      <w:r>
        <w:rPr>
          <w:b/>
          <w:w w:val="151"/>
          <w:sz w:val="10"/>
        </w:rPr>
        <w:t>i</w:t>
      </w:r>
      <w:r>
        <w:rPr>
          <w:b/>
          <w:spacing w:val="-1"/>
          <w:w w:val="151"/>
          <w:sz w:val="10"/>
        </w:rPr>
        <w:t>t</w:t>
      </w:r>
      <w:r>
        <w:rPr>
          <w:b/>
          <w:w w:val="151"/>
          <w:sz w:val="10"/>
        </w:rPr>
        <w:t>l</w:t>
      </w:r>
      <w:r>
        <w:rPr>
          <w:b/>
          <w:w w:val="151"/>
          <w:sz w:val="10"/>
        </w:rPr>
        <w:t>á</w:t>
      </w:r>
      <w:r>
        <w:rPr>
          <w:b/>
          <w:w w:val="151"/>
          <w:sz w:val="10"/>
        </w:rPr>
        <w:t>n</w:t>
      </w:r>
      <w:r>
        <w:rPr>
          <w:b/>
          <w:sz w:val="10"/>
        </w:rPr>
        <w:t> </w:t>
      </w:r>
      <w:r>
        <w:rPr>
          <w:b/>
          <w:spacing w:val="-14"/>
          <w:sz w:val="10"/>
        </w:rPr>
        <w:t> </w:t>
      </w:r>
      <w:r>
        <w:rPr>
          <w:b/>
          <w:w w:val="151"/>
          <w:sz w:val="10"/>
        </w:rPr>
        <w:t>I</w:t>
      </w:r>
      <w:r>
        <w:rPr>
          <w:b/>
          <w:spacing w:val="-1"/>
          <w:w w:val="151"/>
          <w:sz w:val="10"/>
        </w:rPr>
        <w:t>z</w:t>
      </w:r>
      <w:r>
        <w:rPr>
          <w:b/>
          <w:w w:val="151"/>
          <w:sz w:val="10"/>
        </w:rPr>
        <w:t>c</w:t>
      </w:r>
      <w:r>
        <w:rPr>
          <w:b/>
          <w:w w:val="151"/>
          <w:sz w:val="10"/>
        </w:rPr>
        <w:t>a</w:t>
      </w:r>
      <w:r>
        <w:rPr>
          <w:b/>
          <w:spacing w:val="-1"/>
          <w:w w:val="151"/>
          <w:sz w:val="10"/>
        </w:rPr>
        <w:t>ll</w:t>
      </w:r>
      <w:r>
        <w:rPr>
          <w:b/>
          <w:w w:val="151"/>
          <w:sz w:val="10"/>
        </w:rPr>
        <w:t>i</w:t>
      </w:r>
      <w:r>
        <w:rPr>
          <w:b/>
          <w:sz w:val="10"/>
        </w:rPr>
        <w:t> </w:t>
      </w:r>
      <w:r>
        <w:rPr>
          <w:b/>
          <w:spacing w:val="-14"/>
          <w:sz w:val="10"/>
        </w:rPr>
        <w:t> </w:t>
      </w:r>
      <w:r>
        <w:rPr>
          <w:b/>
          <w:spacing w:val="-1"/>
          <w:w w:val="151"/>
          <w:sz w:val="10"/>
        </w:rPr>
        <w:t>E</w:t>
      </w:r>
      <w:r>
        <w:rPr>
          <w:b/>
          <w:w w:val="151"/>
          <w:sz w:val="10"/>
        </w:rPr>
        <w:t>j</w:t>
      </w:r>
      <w:r>
        <w:rPr>
          <w:b/>
          <w:w w:val="151"/>
          <w:sz w:val="10"/>
        </w:rPr>
        <w:t>e</w:t>
      </w:r>
      <w:r>
        <w:rPr>
          <w:b/>
          <w:w w:val="151"/>
          <w:sz w:val="10"/>
        </w:rPr>
        <w:t>r</w:t>
      </w:r>
      <w:r>
        <w:rPr>
          <w:b/>
          <w:w w:val="151"/>
          <w:sz w:val="10"/>
        </w:rPr>
        <w:t>c</w:t>
      </w:r>
      <w:r>
        <w:rPr>
          <w:b/>
          <w:spacing w:val="-1"/>
          <w:w w:val="151"/>
          <w:sz w:val="10"/>
        </w:rPr>
        <w:t>i</w:t>
      </w:r>
      <w:r>
        <w:rPr>
          <w:b/>
          <w:w w:val="151"/>
          <w:sz w:val="10"/>
        </w:rPr>
        <w:t>c</w:t>
      </w:r>
      <w:r>
        <w:rPr>
          <w:b/>
          <w:w w:val="151"/>
          <w:sz w:val="10"/>
        </w:rPr>
        <w:t>io</w:t>
      </w:r>
      <w:r>
        <w:rPr>
          <w:b/>
          <w:sz w:val="10"/>
        </w:rPr>
        <w:t> </w:t>
      </w:r>
      <w:r>
        <w:rPr>
          <w:b/>
          <w:spacing w:val="-14"/>
          <w:sz w:val="10"/>
        </w:rPr>
        <w:t> </w:t>
      </w:r>
      <w:r>
        <w:rPr>
          <w:b/>
          <w:w w:val="151"/>
          <w:sz w:val="10"/>
        </w:rPr>
        <w:t>F</w:t>
      </w:r>
      <w:r>
        <w:rPr>
          <w:b/>
          <w:spacing w:val="-1"/>
          <w:w w:val="151"/>
          <w:sz w:val="10"/>
        </w:rPr>
        <w:t>i</w:t>
      </w:r>
      <w:r>
        <w:rPr>
          <w:b/>
          <w:w w:val="151"/>
          <w:sz w:val="10"/>
        </w:rPr>
        <w:t>sca</w:t>
      </w:r>
      <w:r>
        <w:rPr>
          <w:b/>
          <w:w w:val="151"/>
          <w:sz w:val="10"/>
        </w:rPr>
        <w:t>l</w:t>
      </w:r>
      <w:r>
        <w:rPr>
          <w:b/>
          <w:sz w:val="10"/>
        </w:rPr>
        <w:t> </w:t>
      </w:r>
      <w:r>
        <w:rPr>
          <w:b/>
          <w:spacing w:val="-14"/>
          <w:sz w:val="10"/>
        </w:rPr>
        <w:t> </w:t>
      </w:r>
      <w:r>
        <w:rPr>
          <w:b/>
          <w:w w:val="151"/>
          <w:sz w:val="10"/>
        </w:rPr>
        <w:t>2013</w:t>
      </w:r>
    </w:p>
    <w:p>
      <w:pPr>
        <w:pStyle w:val="BodyText"/>
        <w:rPr>
          <w:b/>
          <w:sz w:val="14"/>
        </w:rPr>
      </w:pPr>
    </w:p>
    <w:tbl>
      <w:tblPr>
        <w:tblW w:w="0" w:type="auto"/>
        <w:jc w:val="left"/>
        <w:tblInd w:w="28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36"/>
        <w:gridCol w:w="2672"/>
      </w:tblGrid>
      <w:tr>
        <w:trPr>
          <w:trHeight w:val="270" w:hRule="exact"/>
        </w:trPr>
        <w:tc>
          <w:tcPr>
            <w:tcW w:w="5507" w:type="dxa"/>
            <w:gridSpan w:val="2"/>
            <w:tcBorders>
              <w:left w:val="single" w:sz="5" w:space="0" w:color="000000"/>
              <w:bottom w:val="single" w:sz="3" w:space="0" w:color="000000"/>
              <w:right w:val="single" w:sz="5" w:space="0" w:color="000000"/>
            </w:tcBorders>
          </w:tcPr>
          <w:p>
            <w:pPr>
              <w:pStyle w:val="TableParagraph"/>
              <w:spacing w:before="12"/>
              <w:ind w:left="10"/>
              <w:jc w:val="center"/>
              <w:rPr>
                <w:b/>
                <w:sz w:val="10"/>
              </w:rPr>
            </w:pPr>
            <w:r>
              <w:rPr>
                <w:b/>
                <w:w w:val="150"/>
                <w:sz w:val="10"/>
              </w:rPr>
              <w:t>FISM</w:t>
            </w:r>
          </w:p>
          <w:p>
            <w:pPr>
              <w:pStyle w:val="TableParagraph"/>
              <w:tabs>
                <w:tab w:pos="2840" w:val="left" w:leader="none"/>
              </w:tabs>
              <w:spacing w:before="18"/>
              <w:ind w:left="135"/>
              <w:jc w:val="center"/>
              <w:rPr>
                <w:b/>
                <w:sz w:val="10"/>
              </w:rPr>
            </w:pPr>
            <w:r>
              <w:rPr>
                <w:b/>
                <w:w w:val="150"/>
                <w:sz w:val="10"/>
              </w:rPr>
              <w:t>Fortalezas</w:t>
              <w:tab/>
              <w:t>Debilidades</w:t>
            </w:r>
          </w:p>
        </w:tc>
      </w:tr>
      <w:tr>
        <w:trPr>
          <w:trHeight w:val="1234" w:hRule="exact"/>
        </w:trPr>
        <w:tc>
          <w:tcPr>
            <w:tcW w:w="2836"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1" w:right="96"/>
              <w:rPr>
                <w:sz w:val="10"/>
              </w:rPr>
            </w:pPr>
            <w:r>
              <w:rPr>
                <w:w w:val="150"/>
                <w:sz w:val="10"/>
              </w:rPr>
              <w:t>El gobierno del municipio de Cuautitlán Izcalli, dispone de normativa en materia de Control Interno, denominada Bases Generales para la realización de Auditorías, Lineamientos de Control Financiero y Administrativo para las Entidades Fiscalizables Municipales del Estado de México.</w:t>
            </w:r>
          </w:p>
        </w:tc>
        <w:tc>
          <w:tcPr>
            <w:tcW w:w="2672" w:type="dxa"/>
            <w:tcBorders>
              <w:top w:val="single" w:sz="3" w:space="0" w:color="000000"/>
              <w:left w:val="single" w:sz="5" w:space="0" w:color="000000"/>
              <w:bottom w:val="single" w:sz="3" w:space="0" w:color="000000"/>
              <w:right w:val="single" w:sz="5" w:space="0" w:color="000000"/>
            </w:tcBorders>
          </w:tcPr>
          <w:p>
            <w:pPr>
              <w:pStyle w:val="TableParagraph"/>
              <w:spacing w:line="278" w:lineRule="auto" w:before="3"/>
              <w:ind w:left="22"/>
              <w:rPr>
                <w:sz w:val="10"/>
              </w:rPr>
            </w:pPr>
            <w:r>
              <w:rPr>
                <w:w w:val="150"/>
                <w:sz w:val="10"/>
              </w:rPr>
              <w:t>La institución no tiene un Código de Conducta.</w:t>
            </w:r>
          </w:p>
        </w:tc>
      </w:tr>
      <w:tr>
        <w:trPr>
          <w:trHeight w:val="763" w:hRule="exact"/>
        </w:trPr>
        <w:tc>
          <w:tcPr>
            <w:tcW w:w="2836"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1" w:right="96"/>
              <w:rPr>
                <w:sz w:val="10"/>
              </w:rPr>
            </w:pPr>
            <w:r>
              <w:rPr>
                <w:w w:val="150"/>
                <w:sz w:val="10"/>
              </w:rPr>
              <w:t>Existe un Código de Ética que está debidamente formalizado, y se difunde entre el personal, y la ciudadanía a través de carteles, trípticos y folletos.</w:t>
            </w:r>
          </w:p>
        </w:tc>
        <w:tc>
          <w:tcPr>
            <w:tcW w:w="2672"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32"/>
              <w:rPr>
                <w:sz w:val="10"/>
              </w:rPr>
            </w:pPr>
            <w:r>
              <w:rPr>
                <w:w w:val="150"/>
                <w:sz w:val="10"/>
              </w:rPr>
              <w:t>No se tiene formalmente establecido un procedimiento por el cual se evalúe el cumplimiento por parte de los servidores públicos de los Códigos de Ética.</w:t>
            </w:r>
          </w:p>
        </w:tc>
      </w:tr>
      <w:tr>
        <w:trPr>
          <w:trHeight w:val="1061" w:hRule="exact"/>
        </w:trPr>
        <w:tc>
          <w:tcPr>
            <w:tcW w:w="2836"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1" w:right="59"/>
              <w:rPr>
                <w:sz w:val="10"/>
              </w:rPr>
            </w:pPr>
            <w:r>
              <w:rPr>
                <w:w w:val="150"/>
                <w:sz w:val="10"/>
              </w:rPr>
              <w:t>Se tiene formalmente instituido un documento llamado Avance trimestral de metas físicas por proyecto Presupuesto Basado en la Matriz de Resultados, por el cual se informa periódicamente al titular de la Institución, la situación que guarda el funcionamiento general del sistema de control</w:t>
            </w:r>
            <w:r>
              <w:rPr>
                <w:spacing w:val="10"/>
                <w:w w:val="150"/>
                <w:sz w:val="10"/>
              </w:rPr>
              <w:t> </w:t>
            </w:r>
            <w:r>
              <w:rPr>
                <w:w w:val="150"/>
                <w:sz w:val="10"/>
              </w:rPr>
              <w:t>interno.</w:t>
            </w:r>
          </w:p>
        </w:tc>
        <w:tc>
          <w:tcPr>
            <w:tcW w:w="2672"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0" w:firstLine="1"/>
              <w:rPr>
                <w:sz w:val="10"/>
              </w:rPr>
            </w:pPr>
            <w:r>
              <w:rPr>
                <w:w w:val="150"/>
                <w:sz w:val="10"/>
              </w:rPr>
              <w:t>No existe formalmente la obligación de hacer una manifestación anual por escrito respecto del cumplimiento del Código de Ética por parte de los servidores públicos.</w:t>
            </w:r>
          </w:p>
        </w:tc>
      </w:tr>
      <w:tr>
        <w:trPr>
          <w:trHeight w:val="874" w:hRule="exact"/>
        </w:trPr>
        <w:tc>
          <w:tcPr>
            <w:tcW w:w="2836"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4"/>
              <w:ind w:left="21" w:right="61"/>
              <w:rPr>
                <w:sz w:val="10"/>
              </w:rPr>
            </w:pPr>
            <w:r>
              <w:rPr>
                <w:w w:val="150"/>
                <w:sz w:val="10"/>
              </w:rPr>
              <w:t>Existe un programa y se ha impartido capacitación que comprende temas como ética e integridad, control interno y su evaluación y prevención, disuasión, detección y corrección de posibles actos de</w:t>
            </w:r>
            <w:r>
              <w:rPr>
                <w:spacing w:val="6"/>
                <w:w w:val="150"/>
                <w:sz w:val="10"/>
              </w:rPr>
              <w:t> </w:t>
            </w:r>
            <w:r>
              <w:rPr>
                <w:w w:val="150"/>
                <w:sz w:val="10"/>
              </w:rPr>
              <w:t>corrupción.</w:t>
            </w:r>
          </w:p>
        </w:tc>
        <w:tc>
          <w:tcPr>
            <w:tcW w:w="2672"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4"/>
              <w:ind w:left="20" w:firstLine="1"/>
              <w:rPr>
                <w:sz w:val="10"/>
              </w:rPr>
            </w:pPr>
            <w:r>
              <w:rPr>
                <w:w w:val="150"/>
                <w:sz w:val="10"/>
              </w:rPr>
              <w:t>La institución no cuenta con un Comité de Ética formalmente establecido.</w:t>
            </w:r>
          </w:p>
        </w:tc>
      </w:tr>
      <w:tr>
        <w:trPr>
          <w:trHeight w:val="1154" w:hRule="exact"/>
        </w:trPr>
        <w:tc>
          <w:tcPr>
            <w:tcW w:w="2836"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4"/>
              <w:ind w:left="22" w:right="96" w:hanging="1"/>
              <w:rPr>
                <w:sz w:val="10"/>
              </w:rPr>
            </w:pPr>
            <w:r>
              <w:rPr>
                <w:w w:val="150"/>
                <w:sz w:val="10"/>
              </w:rPr>
              <w:t>El Gobierno del municipio de Cuautitlán Izcalli, cuenta con un Manual de Organización con validez jurídica.</w:t>
            </w:r>
          </w:p>
          <w:p>
            <w:pPr>
              <w:pStyle w:val="TableParagraph"/>
              <w:spacing w:line="276" w:lineRule="auto"/>
              <w:ind w:left="21" w:right="96"/>
              <w:rPr>
                <w:sz w:val="10"/>
              </w:rPr>
            </w:pPr>
            <w:r>
              <w:rPr>
                <w:w w:val="150"/>
                <w:sz w:val="10"/>
              </w:rPr>
              <w:t>Partiendo de las atribuciones de cada área, la existencia de dicho Manual permite establecer la distribución de las funciones, entre los servidores públicos con nivel de mando medio y superior.</w:t>
            </w:r>
          </w:p>
        </w:tc>
        <w:tc>
          <w:tcPr>
            <w:tcW w:w="2672"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4"/>
              <w:ind w:left="22" w:right="82"/>
              <w:rPr>
                <w:sz w:val="10"/>
              </w:rPr>
            </w:pPr>
            <w:r>
              <w:rPr>
                <w:w w:val="150"/>
                <w:sz w:val="10"/>
              </w:rPr>
              <w:t>No existe un programa de capacitación, ni se ha impartido capacitación en temas como, administración de riesgos y su evaluación y normativa específica de la operación del fondo.</w:t>
            </w:r>
          </w:p>
        </w:tc>
      </w:tr>
      <w:tr>
        <w:trPr>
          <w:trHeight w:val="929" w:hRule="exact"/>
        </w:trPr>
        <w:tc>
          <w:tcPr>
            <w:tcW w:w="2836"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1" w:right="96"/>
              <w:rPr>
                <w:sz w:val="10"/>
              </w:rPr>
            </w:pPr>
            <w:r>
              <w:rPr>
                <w:w w:val="150"/>
                <w:sz w:val="10"/>
              </w:rPr>
              <w:t>Existen Manuales de Procedimientos, que permiten precisar las actividades que deben realizarse para cumplir debidamente con las funciones que demandan los puestos desempeñados.</w:t>
            </w:r>
          </w:p>
        </w:tc>
        <w:tc>
          <w:tcPr>
            <w:tcW w:w="2672"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0" w:right="25" w:firstLine="1"/>
              <w:rPr>
                <w:sz w:val="10"/>
              </w:rPr>
            </w:pPr>
            <w:r>
              <w:rPr>
                <w:w w:val="150"/>
                <w:sz w:val="10"/>
              </w:rPr>
              <w:t>No se han implementado las acciones para identificar los riesgos que pueden impedir la consecución de cada objetivo y meta institucional, lo que imposibilita mitigar, administrar o minimizar dichos riesgos.</w:t>
            </w:r>
          </w:p>
        </w:tc>
      </w:tr>
    </w:tbl>
    <w:p>
      <w:pPr>
        <w:spacing w:after="0" w:line="276" w:lineRule="auto"/>
        <w:rPr>
          <w:sz w:val="10"/>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spacing w:before="3" w:after="1"/>
        <w:rPr>
          <w:b/>
          <w:sz w:val="10"/>
        </w:rPr>
      </w:pPr>
    </w:p>
    <w:p>
      <w:pPr>
        <w:pStyle w:val="BodyText"/>
        <w:ind w:left="2758"/>
        <w:rPr>
          <w:sz w:val="20"/>
        </w:rPr>
      </w:pPr>
      <w:r>
        <w:rPr>
          <w:sz w:val="20"/>
        </w:rPr>
        <w:pict>
          <v:group style="width:279pt;height:36.75pt;mso-position-horizontal-relative:char;mso-position-vertical-relative:line" coordorigin="0,0" coordsize="5580,735">
            <v:shape style="position:absolute;left:0;top:0;width:5580;height:734" type="#_x0000_t75" stroked="false">
              <v:imagedata r:id="rId193" o:title=""/>
            </v:shape>
            <v:shape style="position:absolute;left:0;top:0;width:5580;height:735" type="#_x0000_t202" filled="false" stroked="false">
              <v:textbox inset="0,0,0,0">
                <w:txbxContent>
                  <w:p>
                    <w:pPr>
                      <w:spacing w:line="242" w:lineRule="auto" w:before="0"/>
                      <w:ind w:left="144" w:right="144" w:firstLine="0"/>
                      <w:jc w:val="both"/>
                      <w:rPr>
                        <w:sz w:val="20"/>
                      </w:rPr>
                    </w:pPr>
                    <w:r>
                      <w:rPr>
                        <w:b/>
                        <w:sz w:val="20"/>
                      </w:rPr>
                      <w:t>Fuente: </w:t>
                    </w:r>
                    <w:r>
                      <w:rPr>
                        <w:sz w:val="20"/>
                      </w:rPr>
                      <w:t>Elaboración propia con base en el Informe de Resultados de la Fiscalización Superior de las cuentas públicas 2008-2014.</w:t>
                    </w:r>
                  </w:p>
                </w:txbxContent>
              </v:textbox>
              <w10:wrap type="none"/>
            </v:shape>
          </v:group>
        </w:pict>
      </w:r>
      <w:r>
        <w:rPr>
          <w:sz w:val="20"/>
        </w:rPr>
      </w:r>
    </w:p>
    <w:p>
      <w:pPr>
        <w:pStyle w:val="BodyText"/>
        <w:spacing w:before="3"/>
        <w:rPr>
          <w:b/>
          <w:sz w:val="25"/>
        </w:rPr>
      </w:pPr>
    </w:p>
    <w:p>
      <w:pPr>
        <w:pStyle w:val="BodyText"/>
        <w:spacing w:before="69"/>
        <w:ind w:left="3443" w:right="1340"/>
      </w:pPr>
      <w:r>
        <w:rPr/>
        <w:t>Anexo 65.</w:t>
      </w:r>
    </w:p>
    <w:p>
      <w:pPr>
        <w:pStyle w:val="BodyText"/>
        <w:rPr>
          <w:sz w:val="20"/>
        </w:rPr>
      </w:pPr>
    </w:p>
    <w:p>
      <w:pPr>
        <w:pStyle w:val="BodyText"/>
        <w:rPr>
          <w:sz w:val="20"/>
        </w:rPr>
      </w:pPr>
    </w:p>
    <w:p>
      <w:pPr>
        <w:pStyle w:val="BodyText"/>
        <w:spacing w:before="8"/>
        <w:rPr>
          <w:sz w:val="20"/>
        </w:rPr>
      </w:pPr>
    </w:p>
    <w:p>
      <w:pPr>
        <w:spacing w:line="268" w:lineRule="auto" w:before="81"/>
        <w:ind w:left="3905" w:right="3940" w:firstLine="1"/>
        <w:jc w:val="center"/>
        <w:rPr>
          <w:b/>
          <w:sz w:val="17"/>
        </w:rPr>
      </w:pPr>
      <w:r>
        <w:rPr>
          <w:b/>
          <w:sz w:val="17"/>
        </w:rPr>
        <w:t>Calidad de la Gestión Gubernamental Controles Internos (Manejo y Aplicación) Ecatepec de Morelos Ejercicio Fiscal  2013</w:t>
      </w:r>
    </w:p>
    <w:p>
      <w:pPr>
        <w:pStyle w:val="BodyText"/>
        <w:spacing w:line="20" w:lineRule="exact"/>
        <w:ind w:left="848"/>
        <w:rPr>
          <w:sz w:val="2"/>
        </w:rPr>
      </w:pPr>
      <w:r>
        <w:rPr>
          <w:sz w:val="2"/>
        </w:rPr>
        <w:pict>
          <v:group style="width:478.8pt;height:.65pt;mso-position-horizontal-relative:char;mso-position-vertical-relative:line" coordorigin="0,0" coordsize="9576,13">
            <v:shape style="position:absolute;left:6;top:6;width:9563;height:2" coordorigin="6,6" coordsize="9563,0" path="m6,6l6,6,9569,7e" filled="false" stroked="true" strokeweight=".645414pt" strokecolor="#000000">
              <v:path arrowok="t"/>
            </v:shape>
          </v:group>
        </w:pict>
      </w:r>
      <w:r>
        <w:rPr>
          <w:sz w:val="2"/>
        </w:rPr>
      </w:r>
    </w:p>
    <w:p>
      <w:pPr>
        <w:pStyle w:val="BodyText"/>
        <w:rPr>
          <w:b/>
          <w:sz w:val="20"/>
        </w:rPr>
      </w:pPr>
    </w:p>
    <w:p>
      <w:pPr>
        <w:pStyle w:val="BodyText"/>
        <w:spacing w:before="1"/>
        <w:rPr>
          <w:b/>
          <w:sz w:val="15"/>
        </w:rPr>
      </w:pPr>
    </w:p>
    <w:tbl>
      <w:tblPr>
        <w:tblW w:w="0" w:type="auto"/>
        <w:jc w:val="left"/>
        <w:tblInd w:w="84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022"/>
        <w:gridCol w:w="1967"/>
        <w:gridCol w:w="2835"/>
        <w:gridCol w:w="1735"/>
      </w:tblGrid>
      <w:tr>
        <w:trPr>
          <w:trHeight w:val="218" w:hRule="exact"/>
        </w:trPr>
        <w:tc>
          <w:tcPr>
            <w:tcW w:w="4989" w:type="dxa"/>
            <w:gridSpan w:val="2"/>
            <w:shd w:val="clear" w:color="auto" w:fill="E6B8B7"/>
          </w:tcPr>
          <w:p>
            <w:pPr>
              <w:pStyle w:val="TableParagraph"/>
              <w:spacing w:before="1"/>
              <w:ind w:left="2270" w:right="2258"/>
              <w:jc w:val="center"/>
              <w:rPr>
                <w:b/>
                <w:sz w:val="17"/>
              </w:rPr>
            </w:pPr>
            <w:r>
              <w:rPr>
                <w:b/>
                <w:sz w:val="17"/>
              </w:rPr>
              <w:t>FISM</w:t>
            </w:r>
          </w:p>
        </w:tc>
        <w:tc>
          <w:tcPr>
            <w:tcW w:w="4570" w:type="dxa"/>
            <w:gridSpan w:val="2"/>
            <w:shd w:val="clear" w:color="auto" w:fill="E6B8B7"/>
          </w:tcPr>
          <w:p>
            <w:pPr>
              <w:pStyle w:val="TableParagraph"/>
              <w:spacing w:before="1"/>
              <w:ind w:left="1666" w:right="1652"/>
              <w:jc w:val="center"/>
              <w:rPr>
                <w:b/>
                <w:sz w:val="17"/>
              </w:rPr>
            </w:pPr>
            <w:r>
              <w:rPr>
                <w:b/>
                <w:sz w:val="17"/>
              </w:rPr>
              <w:t>FORTAMUNDF</w:t>
            </w:r>
          </w:p>
        </w:tc>
      </w:tr>
      <w:tr>
        <w:trPr>
          <w:trHeight w:val="219" w:hRule="exact"/>
        </w:trPr>
        <w:tc>
          <w:tcPr>
            <w:tcW w:w="3022" w:type="dxa"/>
            <w:shd w:val="clear" w:color="auto" w:fill="F1DCDB"/>
          </w:tcPr>
          <w:p>
            <w:pPr>
              <w:pStyle w:val="TableParagraph"/>
              <w:spacing w:before="2"/>
              <w:ind w:left="1067" w:right="1059"/>
              <w:jc w:val="center"/>
              <w:rPr>
                <w:b/>
                <w:sz w:val="17"/>
              </w:rPr>
            </w:pPr>
            <w:r>
              <w:rPr>
                <w:b/>
                <w:sz w:val="17"/>
              </w:rPr>
              <w:t>Fortalezas</w:t>
            </w:r>
          </w:p>
        </w:tc>
        <w:tc>
          <w:tcPr>
            <w:tcW w:w="1967" w:type="dxa"/>
            <w:shd w:val="clear" w:color="auto" w:fill="F1DCDB"/>
          </w:tcPr>
          <w:p>
            <w:pPr>
              <w:pStyle w:val="TableParagraph"/>
              <w:spacing w:before="2"/>
              <w:ind w:left="497"/>
              <w:rPr>
                <w:b/>
                <w:sz w:val="17"/>
              </w:rPr>
            </w:pPr>
            <w:r>
              <w:rPr>
                <w:b/>
                <w:sz w:val="17"/>
              </w:rPr>
              <w:t>Debilidades</w:t>
            </w:r>
          </w:p>
        </w:tc>
        <w:tc>
          <w:tcPr>
            <w:tcW w:w="2835" w:type="dxa"/>
            <w:shd w:val="clear" w:color="auto" w:fill="F1DCDB"/>
          </w:tcPr>
          <w:p>
            <w:pPr>
              <w:pStyle w:val="TableParagraph"/>
              <w:spacing w:before="2"/>
              <w:ind w:left="975" w:right="966"/>
              <w:jc w:val="center"/>
              <w:rPr>
                <w:b/>
                <w:sz w:val="17"/>
              </w:rPr>
            </w:pPr>
            <w:r>
              <w:rPr>
                <w:b/>
                <w:sz w:val="17"/>
              </w:rPr>
              <w:t>Fortalezas</w:t>
            </w:r>
          </w:p>
        </w:tc>
        <w:tc>
          <w:tcPr>
            <w:tcW w:w="1735" w:type="dxa"/>
            <w:shd w:val="clear" w:color="auto" w:fill="F1DCDB"/>
          </w:tcPr>
          <w:p>
            <w:pPr>
              <w:pStyle w:val="TableParagraph"/>
              <w:spacing w:before="2"/>
              <w:ind w:left="379"/>
              <w:rPr>
                <w:b/>
                <w:sz w:val="17"/>
              </w:rPr>
            </w:pPr>
            <w:r>
              <w:rPr>
                <w:b/>
                <w:sz w:val="17"/>
              </w:rPr>
              <w:t>Debilidades</w:t>
            </w:r>
          </w:p>
        </w:tc>
      </w:tr>
      <w:tr>
        <w:trPr>
          <w:trHeight w:val="2624" w:hRule="exact"/>
        </w:trPr>
        <w:tc>
          <w:tcPr>
            <w:tcW w:w="3022" w:type="dxa"/>
          </w:tcPr>
          <w:p>
            <w:pPr>
              <w:pStyle w:val="TableParagraph"/>
              <w:spacing w:line="268" w:lineRule="auto" w:before="1"/>
              <w:ind w:left="23" w:right="66" w:firstLine="1"/>
              <w:rPr>
                <w:sz w:val="17"/>
              </w:rPr>
            </w:pPr>
            <w:r>
              <w:rPr>
                <w:sz w:val="17"/>
              </w:rPr>
              <w:t>Este resultado se presenta sin observaciones debido a que el resultado de la aplicación del procedimiento referente a evaluar el control interno en el municipio de Ecatepec, Estado de México, se presenta en el informe de auditoría núm. 1221 que practicó directamente la Auditoría Superior de la Federación en este municipio.</w:t>
            </w:r>
          </w:p>
        </w:tc>
        <w:tc>
          <w:tcPr>
            <w:tcW w:w="1967" w:type="dxa"/>
          </w:tcPr>
          <w:p>
            <w:pPr/>
          </w:p>
        </w:tc>
        <w:tc>
          <w:tcPr>
            <w:tcW w:w="2835" w:type="dxa"/>
          </w:tcPr>
          <w:p>
            <w:pPr>
              <w:pStyle w:val="TableParagraph"/>
              <w:spacing w:line="268" w:lineRule="auto" w:before="1"/>
              <w:ind w:left="23" w:right="39" w:firstLine="50"/>
              <w:rPr>
                <w:sz w:val="17"/>
              </w:rPr>
            </w:pPr>
            <w:r>
              <w:rPr>
                <w:sz w:val="17"/>
              </w:rPr>
              <w:t>Este resultado se presenta sin observaciones debido a que el resultado de la aplicación del procedimiento referente a evaluar el control interno en el municipio de Ecatepec de Morelos, Estado de México, se presenta en el informe de la auditoría núm. 1221 que practicó directamente la Auditoría Superior de la Federación en este municipio.</w:t>
            </w:r>
          </w:p>
        </w:tc>
        <w:tc>
          <w:tcPr>
            <w:tcW w:w="1735" w:type="dxa"/>
          </w:tcPr>
          <w:p>
            <w:pPr/>
          </w:p>
        </w:tc>
      </w:tr>
    </w:tbl>
    <w:p>
      <w:pPr>
        <w:pStyle w:val="BodyText"/>
        <w:rPr>
          <w:b/>
          <w:sz w:val="20"/>
        </w:rPr>
      </w:pPr>
    </w:p>
    <w:p>
      <w:pPr>
        <w:pStyle w:val="BodyText"/>
        <w:spacing w:before="9"/>
        <w:rPr>
          <w:b/>
          <w:sz w:val="29"/>
        </w:rPr>
      </w:pPr>
      <w:r>
        <w:rPr/>
        <w:pict>
          <v:group style="position:absolute;margin-left:151.919998pt;margin-top:19.120872pt;width:486pt;height:31.7pt;mso-position-horizontal-relative:page;mso-position-vertical-relative:paragraph;z-index:8872;mso-wrap-distance-left:0;mso-wrap-distance-right:0" coordorigin="3038,382" coordsize="9720,634">
            <v:shape style="position:absolute;left:3038;top:382;width:9720;height:634" type="#_x0000_t75" stroked="false">
              <v:imagedata r:id="rId194" o:title=""/>
            </v:shape>
            <v:shape style="position:absolute;left:3038;top:382;width:9720;height:634" type="#_x0000_t202" filled="false" stroked="false">
              <v:textbox inset="0,0,0,0">
                <w:txbxContent>
                  <w:p>
                    <w:pPr>
                      <w:spacing w:line="244" w:lineRule="auto" w:before="0"/>
                      <w:ind w:left="144" w:right="0"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w10:wrap type="topAndBottom"/>
          </v:group>
        </w:pict>
      </w:r>
    </w:p>
    <w:p>
      <w:pPr>
        <w:spacing w:after="0"/>
        <w:rPr>
          <w:sz w:val="29"/>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2"/>
        </w:rPr>
      </w:pPr>
    </w:p>
    <w:p>
      <w:pPr>
        <w:pStyle w:val="BodyText"/>
        <w:rPr>
          <w:b/>
          <w:sz w:val="10"/>
        </w:rPr>
      </w:pPr>
    </w:p>
    <w:p>
      <w:pPr>
        <w:pStyle w:val="BodyText"/>
        <w:spacing w:before="2"/>
        <w:rPr>
          <w:b/>
          <w:sz w:val="14"/>
        </w:rPr>
      </w:pPr>
    </w:p>
    <w:p>
      <w:pPr>
        <w:spacing w:line="276" w:lineRule="auto" w:before="0"/>
        <w:ind w:left="4074" w:right="3835" w:firstLine="2"/>
        <w:jc w:val="center"/>
        <w:rPr>
          <w:b/>
          <w:sz w:val="10"/>
        </w:rPr>
      </w:pPr>
      <w:r>
        <w:rPr/>
        <w:pict>
          <v:group style="position:absolute;margin-left:250.851761pt;margin-top:32.216282pt;width:301.7pt;height:318.1pt;mso-position-horizontal-relative:page;mso-position-vertical-relative:paragraph;z-index:-674296" coordorigin="5017,644" coordsize="6034,6362">
            <v:rect style="position:absolute;left:5024;top:656;width:6019;height:135" filled="true" fillcolor="#e6b8b7" stroked="false">
              <v:fill type="solid"/>
            </v:rect>
            <v:shape style="position:absolute;left:652;top:-5330;width:8244;height:14479" coordorigin="652,-5330" coordsize="8244,14479" path="m5024,651l5024,651,5024,6999m5031,656l5031,656,11047,656e" filled="false" stroked="true" strokeweight=".522381pt" strokecolor="#000000">
              <v:path arrowok="t"/>
            </v:shape>
            <v:shape style="position:absolute;left:5024;top:652;width:6023;height:139" type="#_x0000_t202" filled="false" stroked="false">
              <v:textbox inset="0,0,0,0">
                <w:txbxContent>
                  <w:p>
                    <w:pPr>
                      <w:spacing w:before="11"/>
                      <w:ind w:left="2786" w:right="2779" w:firstLine="0"/>
                      <w:jc w:val="center"/>
                      <w:rPr>
                        <w:b/>
                        <w:sz w:val="10"/>
                      </w:rPr>
                    </w:pPr>
                    <w:r>
                      <w:rPr>
                        <w:b/>
                        <w:w w:val="175"/>
                        <w:sz w:val="10"/>
                      </w:rPr>
                      <w:t>FISM</w:t>
                    </w:r>
                  </w:p>
                </w:txbxContent>
              </v:textbox>
              <w10:wrap type="none"/>
            </v:shape>
            <w10:wrap type="none"/>
          </v:group>
        </w:pict>
      </w:r>
      <w:r>
        <w:rPr/>
        <w:pict>
          <v:shape style="position:absolute;margin-left:297.170013pt;margin-top:-8.889306pt;width:54.05pt;height:12pt;mso-position-horizontal-relative:page;mso-position-vertical-relative:paragraph;z-index:-674272" type="#_x0000_t202" filled="false" stroked="false">
            <v:textbox inset="0,0,0,0">
              <w:txbxContent>
                <w:p>
                  <w:pPr>
                    <w:pStyle w:val="BodyText"/>
                    <w:spacing w:line="240" w:lineRule="exact"/>
                    <w:ind w:right="-20"/>
                  </w:pPr>
                  <w:r>
                    <w:rPr/>
                    <w:t>Anexo 66.</w:t>
                  </w:r>
                </w:p>
              </w:txbxContent>
            </v:textbox>
            <w10:wrap type="none"/>
          </v:shape>
        </w:pict>
      </w:r>
      <w:r>
        <w:rPr>
          <w:b/>
          <w:w w:val="175"/>
          <w:sz w:val="10"/>
        </w:rPr>
        <w:t>Calidad de la Gestión Gubernamental Controles Internos (Manejo y Aplicación) Huehuetoca  Ejercicio Fiscal 2013</w:t>
      </w:r>
    </w:p>
    <w:p>
      <w:pPr>
        <w:pStyle w:val="BodyText"/>
        <w:spacing w:line="20" w:lineRule="exact"/>
        <w:ind w:left="2760"/>
        <w:rPr>
          <w:sz w:val="2"/>
        </w:rPr>
      </w:pPr>
      <w:r>
        <w:rPr>
          <w:sz w:val="2"/>
        </w:rPr>
        <w:pict>
          <v:group style="width:301.4pt;height:.4pt;mso-position-horizontal-relative:char;mso-position-vertical-relative:line" coordorigin="0,0" coordsize="6028,8">
            <v:shape style="position:absolute;left:4;top:4;width:6020;height:2" coordorigin="4,4" coordsize="6020,0" path="m4,4l4,4,6023,4e" filled="false" stroked="true" strokeweight=".39183pt" strokecolor="#000000">
              <v:path arrowok="t"/>
            </v:shape>
          </v:group>
        </w:pict>
      </w:r>
      <w:r>
        <w:rPr>
          <w:sz w:val="2"/>
        </w:rPr>
      </w:r>
    </w:p>
    <w:p>
      <w:pPr>
        <w:pStyle w:val="BodyText"/>
        <w:rPr>
          <w:b/>
          <w:sz w:val="20"/>
        </w:rPr>
      </w:pPr>
    </w:p>
    <w:p>
      <w:pPr>
        <w:pStyle w:val="BodyText"/>
        <w:spacing w:before="10"/>
        <w:rPr>
          <w:b/>
          <w:sz w:val="11"/>
        </w:rPr>
      </w:pPr>
    </w:p>
    <w:tbl>
      <w:tblPr>
        <w:tblW w:w="0" w:type="auto"/>
        <w:jc w:val="left"/>
        <w:tblInd w:w="275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59"/>
        <w:gridCol w:w="2956"/>
      </w:tblGrid>
      <w:tr>
        <w:trPr>
          <w:trHeight w:val="133" w:hRule="exact"/>
        </w:trPr>
        <w:tc>
          <w:tcPr>
            <w:tcW w:w="3059" w:type="dxa"/>
            <w:tcBorders>
              <w:left w:val="single" w:sz="5" w:space="0" w:color="000000"/>
              <w:right w:val="single" w:sz="5" w:space="0" w:color="000000"/>
            </w:tcBorders>
            <w:shd w:val="clear" w:color="auto" w:fill="F1DCDB"/>
          </w:tcPr>
          <w:p>
            <w:pPr>
              <w:pStyle w:val="TableParagraph"/>
              <w:spacing w:before="4"/>
              <w:ind w:left="1074" w:right="1066"/>
              <w:jc w:val="center"/>
              <w:rPr>
                <w:b/>
                <w:sz w:val="10"/>
              </w:rPr>
            </w:pPr>
            <w:r>
              <w:rPr>
                <w:b/>
                <w:w w:val="175"/>
                <w:sz w:val="10"/>
              </w:rPr>
              <w:t>Fortalezas</w:t>
            </w:r>
          </w:p>
        </w:tc>
        <w:tc>
          <w:tcPr>
            <w:tcW w:w="2956" w:type="dxa"/>
            <w:tcBorders>
              <w:left w:val="single" w:sz="5" w:space="0" w:color="000000"/>
              <w:right w:val="single" w:sz="5" w:space="0" w:color="000000"/>
            </w:tcBorders>
            <w:shd w:val="clear" w:color="auto" w:fill="F1DCDB"/>
          </w:tcPr>
          <w:p>
            <w:pPr>
              <w:pStyle w:val="TableParagraph"/>
              <w:spacing w:before="4"/>
              <w:ind w:left="961" w:right="959"/>
              <w:jc w:val="center"/>
              <w:rPr>
                <w:b/>
                <w:sz w:val="10"/>
              </w:rPr>
            </w:pPr>
            <w:r>
              <w:rPr>
                <w:b/>
                <w:w w:val="175"/>
                <w:sz w:val="10"/>
              </w:rPr>
              <w:t>Debilidades</w:t>
            </w:r>
          </w:p>
        </w:tc>
      </w:tr>
      <w:tr>
        <w:trPr>
          <w:trHeight w:val="444" w:hRule="exact"/>
        </w:trPr>
        <w:tc>
          <w:tcPr>
            <w:tcW w:w="3059" w:type="dxa"/>
            <w:tcBorders>
              <w:left w:val="single" w:sz="5" w:space="0" w:color="000000"/>
              <w:right w:val="single" w:sz="5" w:space="0" w:color="000000"/>
            </w:tcBorders>
          </w:tcPr>
          <w:p>
            <w:pPr>
              <w:pStyle w:val="TableParagraph"/>
              <w:spacing w:line="276" w:lineRule="auto" w:before="3"/>
              <w:ind w:left="25" w:right="354"/>
              <w:rPr>
                <w:sz w:val="10"/>
              </w:rPr>
            </w:pPr>
            <w:r>
              <w:rPr>
                <w:w w:val="175"/>
                <w:sz w:val="10"/>
              </w:rPr>
              <w:t>El Municipio cuenta con un Bando Municipal donde se establecen medidas de control interno.</w:t>
            </w:r>
          </w:p>
        </w:tc>
        <w:tc>
          <w:tcPr>
            <w:tcW w:w="2956" w:type="dxa"/>
            <w:tcBorders>
              <w:left w:val="single" w:sz="5" w:space="0" w:color="000000"/>
              <w:right w:val="single" w:sz="5" w:space="0" w:color="000000"/>
            </w:tcBorders>
          </w:tcPr>
          <w:p>
            <w:pPr>
              <w:pStyle w:val="TableParagraph"/>
              <w:spacing w:line="278" w:lineRule="auto" w:before="3"/>
              <w:ind w:left="26" w:right="136" w:hanging="2"/>
              <w:rPr>
                <w:sz w:val="10"/>
              </w:rPr>
            </w:pPr>
            <w:r>
              <w:rPr>
                <w:w w:val="175"/>
                <w:sz w:val="10"/>
              </w:rPr>
              <w:t>El municipio no tiene implementado un Código de Ética ni de Conducta.</w:t>
            </w:r>
          </w:p>
        </w:tc>
      </w:tr>
      <w:tr>
        <w:trPr>
          <w:trHeight w:val="1021" w:hRule="exact"/>
        </w:trPr>
        <w:tc>
          <w:tcPr>
            <w:tcW w:w="3059" w:type="dxa"/>
            <w:tcBorders>
              <w:left w:val="single" w:sz="5" w:space="0" w:color="000000"/>
              <w:right w:val="single" w:sz="5" w:space="0" w:color="000000"/>
            </w:tcBorders>
          </w:tcPr>
          <w:p>
            <w:pPr>
              <w:pStyle w:val="TableParagraph"/>
              <w:spacing w:line="276" w:lineRule="auto" w:before="3"/>
              <w:ind w:left="24" w:right="44" w:firstLine="1"/>
              <w:rPr>
                <w:sz w:val="10"/>
              </w:rPr>
            </w:pPr>
            <w:r>
              <w:rPr>
                <w:w w:val="175"/>
                <w:sz w:val="10"/>
              </w:rPr>
              <w:t>El gobierno del municipio cuenta con Manuales de Organización, que precisan la distribución de funciones entre los servidores públicos con nivel de mando medio y superior.</w:t>
            </w:r>
          </w:p>
        </w:tc>
        <w:tc>
          <w:tcPr>
            <w:tcW w:w="2956" w:type="dxa"/>
            <w:tcBorders>
              <w:left w:val="single" w:sz="5" w:space="0" w:color="000000"/>
              <w:right w:val="single" w:sz="5" w:space="0" w:color="000000"/>
            </w:tcBorders>
          </w:tcPr>
          <w:p>
            <w:pPr>
              <w:pStyle w:val="TableParagraph"/>
              <w:spacing w:line="276" w:lineRule="auto" w:before="3"/>
              <w:ind w:left="23" w:right="11" w:firstLine="1"/>
              <w:rPr>
                <w:sz w:val="10"/>
              </w:rPr>
            </w:pPr>
            <w:r>
              <w:rPr>
                <w:w w:val="175"/>
                <w:sz w:val="10"/>
              </w:rPr>
              <w:t>No se realizan evaluaciones del sistema de control interno, lo que impide determinar las causas de los problemas y, en consecuencia, no se ha establecido un programa de atención.</w:t>
            </w:r>
          </w:p>
        </w:tc>
      </w:tr>
      <w:tr>
        <w:trPr>
          <w:trHeight w:val="1053" w:hRule="exact"/>
        </w:trPr>
        <w:tc>
          <w:tcPr>
            <w:tcW w:w="3059" w:type="dxa"/>
            <w:tcBorders>
              <w:left w:val="single" w:sz="5" w:space="0" w:color="000000"/>
              <w:right w:val="single" w:sz="5" w:space="0" w:color="000000"/>
            </w:tcBorders>
          </w:tcPr>
          <w:p>
            <w:pPr>
              <w:pStyle w:val="TableParagraph"/>
              <w:spacing w:line="276" w:lineRule="auto" w:before="3"/>
              <w:ind w:left="24" w:right="102" w:firstLine="1"/>
              <w:rPr>
                <w:sz w:val="10"/>
              </w:rPr>
            </w:pPr>
            <w:r>
              <w:rPr>
                <w:w w:val="175"/>
                <w:sz w:val="10"/>
              </w:rPr>
              <w:t>El gobierno del municipio cuenta con Manuales de Procedimientos, que permiten precisar las actividades que deben realizarse para cumplir debidamente con cada una de las funciones que demandan los puestos a desempeñar.</w:t>
            </w:r>
          </w:p>
        </w:tc>
        <w:tc>
          <w:tcPr>
            <w:tcW w:w="2956" w:type="dxa"/>
            <w:tcBorders>
              <w:left w:val="single" w:sz="5" w:space="0" w:color="000000"/>
              <w:right w:val="single" w:sz="5" w:space="0" w:color="000000"/>
            </w:tcBorders>
          </w:tcPr>
          <w:p>
            <w:pPr>
              <w:pStyle w:val="TableParagraph"/>
              <w:spacing w:line="278" w:lineRule="auto" w:before="3"/>
              <w:ind w:left="26" w:right="321" w:hanging="2"/>
              <w:rPr>
                <w:sz w:val="10"/>
              </w:rPr>
            </w:pPr>
            <w:r>
              <w:rPr>
                <w:w w:val="175"/>
                <w:sz w:val="10"/>
              </w:rPr>
              <w:t>No se cuenta en el municipio con una línea telefónica, ni buzón de denuncia y quejas ciudadanas.</w:t>
            </w:r>
          </w:p>
        </w:tc>
      </w:tr>
      <w:tr>
        <w:trPr>
          <w:trHeight w:val="1725" w:hRule="exact"/>
        </w:trPr>
        <w:tc>
          <w:tcPr>
            <w:tcW w:w="3059" w:type="dxa"/>
            <w:tcBorders>
              <w:left w:val="single" w:sz="5" w:space="0" w:color="000000"/>
              <w:right w:val="single" w:sz="5" w:space="0" w:color="000000"/>
            </w:tcBorders>
          </w:tcPr>
          <w:p>
            <w:pPr>
              <w:pStyle w:val="TableParagraph"/>
              <w:spacing w:line="278" w:lineRule="auto" w:before="3"/>
              <w:ind w:left="25" w:right="92"/>
              <w:rPr>
                <w:sz w:val="10"/>
              </w:rPr>
            </w:pPr>
            <w:r>
              <w:rPr>
                <w:w w:val="175"/>
                <w:sz w:val="10"/>
              </w:rPr>
              <w:t>El municipio cuenta con un Programa Operativo Anual.</w:t>
            </w:r>
          </w:p>
        </w:tc>
        <w:tc>
          <w:tcPr>
            <w:tcW w:w="2956" w:type="dxa"/>
            <w:tcBorders>
              <w:left w:val="single" w:sz="5" w:space="0" w:color="000000"/>
              <w:right w:val="single" w:sz="5" w:space="0" w:color="000000"/>
            </w:tcBorders>
          </w:tcPr>
          <w:p>
            <w:pPr>
              <w:pStyle w:val="TableParagraph"/>
              <w:spacing w:line="276" w:lineRule="auto" w:before="3"/>
              <w:ind w:left="23" w:right="157" w:firstLine="1"/>
              <w:rPr>
                <w:sz w:val="10"/>
              </w:rPr>
            </w:pPr>
            <w:r>
              <w:rPr>
                <w:w w:val="175"/>
                <w:sz w:val="10"/>
              </w:rPr>
              <w:t>No existe un programa, ni se ha impartido capacitación en temas como ética e integridad, control interno y su evaluación; administración de riesgos y su evaluación; prevención, disuasión, detección y corrección de posibles actos de corrupción, y normativa específica de la operación del programa o fondo; situación que dificulta la actualización profesional del personal.</w:t>
            </w:r>
          </w:p>
        </w:tc>
      </w:tr>
      <w:tr>
        <w:trPr>
          <w:trHeight w:val="769" w:hRule="exact"/>
        </w:trPr>
        <w:tc>
          <w:tcPr>
            <w:tcW w:w="3059" w:type="dxa"/>
            <w:tcBorders>
              <w:left w:val="single" w:sz="5" w:space="0" w:color="000000"/>
              <w:right w:val="single" w:sz="5" w:space="0" w:color="000000"/>
            </w:tcBorders>
          </w:tcPr>
          <w:p>
            <w:pPr>
              <w:pStyle w:val="TableParagraph"/>
              <w:spacing w:line="276" w:lineRule="auto" w:before="3"/>
              <w:ind w:left="24" w:right="180" w:firstLine="1"/>
              <w:rPr>
                <w:sz w:val="10"/>
              </w:rPr>
            </w:pPr>
            <w:r>
              <w:rPr>
                <w:w w:val="175"/>
                <w:sz w:val="10"/>
              </w:rPr>
              <w:t>Se lleva a cabo una evaluación del Control Interno por parte del Órgano Superior de</w:t>
            </w:r>
          </w:p>
          <w:p>
            <w:pPr>
              <w:pStyle w:val="TableParagraph"/>
              <w:spacing w:before="1"/>
              <w:ind w:left="25" w:right="354"/>
              <w:rPr>
                <w:sz w:val="10"/>
              </w:rPr>
            </w:pPr>
            <w:r>
              <w:rPr>
                <w:w w:val="175"/>
                <w:sz w:val="10"/>
              </w:rPr>
              <w:t>Fiscalización.</w:t>
            </w:r>
          </w:p>
        </w:tc>
        <w:tc>
          <w:tcPr>
            <w:tcW w:w="2956" w:type="dxa"/>
            <w:tcBorders>
              <w:left w:val="single" w:sz="5" w:space="0" w:color="000000"/>
              <w:right w:val="single" w:sz="5" w:space="0" w:color="000000"/>
            </w:tcBorders>
          </w:tcPr>
          <w:p>
            <w:pPr>
              <w:pStyle w:val="TableParagraph"/>
              <w:spacing w:line="276" w:lineRule="auto" w:before="3"/>
              <w:ind w:left="25" w:right="28"/>
              <w:rPr>
                <w:sz w:val="10"/>
              </w:rPr>
            </w:pPr>
            <w:r>
              <w:rPr>
                <w:w w:val="175"/>
                <w:sz w:val="10"/>
              </w:rPr>
              <w:t>No existe una planeación estratégica que establezca las acciones que permitan la consecución de los objetivos y metas institucionales.</w:t>
            </w:r>
          </w:p>
        </w:tc>
      </w:tr>
      <w:tr>
        <w:trPr>
          <w:trHeight w:val="1062" w:hRule="exact"/>
        </w:trPr>
        <w:tc>
          <w:tcPr>
            <w:tcW w:w="3059" w:type="dxa"/>
            <w:tcBorders>
              <w:left w:val="single" w:sz="5" w:space="0" w:color="000000"/>
              <w:right w:val="single" w:sz="5" w:space="0" w:color="000000"/>
            </w:tcBorders>
          </w:tcPr>
          <w:p>
            <w:pPr>
              <w:pStyle w:val="TableParagraph"/>
              <w:spacing w:line="276" w:lineRule="auto" w:before="3"/>
              <w:ind w:left="24" w:right="53" w:firstLine="1"/>
              <w:rPr>
                <w:sz w:val="10"/>
              </w:rPr>
            </w:pPr>
            <w:r>
              <w:rPr>
                <w:w w:val="175"/>
                <w:sz w:val="10"/>
              </w:rPr>
              <w:t>En el Manual de Procedimientos de la Contraloría Interna, se tiene establecido que se informe del resultado de las evaluaciones de control interno y de las deficiencias identificadas, al titular del municipio, y del área revisada.</w:t>
            </w:r>
          </w:p>
        </w:tc>
        <w:tc>
          <w:tcPr>
            <w:tcW w:w="2956" w:type="dxa"/>
            <w:tcBorders>
              <w:left w:val="single" w:sz="5" w:space="0" w:color="000000"/>
              <w:right w:val="single" w:sz="5" w:space="0" w:color="000000"/>
            </w:tcBorders>
          </w:tcPr>
          <w:p>
            <w:pPr>
              <w:pStyle w:val="TableParagraph"/>
              <w:spacing w:line="276" w:lineRule="auto" w:before="3"/>
              <w:ind w:left="25" w:right="96"/>
              <w:rPr>
                <w:sz w:val="10"/>
              </w:rPr>
            </w:pPr>
            <w:r>
              <w:rPr>
                <w:w w:val="175"/>
                <w:sz w:val="10"/>
              </w:rPr>
              <w:t>No se han implementado acciones para identificar los riesgos que pueden impedir la consecución de cada objetivo y meta institucional, lo que imposibilita la realización de acciones para mitigar, administrar o minimizar dichos riesgos.</w:t>
            </w:r>
          </w:p>
        </w:tc>
      </w:tr>
    </w:tbl>
    <w:p>
      <w:pPr>
        <w:spacing w:after="0" w:line="276" w:lineRule="auto"/>
        <w:rPr>
          <w:sz w:val="10"/>
        </w:rPr>
        <w:sectPr>
          <w:footerReference w:type="default" r:id="rId195"/>
          <w:pgSz w:w="15840" w:h="12240" w:orient="landscape"/>
          <w:pgMar w:footer="992" w:header="0" w:top="1140" w:bottom="1180" w:left="2260" w:right="2260"/>
        </w:sectPr>
      </w:pPr>
    </w:p>
    <w:p>
      <w:pPr>
        <w:pStyle w:val="BodyText"/>
        <w:rPr>
          <w:b/>
          <w:sz w:val="20"/>
        </w:rPr>
      </w:pPr>
    </w:p>
    <w:p>
      <w:pPr>
        <w:pStyle w:val="BodyText"/>
        <w:rPr>
          <w:b/>
          <w:sz w:val="20"/>
        </w:rPr>
      </w:pPr>
    </w:p>
    <w:p>
      <w:pPr>
        <w:pStyle w:val="BodyText"/>
        <w:rPr>
          <w:b/>
          <w:sz w:val="20"/>
        </w:rPr>
      </w:pPr>
    </w:p>
    <w:p>
      <w:pPr>
        <w:pStyle w:val="BodyText"/>
        <w:spacing w:before="5"/>
        <w:rPr>
          <w:b/>
          <w:sz w:val="22"/>
        </w:rPr>
      </w:pPr>
    </w:p>
    <w:p>
      <w:pPr>
        <w:spacing w:line="230" w:lineRule="atLeast" w:before="74"/>
        <w:ind w:left="2722" w:right="2588" w:firstLine="0"/>
        <w:jc w:val="left"/>
        <w:rPr>
          <w:sz w:val="20"/>
        </w:rPr>
      </w:pPr>
      <w:r>
        <w:rPr/>
        <w:drawing>
          <wp:anchor distT="0" distB="0" distL="0" distR="0" allowOverlap="1" layoutInCell="1" locked="0" behindDoc="1" simplePos="0" relativeHeight="267761231">
            <wp:simplePos x="0" y="0"/>
            <wp:positionH relativeFrom="page">
              <wp:posOffset>3072383</wp:posOffset>
            </wp:positionH>
            <wp:positionV relativeFrom="paragraph">
              <wp:posOffset>50048</wp:posOffset>
            </wp:positionV>
            <wp:extent cx="4000500" cy="403860"/>
            <wp:effectExtent l="0" t="0" r="0" b="0"/>
            <wp:wrapNone/>
            <wp:docPr id="49" name="image133.png" descr=""/>
            <wp:cNvGraphicFramePr>
              <a:graphicFrameLocks noChangeAspect="1"/>
            </wp:cNvGraphicFramePr>
            <a:graphic>
              <a:graphicData uri="http://schemas.openxmlformats.org/drawingml/2006/picture">
                <pic:pic>
                  <pic:nvPicPr>
                    <pic:cNvPr id="50" name="image133.png"/>
                    <pic:cNvPicPr/>
                  </pic:nvPicPr>
                  <pic:blipFill>
                    <a:blip r:embed="rId189" cstate="print"/>
                    <a:stretch>
                      <a:fillRect/>
                    </a:stretch>
                  </pic:blipFill>
                  <pic:spPr>
                    <a:xfrm>
                      <a:off x="0" y="0"/>
                      <a:ext cx="4000500" cy="403860"/>
                    </a:xfrm>
                    <a:prstGeom prst="rect">
                      <a:avLst/>
                    </a:prstGeom>
                  </pic:spPr>
                </pic:pic>
              </a:graphicData>
            </a:graphic>
          </wp:anchor>
        </w:drawing>
      </w:r>
      <w:r>
        <w:rPr>
          <w:b/>
          <w:sz w:val="20"/>
        </w:rPr>
        <w:t>Fuente</w:t>
      </w:r>
      <w:r>
        <w:rPr>
          <w:sz w:val="20"/>
        </w:rPr>
        <w:t>: Elaboración propia con base en el Informe de Resultados de la Fiscalización Superior de las cuentas públicas 2008-2014.</w:t>
      </w:r>
    </w:p>
    <w:p>
      <w:pPr>
        <w:spacing w:line="82" w:lineRule="exact" w:before="0"/>
        <w:ind w:left="3512" w:right="3707" w:firstLine="0"/>
        <w:jc w:val="center"/>
        <w:rPr>
          <w:b/>
          <w:sz w:val="10"/>
        </w:rPr>
      </w:pPr>
      <w:r>
        <w:rPr>
          <w:b/>
          <w:w w:val="175"/>
          <w:sz w:val="10"/>
        </w:rPr>
        <w:t>Calidad de la Gestión Gubernamental</w:t>
      </w:r>
    </w:p>
    <w:p>
      <w:pPr>
        <w:spacing w:line="276" w:lineRule="auto" w:before="18"/>
        <w:ind w:left="3512" w:right="3707" w:firstLine="0"/>
        <w:jc w:val="center"/>
        <w:rPr>
          <w:b/>
          <w:sz w:val="10"/>
        </w:rPr>
      </w:pPr>
      <w:r>
        <w:rPr/>
        <w:pict>
          <v:rect style="position:absolute;margin-left:244.190506pt;margin-top:33.663536pt;width:293.458831pt;height:6.747664pt;mso-position-horizontal-relative:page;mso-position-vertical-relative:paragraph;z-index:-674200" filled="true" fillcolor="#f1dcdb" stroked="false">
            <v:fill type="solid"/>
            <w10:wrap type="none"/>
          </v:rect>
        </w:pict>
      </w:r>
      <w:r>
        <w:rPr>
          <w:b/>
          <w:w w:val="175"/>
          <w:sz w:val="10"/>
        </w:rPr>
        <w:t>Controles Internos (Manejo y Aplicación) Ixtapaluca Ejercicio Fiscal 2013</w:t>
      </w:r>
    </w:p>
    <w:p>
      <w:pPr>
        <w:pStyle w:val="BodyText"/>
        <w:spacing w:line="20" w:lineRule="exact"/>
        <w:ind w:left="2619"/>
        <w:rPr>
          <w:sz w:val="2"/>
        </w:rPr>
      </w:pPr>
      <w:r>
        <w:rPr>
          <w:sz w:val="2"/>
        </w:rPr>
        <w:pict>
          <v:group style="width:293.9pt;height:.4pt;mso-position-horizontal-relative:char;mso-position-vertical-relative:line" coordorigin="0,0" coordsize="5878,8">
            <v:shape style="position:absolute;left:4;top:4;width:5870;height:2" coordorigin="4,4" coordsize="5870,0" path="m4,4l4,4,5873,4e" filled="false" stroked="true" strokeweight=".391829pt" strokecolor="#000000">
              <v:path arrowok="t"/>
            </v:shape>
          </v:group>
        </w:pict>
      </w:r>
      <w:r>
        <w:rPr>
          <w:sz w:val="2"/>
        </w:rPr>
      </w:r>
    </w:p>
    <w:p>
      <w:pPr>
        <w:pStyle w:val="BodyText"/>
        <w:spacing w:before="4" w:after="1"/>
        <w:rPr>
          <w:b/>
          <w:sz w:val="20"/>
        </w:rPr>
      </w:pPr>
    </w:p>
    <w:tbl>
      <w:tblPr>
        <w:tblW w:w="0" w:type="auto"/>
        <w:jc w:val="left"/>
        <w:tblInd w:w="261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12"/>
        <w:gridCol w:w="2853"/>
      </w:tblGrid>
      <w:tr>
        <w:trPr>
          <w:trHeight w:val="265" w:hRule="exact"/>
        </w:trPr>
        <w:tc>
          <w:tcPr>
            <w:tcW w:w="3012" w:type="dxa"/>
            <w:tcBorders>
              <w:left w:val="single" w:sz="5" w:space="0" w:color="000000"/>
              <w:right w:val="single" w:sz="5" w:space="0" w:color="000000"/>
            </w:tcBorders>
            <w:shd w:val="clear" w:color="auto" w:fill="E6B8B7"/>
          </w:tcPr>
          <w:p>
            <w:pPr>
              <w:pStyle w:val="TableParagraph"/>
              <w:spacing w:line="58" w:lineRule="exact" w:before="3"/>
              <w:ind w:right="2"/>
              <w:jc w:val="right"/>
              <w:rPr>
                <w:b/>
                <w:sz w:val="10"/>
              </w:rPr>
            </w:pPr>
            <w:r>
              <w:rPr>
                <w:b/>
                <w:w w:val="170"/>
                <w:sz w:val="10"/>
              </w:rPr>
              <w:t>FIS</w:t>
            </w:r>
          </w:p>
          <w:p>
            <w:pPr>
              <w:pStyle w:val="TableParagraph"/>
              <w:spacing w:line="219" w:lineRule="exact"/>
              <w:ind w:left="1076" w:right="21"/>
              <w:rPr>
                <w:sz w:val="24"/>
              </w:rPr>
            </w:pPr>
            <w:r>
              <w:rPr>
                <w:b/>
                <w:w w:val="172"/>
                <w:sz w:val="10"/>
              </w:rPr>
              <w:t>F</w:t>
            </w:r>
            <w:r>
              <w:rPr>
                <w:b/>
                <w:spacing w:val="-1"/>
                <w:w w:val="172"/>
                <w:sz w:val="10"/>
              </w:rPr>
              <w:t>o</w:t>
            </w:r>
            <w:r>
              <w:rPr>
                <w:b/>
                <w:spacing w:val="-62"/>
                <w:w w:val="172"/>
                <w:sz w:val="10"/>
              </w:rPr>
              <w:t>r</w:t>
            </w:r>
            <w:r>
              <w:rPr>
                <w:spacing w:val="-98"/>
                <w:w w:val="100"/>
                <w:sz w:val="24"/>
              </w:rPr>
              <w:t>A</w:t>
            </w:r>
            <w:r>
              <w:rPr>
                <w:b/>
                <w:spacing w:val="-1"/>
                <w:w w:val="172"/>
                <w:sz w:val="10"/>
              </w:rPr>
              <w:t>t</w:t>
            </w:r>
            <w:r>
              <w:rPr>
                <w:b/>
                <w:spacing w:val="-55"/>
                <w:w w:val="172"/>
                <w:sz w:val="10"/>
              </w:rPr>
              <w:t>a</w:t>
            </w:r>
            <w:r>
              <w:rPr>
                <w:spacing w:val="-79"/>
                <w:w w:val="99"/>
                <w:sz w:val="24"/>
              </w:rPr>
              <w:t>n</w:t>
            </w:r>
            <w:r>
              <w:rPr>
                <w:b/>
                <w:spacing w:val="-1"/>
                <w:w w:val="172"/>
                <w:sz w:val="10"/>
              </w:rPr>
              <w:t>l</w:t>
            </w:r>
            <w:r>
              <w:rPr>
                <w:b/>
                <w:spacing w:val="-65"/>
                <w:w w:val="172"/>
                <w:sz w:val="10"/>
              </w:rPr>
              <w:t>e</w:t>
            </w:r>
            <w:r>
              <w:rPr>
                <w:spacing w:val="-69"/>
                <w:w w:val="99"/>
                <w:sz w:val="24"/>
              </w:rPr>
              <w:t>e</w:t>
            </w:r>
            <w:r>
              <w:rPr>
                <w:b/>
                <w:spacing w:val="-18"/>
                <w:w w:val="172"/>
                <w:sz w:val="10"/>
              </w:rPr>
              <w:t>z</w:t>
            </w:r>
            <w:r>
              <w:rPr>
                <w:spacing w:val="-104"/>
                <w:sz w:val="24"/>
              </w:rPr>
              <w:t>x</w:t>
            </w:r>
            <w:r>
              <w:rPr>
                <w:b/>
                <w:w w:val="172"/>
                <w:sz w:val="10"/>
              </w:rPr>
              <w:t>a</w:t>
            </w:r>
            <w:r>
              <w:rPr>
                <w:b/>
                <w:spacing w:val="-92"/>
                <w:w w:val="172"/>
                <w:sz w:val="10"/>
              </w:rPr>
              <w:t>s</w:t>
            </w:r>
            <w:r>
              <w:rPr>
                <w:w w:val="99"/>
                <w:sz w:val="24"/>
              </w:rPr>
              <w:t>o</w:t>
            </w:r>
            <w:r>
              <w:rPr>
                <w:sz w:val="24"/>
              </w:rPr>
              <w:t> </w:t>
            </w:r>
            <w:r>
              <w:rPr>
                <w:spacing w:val="1"/>
                <w:w w:val="99"/>
                <w:sz w:val="24"/>
              </w:rPr>
              <w:t>6</w:t>
            </w:r>
            <w:r>
              <w:rPr>
                <w:spacing w:val="-2"/>
                <w:w w:val="99"/>
                <w:sz w:val="24"/>
              </w:rPr>
              <w:t>7</w:t>
            </w:r>
            <w:r>
              <w:rPr>
                <w:w w:val="100"/>
                <w:sz w:val="24"/>
              </w:rPr>
              <w:t>.</w:t>
            </w:r>
          </w:p>
        </w:tc>
        <w:tc>
          <w:tcPr>
            <w:tcW w:w="2853" w:type="dxa"/>
            <w:tcBorders>
              <w:left w:val="single" w:sz="5" w:space="0" w:color="000000"/>
              <w:right w:val="single" w:sz="5" w:space="0" w:color="000000"/>
            </w:tcBorders>
            <w:shd w:val="clear" w:color="auto" w:fill="E6B8B7"/>
          </w:tcPr>
          <w:p>
            <w:pPr>
              <w:pStyle w:val="TableParagraph"/>
              <w:spacing w:before="3"/>
              <w:ind w:left="-18"/>
              <w:rPr>
                <w:b/>
                <w:sz w:val="10"/>
              </w:rPr>
            </w:pPr>
            <w:r>
              <w:rPr>
                <w:b/>
                <w:spacing w:val="-1"/>
                <w:w w:val="172"/>
                <w:sz w:val="10"/>
              </w:rPr>
              <w:t>M</w:t>
            </w:r>
          </w:p>
          <w:p>
            <w:pPr>
              <w:pStyle w:val="TableParagraph"/>
              <w:spacing w:before="18"/>
              <w:ind w:left="941" w:right="15"/>
              <w:rPr>
                <w:b/>
                <w:sz w:val="10"/>
              </w:rPr>
            </w:pPr>
            <w:r>
              <w:rPr>
                <w:b/>
                <w:w w:val="175"/>
                <w:sz w:val="10"/>
              </w:rPr>
              <w:t>Debilidades</w:t>
            </w:r>
          </w:p>
        </w:tc>
      </w:tr>
      <w:tr>
        <w:trPr>
          <w:trHeight w:val="1179" w:hRule="exact"/>
        </w:trPr>
        <w:tc>
          <w:tcPr>
            <w:tcW w:w="3012" w:type="dxa"/>
            <w:tcBorders>
              <w:left w:val="single" w:sz="5" w:space="0" w:color="000000"/>
              <w:right w:val="single" w:sz="5" w:space="0" w:color="000000"/>
            </w:tcBorders>
          </w:tcPr>
          <w:p>
            <w:pPr>
              <w:pStyle w:val="TableParagraph"/>
              <w:spacing w:line="276" w:lineRule="auto" w:before="3"/>
              <w:ind w:left="23" w:right="21" w:firstLine="1"/>
              <w:rPr>
                <w:sz w:val="10"/>
              </w:rPr>
            </w:pPr>
            <w:r>
              <w:rPr>
                <w:w w:val="175"/>
                <w:sz w:val="10"/>
              </w:rPr>
              <w:t>Se cuenta en el Municipio con un Reglamento Orgánico de la Administración Pública Municipal de Ixtapaluca, el cual tiene por objeto regular</w:t>
            </w:r>
            <w:r>
              <w:rPr>
                <w:spacing w:val="-13"/>
                <w:w w:val="175"/>
                <w:sz w:val="10"/>
              </w:rPr>
              <w:t> </w:t>
            </w:r>
            <w:r>
              <w:rPr>
                <w:w w:val="175"/>
                <w:sz w:val="10"/>
              </w:rPr>
              <w:t>la</w:t>
            </w:r>
            <w:r>
              <w:rPr>
                <w:spacing w:val="-12"/>
                <w:w w:val="175"/>
                <w:sz w:val="10"/>
              </w:rPr>
              <w:t> </w:t>
            </w:r>
            <w:r>
              <w:rPr>
                <w:w w:val="175"/>
                <w:sz w:val="10"/>
              </w:rPr>
              <w:t>organización,</w:t>
            </w:r>
            <w:r>
              <w:rPr>
                <w:spacing w:val="-13"/>
                <w:w w:val="175"/>
                <w:sz w:val="10"/>
              </w:rPr>
              <w:t> </w:t>
            </w:r>
            <w:r>
              <w:rPr>
                <w:w w:val="175"/>
                <w:sz w:val="10"/>
              </w:rPr>
              <w:t>las</w:t>
            </w:r>
            <w:r>
              <w:rPr>
                <w:spacing w:val="-13"/>
                <w:w w:val="175"/>
                <w:sz w:val="10"/>
              </w:rPr>
              <w:t> </w:t>
            </w:r>
            <w:r>
              <w:rPr>
                <w:w w:val="175"/>
                <w:sz w:val="10"/>
              </w:rPr>
              <w:t>facultades, atribuciones y funcionamiento de la Administración Pública centralizada, descentralizada</w:t>
            </w:r>
            <w:r>
              <w:rPr>
                <w:spacing w:val="-22"/>
                <w:w w:val="175"/>
                <w:sz w:val="10"/>
              </w:rPr>
              <w:t> </w:t>
            </w:r>
            <w:r>
              <w:rPr>
                <w:w w:val="175"/>
                <w:sz w:val="10"/>
              </w:rPr>
              <w:t>y</w:t>
            </w:r>
            <w:r>
              <w:rPr>
                <w:spacing w:val="-23"/>
                <w:w w:val="175"/>
                <w:sz w:val="10"/>
              </w:rPr>
              <w:t> </w:t>
            </w:r>
            <w:r>
              <w:rPr>
                <w:w w:val="175"/>
                <w:sz w:val="10"/>
              </w:rPr>
              <w:t>paramunicipal.</w:t>
            </w:r>
          </w:p>
        </w:tc>
        <w:tc>
          <w:tcPr>
            <w:tcW w:w="2853" w:type="dxa"/>
            <w:tcBorders>
              <w:left w:val="single" w:sz="5" w:space="0" w:color="000000"/>
              <w:right w:val="single" w:sz="5" w:space="0" w:color="000000"/>
            </w:tcBorders>
          </w:tcPr>
          <w:p>
            <w:pPr>
              <w:pStyle w:val="TableParagraph"/>
              <w:spacing w:line="276" w:lineRule="auto" w:before="3"/>
              <w:ind w:left="25" w:right="15" w:hanging="2"/>
              <w:rPr>
                <w:sz w:val="10"/>
              </w:rPr>
            </w:pPr>
            <w:r>
              <w:rPr>
                <w:w w:val="175"/>
                <w:sz w:val="10"/>
              </w:rPr>
              <w:t>El municipio no tiene implementado un Código de Ética y ni uno de Conducta.</w:t>
            </w:r>
          </w:p>
        </w:tc>
      </w:tr>
      <w:tr>
        <w:trPr>
          <w:trHeight w:val="1194" w:hRule="exact"/>
        </w:trPr>
        <w:tc>
          <w:tcPr>
            <w:tcW w:w="3012" w:type="dxa"/>
            <w:tcBorders>
              <w:left w:val="single" w:sz="5" w:space="0" w:color="000000"/>
              <w:right w:val="single" w:sz="5" w:space="0" w:color="000000"/>
            </w:tcBorders>
          </w:tcPr>
          <w:p>
            <w:pPr>
              <w:pStyle w:val="TableParagraph"/>
              <w:spacing w:line="276" w:lineRule="auto" w:before="3"/>
              <w:ind w:left="23" w:right="21" w:firstLine="1"/>
              <w:rPr>
                <w:sz w:val="10"/>
              </w:rPr>
            </w:pPr>
            <w:r>
              <w:rPr>
                <w:w w:val="175"/>
                <w:sz w:val="10"/>
              </w:rPr>
              <w:t>Se tiene un plan de desarrollo- apartado de escenarios y tendencias, en el que se tienen identificados y formalmente documentados los riesgos que pueden afectar su logro.</w:t>
            </w:r>
          </w:p>
        </w:tc>
        <w:tc>
          <w:tcPr>
            <w:tcW w:w="2853" w:type="dxa"/>
            <w:tcBorders>
              <w:left w:val="single" w:sz="5" w:space="0" w:color="000000"/>
              <w:right w:val="single" w:sz="5" w:space="0" w:color="000000"/>
            </w:tcBorders>
          </w:tcPr>
          <w:p>
            <w:pPr>
              <w:pStyle w:val="TableParagraph"/>
              <w:spacing w:line="276" w:lineRule="auto" w:before="3"/>
              <w:ind w:left="23" w:right="15" w:firstLine="1"/>
              <w:rPr>
                <w:sz w:val="10"/>
              </w:rPr>
            </w:pPr>
            <w:r>
              <w:rPr>
                <w:w w:val="175"/>
                <w:sz w:val="10"/>
              </w:rPr>
              <w:t>El gobierno del municipio no cuenta con manuales de procedimientos, que permitan precisar las actividades que deben realizarse para cumplir debidamente con cada una</w:t>
            </w:r>
            <w:r>
              <w:rPr>
                <w:spacing w:val="-8"/>
                <w:w w:val="175"/>
                <w:sz w:val="10"/>
              </w:rPr>
              <w:t> </w:t>
            </w:r>
            <w:r>
              <w:rPr>
                <w:w w:val="175"/>
                <w:sz w:val="10"/>
              </w:rPr>
              <w:t>de</w:t>
            </w:r>
            <w:r>
              <w:rPr>
                <w:spacing w:val="-9"/>
                <w:w w:val="175"/>
                <w:sz w:val="10"/>
              </w:rPr>
              <w:t> </w:t>
            </w:r>
            <w:r>
              <w:rPr>
                <w:w w:val="175"/>
                <w:sz w:val="10"/>
              </w:rPr>
              <w:t>las</w:t>
            </w:r>
            <w:r>
              <w:rPr>
                <w:spacing w:val="-9"/>
                <w:w w:val="175"/>
                <w:sz w:val="10"/>
              </w:rPr>
              <w:t> </w:t>
            </w:r>
            <w:r>
              <w:rPr>
                <w:w w:val="175"/>
                <w:sz w:val="10"/>
              </w:rPr>
              <w:t>funciones</w:t>
            </w:r>
            <w:r>
              <w:rPr>
                <w:spacing w:val="-9"/>
                <w:w w:val="175"/>
                <w:sz w:val="10"/>
              </w:rPr>
              <w:t> </w:t>
            </w:r>
            <w:r>
              <w:rPr>
                <w:w w:val="175"/>
                <w:sz w:val="10"/>
              </w:rPr>
              <w:t>que</w:t>
            </w:r>
            <w:r>
              <w:rPr>
                <w:spacing w:val="-8"/>
                <w:w w:val="175"/>
                <w:sz w:val="10"/>
              </w:rPr>
              <w:t> </w:t>
            </w:r>
            <w:r>
              <w:rPr>
                <w:w w:val="175"/>
                <w:sz w:val="10"/>
              </w:rPr>
              <w:t>demandan los</w:t>
            </w:r>
            <w:r>
              <w:rPr>
                <w:spacing w:val="-16"/>
                <w:w w:val="175"/>
                <w:sz w:val="10"/>
              </w:rPr>
              <w:t> </w:t>
            </w:r>
            <w:r>
              <w:rPr>
                <w:w w:val="175"/>
                <w:sz w:val="10"/>
              </w:rPr>
              <w:t>puestos</w:t>
            </w:r>
            <w:r>
              <w:rPr>
                <w:spacing w:val="-16"/>
                <w:w w:val="175"/>
                <w:sz w:val="10"/>
              </w:rPr>
              <w:t> </w:t>
            </w:r>
            <w:r>
              <w:rPr>
                <w:w w:val="175"/>
                <w:sz w:val="10"/>
              </w:rPr>
              <w:t>a</w:t>
            </w:r>
            <w:r>
              <w:rPr>
                <w:spacing w:val="-14"/>
                <w:w w:val="175"/>
                <w:sz w:val="10"/>
              </w:rPr>
              <w:t> </w:t>
            </w:r>
            <w:r>
              <w:rPr>
                <w:w w:val="175"/>
                <w:sz w:val="10"/>
              </w:rPr>
              <w:t>desempeñar.</w:t>
            </w:r>
          </w:p>
        </w:tc>
      </w:tr>
      <w:tr>
        <w:trPr>
          <w:trHeight w:val="1053" w:hRule="exact"/>
        </w:trPr>
        <w:tc>
          <w:tcPr>
            <w:tcW w:w="3012" w:type="dxa"/>
            <w:tcBorders>
              <w:left w:val="single" w:sz="5" w:space="0" w:color="000000"/>
              <w:right w:val="single" w:sz="5" w:space="0" w:color="000000"/>
            </w:tcBorders>
          </w:tcPr>
          <w:p>
            <w:pPr>
              <w:pStyle w:val="TableParagraph"/>
              <w:spacing w:line="276" w:lineRule="auto" w:before="4"/>
              <w:ind w:left="23" w:right="21" w:firstLine="1"/>
              <w:rPr>
                <w:sz w:val="10"/>
              </w:rPr>
            </w:pPr>
            <w:r>
              <w:rPr>
                <w:w w:val="175"/>
                <w:sz w:val="10"/>
              </w:rPr>
              <w:t>Con la Evaluación del Plan de Desarrollo se informa periódicamente al Titular de la institución la situación sobre la administración de los riesgos relevantes.</w:t>
            </w:r>
          </w:p>
        </w:tc>
        <w:tc>
          <w:tcPr>
            <w:tcW w:w="2853" w:type="dxa"/>
            <w:tcBorders>
              <w:left w:val="single" w:sz="5" w:space="0" w:color="000000"/>
              <w:right w:val="single" w:sz="5" w:space="0" w:color="000000"/>
            </w:tcBorders>
          </w:tcPr>
          <w:p>
            <w:pPr>
              <w:pStyle w:val="TableParagraph"/>
              <w:spacing w:line="276" w:lineRule="auto" w:before="4"/>
              <w:ind w:left="23" w:right="5" w:firstLine="1"/>
              <w:rPr>
                <w:sz w:val="10"/>
              </w:rPr>
            </w:pPr>
            <w:r>
              <w:rPr>
                <w:w w:val="175"/>
                <w:sz w:val="10"/>
              </w:rPr>
              <w:t>No se realizan evaluaciones del sistema de control interno, lo que impide determinar las causas de los problemas y, en consecuencia, no se ha establecido un programa de atención.</w:t>
            </w:r>
          </w:p>
        </w:tc>
      </w:tr>
      <w:tr>
        <w:trPr>
          <w:trHeight w:val="1725" w:hRule="exact"/>
        </w:trPr>
        <w:tc>
          <w:tcPr>
            <w:tcW w:w="3012" w:type="dxa"/>
            <w:tcBorders>
              <w:left w:val="single" w:sz="5" w:space="0" w:color="000000"/>
              <w:right w:val="single" w:sz="5" w:space="0" w:color="000000"/>
            </w:tcBorders>
          </w:tcPr>
          <w:p>
            <w:pPr>
              <w:pStyle w:val="TableParagraph"/>
              <w:spacing w:line="276" w:lineRule="auto" w:before="4"/>
              <w:ind w:left="26" w:right="21" w:hanging="2"/>
              <w:rPr>
                <w:sz w:val="10"/>
              </w:rPr>
            </w:pPr>
            <w:r>
              <w:rPr>
                <w:w w:val="175"/>
                <w:sz w:val="10"/>
              </w:rPr>
              <w:t>El municipio cuenta con un programa de trabajo denominado Presupuesto Basado en Resultados.</w:t>
            </w:r>
          </w:p>
        </w:tc>
        <w:tc>
          <w:tcPr>
            <w:tcW w:w="2853" w:type="dxa"/>
            <w:tcBorders>
              <w:left w:val="single" w:sz="5" w:space="0" w:color="000000"/>
              <w:right w:val="single" w:sz="5" w:space="0" w:color="000000"/>
            </w:tcBorders>
          </w:tcPr>
          <w:p>
            <w:pPr>
              <w:pStyle w:val="TableParagraph"/>
              <w:spacing w:line="276" w:lineRule="auto" w:before="4"/>
              <w:ind w:left="23" w:right="15" w:firstLine="1"/>
              <w:rPr>
                <w:sz w:val="10"/>
              </w:rPr>
            </w:pPr>
            <w:r>
              <w:rPr>
                <w:w w:val="175"/>
                <w:sz w:val="10"/>
              </w:rPr>
              <w:t>No existe un programa de capacitación, ni se ha impartido capacitación en temas como ética e integridad, control interno y su evaluación; administración de riesgos</w:t>
            </w:r>
            <w:r>
              <w:rPr>
                <w:spacing w:val="-11"/>
                <w:w w:val="175"/>
                <w:sz w:val="10"/>
              </w:rPr>
              <w:t> </w:t>
            </w:r>
            <w:r>
              <w:rPr>
                <w:w w:val="175"/>
                <w:sz w:val="10"/>
              </w:rPr>
              <w:t>y</w:t>
            </w:r>
            <w:r>
              <w:rPr>
                <w:spacing w:val="-11"/>
                <w:w w:val="175"/>
                <w:sz w:val="10"/>
              </w:rPr>
              <w:t> </w:t>
            </w:r>
            <w:r>
              <w:rPr>
                <w:w w:val="175"/>
                <w:sz w:val="10"/>
              </w:rPr>
              <w:t>su</w:t>
            </w:r>
            <w:r>
              <w:rPr>
                <w:spacing w:val="-11"/>
                <w:w w:val="175"/>
                <w:sz w:val="10"/>
              </w:rPr>
              <w:t> </w:t>
            </w:r>
            <w:r>
              <w:rPr>
                <w:w w:val="175"/>
                <w:sz w:val="10"/>
              </w:rPr>
              <w:t>evaluación;</w:t>
            </w:r>
            <w:r>
              <w:rPr>
                <w:spacing w:val="-11"/>
                <w:w w:val="175"/>
                <w:sz w:val="10"/>
              </w:rPr>
              <w:t> </w:t>
            </w:r>
            <w:r>
              <w:rPr>
                <w:w w:val="175"/>
                <w:sz w:val="10"/>
              </w:rPr>
              <w:t>prevención, disuasión,</w:t>
            </w:r>
            <w:r>
              <w:rPr>
                <w:spacing w:val="-11"/>
                <w:w w:val="175"/>
                <w:sz w:val="10"/>
              </w:rPr>
              <w:t> </w:t>
            </w:r>
            <w:r>
              <w:rPr>
                <w:w w:val="175"/>
                <w:sz w:val="10"/>
              </w:rPr>
              <w:t>detección</w:t>
            </w:r>
            <w:r>
              <w:rPr>
                <w:spacing w:val="-12"/>
                <w:w w:val="175"/>
                <w:sz w:val="10"/>
              </w:rPr>
              <w:t> </w:t>
            </w:r>
            <w:r>
              <w:rPr>
                <w:w w:val="175"/>
                <w:sz w:val="10"/>
              </w:rPr>
              <w:t>y</w:t>
            </w:r>
            <w:r>
              <w:rPr>
                <w:spacing w:val="-11"/>
                <w:w w:val="175"/>
                <w:sz w:val="10"/>
              </w:rPr>
              <w:t> </w:t>
            </w:r>
            <w:r>
              <w:rPr>
                <w:w w:val="175"/>
                <w:sz w:val="10"/>
              </w:rPr>
              <w:t>corrección</w:t>
            </w:r>
            <w:r>
              <w:rPr>
                <w:spacing w:val="-12"/>
                <w:w w:val="175"/>
                <w:sz w:val="10"/>
              </w:rPr>
              <w:t> </w:t>
            </w:r>
            <w:r>
              <w:rPr>
                <w:w w:val="175"/>
                <w:sz w:val="10"/>
              </w:rPr>
              <w:t>de posibles y actos de corrupción, y normativa específica de la operación del programa o fondo; situación que dificulta la actualización profesional del personal.</w:t>
            </w:r>
          </w:p>
        </w:tc>
      </w:tr>
      <w:tr>
        <w:trPr>
          <w:trHeight w:val="756" w:hRule="exact"/>
        </w:trPr>
        <w:tc>
          <w:tcPr>
            <w:tcW w:w="3012" w:type="dxa"/>
            <w:tcBorders>
              <w:left w:val="single" w:sz="5" w:space="0" w:color="000000"/>
              <w:right w:val="single" w:sz="5" w:space="0" w:color="000000"/>
            </w:tcBorders>
          </w:tcPr>
          <w:p>
            <w:pPr>
              <w:pStyle w:val="TableParagraph"/>
              <w:spacing w:line="276" w:lineRule="auto" w:before="3"/>
              <w:ind w:left="25" w:right="21"/>
              <w:rPr>
                <w:sz w:val="10"/>
              </w:rPr>
            </w:pPr>
            <w:r>
              <w:rPr>
                <w:w w:val="175"/>
                <w:sz w:val="10"/>
              </w:rPr>
              <w:t>Se tiene implantado formalmente el Programa Anual de Auditoría en el cual se establecen la obligación de evaluar y actualizar periódicamente las políticas y procedimientos.</w:t>
            </w:r>
          </w:p>
        </w:tc>
        <w:tc>
          <w:tcPr>
            <w:tcW w:w="2853" w:type="dxa"/>
            <w:tcBorders>
              <w:left w:val="single" w:sz="5" w:space="0" w:color="000000"/>
              <w:right w:val="single" w:sz="5" w:space="0" w:color="000000"/>
            </w:tcBorders>
          </w:tcPr>
          <w:p>
            <w:pPr>
              <w:pStyle w:val="TableParagraph"/>
              <w:spacing w:line="278" w:lineRule="auto" w:before="3"/>
              <w:ind w:left="25" w:right="18" w:hanging="2"/>
              <w:rPr>
                <w:sz w:val="10"/>
              </w:rPr>
            </w:pPr>
            <w:r>
              <w:rPr>
                <w:w w:val="175"/>
                <w:sz w:val="10"/>
              </w:rPr>
              <w:t>No existe un informe sobre el estado</w:t>
            </w:r>
            <w:r>
              <w:rPr>
                <w:spacing w:val="-10"/>
                <w:w w:val="175"/>
                <w:sz w:val="10"/>
              </w:rPr>
              <w:t> </w:t>
            </w:r>
            <w:r>
              <w:rPr>
                <w:w w:val="175"/>
                <w:sz w:val="10"/>
              </w:rPr>
              <w:t>que</w:t>
            </w:r>
            <w:r>
              <w:rPr>
                <w:spacing w:val="-11"/>
                <w:w w:val="175"/>
                <w:sz w:val="10"/>
              </w:rPr>
              <w:t> </w:t>
            </w:r>
            <w:r>
              <w:rPr>
                <w:w w:val="175"/>
                <w:sz w:val="10"/>
              </w:rPr>
              <w:t>guarda</w:t>
            </w:r>
            <w:r>
              <w:rPr>
                <w:spacing w:val="-12"/>
                <w:w w:val="175"/>
                <w:sz w:val="10"/>
              </w:rPr>
              <w:t> </w:t>
            </w:r>
            <w:r>
              <w:rPr>
                <w:w w:val="175"/>
                <w:sz w:val="10"/>
              </w:rPr>
              <w:t>la</w:t>
            </w:r>
            <w:r>
              <w:rPr>
                <w:spacing w:val="-11"/>
                <w:w w:val="175"/>
                <w:sz w:val="10"/>
              </w:rPr>
              <w:t> </w:t>
            </w:r>
            <w:r>
              <w:rPr>
                <w:w w:val="175"/>
                <w:sz w:val="10"/>
              </w:rPr>
              <w:t>administración de</w:t>
            </w:r>
            <w:r>
              <w:rPr>
                <w:spacing w:val="-14"/>
                <w:w w:val="175"/>
                <w:sz w:val="10"/>
              </w:rPr>
              <w:t> </w:t>
            </w:r>
            <w:r>
              <w:rPr>
                <w:w w:val="175"/>
                <w:sz w:val="10"/>
              </w:rPr>
              <w:t>los</w:t>
            </w:r>
            <w:r>
              <w:rPr>
                <w:spacing w:val="-14"/>
                <w:w w:val="175"/>
                <w:sz w:val="10"/>
              </w:rPr>
              <w:t> </w:t>
            </w:r>
            <w:r>
              <w:rPr>
                <w:w w:val="175"/>
                <w:sz w:val="10"/>
              </w:rPr>
              <w:t>riesgos</w:t>
            </w:r>
            <w:r>
              <w:rPr>
                <w:spacing w:val="-12"/>
                <w:w w:val="175"/>
                <w:sz w:val="10"/>
              </w:rPr>
              <w:t> </w:t>
            </w:r>
            <w:r>
              <w:rPr>
                <w:w w:val="175"/>
                <w:sz w:val="10"/>
              </w:rPr>
              <w:t>relevantes.</w:t>
            </w:r>
          </w:p>
        </w:tc>
      </w:tr>
    </w:tbl>
    <w:p>
      <w:pPr>
        <w:spacing w:after="0" w:line="278" w:lineRule="auto"/>
        <w:rPr>
          <w:sz w:val="10"/>
        </w:rPr>
        <w:sectPr>
          <w:footerReference w:type="default" r:id="rId196"/>
          <w:pgSz w:w="15840" w:h="12240" w:orient="landscape"/>
          <w:pgMar w:footer="992" w:header="0" w:top="1140" w:bottom="1180" w:left="2260" w:right="2260"/>
          <w:pgNumType w:start="271"/>
        </w:sectPr>
      </w:pPr>
    </w:p>
    <w:p>
      <w:pPr>
        <w:pStyle w:val="BodyText"/>
        <w:rPr>
          <w:b/>
          <w:sz w:val="20"/>
        </w:rPr>
      </w:pPr>
    </w:p>
    <w:p>
      <w:pPr>
        <w:pStyle w:val="BodyText"/>
        <w:rPr>
          <w:b/>
          <w:sz w:val="20"/>
        </w:rPr>
      </w:pPr>
    </w:p>
    <w:p>
      <w:pPr>
        <w:pStyle w:val="BodyText"/>
        <w:spacing w:before="3"/>
        <w:rPr>
          <w:b/>
          <w:sz w:val="18"/>
        </w:rPr>
      </w:pPr>
    </w:p>
    <w:p>
      <w:pPr>
        <w:spacing w:before="74"/>
        <w:ind w:left="2722" w:right="2941" w:firstLine="0"/>
        <w:jc w:val="left"/>
        <w:rPr>
          <w:sz w:val="20"/>
        </w:rPr>
      </w:pPr>
      <w:r>
        <w:rPr/>
        <w:drawing>
          <wp:anchor distT="0" distB="0" distL="0" distR="0" allowOverlap="1" layoutInCell="1" locked="0" behindDoc="1" simplePos="0" relativeHeight="267761303">
            <wp:simplePos x="0" y="0"/>
            <wp:positionH relativeFrom="page">
              <wp:posOffset>3072383</wp:posOffset>
            </wp:positionH>
            <wp:positionV relativeFrom="paragraph">
              <wp:posOffset>50036</wp:posOffset>
            </wp:positionV>
            <wp:extent cx="3771900" cy="518159"/>
            <wp:effectExtent l="0" t="0" r="0" b="0"/>
            <wp:wrapNone/>
            <wp:docPr id="51" name="image139.png" descr=""/>
            <wp:cNvGraphicFramePr>
              <a:graphicFrameLocks noChangeAspect="1"/>
            </wp:cNvGraphicFramePr>
            <a:graphic>
              <a:graphicData uri="http://schemas.openxmlformats.org/drawingml/2006/picture">
                <pic:pic>
                  <pic:nvPicPr>
                    <pic:cNvPr id="52" name="image139.png"/>
                    <pic:cNvPicPr/>
                  </pic:nvPicPr>
                  <pic:blipFill>
                    <a:blip r:embed="rId197" cstate="print"/>
                    <a:stretch>
                      <a:fillRect/>
                    </a:stretch>
                  </pic:blipFill>
                  <pic:spPr>
                    <a:xfrm>
                      <a:off x="0" y="0"/>
                      <a:ext cx="3771900" cy="518159"/>
                    </a:xfrm>
                    <a:prstGeom prst="rect">
                      <a:avLst/>
                    </a:prstGeom>
                  </pic:spPr>
                </pic:pic>
              </a:graphicData>
            </a:graphic>
          </wp:anchor>
        </w:drawing>
      </w:r>
      <w:r>
        <w:rPr>
          <w:b/>
          <w:sz w:val="20"/>
        </w:rPr>
        <w:t>Fuente: </w:t>
      </w:r>
      <w:r>
        <w:rPr>
          <w:sz w:val="20"/>
        </w:rPr>
        <w:t>Elaboración propia con base en el Informe de Resultados de la Fiscalización Superior de las cuentas públicas</w:t>
      </w:r>
    </w:p>
    <w:p>
      <w:pPr>
        <w:spacing w:after="0"/>
        <w:jc w:val="left"/>
        <w:rPr>
          <w:sz w:val="20"/>
        </w:rPr>
        <w:sectPr>
          <w:pgSz w:w="15840" w:h="12240" w:orient="landscape"/>
          <w:pgMar w:header="0" w:footer="992" w:top="1140" w:bottom="1180" w:left="2260" w:right="2260"/>
        </w:sectPr>
      </w:pPr>
    </w:p>
    <w:p>
      <w:pPr>
        <w:spacing w:before="3"/>
        <w:ind w:left="0" w:right="0" w:firstLine="0"/>
        <w:jc w:val="right"/>
        <w:rPr>
          <w:sz w:val="20"/>
        </w:rPr>
      </w:pPr>
      <w:r>
        <w:rPr>
          <w:sz w:val="20"/>
        </w:rPr>
        <w:t>2008-2014.</w:t>
      </w:r>
    </w:p>
    <w:p>
      <w:pPr>
        <w:pStyle w:val="BodyText"/>
        <w:spacing w:before="8"/>
        <w:rPr>
          <w:sz w:val="14"/>
        </w:rPr>
      </w:pPr>
      <w:r>
        <w:rPr/>
        <w:br w:type="column"/>
      </w:r>
      <w:r>
        <w:rPr>
          <w:sz w:val="14"/>
        </w:rPr>
      </w:r>
    </w:p>
    <w:p>
      <w:pPr>
        <w:spacing w:line="276" w:lineRule="auto" w:before="0"/>
        <w:ind w:left="113" w:right="3576" w:firstLine="2"/>
        <w:jc w:val="center"/>
        <w:rPr>
          <w:b/>
          <w:sz w:val="10"/>
        </w:rPr>
      </w:pPr>
      <w:r>
        <w:rPr/>
        <w:pict>
          <v:group style="position:absolute;margin-left:242.865219pt;margin-top:32.594769pt;width:321.6pt;height:13.6pt;mso-position-horizontal-relative:page;mso-position-vertical-relative:paragraph;z-index:-674128" coordorigin="4857,652" coordsize="6432,272">
            <v:rect style="position:absolute;left:4857;top:656;width:6423;height:135" filled="true" fillcolor="#e6b8b7" stroked="false">
              <v:fill type="solid"/>
            </v:rect>
            <v:rect style="position:absolute;left:4857;top:788;width:6423;height:135" filled="true" fillcolor="#f1dcdb" stroked="false">
              <v:fill type="solid"/>
            </v:rect>
            <v:shape style="position:absolute;left:625;top:-5706;width:7774;height:302" coordorigin="625,-5706" coordsize="7774,302" path="m4865,656l4865,656,11285,656m4865,788l4865,788,11285,788e" filled="false" stroked="true" strokeweight=".564989pt" strokecolor="#000000">
              <v:path arrowok="t"/>
            </v:shape>
            <w10:wrap type="none"/>
          </v:group>
        </w:pict>
      </w:r>
      <w:r>
        <w:rPr>
          <w:b/>
          <w:w w:val="200"/>
          <w:sz w:val="10"/>
        </w:rPr>
        <w:t>Calidad de la Gestión Gubernamental Controles</w:t>
      </w:r>
      <w:r>
        <w:rPr>
          <w:b/>
          <w:spacing w:val="-11"/>
          <w:w w:val="200"/>
          <w:sz w:val="10"/>
        </w:rPr>
        <w:t> </w:t>
      </w:r>
      <w:r>
        <w:rPr>
          <w:b/>
          <w:w w:val="200"/>
          <w:sz w:val="10"/>
        </w:rPr>
        <w:t>Internos</w:t>
      </w:r>
      <w:r>
        <w:rPr>
          <w:b/>
          <w:spacing w:val="-12"/>
          <w:w w:val="200"/>
          <w:sz w:val="10"/>
        </w:rPr>
        <w:t> </w:t>
      </w:r>
      <w:r>
        <w:rPr>
          <w:b/>
          <w:w w:val="200"/>
          <w:sz w:val="10"/>
        </w:rPr>
        <w:t>(Manejo</w:t>
      </w:r>
      <w:r>
        <w:rPr>
          <w:b/>
          <w:spacing w:val="-12"/>
          <w:w w:val="200"/>
          <w:sz w:val="10"/>
        </w:rPr>
        <w:t> </w:t>
      </w:r>
      <w:r>
        <w:rPr>
          <w:b/>
          <w:w w:val="200"/>
          <w:sz w:val="10"/>
        </w:rPr>
        <w:t>y</w:t>
      </w:r>
      <w:r>
        <w:rPr>
          <w:b/>
          <w:spacing w:val="-17"/>
          <w:w w:val="200"/>
          <w:sz w:val="10"/>
        </w:rPr>
        <w:t> </w:t>
      </w:r>
      <w:r>
        <w:rPr>
          <w:b/>
          <w:w w:val="200"/>
          <w:sz w:val="10"/>
        </w:rPr>
        <w:t>Aplicación) La Paz Ejercicio Fiscal</w:t>
      </w:r>
      <w:r>
        <w:rPr>
          <w:b/>
          <w:spacing w:val="-28"/>
          <w:w w:val="200"/>
          <w:sz w:val="10"/>
        </w:rPr>
        <w:t> </w:t>
      </w:r>
      <w:r>
        <w:rPr>
          <w:b/>
          <w:w w:val="200"/>
          <w:sz w:val="10"/>
        </w:rPr>
        <w:t>2013</w:t>
      </w:r>
    </w:p>
    <w:p>
      <w:pPr>
        <w:spacing w:after="0" w:line="276" w:lineRule="auto"/>
        <w:jc w:val="center"/>
        <w:rPr>
          <w:sz w:val="10"/>
        </w:rPr>
        <w:sectPr>
          <w:type w:val="continuous"/>
          <w:pgSz w:w="15840" w:h="12240" w:orient="landscape"/>
          <w:pgMar w:top="0" w:bottom="280" w:left="2260" w:right="2260"/>
          <w:cols w:num="2" w:equalWidth="0">
            <w:col w:w="3734" w:space="40"/>
            <w:col w:w="7546"/>
          </w:cols>
        </w:sectPr>
      </w:pPr>
    </w:p>
    <w:p>
      <w:pPr>
        <w:pStyle w:val="BodyText"/>
        <w:spacing w:line="20" w:lineRule="exact"/>
        <w:ind w:left="2593"/>
        <w:rPr>
          <w:sz w:val="2"/>
        </w:rPr>
      </w:pPr>
      <w:r>
        <w:rPr>
          <w:sz w:val="2"/>
        </w:rPr>
        <w:pict>
          <v:group style="width:321.55pt;height:.4pt;mso-position-horizontal-relative:char;mso-position-vertical-relative:line" coordorigin="0,0" coordsize="6431,8">
            <v:shape style="position:absolute;left:4;top:4;width:6423;height:2" coordorigin="4,4" coordsize="6423,0" path="m4,4l4,4,6427,4e" filled="false" stroked="true" strokeweight=".391837pt" strokecolor="#000000">
              <v:path arrowok="t"/>
            </v:shape>
          </v:group>
        </w:pict>
      </w:r>
      <w:r>
        <w:rPr>
          <w:sz w:val="2"/>
        </w:rPr>
      </w:r>
    </w:p>
    <w:p>
      <w:pPr>
        <w:pStyle w:val="BodyText"/>
        <w:spacing w:before="4"/>
        <w:rPr>
          <w:b/>
          <w:sz w:val="20"/>
        </w:rPr>
      </w:pPr>
    </w:p>
    <w:tbl>
      <w:tblPr>
        <w:tblW w:w="0" w:type="auto"/>
        <w:jc w:val="left"/>
        <w:tblInd w:w="258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58"/>
        <w:gridCol w:w="2961"/>
      </w:tblGrid>
      <w:tr>
        <w:trPr>
          <w:trHeight w:val="270" w:hRule="exact"/>
        </w:trPr>
        <w:tc>
          <w:tcPr>
            <w:tcW w:w="6419" w:type="dxa"/>
            <w:gridSpan w:val="2"/>
            <w:tcBorders>
              <w:left w:val="single" w:sz="6" w:space="0" w:color="000000"/>
              <w:bottom w:val="single" w:sz="3" w:space="0" w:color="000000"/>
              <w:right w:val="single" w:sz="6" w:space="0" w:color="000000"/>
            </w:tcBorders>
          </w:tcPr>
          <w:p>
            <w:pPr>
              <w:pStyle w:val="TableParagraph"/>
              <w:spacing w:line="66" w:lineRule="exact" w:before="12"/>
              <w:ind w:left="2952" w:right="2934"/>
              <w:jc w:val="center"/>
              <w:rPr>
                <w:b/>
                <w:sz w:val="10"/>
              </w:rPr>
            </w:pPr>
            <w:r>
              <w:rPr>
                <w:b/>
                <w:w w:val="200"/>
                <w:sz w:val="10"/>
              </w:rPr>
              <w:t>FISM</w:t>
            </w:r>
          </w:p>
          <w:p>
            <w:pPr>
              <w:pStyle w:val="TableParagraph"/>
              <w:tabs>
                <w:tab w:pos="4379" w:val="left" w:leader="none"/>
              </w:tabs>
              <w:spacing w:line="227" w:lineRule="exact"/>
              <w:ind w:left="298"/>
              <w:rPr>
                <w:b/>
                <w:sz w:val="10"/>
              </w:rPr>
            </w:pPr>
            <w:r>
              <w:rPr>
                <w:w w:val="100"/>
                <w:sz w:val="24"/>
              </w:rPr>
              <w:t>A</w:t>
            </w:r>
            <w:r>
              <w:rPr>
                <w:w w:val="99"/>
                <w:sz w:val="24"/>
              </w:rPr>
              <w:t>ne</w:t>
            </w:r>
            <w:r>
              <w:rPr>
                <w:spacing w:val="-3"/>
                <w:sz w:val="24"/>
              </w:rPr>
              <w:t>x</w:t>
            </w:r>
            <w:r>
              <w:rPr>
                <w:w w:val="99"/>
                <w:sz w:val="24"/>
              </w:rPr>
              <w:t>o</w:t>
            </w:r>
            <w:r>
              <w:rPr>
                <w:sz w:val="24"/>
              </w:rPr>
              <w:t> </w:t>
            </w:r>
            <w:r>
              <w:rPr>
                <w:spacing w:val="1"/>
                <w:w w:val="99"/>
                <w:sz w:val="24"/>
              </w:rPr>
              <w:t>6</w:t>
            </w:r>
            <w:r>
              <w:rPr>
                <w:spacing w:val="-78"/>
                <w:w w:val="99"/>
                <w:sz w:val="24"/>
              </w:rPr>
              <w:t>8</w:t>
            </w:r>
            <w:r>
              <w:rPr>
                <w:b/>
                <w:spacing w:val="-46"/>
                <w:w w:val="198"/>
                <w:position w:val="2"/>
                <w:sz w:val="10"/>
              </w:rPr>
              <w:t>F</w:t>
            </w:r>
            <w:r>
              <w:rPr>
                <w:spacing w:val="-22"/>
                <w:w w:val="100"/>
                <w:sz w:val="24"/>
              </w:rPr>
              <w:t>.</w:t>
            </w:r>
            <w:r>
              <w:rPr>
                <w:b/>
                <w:spacing w:val="-1"/>
                <w:w w:val="198"/>
                <w:position w:val="2"/>
                <w:sz w:val="10"/>
              </w:rPr>
              <w:t>o</w:t>
            </w:r>
            <w:r>
              <w:rPr>
                <w:b/>
                <w:w w:val="198"/>
                <w:position w:val="2"/>
                <w:sz w:val="10"/>
              </w:rPr>
              <w:t>r</w:t>
            </w:r>
            <w:r>
              <w:rPr>
                <w:b/>
                <w:spacing w:val="-1"/>
                <w:w w:val="198"/>
                <w:position w:val="2"/>
                <w:sz w:val="10"/>
              </w:rPr>
              <w:t>t</w:t>
            </w:r>
            <w:r>
              <w:rPr>
                <w:b/>
                <w:w w:val="198"/>
                <w:position w:val="2"/>
                <w:sz w:val="10"/>
              </w:rPr>
              <w:t>a</w:t>
            </w:r>
            <w:r>
              <w:rPr>
                <w:b/>
                <w:spacing w:val="-1"/>
                <w:w w:val="198"/>
                <w:position w:val="2"/>
                <w:sz w:val="10"/>
              </w:rPr>
              <w:t>l</w:t>
            </w:r>
            <w:r>
              <w:rPr>
                <w:b/>
                <w:w w:val="198"/>
                <w:position w:val="2"/>
                <w:sz w:val="10"/>
              </w:rPr>
              <w:t>e</w:t>
            </w:r>
            <w:r>
              <w:rPr>
                <w:b/>
                <w:spacing w:val="-2"/>
                <w:w w:val="198"/>
                <w:position w:val="2"/>
                <w:sz w:val="10"/>
              </w:rPr>
              <w:t>z</w:t>
            </w:r>
            <w:r>
              <w:rPr>
                <w:b/>
                <w:spacing w:val="1"/>
                <w:w w:val="198"/>
                <w:position w:val="2"/>
                <w:sz w:val="10"/>
              </w:rPr>
              <w:t>a</w:t>
            </w:r>
            <w:r>
              <w:rPr>
                <w:b/>
                <w:w w:val="198"/>
                <w:position w:val="2"/>
                <w:sz w:val="10"/>
              </w:rPr>
              <w:t>s</w:t>
            </w:r>
            <w:r>
              <w:rPr>
                <w:b/>
                <w:position w:val="2"/>
                <w:sz w:val="10"/>
              </w:rPr>
              <w:tab/>
            </w:r>
            <w:r>
              <w:rPr>
                <w:b/>
                <w:w w:val="198"/>
                <w:position w:val="2"/>
                <w:sz w:val="10"/>
              </w:rPr>
              <w:t>D</w:t>
            </w:r>
            <w:r>
              <w:rPr>
                <w:b/>
                <w:spacing w:val="-2"/>
                <w:w w:val="198"/>
                <w:position w:val="2"/>
                <w:sz w:val="10"/>
              </w:rPr>
              <w:t>e</w:t>
            </w:r>
            <w:r>
              <w:rPr>
                <w:b/>
                <w:spacing w:val="-2"/>
                <w:w w:val="198"/>
                <w:position w:val="2"/>
                <w:sz w:val="10"/>
              </w:rPr>
              <w:t>b</w:t>
            </w:r>
            <w:r>
              <w:rPr>
                <w:b/>
                <w:spacing w:val="-1"/>
                <w:w w:val="198"/>
                <w:position w:val="2"/>
                <w:sz w:val="10"/>
              </w:rPr>
              <w:t>ili</w:t>
            </w:r>
            <w:r>
              <w:rPr>
                <w:b/>
                <w:spacing w:val="-2"/>
                <w:w w:val="198"/>
                <w:position w:val="2"/>
                <w:sz w:val="10"/>
              </w:rPr>
              <w:t>d</w:t>
            </w:r>
            <w:r>
              <w:rPr>
                <w:b/>
                <w:spacing w:val="-2"/>
                <w:w w:val="198"/>
                <w:position w:val="2"/>
                <w:sz w:val="10"/>
              </w:rPr>
              <w:t>a</w:t>
            </w:r>
            <w:r>
              <w:rPr>
                <w:b/>
                <w:spacing w:val="-2"/>
                <w:w w:val="198"/>
                <w:position w:val="2"/>
                <w:sz w:val="10"/>
              </w:rPr>
              <w:t>d</w:t>
            </w:r>
            <w:r>
              <w:rPr>
                <w:b/>
                <w:spacing w:val="-2"/>
                <w:w w:val="198"/>
                <w:position w:val="2"/>
                <w:sz w:val="10"/>
              </w:rPr>
              <w:t>e</w:t>
            </w:r>
            <w:r>
              <w:rPr>
                <w:b/>
                <w:w w:val="198"/>
                <w:position w:val="2"/>
                <w:sz w:val="10"/>
              </w:rPr>
              <w:t>s</w:t>
            </w:r>
          </w:p>
        </w:tc>
      </w:tr>
      <w:tr>
        <w:trPr>
          <w:trHeight w:val="1062" w:hRule="exact"/>
        </w:trPr>
        <w:tc>
          <w:tcPr>
            <w:tcW w:w="3458"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8"/>
              <w:rPr>
                <w:sz w:val="10"/>
              </w:rPr>
            </w:pPr>
            <w:r>
              <w:rPr>
                <w:w w:val="200"/>
                <w:sz w:val="10"/>
              </w:rPr>
              <w:t>El municipio cuenta con un Programa Operativo Anual que le permite encaminar sus actividades al cumplimiento de dicho programa.</w:t>
            </w:r>
          </w:p>
        </w:tc>
        <w:tc>
          <w:tcPr>
            <w:tcW w:w="29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9" w:right="-2" w:hanging="2"/>
              <w:rPr>
                <w:sz w:val="10"/>
              </w:rPr>
            </w:pPr>
            <w:r>
              <w:rPr>
                <w:w w:val="200"/>
                <w:sz w:val="10"/>
              </w:rPr>
              <w:t>El gobierno del municipio no cuenta con un Manual de Organización, que precise la distribución de funciones entre los servidores públicos con nivel de mando medio y superior.</w:t>
            </w:r>
          </w:p>
        </w:tc>
      </w:tr>
      <w:tr>
        <w:trPr>
          <w:trHeight w:val="444" w:hRule="exact"/>
        </w:trPr>
        <w:tc>
          <w:tcPr>
            <w:tcW w:w="3458" w:type="dxa"/>
            <w:tcBorders>
              <w:top w:val="single" w:sz="3" w:space="0" w:color="000000"/>
              <w:left w:val="single" w:sz="6" w:space="0" w:color="000000"/>
              <w:bottom w:val="single" w:sz="3" w:space="0" w:color="000000"/>
              <w:right w:val="single" w:sz="6" w:space="0" w:color="000000"/>
            </w:tcBorders>
          </w:tcPr>
          <w:p>
            <w:pPr/>
          </w:p>
        </w:tc>
        <w:tc>
          <w:tcPr>
            <w:tcW w:w="2961" w:type="dxa"/>
            <w:tcBorders>
              <w:top w:val="single" w:sz="3" w:space="0" w:color="000000"/>
              <w:left w:val="single" w:sz="6" w:space="0" w:color="000000"/>
              <w:bottom w:val="single" w:sz="3" w:space="0" w:color="000000"/>
              <w:right w:val="single" w:sz="6" w:space="0" w:color="000000"/>
            </w:tcBorders>
          </w:tcPr>
          <w:p>
            <w:pPr>
              <w:pStyle w:val="TableParagraph"/>
              <w:spacing w:line="278" w:lineRule="auto" w:before="3"/>
              <w:ind w:left="29" w:right="-2" w:hanging="2"/>
              <w:rPr>
                <w:sz w:val="10"/>
              </w:rPr>
            </w:pPr>
            <w:r>
              <w:rPr>
                <w:w w:val="200"/>
                <w:sz w:val="10"/>
              </w:rPr>
              <w:t>El municipio no tiene un Código de Ética ni uno de Conducta.</w:t>
            </w:r>
          </w:p>
        </w:tc>
      </w:tr>
      <w:tr>
        <w:trPr>
          <w:trHeight w:val="1194" w:hRule="exact"/>
        </w:trPr>
        <w:tc>
          <w:tcPr>
            <w:tcW w:w="3458" w:type="dxa"/>
            <w:tcBorders>
              <w:top w:val="single" w:sz="3" w:space="0" w:color="000000"/>
              <w:left w:val="single" w:sz="6" w:space="0" w:color="000000"/>
              <w:bottom w:val="single" w:sz="3" w:space="0" w:color="000000"/>
              <w:right w:val="single" w:sz="6" w:space="0" w:color="000000"/>
            </w:tcBorders>
          </w:tcPr>
          <w:p>
            <w:pPr/>
          </w:p>
        </w:tc>
        <w:tc>
          <w:tcPr>
            <w:tcW w:w="29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6" w:right="-2" w:firstLine="1"/>
              <w:rPr>
                <w:sz w:val="10"/>
              </w:rPr>
            </w:pPr>
            <w:r>
              <w:rPr>
                <w:w w:val="200"/>
                <w:sz w:val="10"/>
              </w:rPr>
              <w:t>El gobierno del municipio no cuenta con manuales de procedimientos, que permitan precisar las actividades que deben realizarse para cumplir debidamente con cada una de las funciones que demandan los puestos a desempeñar.</w:t>
            </w:r>
          </w:p>
        </w:tc>
      </w:tr>
      <w:tr>
        <w:trPr>
          <w:trHeight w:val="988" w:hRule="exact"/>
        </w:trPr>
        <w:tc>
          <w:tcPr>
            <w:tcW w:w="3458" w:type="dxa"/>
            <w:tcBorders>
              <w:top w:val="single" w:sz="3" w:space="0" w:color="000000"/>
              <w:left w:val="single" w:sz="6" w:space="0" w:color="000000"/>
              <w:bottom w:val="single" w:sz="3" w:space="0" w:color="000000"/>
              <w:right w:val="single" w:sz="6" w:space="0" w:color="000000"/>
            </w:tcBorders>
          </w:tcPr>
          <w:p>
            <w:pPr/>
          </w:p>
        </w:tc>
        <w:tc>
          <w:tcPr>
            <w:tcW w:w="29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4"/>
              <w:ind w:left="26" w:right="49" w:firstLine="1"/>
              <w:rPr>
                <w:sz w:val="10"/>
              </w:rPr>
            </w:pPr>
            <w:r>
              <w:rPr>
                <w:w w:val="200"/>
                <w:sz w:val="10"/>
              </w:rPr>
              <w:t>No se realizan evaluaciones del sistema de control interno, lo que impide determinar las causas de los problemas y, en consecuencia, no se ha establecido un programa de atención.</w:t>
            </w:r>
          </w:p>
        </w:tc>
      </w:tr>
      <w:tr>
        <w:trPr>
          <w:trHeight w:val="1858" w:hRule="exact"/>
        </w:trPr>
        <w:tc>
          <w:tcPr>
            <w:tcW w:w="3458" w:type="dxa"/>
            <w:tcBorders>
              <w:top w:val="single" w:sz="3" w:space="0" w:color="000000"/>
              <w:left w:val="single" w:sz="6" w:space="0" w:color="000000"/>
              <w:bottom w:val="single" w:sz="3" w:space="0" w:color="000000"/>
              <w:right w:val="single" w:sz="6" w:space="0" w:color="000000"/>
            </w:tcBorders>
          </w:tcPr>
          <w:p>
            <w:pPr/>
          </w:p>
        </w:tc>
        <w:tc>
          <w:tcPr>
            <w:tcW w:w="29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6" w:right="-2" w:firstLine="1"/>
              <w:rPr>
                <w:sz w:val="10"/>
              </w:rPr>
            </w:pPr>
            <w:r>
              <w:rPr>
                <w:w w:val="200"/>
                <w:sz w:val="10"/>
              </w:rPr>
              <w:t>No existe un programa de capacitación, ni se ha impartido capacitación en temas como ética e integridad, control interno y su evaluación; administración de riesgos y su evaluación; prevención, disuasión, detección y corrección de posibles y actos de corrupción, y normativa específica de la operación del programa o fondo; situación que dificulta la actualización profesional del personal.</w:t>
            </w:r>
          </w:p>
        </w:tc>
      </w:tr>
      <w:tr>
        <w:trPr>
          <w:trHeight w:val="796" w:hRule="exact"/>
        </w:trPr>
        <w:tc>
          <w:tcPr>
            <w:tcW w:w="3458" w:type="dxa"/>
            <w:tcBorders>
              <w:top w:val="single" w:sz="3" w:space="0" w:color="000000"/>
              <w:left w:val="single" w:sz="6" w:space="0" w:color="000000"/>
              <w:bottom w:val="single" w:sz="3" w:space="0" w:color="000000"/>
              <w:right w:val="single" w:sz="6" w:space="0" w:color="000000"/>
            </w:tcBorders>
          </w:tcPr>
          <w:p>
            <w:pPr/>
          </w:p>
        </w:tc>
        <w:tc>
          <w:tcPr>
            <w:tcW w:w="29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6" w:right="-2" w:firstLine="1"/>
              <w:rPr>
                <w:sz w:val="10"/>
              </w:rPr>
            </w:pPr>
            <w:r>
              <w:rPr>
                <w:w w:val="200"/>
                <w:sz w:val="10"/>
              </w:rPr>
              <w:t>No existe una planeación estratégica que establezca las acciones que permitan la consecución de los objetivos y metas institucionales.</w:t>
            </w:r>
          </w:p>
        </w:tc>
      </w:tr>
    </w:tbl>
    <w:p>
      <w:pPr>
        <w:spacing w:after="0" w:line="276" w:lineRule="auto"/>
        <w:rPr>
          <w:sz w:val="10"/>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8"/>
        </w:rPr>
      </w:pPr>
    </w:p>
    <w:p>
      <w:pPr>
        <w:pStyle w:val="BodyText"/>
        <w:rPr>
          <w:b/>
          <w:sz w:val="8"/>
        </w:rPr>
      </w:pPr>
    </w:p>
    <w:p>
      <w:pPr>
        <w:spacing w:line="276" w:lineRule="auto" w:before="0"/>
        <w:ind w:left="4120" w:right="4142" w:firstLine="2"/>
        <w:jc w:val="center"/>
        <w:rPr>
          <w:b/>
          <w:sz w:val="10"/>
        </w:rPr>
      </w:pPr>
      <w:r>
        <w:rPr/>
        <w:drawing>
          <wp:anchor distT="0" distB="0" distL="0" distR="0" allowOverlap="1" layoutInCell="1" locked="0" behindDoc="1" simplePos="0" relativeHeight="267761375">
            <wp:simplePos x="0" y="0"/>
            <wp:positionH relativeFrom="page">
              <wp:posOffset>2958083</wp:posOffset>
            </wp:positionH>
            <wp:positionV relativeFrom="paragraph">
              <wp:posOffset>-230555</wp:posOffset>
            </wp:positionV>
            <wp:extent cx="4229100" cy="403860"/>
            <wp:effectExtent l="0" t="0" r="0" b="0"/>
            <wp:wrapNone/>
            <wp:docPr id="53" name="image140.png" descr=""/>
            <wp:cNvGraphicFramePr>
              <a:graphicFrameLocks noChangeAspect="1"/>
            </wp:cNvGraphicFramePr>
            <a:graphic>
              <a:graphicData uri="http://schemas.openxmlformats.org/drawingml/2006/picture">
                <pic:pic>
                  <pic:nvPicPr>
                    <pic:cNvPr id="54" name="image140.png"/>
                    <pic:cNvPicPr/>
                  </pic:nvPicPr>
                  <pic:blipFill>
                    <a:blip r:embed="rId198" cstate="print"/>
                    <a:stretch>
                      <a:fillRect/>
                    </a:stretch>
                  </pic:blipFill>
                  <pic:spPr>
                    <a:xfrm>
                      <a:off x="0" y="0"/>
                      <a:ext cx="4229100" cy="403860"/>
                    </a:xfrm>
                    <a:prstGeom prst="rect">
                      <a:avLst/>
                    </a:prstGeom>
                  </pic:spPr>
                </pic:pic>
              </a:graphicData>
            </a:graphic>
          </wp:anchor>
        </w:drawing>
      </w:r>
      <w:r>
        <w:rPr/>
        <w:pict>
          <v:group style="position:absolute;margin-left:256.073944pt;margin-top:32.594654pt;width:278.650pt;height:13.6pt;mso-position-horizontal-relative:page;mso-position-vertical-relative:paragraph;z-index:-674056" coordorigin="5121,652" coordsize="5573,272">
            <v:rect style="position:absolute;left:5121;top:656;width:5564;height:135" filled="true" fillcolor="#e6b8b7" stroked="false">
              <v:fill type="solid"/>
            </v:rect>
            <v:rect style="position:absolute;left:5121;top:788;width:5564;height:135" filled="true" fillcolor="#f1dcdb" stroked="false">
              <v:fill type="solid"/>
            </v:rect>
            <v:shape style="position:absolute;left:625;top:-4774;width:8494;height:302" coordorigin="625,-4774" coordsize="8494,302" path="m5127,656l5127,656,10690,656m5127,788l5127,788,10690,788e" filled="false" stroked="true" strokeweight=".488531pt" strokecolor="#000000">
              <v:path arrowok="t"/>
            </v:shape>
            <w10:wrap type="none"/>
          </v:group>
        </w:pict>
      </w:r>
      <w:r>
        <w:rPr/>
        <w:pict>
          <v:shape style="position:absolute;margin-left:240.479263pt;margin-top:2.666787pt;width:318.4pt;height:10pt;mso-position-horizontal-relative:page;mso-position-vertical-relative:paragraph;z-index:-674032;rotation:181" type="#_x0000_t136" fillcolor="#000000" stroked="f">
            <o:extrusion v:ext="view" autorotationcenter="t"/>
            <v:textpath style="font-family:&amp;quot;Arial&amp;quot;;font-size:10pt;v-text-kern:t;mso-text-shadow:auto;font-weight:bold" string="Fuente: Elaboración propia con base en el Informe de Resultados de la"/>
            <w10:wrap type="none"/>
          </v:shape>
        </w:pict>
      </w:r>
      <w:r>
        <w:rPr/>
        <w:pict>
          <v:shape style="position:absolute;margin-left:300.813843pt;margin-top:-9.093201pt;width:258.05pt;height:10pt;mso-position-horizontal-relative:page;mso-position-vertical-relative:paragraph;z-index:-674008;rotation:181" type="#_x0000_t136" fillcolor="#000000" stroked="f">
            <o:extrusion v:ext="view" autorotationcenter="t"/>
            <v:textpath style="font-family:&amp;quot;Arial&amp;quot;;font-size:10pt;v-text-kern:t;mso-text-shadow:auto" string="Fiscalización Superior de las cuentas públicas 2008-2014."/>
            <w10:wrap type="none"/>
          </v:shape>
        </w:pict>
      </w:r>
      <w:r>
        <w:rPr>
          <w:b/>
          <w:w w:val="155"/>
          <w:sz w:val="10"/>
        </w:rPr>
        <w:t>Calidad de la Gestión Gubernamental Controles Internos (Manejo y Aplicación) Luvianos Ejercicio Fiscal 2013</w:t>
      </w:r>
    </w:p>
    <w:p>
      <w:pPr>
        <w:pStyle w:val="BodyText"/>
        <w:spacing w:line="20" w:lineRule="exact"/>
        <w:ind w:left="2857"/>
        <w:rPr>
          <w:sz w:val="2"/>
        </w:rPr>
      </w:pPr>
      <w:r>
        <w:rPr>
          <w:sz w:val="2"/>
        </w:rPr>
        <w:pict>
          <v:group style="width:278.650pt;height:.4pt;mso-position-horizontal-relative:char;mso-position-vertical-relative:line" coordorigin="0,0" coordsize="5573,8">
            <v:shape style="position:absolute;left:4;top:4;width:5565;height:2" coordorigin="4,4" coordsize="5565,0" path="m4,4l4,4,5568,4e" filled="false" stroked="true" strokeweight=".391835pt" strokecolor="#000000">
              <v:path arrowok="t"/>
            </v:shape>
          </v:group>
        </w:pict>
      </w:r>
      <w:r>
        <w:rPr>
          <w:sz w:val="2"/>
        </w:rPr>
      </w:r>
    </w:p>
    <w:p>
      <w:pPr>
        <w:pStyle w:val="BodyText"/>
        <w:spacing w:before="4"/>
        <w:rPr>
          <w:b/>
          <w:sz w:val="20"/>
        </w:rPr>
      </w:pPr>
    </w:p>
    <w:tbl>
      <w:tblPr>
        <w:tblW w:w="0" w:type="auto"/>
        <w:jc w:val="left"/>
        <w:tblInd w:w="28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86"/>
        <w:gridCol w:w="2675"/>
      </w:tblGrid>
      <w:tr>
        <w:trPr>
          <w:trHeight w:val="270" w:hRule="exact"/>
        </w:trPr>
        <w:tc>
          <w:tcPr>
            <w:tcW w:w="5561" w:type="dxa"/>
            <w:gridSpan w:val="2"/>
            <w:tcBorders>
              <w:left w:val="single" w:sz="5" w:space="0" w:color="000000"/>
              <w:bottom w:val="single" w:sz="3" w:space="0" w:color="000000"/>
              <w:right w:val="single" w:sz="5" w:space="0" w:color="000000"/>
            </w:tcBorders>
          </w:tcPr>
          <w:p>
            <w:pPr>
              <w:pStyle w:val="TableParagraph"/>
              <w:spacing w:line="88" w:lineRule="exact" w:before="12"/>
              <w:ind w:left="2576" w:right="2562"/>
              <w:jc w:val="center"/>
              <w:rPr>
                <w:b/>
                <w:sz w:val="10"/>
              </w:rPr>
            </w:pPr>
            <w:r>
              <w:rPr>
                <w:b/>
                <w:w w:val="155"/>
                <w:sz w:val="10"/>
              </w:rPr>
              <w:t>FISM</w:t>
            </w:r>
          </w:p>
          <w:p>
            <w:pPr>
              <w:pStyle w:val="TableParagraph"/>
              <w:tabs>
                <w:tab w:pos="3781" w:val="left" w:leader="none"/>
              </w:tabs>
              <w:spacing w:line="206" w:lineRule="exact"/>
              <w:ind w:left="276"/>
              <w:rPr>
                <w:b/>
                <w:sz w:val="10"/>
              </w:rPr>
            </w:pPr>
            <w:r>
              <w:rPr>
                <w:w w:val="100"/>
                <w:position w:val="-5"/>
                <w:sz w:val="24"/>
              </w:rPr>
              <w:t>A</w:t>
            </w:r>
            <w:r>
              <w:rPr>
                <w:w w:val="99"/>
                <w:position w:val="-5"/>
                <w:sz w:val="24"/>
              </w:rPr>
              <w:t>ne</w:t>
            </w:r>
            <w:r>
              <w:rPr>
                <w:spacing w:val="-3"/>
                <w:position w:val="-5"/>
                <w:sz w:val="24"/>
              </w:rPr>
              <w:t>x</w:t>
            </w:r>
            <w:r>
              <w:rPr>
                <w:w w:val="99"/>
                <w:position w:val="-5"/>
                <w:sz w:val="24"/>
              </w:rPr>
              <w:t>o</w:t>
            </w:r>
            <w:r>
              <w:rPr>
                <w:position w:val="-5"/>
                <w:sz w:val="24"/>
              </w:rPr>
              <w:t> </w:t>
            </w:r>
            <w:r>
              <w:rPr>
                <w:spacing w:val="-105"/>
                <w:w w:val="99"/>
                <w:position w:val="-5"/>
                <w:sz w:val="24"/>
              </w:rPr>
              <w:t>6</w:t>
            </w:r>
            <w:r>
              <w:rPr>
                <w:b/>
                <w:spacing w:val="-1"/>
                <w:w w:val="157"/>
                <w:sz w:val="10"/>
              </w:rPr>
              <w:t>F</w:t>
            </w:r>
            <w:r>
              <w:rPr>
                <w:b/>
                <w:spacing w:val="-87"/>
                <w:w w:val="157"/>
                <w:sz w:val="10"/>
              </w:rPr>
              <w:t>o</w:t>
            </w:r>
            <w:r>
              <w:rPr>
                <w:spacing w:val="-48"/>
                <w:w w:val="99"/>
                <w:position w:val="-5"/>
                <w:sz w:val="24"/>
              </w:rPr>
              <w:t>9</w:t>
            </w:r>
            <w:r>
              <w:rPr>
                <w:b/>
                <w:spacing w:val="-1"/>
                <w:w w:val="157"/>
                <w:sz w:val="10"/>
              </w:rPr>
              <w:t>r</w:t>
            </w:r>
            <w:r>
              <w:rPr>
                <w:b/>
                <w:spacing w:val="-1"/>
                <w:w w:val="157"/>
                <w:sz w:val="10"/>
              </w:rPr>
              <w:t>t</w:t>
            </w:r>
            <w:r>
              <w:rPr>
                <w:b/>
                <w:spacing w:val="1"/>
                <w:w w:val="157"/>
                <w:sz w:val="10"/>
              </w:rPr>
              <w:t>a</w:t>
            </w:r>
            <w:r>
              <w:rPr>
                <w:b/>
                <w:spacing w:val="-1"/>
                <w:w w:val="157"/>
                <w:sz w:val="10"/>
              </w:rPr>
              <w:t>l</w:t>
            </w:r>
            <w:r>
              <w:rPr>
                <w:b/>
                <w:w w:val="157"/>
                <w:sz w:val="10"/>
              </w:rPr>
              <w:t>e</w:t>
            </w:r>
            <w:r>
              <w:rPr>
                <w:b/>
                <w:spacing w:val="-1"/>
                <w:w w:val="157"/>
                <w:sz w:val="10"/>
              </w:rPr>
              <w:t>z</w:t>
            </w:r>
            <w:r>
              <w:rPr>
                <w:b/>
                <w:spacing w:val="1"/>
                <w:w w:val="157"/>
                <w:sz w:val="10"/>
              </w:rPr>
              <w:t>a</w:t>
            </w:r>
            <w:r>
              <w:rPr>
                <w:b/>
                <w:w w:val="157"/>
                <w:sz w:val="10"/>
              </w:rPr>
              <w:t>s</w:t>
            </w:r>
            <w:r>
              <w:rPr>
                <w:b/>
                <w:sz w:val="10"/>
              </w:rPr>
              <w:tab/>
            </w:r>
            <w:r>
              <w:rPr>
                <w:b/>
                <w:w w:val="157"/>
                <w:sz w:val="10"/>
              </w:rPr>
              <w:t>D</w:t>
            </w:r>
            <w:r>
              <w:rPr>
                <w:b/>
                <w:spacing w:val="-2"/>
                <w:w w:val="157"/>
                <w:sz w:val="10"/>
              </w:rPr>
              <w:t>e</w:t>
            </w:r>
            <w:r>
              <w:rPr>
                <w:b/>
                <w:spacing w:val="-1"/>
                <w:w w:val="157"/>
                <w:sz w:val="10"/>
              </w:rPr>
              <w:t>bilid</w:t>
            </w:r>
            <w:r>
              <w:rPr>
                <w:b/>
                <w:spacing w:val="-1"/>
                <w:w w:val="157"/>
                <w:sz w:val="10"/>
              </w:rPr>
              <w:t>a</w:t>
            </w:r>
            <w:r>
              <w:rPr>
                <w:b/>
                <w:spacing w:val="-1"/>
                <w:w w:val="157"/>
                <w:sz w:val="10"/>
              </w:rPr>
              <w:t>d</w:t>
            </w:r>
            <w:r>
              <w:rPr>
                <w:b/>
                <w:spacing w:val="-1"/>
                <w:w w:val="157"/>
                <w:sz w:val="10"/>
              </w:rPr>
              <w:t>e</w:t>
            </w:r>
            <w:r>
              <w:rPr>
                <w:b/>
                <w:w w:val="157"/>
                <w:sz w:val="10"/>
              </w:rPr>
              <w:t>s</w:t>
            </w:r>
          </w:p>
        </w:tc>
      </w:tr>
      <w:tr>
        <w:trPr>
          <w:trHeight w:val="988" w:hRule="exact"/>
        </w:trPr>
        <w:tc>
          <w:tcPr>
            <w:tcW w:w="2886"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1" w:right="41" w:firstLine="1"/>
              <w:rPr>
                <w:sz w:val="10"/>
              </w:rPr>
            </w:pPr>
            <w:r>
              <w:rPr>
                <w:w w:val="155"/>
                <w:sz w:val="10"/>
              </w:rPr>
              <w:t>El municipio dispone de un Manual General de Organización, lo que favorece la distribución de las funciones, entre los servidores públicos con nivel  de mando medio y</w:t>
            </w:r>
            <w:r>
              <w:rPr>
                <w:spacing w:val="8"/>
                <w:w w:val="155"/>
                <w:sz w:val="10"/>
              </w:rPr>
              <w:t> </w:t>
            </w:r>
            <w:r>
              <w:rPr>
                <w:w w:val="155"/>
                <w:sz w:val="10"/>
              </w:rPr>
              <w:t>superior.</w:t>
            </w:r>
          </w:p>
        </w:tc>
        <w:tc>
          <w:tcPr>
            <w:tcW w:w="2675"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1" w:right="8" w:firstLine="1"/>
              <w:rPr>
                <w:sz w:val="10"/>
              </w:rPr>
            </w:pPr>
            <w:r>
              <w:rPr>
                <w:w w:val="155"/>
                <w:sz w:val="10"/>
              </w:rPr>
              <w:t>El municipio no cuenta con Manuales de Procedimientos para el fondo, lo cual impide precisar las actividades que deben realizarse para cumplir debidamente con cada una de las funciones que demandan los puestos a desempeñar.</w:t>
            </w:r>
          </w:p>
        </w:tc>
      </w:tr>
      <w:tr>
        <w:trPr>
          <w:trHeight w:val="324" w:hRule="exact"/>
        </w:trPr>
        <w:tc>
          <w:tcPr>
            <w:tcW w:w="2886" w:type="dxa"/>
            <w:tcBorders>
              <w:top w:val="single" w:sz="3" w:space="0" w:color="000000"/>
              <w:left w:val="single" w:sz="5" w:space="0" w:color="000000"/>
              <w:bottom w:val="single" w:sz="3" w:space="0" w:color="000000"/>
              <w:right w:val="single" w:sz="5" w:space="0" w:color="000000"/>
            </w:tcBorders>
          </w:tcPr>
          <w:p>
            <w:pPr/>
          </w:p>
        </w:tc>
        <w:tc>
          <w:tcPr>
            <w:tcW w:w="2675"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3" w:right="8"/>
              <w:rPr>
                <w:sz w:val="10"/>
              </w:rPr>
            </w:pPr>
            <w:r>
              <w:rPr>
                <w:w w:val="155"/>
                <w:sz w:val="10"/>
              </w:rPr>
              <w:t>No existe un Código de Ética ni de Conducta.</w:t>
            </w:r>
          </w:p>
        </w:tc>
      </w:tr>
      <w:tr>
        <w:trPr>
          <w:trHeight w:val="867" w:hRule="exact"/>
        </w:trPr>
        <w:tc>
          <w:tcPr>
            <w:tcW w:w="2886" w:type="dxa"/>
            <w:tcBorders>
              <w:top w:val="single" w:sz="3" w:space="0" w:color="000000"/>
              <w:left w:val="single" w:sz="5" w:space="0" w:color="000000"/>
              <w:bottom w:val="single" w:sz="3" w:space="0" w:color="000000"/>
              <w:right w:val="single" w:sz="5" w:space="0" w:color="000000"/>
            </w:tcBorders>
          </w:tcPr>
          <w:p>
            <w:pPr/>
          </w:p>
        </w:tc>
        <w:tc>
          <w:tcPr>
            <w:tcW w:w="2675"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8" w:firstLine="1"/>
              <w:rPr>
                <w:sz w:val="10"/>
              </w:rPr>
            </w:pPr>
            <w:r>
              <w:rPr>
                <w:w w:val="155"/>
                <w:sz w:val="10"/>
              </w:rPr>
              <w:t>No se realizan evaluaciones del sistema de control interno, lo que impide determinar las causas de los problemas y, en consecuencia, no se ha establecido un programa de atención.</w:t>
            </w:r>
          </w:p>
        </w:tc>
      </w:tr>
      <w:tr>
        <w:trPr>
          <w:trHeight w:val="1155" w:hRule="exact"/>
        </w:trPr>
        <w:tc>
          <w:tcPr>
            <w:tcW w:w="2886" w:type="dxa"/>
            <w:tcBorders>
              <w:top w:val="single" w:sz="3" w:space="0" w:color="000000"/>
              <w:left w:val="single" w:sz="5" w:space="0" w:color="000000"/>
              <w:bottom w:val="single" w:sz="3" w:space="0" w:color="000000"/>
              <w:right w:val="single" w:sz="5" w:space="0" w:color="000000"/>
            </w:tcBorders>
          </w:tcPr>
          <w:p>
            <w:pPr/>
          </w:p>
        </w:tc>
        <w:tc>
          <w:tcPr>
            <w:tcW w:w="2675"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1" w:right="43" w:firstLine="1"/>
              <w:rPr>
                <w:sz w:val="10"/>
              </w:rPr>
            </w:pPr>
            <w:r>
              <w:rPr>
                <w:w w:val="155"/>
                <w:sz w:val="10"/>
              </w:rPr>
              <w:t>No se dispone de un programa, ni se ha impartido capacitación en temas como transparencia, ética, comunicación, servicio público, riesgos y administración, situación que dificulta la actualización profesional del personal.</w:t>
            </w:r>
          </w:p>
        </w:tc>
      </w:tr>
      <w:tr>
        <w:trPr>
          <w:trHeight w:val="729" w:hRule="exact"/>
        </w:trPr>
        <w:tc>
          <w:tcPr>
            <w:tcW w:w="2886" w:type="dxa"/>
            <w:tcBorders>
              <w:top w:val="single" w:sz="3" w:space="0" w:color="000000"/>
              <w:left w:val="single" w:sz="5" w:space="0" w:color="000000"/>
              <w:bottom w:val="single" w:sz="3" w:space="0" w:color="000000"/>
              <w:right w:val="single" w:sz="5" w:space="0" w:color="000000"/>
            </w:tcBorders>
          </w:tcPr>
          <w:p>
            <w:pPr/>
          </w:p>
        </w:tc>
        <w:tc>
          <w:tcPr>
            <w:tcW w:w="2675"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1" w:right="43" w:firstLine="1"/>
              <w:rPr>
                <w:sz w:val="10"/>
              </w:rPr>
            </w:pPr>
            <w:r>
              <w:rPr>
                <w:w w:val="155"/>
                <w:sz w:val="10"/>
              </w:rPr>
              <w:t>No se dispone de una Planeación Estratégica que establezca las acciones que permitan la consecución de los objetivos y metas institucionales.</w:t>
            </w:r>
          </w:p>
        </w:tc>
      </w:tr>
      <w:tr>
        <w:trPr>
          <w:trHeight w:val="1120" w:hRule="exact"/>
        </w:trPr>
        <w:tc>
          <w:tcPr>
            <w:tcW w:w="2886" w:type="dxa"/>
            <w:tcBorders>
              <w:top w:val="single" w:sz="3" w:space="0" w:color="000000"/>
              <w:left w:val="single" w:sz="5" w:space="0" w:color="000000"/>
              <w:bottom w:val="single" w:sz="3" w:space="0" w:color="000000"/>
              <w:right w:val="single" w:sz="5" w:space="0" w:color="000000"/>
            </w:tcBorders>
          </w:tcPr>
          <w:p>
            <w:pPr/>
          </w:p>
        </w:tc>
        <w:tc>
          <w:tcPr>
            <w:tcW w:w="2675"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1" w:right="66" w:firstLine="1"/>
              <w:rPr>
                <w:sz w:val="10"/>
              </w:rPr>
            </w:pPr>
            <w:r>
              <w:rPr>
                <w:w w:val="155"/>
                <w:sz w:val="10"/>
              </w:rPr>
              <w:t>No se han implementado las acciones para identificar los riesgos que pueden impedir la consecución de cada objetivo y meta institucional, lo que imposibilita la realización de acciones que permitan mitigar, administrar o minimizar dichos riesgos.</w:t>
            </w:r>
          </w:p>
        </w:tc>
      </w:tr>
      <w:tr>
        <w:trPr>
          <w:trHeight w:val="609" w:hRule="exact"/>
        </w:trPr>
        <w:tc>
          <w:tcPr>
            <w:tcW w:w="2886" w:type="dxa"/>
            <w:tcBorders>
              <w:top w:val="single" w:sz="3" w:space="0" w:color="000000"/>
              <w:left w:val="single" w:sz="5" w:space="0" w:color="000000"/>
              <w:bottom w:val="single" w:sz="3" w:space="0" w:color="000000"/>
              <w:right w:val="single" w:sz="5" w:space="0" w:color="000000"/>
            </w:tcBorders>
          </w:tcPr>
          <w:p>
            <w:pPr/>
          </w:p>
        </w:tc>
        <w:tc>
          <w:tcPr>
            <w:tcW w:w="2675" w:type="dxa"/>
            <w:tcBorders>
              <w:top w:val="single" w:sz="3" w:space="0" w:color="000000"/>
              <w:left w:val="single" w:sz="5" w:space="0" w:color="000000"/>
              <w:bottom w:val="single" w:sz="3" w:space="0" w:color="000000"/>
              <w:right w:val="single" w:sz="5" w:space="0" w:color="000000"/>
            </w:tcBorders>
          </w:tcPr>
          <w:p>
            <w:pPr>
              <w:pStyle w:val="TableParagraph"/>
              <w:spacing w:line="278" w:lineRule="auto" w:before="3"/>
              <w:ind w:left="23" w:right="8"/>
              <w:rPr>
                <w:sz w:val="10"/>
              </w:rPr>
            </w:pPr>
            <w:r>
              <w:rPr>
                <w:w w:val="155"/>
                <w:sz w:val="10"/>
              </w:rPr>
              <w:t>No cuenta con un informe sobre el estado que guarda la administración de los riesgos relevantes.</w:t>
            </w:r>
          </w:p>
        </w:tc>
      </w:tr>
    </w:tbl>
    <w:p>
      <w:pPr>
        <w:spacing w:after="0" w:line="278" w:lineRule="auto"/>
        <w:rPr>
          <w:sz w:val="10"/>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spacing w:before="1"/>
        <w:rPr>
          <w:b/>
          <w:sz w:val="15"/>
        </w:rPr>
      </w:pPr>
    </w:p>
    <w:p>
      <w:pPr>
        <w:pStyle w:val="BodyText"/>
        <w:ind w:left="2638"/>
        <w:rPr>
          <w:sz w:val="20"/>
        </w:rPr>
      </w:pPr>
      <w:r>
        <w:rPr>
          <w:sz w:val="20"/>
        </w:rPr>
        <w:pict>
          <v:group style="width:294pt;height:46.8pt;mso-position-horizontal-relative:char;mso-position-vertical-relative:line" coordorigin="0,0" coordsize="5880,936">
            <v:shape style="position:absolute;left:0;top:0;width:5880;height:936" type="#_x0000_t75" stroked="false">
              <v:imagedata r:id="rId199" o:title=""/>
            </v:shape>
            <v:shape style="position:absolute;left:0;top:0;width:5880;height:936" type="#_x0000_t202" filled="false" stroked="false">
              <v:textbox inset="0,0,0,0">
                <w:txbxContent>
                  <w:p>
                    <w:pPr>
                      <w:spacing w:line="240" w:lineRule="auto" w:before="0"/>
                      <w:ind w:left="144" w:right="145" w:firstLine="0"/>
                      <w:jc w:val="both"/>
                      <w:rPr>
                        <w:sz w:val="20"/>
                      </w:rPr>
                    </w:pPr>
                    <w:r>
                      <w:rPr>
                        <w:b/>
                        <w:sz w:val="20"/>
                      </w:rPr>
                      <w:t>Fuente</w:t>
                    </w:r>
                    <w:r>
                      <w:rPr>
                        <w:sz w:val="20"/>
                      </w:rPr>
                      <w:t>: Elaboración propia con base en el Informe de Resultados</w:t>
                    </w:r>
                    <w:r>
                      <w:rPr>
                        <w:spacing w:val="-8"/>
                        <w:sz w:val="20"/>
                      </w:rPr>
                      <w:t> </w:t>
                    </w:r>
                    <w:r>
                      <w:rPr>
                        <w:sz w:val="20"/>
                      </w:rPr>
                      <w:t>de</w:t>
                    </w:r>
                    <w:r>
                      <w:rPr>
                        <w:spacing w:val="-7"/>
                        <w:sz w:val="20"/>
                      </w:rPr>
                      <w:t> </w:t>
                    </w:r>
                    <w:r>
                      <w:rPr>
                        <w:sz w:val="20"/>
                      </w:rPr>
                      <w:t>la</w:t>
                    </w:r>
                    <w:r>
                      <w:rPr>
                        <w:spacing w:val="-9"/>
                        <w:sz w:val="20"/>
                      </w:rPr>
                      <w:t> </w:t>
                    </w:r>
                    <w:r>
                      <w:rPr>
                        <w:sz w:val="20"/>
                      </w:rPr>
                      <w:t>Fiscalización</w:t>
                    </w:r>
                    <w:r>
                      <w:rPr>
                        <w:spacing w:val="-9"/>
                        <w:sz w:val="20"/>
                      </w:rPr>
                      <w:t> </w:t>
                    </w:r>
                    <w:r>
                      <w:rPr>
                        <w:sz w:val="20"/>
                      </w:rPr>
                      <w:t>Superior</w:t>
                    </w:r>
                    <w:r>
                      <w:rPr>
                        <w:spacing w:val="-8"/>
                        <w:sz w:val="20"/>
                      </w:rPr>
                      <w:t> </w:t>
                    </w:r>
                    <w:r>
                      <w:rPr>
                        <w:sz w:val="20"/>
                      </w:rPr>
                      <w:t>de</w:t>
                    </w:r>
                    <w:r>
                      <w:rPr>
                        <w:spacing w:val="-9"/>
                        <w:sz w:val="20"/>
                      </w:rPr>
                      <w:t> </w:t>
                    </w:r>
                    <w:r>
                      <w:rPr>
                        <w:sz w:val="20"/>
                      </w:rPr>
                      <w:t>las</w:t>
                    </w:r>
                    <w:r>
                      <w:rPr>
                        <w:spacing w:val="-8"/>
                        <w:sz w:val="20"/>
                      </w:rPr>
                      <w:t> </w:t>
                    </w:r>
                    <w:r>
                      <w:rPr>
                        <w:sz w:val="20"/>
                      </w:rPr>
                      <w:t>cuentas</w:t>
                    </w:r>
                    <w:r>
                      <w:rPr>
                        <w:spacing w:val="-8"/>
                        <w:sz w:val="20"/>
                      </w:rPr>
                      <w:t> </w:t>
                    </w:r>
                    <w:r>
                      <w:rPr>
                        <w:sz w:val="20"/>
                      </w:rPr>
                      <w:t>públicas 2008-2014.</w:t>
                    </w:r>
                  </w:p>
                </w:txbxContent>
              </v:textbox>
              <w10:wrap type="none"/>
            </v:shape>
          </v:group>
        </w:pict>
      </w:r>
      <w:r>
        <w:rPr>
          <w:sz w:val="20"/>
        </w:rPr>
      </w:r>
    </w:p>
    <w:p>
      <w:pPr>
        <w:pStyle w:val="BodyText"/>
        <w:rPr>
          <w:b/>
          <w:sz w:val="23"/>
        </w:rPr>
      </w:pPr>
    </w:p>
    <w:p>
      <w:pPr>
        <w:pStyle w:val="BodyText"/>
        <w:spacing w:before="69"/>
        <w:ind w:left="3383" w:right="1340"/>
      </w:pPr>
      <w:r>
        <w:rPr/>
        <w:t>Anexo 70.</w:t>
      </w:r>
    </w:p>
    <w:p>
      <w:pPr>
        <w:pStyle w:val="BodyText"/>
        <w:rPr>
          <w:sz w:val="20"/>
        </w:rPr>
      </w:pPr>
    </w:p>
    <w:p>
      <w:pPr>
        <w:pStyle w:val="BodyText"/>
        <w:spacing w:before="2"/>
        <w:rPr>
          <w:sz w:val="27"/>
        </w:rPr>
      </w:pPr>
    </w:p>
    <w:p>
      <w:pPr>
        <w:spacing w:line="264" w:lineRule="auto" w:before="77"/>
        <w:ind w:left="3712" w:right="3893" w:firstLine="2"/>
        <w:jc w:val="center"/>
        <w:rPr>
          <w:b/>
          <w:sz w:val="19"/>
        </w:rPr>
      </w:pPr>
      <w:r>
        <w:rPr>
          <w:b/>
          <w:sz w:val="19"/>
        </w:rPr>
        <w:t>Calidad de la Gestión Gubernamental Controles Internos (Manejo y Aplicación) Nezahualcóyotl Ejercicio Fiscal 2013</w:t>
      </w:r>
    </w:p>
    <w:p>
      <w:pPr>
        <w:pStyle w:val="BodyText"/>
        <w:spacing w:line="20" w:lineRule="exact"/>
        <w:ind w:left="2462"/>
        <w:rPr>
          <w:sz w:val="2"/>
        </w:rPr>
      </w:pPr>
      <w:r>
        <w:rPr>
          <w:sz w:val="2"/>
        </w:rPr>
        <w:pict>
          <v:group style="width:310.150pt;height:.75pt;mso-position-horizontal-relative:char;mso-position-vertical-relative:line" coordorigin="0,0" coordsize="6203,15">
            <v:shape style="position:absolute;left:8;top:8;width:6188;height:2" coordorigin="8,8" coordsize="6188,0" path="m7,8l7,8,6195,8e" filled="false" stroked="true" strokeweight=".71141pt" strokecolor="#000000">
              <v:path arrowok="t"/>
            </v:shape>
          </v:group>
        </w:pict>
      </w:r>
      <w:r>
        <w:rPr>
          <w:sz w:val="2"/>
        </w:rPr>
      </w:r>
    </w:p>
    <w:p>
      <w:pPr>
        <w:pStyle w:val="BodyText"/>
        <w:rPr>
          <w:b/>
          <w:sz w:val="20"/>
        </w:rPr>
      </w:pPr>
    </w:p>
    <w:p>
      <w:pPr>
        <w:pStyle w:val="BodyText"/>
        <w:spacing w:before="2"/>
        <w:rPr>
          <w:b/>
          <w:sz w:val="19"/>
        </w:rPr>
      </w:pPr>
    </w:p>
    <w:tbl>
      <w:tblPr>
        <w:tblW w:w="0" w:type="auto"/>
        <w:jc w:val="left"/>
        <w:tblInd w:w="246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331"/>
        <w:gridCol w:w="2853"/>
      </w:tblGrid>
      <w:tr>
        <w:trPr>
          <w:trHeight w:val="240" w:hRule="exact"/>
        </w:trPr>
        <w:tc>
          <w:tcPr>
            <w:tcW w:w="6183" w:type="dxa"/>
            <w:gridSpan w:val="2"/>
            <w:shd w:val="clear" w:color="auto" w:fill="E6B8B7"/>
          </w:tcPr>
          <w:p>
            <w:pPr>
              <w:pStyle w:val="TableParagraph"/>
              <w:spacing w:line="217" w:lineRule="exact"/>
              <w:ind w:left="2846" w:right="2829"/>
              <w:jc w:val="center"/>
              <w:rPr>
                <w:b/>
                <w:sz w:val="19"/>
              </w:rPr>
            </w:pPr>
            <w:r>
              <w:rPr>
                <w:b/>
                <w:sz w:val="19"/>
              </w:rPr>
              <w:t>FISM</w:t>
            </w:r>
          </w:p>
        </w:tc>
      </w:tr>
      <w:tr>
        <w:trPr>
          <w:trHeight w:val="242" w:hRule="exact"/>
        </w:trPr>
        <w:tc>
          <w:tcPr>
            <w:tcW w:w="3331" w:type="dxa"/>
            <w:shd w:val="clear" w:color="auto" w:fill="F1DCDB"/>
          </w:tcPr>
          <w:p>
            <w:pPr>
              <w:pStyle w:val="TableParagraph"/>
              <w:ind w:left="1172" w:right="1163"/>
              <w:jc w:val="center"/>
              <w:rPr>
                <w:b/>
                <w:sz w:val="19"/>
              </w:rPr>
            </w:pPr>
            <w:r>
              <w:rPr>
                <w:b/>
                <w:sz w:val="19"/>
              </w:rPr>
              <w:t>Fortalezas</w:t>
            </w:r>
          </w:p>
        </w:tc>
        <w:tc>
          <w:tcPr>
            <w:tcW w:w="2853" w:type="dxa"/>
            <w:shd w:val="clear" w:color="auto" w:fill="F1DCDB"/>
          </w:tcPr>
          <w:p>
            <w:pPr>
              <w:pStyle w:val="TableParagraph"/>
              <w:ind w:left="887"/>
              <w:rPr>
                <w:b/>
                <w:sz w:val="19"/>
              </w:rPr>
            </w:pPr>
            <w:r>
              <w:rPr>
                <w:b/>
                <w:sz w:val="19"/>
              </w:rPr>
              <w:t>Debilidades</w:t>
            </w:r>
          </w:p>
        </w:tc>
      </w:tr>
      <w:tr>
        <w:trPr>
          <w:trHeight w:val="242" w:hRule="exact"/>
        </w:trPr>
        <w:tc>
          <w:tcPr>
            <w:tcW w:w="3331" w:type="dxa"/>
          </w:tcPr>
          <w:p>
            <w:pPr/>
          </w:p>
        </w:tc>
        <w:tc>
          <w:tcPr>
            <w:tcW w:w="2853" w:type="dxa"/>
          </w:tcPr>
          <w:p>
            <w:pPr/>
          </w:p>
        </w:tc>
      </w:tr>
      <w:tr>
        <w:trPr>
          <w:trHeight w:val="2529" w:hRule="exact"/>
        </w:trPr>
        <w:tc>
          <w:tcPr>
            <w:tcW w:w="3331" w:type="dxa"/>
          </w:tcPr>
          <w:p>
            <w:pPr>
              <w:pStyle w:val="TableParagraph"/>
              <w:spacing w:line="264" w:lineRule="auto"/>
              <w:ind w:left="26" w:right="25" w:firstLine="1"/>
              <w:rPr>
                <w:sz w:val="19"/>
              </w:rPr>
            </w:pPr>
            <w:r>
              <w:rPr>
                <w:sz w:val="19"/>
              </w:rPr>
              <w:t>Este resultado se presenta sin observaciones debido a que el resultado de la aplicación del procedimiento referente a evaluar el control interno en el municipio de Nezahualcóyotl, Estado de México, se presenta en el informe de auditoría núm. 1224 que practicó directamente la Auditoría Superior de la Federación en este municipio.</w:t>
            </w:r>
          </w:p>
        </w:tc>
        <w:tc>
          <w:tcPr>
            <w:tcW w:w="2853" w:type="dxa"/>
          </w:tcPr>
          <w:p>
            <w:pPr/>
          </w:p>
        </w:tc>
      </w:tr>
    </w:tbl>
    <w:p>
      <w:pPr>
        <w:pStyle w:val="BodyText"/>
        <w:rPr>
          <w:b/>
          <w:sz w:val="20"/>
        </w:rPr>
      </w:pPr>
    </w:p>
    <w:p>
      <w:pPr>
        <w:pStyle w:val="BodyText"/>
        <w:rPr>
          <w:b/>
          <w:sz w:val="20"/>
        </w:rPr>
      </w:pPr>
    </w:p>
    <w:p>
      <w:pPr>
        <w:pStyle w:val="BodyText"/>
        <w:spacing w:before="9"/>
        <w:rPr>
          <w:b/>
          <w:sz w:val="12"/>
        </w:rPr>
      </w:pPr>
      <w:r>
        <w:rPr/>
        <w:pict>
          <v:group style="position:absolute;margin-left:232.919998pt;margin-top:9.338648pt;width:315pt;height:31.7pt;mso-position-horizontal-relative:page;mso-position-vertical-relative:paragraph;z-index:9352;mso-wrap-distance-left:0;mso-wrap-distance-right:0" coordorigin="4658,187" coordsize="6300,634">
            <v:shape style="position:absolute;left:4658;top:187;width:6300;height:634" type="#_x0000_t75" stroked="false">
              <v:imagedata r:id="rId189" o:title=""/>
            </v:shape>
            <v:shape style="position:absolute;left:4658;top:187;width:6300;height:634" type="#_x0000_t202" filled="false" stroked="false">
              <v:textbox inset="0,0,0,0">
                <w:txbxContent>
                  <w:p>
                    <w:pPr>
                      <w:spacing w:line="244" w:lineRule="auto" w:before="0"/>
                      <w:ind w:left="144" w:right="94"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w10:wrap type="topAndBottom"/>
          </v:group>
        </w:pict>
      </w:r>
    </w:p>
    <w:p>
      <w:pPr>
        <w:spacing w:after="0"/>
        <w:rPr>
          <w:sz w:val="12"/>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rPr>
          <w:b/>
          <w:sz w:val="10"/>
        </w:rPr>
      </w:pPr>
    </w:p>
    <w:p>
      <w:pPr>
        <w:pStyle w:val="BodyText"/>
        <w:spacing w:before="11"/>
        <w:rPr>
          <w:b/>
          <w:sz w:val="11"/>
        </w:rPr>
      </w:pPr>
    </w:p>
    <w:p>
      <w:pPr>
        <w:spacing w:line="266" w:lineRule="auto" w:before="0"/>
        <w:ind w:left="4055" w:right="4021" w:firstLine="2"/>
        <w:jc w:val="center"/>
        <w:rPr>
          <w:b/>
          <w:sz w:val="11"/>
        </w:rPr>
      </w:pPr>
      <w:r>
        <w:rPr/>
        <w:pict>
          <v:shape style="position:absolute;margin-left:258.140015pt;margin-top:2.073737pt;width:54.05pt;height:12pt;mso-position-horizontal-relative:page;mso-position-vertical-relative:paragraph;z-index:9400" type="#_x0000_t202" filled="false" stroked="false">
            <v:textbox inset="0,0,0,0">
              <w:txbxContent>
                <w:p>
                  <w:pPr>
                    <w:pStyle w:val="BodyText"/>
                    <w:spacing w:line="240" w:lineRule="exact"/>
                    <w:ind w:right="-20"/>
                  </w:pPr>
                  <w:r>
                    <w:rPr/>
                    <w:t>Anexo 71.</w:t>
                  </w:r>
                </w:p>
              </w:txbxContent>
            </v:textbox>
            <w10:wrap type="none"/>
          </v:shape>
        </w:pict>
      </w:r>
      <w:r>
        <w:rPr>
          <w:b/>
          <w:w w:val="150"/>
          <w:sz w:val="11"/>
        </w:rPr>
        <w:t>Calidad de la Gestión Gubernamental Controles Internos (Manejo y Aplicación) Nicolas Romero Ejercicio Fiscal 2013</w:t>
      </w:r>
    </w:p>
    <w:p>
      <w:pPr>
        <w:pStyle w:val="BodyText"/>
        <w:spacing w:line="20" w:lineRule="exact"/>
        <w:ind w:left="2965"/>
        <w:rPr>
          <w:sz w:val="2"/>
        </w:rPr>
      </w:pPr>
      <w:r>
        <w:rPr>
          <w:sz w:val="2"/>
        </w:rPr>
        <w:pict>
          <v:group style="width:270.55pt;height:.45pt;mso-position-horizontal-relative:char;mso-position-vertical-relative:line" coordorigin="0,0" coordsize="5411,9">
            <v:shape style="position:absolute;left:4;top:4;width:5402;height:2" coordorigin="4,4" coordsize="5402,0" path="m4,4l4,4,5407,4e" filled="false" stroked="true" strokeweight=".415269pt" strokecolor="#000000">
              <v:path arrowok="t"/>
            </v:shape>
          </v:group>
        </w:pict>
      </w:r>
      <w:r>
        <w:rPr>
          <w:sz w:val="2"/>
        </w:rPr>
      </w:r>
    </w:p>
    <w:p>
      <w:pPr>
        <w:pStyle w:val="BodyText"/>
        <w:rPr>
          <w:b/>
          <w:sz w:val="22"/>
        </w:rPr>
      </w:pPr>
    </w:p>
    <w:tbl>
      <w:tblPr>
        <w:tblW w:w="0" w:type="auto"/>
        <w:jc w:val="left"/>
        <w:tblInd w:w="296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08"/>
        <w:gridCol w:w="2490"/>
      </w:tblGrid>
      <w:tr>
        <w:trPr>
          <w:trHeight w:val="140" w:hRule="exact"/>
        </w:trPr>
        <w:tc>
          <w:tcPr>
            <w:tcW w:w="2908" w:type="dxa"/>
            <w:tcBorders>
              <w:left w:val="single" w:sz="5" w:space="0" w:color="000000"/>
              <w:right w:val="nil"/>
            </w:tcBorders>
            <w:shd w:val="clear" w:color="auto" w:fill="E6B8B7"/>
          </w:tcPr>
          <w:p>
            <w:pPr>
              <w:pStyle w:val="TableParagraph"/>
              <w:jc w:val="right"/>
              <w:rPr>
                <w:b/>
                <w:sz w:val="11"/>
              </w:rPr>
            </w:pPr>
            <w:r>
              <w:rPr>
                <w:b/>
                <w:w w:val="150"/>
                <w:sz w:val="11"/>
              </w:rPr>
              <w:t>FISM</w:t>
            </w:r>
          </w:p>
        </w:tc>
        <w:tc>
          <w:tcPr>
            <w:tcW w:w="2490" w:type="dxa"/>
            <w:tcBorders>
              <w:left w:val="nil"/>
              <w:right w:val="single" w:sz="5" w:space="0" w:color="000000"/>
            </w:tcBorders>
            <w:shd w:val="clear" w:color="auto" w:fill="E6B8B7"/>
          </w:tcPr>
          <w:p>
            <w:pPr/>
          </w:p>
        </w:tc>
      </w:tr>
      <w:tr>
        <w:trPr>
          <w:trHeight w:val="141" w:hRule="exact"/>
        </w:trPr>
        <w:tc>
          <w:tcPr>
            <w:tcW w:w="2908" w:type="dxa"/>
            <w:tcBorders>
              <w:left w:val="single" w:sz="5" w:space="0" w:color="000000"/>
              <w:right w:val="single" w:sz="5" w:space="0" w:color="000000"/>
            </w:tcBorders>
            <w:shd w:val="clear" w:color="auto" w:fill="F1DCDB"/>
          </w:tcPr>
          <w:p>
            <w:pPr>
              <w:pStyle w:val="TableParagraph"/>
              <w:spacing w:before="1"/>
              <w:ind w:left="1023" w:right="1015"/>
              <w:jc w:val="center"/>
              <w:rPr>
                <w:b/>
                <w:sz w:val="11"/>
              </w:rPr>
            </w:pPr>
            <w:r>
              <w:rPr>
                <w:b/>
                <w:w w:val="150"/>
                <w:sz w:val="11"/>
              </w:rPr>
              <w:t>Fortalezas</w:t>
            </w:r>
          </w:p>
        </w:tc>
        <w:tc>
          <w:tcPr>
            <w:tcW w:w="2490" w:type="dxa"/>
            <w:tcBorders>
              <w:left w:val="single" w:sz="5" w:space="0" w:color="000000"/>
              <w:right w:val="single" w:sz="5" w:space="0" w:color="000000"/>
            </w:tcBorders>
            <w:shd w:val="clear" w:color="auto" w:fill="F1DCDB"/>
          </w:tcPr>
          <w:p>
            <w:pPr>
              <w:pStyle w:val="TableParagraph"/>
              <w:spacing w:before="1"/>
              <w:ind w:left="775" w:right="91"/>
              <w:rPr>
                <w:b/>
                <w:sz w:val="11"/>
              </w:rPr>
            </w:pPr>
            <w:r>
              <w:rPr>
                <w:b/>
                <w:w w:val="150"/>
                <w:sz w:val="11"/>
              </w:rPr>
              <w:t>Debilidades</w:t>
            </w:r>
          </w:p>
        </w:tc>
      </w:tr>
      <w:tr>
        <w:trPr>
          <w:trHeight w:val="844" w:hRule="exact"/>
        </w:trPr>
        <w:tc>
          <w:tcPr>
            <w:tcW w:w="2908" w:type="dxa"/>
            <w:tcBorders>
              <w:left w:val="single" w:sz="5" w:space="0" w:color="000000"/>
              <w:right w:val="single" w:sz="5" w:space="0" w:color="000000"/>
            </w:tcBorders>
          </w:tcPr>
          <w:p>
            <w:pPr>
              <w:pStyle w:val="TableParagraph"/>
              <w:spacing w:line="266" w:lineRule="auto"/>
              <w:ind w:left="23" w:firstLine="1"/>
              <w:rPr>
                <w:sz w:val="11"/>
              </w:rPr>
            </w:pPr>
            <w:r>
              <w:rPr>
                <w:w w:val="150"/>
                <w:sz w:val="11"/>
              </w:rPr>
              <w:t>El gobierno del municipio de Nicolás Romero dispone de normativa en materia de Control Interno, denominada, Lineamientos de Control Interno.</w:t>
            </w:r>
          </w:p>
        </w:tc>
        <w:tc>
          <w:tcPr>
            <w:tcW w:w="2490" w:type="dxa"/>
            <w:tcBorders>
              <w:left w:val="single" w:sz="5" w:space="0" w:color="000000"/>
              <w:right w:val="single" w:sz="5" w:space="0" w:color="000000"/>
            </w:tcBorders>
          </w:tcPr>
          <w:p>
            <w:pPr>
              <w:pStyle w:val="TableParagraph"/>
              <w:spacing w:line="266" w:lineRule="auto"/>
              <w:ind w:left="22" w:right="91" w:firstLine="1"/>
              <w:rPr>
                <w:sz w:val="11"/>
              </w:rPr>
            </w:pPr>
            <w:r>
              <w:rPr>
                <w:w w:val="150"/>
                <w:sz w:val="11"/>
              </w:rPr>
              <w:t>La institución no tiene formalizado un Código de Conducta.</w:t>
            </w:r>
          </w:p>
        </w:tc>
      </w:tr>
      <w:tr>
        <w:trPr>
          <w:trHeight w:val="1124" w:hRule="exact"/>
        </w:trPr>
        <w:tc>
          <w:tcPr>
            <w:tcW w:w="2908" w:type="dxa"/>
            <w:tcBorders>
              <w:left w:val="single" w:sz="5" w:space="0" w:color="000000"/>
              <w:right w:val="single" w:sz="5" w:space="0" w:color="000000"/>
            </w:tcBorders>
          </w:tcPr>
          <w:p>
            <w:pPr>
              <w:pStyle w:val="TableParagraph"/>
              <w:spacing w:line="266" w:lineRule="auto"/>
              <w:ind w:left="24"/>
              <w:rPr>
                <w:sz w:val="11"/>
              </w:rPr>
            </w:pPr>
            <w:r>
              <w:rPr>
                <w:w w:val="150"/>
                <w:sz w:val="11"/>
              </w:rPr>
              <w:t>Existen un Código de Ética que está debidamente formalizado y se difunde entre el personal y la ciudadanía a través de carteles, trípticos y folletos.</w:t>
            </w:r>
          </w:p>
        </w:tc>
        <w:tc>
          <w:tcPr>
            <w:tcW w:w="2490" w:type="dxa"/>
            <w:tcBorders>
              <w:left w:val="single" w:sz="5" w:space="0" w:color="000000"/>
              <w:right w:val="single" w:sz="5" w:space="0" w:color="000000"/>
            </w:tcBorders>
          </w:tcPr>
          <w:p>
            <w:pPr>
              <w:pStyle w:val="TableParagraph"/>
              <w:spacing w:line="266" w:lineRule="auto"/>
              <w:ind w:left="22" w:right="91" w:firstLine="1"/>
              <w:rPr>
                <w:sz w:val="11"/>
              </w:rPr>
            </w:pPr>
            <w:r>
              <w:rPr>
                <w:w w:val="150"/>
                <w:sz w:val="11"/>
              </w:rPr>
              <w:t>No se tiene formalmente instituido un documento por el cual se informe periódicamente al Titular de la Institución, sobre la situación que guarda el funcionamiento general del sistema de control interno.</w:t>
            </w:r>
          </w:p>
        </w:tc>
      </w:tr>
      <w:tr>
        <w:trPr>
          <w:trHeight w:val="2051" w:hRule="exact"/>
        </w:trPr>
        <w:tc>
          <w:tcPr>
            <w:tcW w:w="2908" w:type="dxa"/>
            <w:tcBorders>
              <w:left w:val="single" w:sz="5" w:space="0" w:color="000000"/>
              <w:right w:val="single" w:sz="5" w:space="0" w:color="000000"/>
            </w:tcBorders>
          </w:tcPr>
          <w:p>
            <w:pPr>
              <w:pStyle w:val="TableParagraph"/>
              <w:spacing w:line="266" w:lineRule="auto" w:before="1"/>
              <w:ind w:left="23" w:firstLine="1"/>
              <w:rPr>
                <w:sz w:val="11"/>
              </w:rPr>
            </w:pPr>
            <w:r>
              <w:rPr>
                <w:w w:val="150"/>
                <w:sz w:val="11"/>
              </w:rPr>
              <w:t>Existen Manuales de Procedimientos, que permiten precisar las actividades que deben realizarse para cumplir debidamente con las funciones que demandan los puestos desempeñado</w:t>
            </w:r>
          </w:p>
        </w:tc>
        <w:tc>
          <w:tcPr>
            <w:tcW w:w="2490" w:type="dxa"/>
            <w:tcBorders>
              <w:left w:val="single" w:sz="5" w:space="0" w:color="000000"/>
              <w:right w:val="single" w:sz="5" w:space="0" w:color="000000"/>
            </w:tcBorders>
          </w:tcPr>
          <w:p>
            <w:pPr>
              <w:pStyle w:val="TableParagraph"/>
              <w:spacing w:line="266" w:lineRule="auto" w:before="1"/>
              <w:ind w:left="22" w:right="91" w:firstLine="1"/>
              <w:rPr>
                <w:sz w:val="11"/>
              </w:rPr>
            </w:pPr>
            <w:r>
              <w:rPr>
                <w:w w:val="150"/>
                <w:sz w:val="11"/>
              </w:rPr>
              <w:t>No existe un programa de capacitación, ni se ha impartido capacitación en temas como, ética e integridad, Control Interno y su evaluación, administración de riesgos y su evaluación, prevención, disuasión, detección y corrección de posibles actos de corrupción y normativa específica de la operación del fondo situación que dificulta la actualización profesional del personal.</w:t>
            </w:r>
          </w:p>
        </w:tc>
      </w:tr>
      <w:tr>
        <w:trPr>
          <w:trHeight w:val="1125" w:hRule="exact"/>
        </w:trPr>
        <w:tc>
          <w:tcPr>
            <w:tcW w:w="2908" w:type="dxa"/>
            <w:tcBorders>
              <w:left w:val="single" w:sz="5" w:space="0" w:color="000000"/>
              <w:right w:val="single" w:sz="5" w:space="0" w:color="000000"/>
            </w:tcBorders>
          </w:tcPr>
          <w:p>
            <w:pPr>
              <w:pStyle w:val="TableParagraph"/>
              <w:spacing w:line="266" w:lineRule="auto"/>
              <w:ind w:left="23" w:firstLine="1"/>
              <w:rPr>
                <w:sz w:val="11"/>
              </w:rPr>
            </w:pPr>
            <w:r>
              <w:rPr>
                <w:w w:val="150"/>
                <w:sz w:val="11"/>
              </w:rPr>
              <w:t>Existe una Planeación Estratégica que establece las acciones para la consecución de los objetivos y metas institucionales, el cual es del conocimiento de las áreas responsables de su ejecución.</w:t>
            </w:r>
          </w:p>
        </w:tc>
        <w:tc>
          <w:tcPr>
            <w:tcW w:w="2490" w:type="dxa"/>
            <w:tcBorders>
              <w:left w:val="single" w:sz="5" w:space="0" w:color="000000"/>
              <w:right w:val="single" w:sz="5" w:space="0" w:color="000000"/>
            </w:tcBorders>
          </w:tcPr>
          <w:p>
            <w:pPr>
              <w:pStyle w:val="TableParagraph"/>
              <w:spacing w:line="266" w:lineRule="auto"/>
              <w:ind w:left="23" w:right="91"/>
              <w:rPr>
                <w:sz w:val="11"/>
              </w:rPr>
            </w:pPr>
            <w:r>
              <w:rPr>
                <w:w w:val="150"/>
                <w:sz w:val="11"/>
              </w:rPr>
              <w:t>El Gobierno del municipio de Nicolás Romero no cuenta con un Manual de Organización.</w:t>
            </w:r>
          </w:p>
          <w:p>
            <w:pPr>
              <w:pStyle w:val="TableParagraph"/>
              <w:spacing w:line="266" w:lineRule="auto"/>
              <w:ind w:left="22" w:right="22" w:firstLine="1"/>
              <w:rPr>
                <w:sz w:val="11"/>
              </w:rPr>
            </w:pPr>
            <w:r>
              <w:rPr>
                <w:w w:val="150"/>
                <w:sz w:val="11"/>
              </w:rPr>
              <w:t>Esto impide establecer la distribución de las funciones entre los servidores públicos con nivel de mando medio y superior</w:t>
            </w:r>
          </w:p>
        </w:tc>
      </w:tr>
      <w:tr>
        <w:trPr>
          <w:trHeight w:val="1770" w:hRule="exact"/>
        </w:trPr>
        <w:tc>
          <w:tcPr>
            <w:tcW w:w="2908" w:type="dxa"/>
            <w:tcBorders>
              <w:left w:val="single" w:sz="5" w:space="0" w:color="000000"/>
              <w:right w:val="single" w:sz="5" w:space="0" w:color="000000"/>
            </w:tcBorders>
          </w:tcPr>
          <w:p>
            <w:pPr>
              <w:pStyle w:val="TableParagraph"/>
              <w:spacing w:line="266" w:lineRule="auto"/>
              <w:ind w:left="23" w:right="104" w:firstLine="1"/>
              <w:rPr>
                <w:sz w:val="11"/>
              </w:rPr>
            </w:pPr>
            <w:r>
              <w:rPr>
                <w:w w:val="150"/>
                <w:sz w:val="11"/>
              </w:rPr>
              <w:t>Los objetivos y metas institucionales relevantes derivados del plan estratégico están específicamente comunicados y asignados a los encargados de las áreas responsables de su cumplimiento.</w:t>
            </w:r>
          </w:p>
        </w:tc>
        <w:tc>
          <w:tcPr>
            <w:tcW w:w="2490" w:type="dxa"/>
            <w:tcBorders>
              <w:left w:val="single" w:sz="5" w:space="0" w:color="000000"/>
              <w:right w:val="single" w:sz="5" w:space="0" w:color="000000"/>
            </w:tcBorders>
          </w:tcPr>
          <w:p>
            <w:pPr>
              <w:pStyle w:val="TableParagraph"/>
              <w:spacing w:line="266" w:lineRule="auto"/>
              <w:ind w:left="22" w:right="46" w:firstLine="1"/>
              <w:rPr>
                <w:sz w:val="11"/>
              </w:rPr>
            </w:pPr>
            <w:r>
              <w:rPr>
                <w:w w:val="150"/>
                <w:sz w:val="11"/>
              </w:rPr>
              <w:t>La institución no cuenta con un inventario acumulado de riesgos que reconozca formalmente su existencia, identifique al responsable de su administración y precise su naturaleza (tipo, descripción, severidad, estrategias de mitigación, control y seguimiento) y el estado que guarda su control y administración.</w:t>
            </w:r>
          </w:p>
        </w:tc>
      </w:tr>
    </w:tbl>
    <w:p>
      <w:pPr>
        <w:spacing w:after="0" w:line="266" w:lineRule="auto"/>
        <w:rPr>
          <w:sz w:val="11"/>
        </w:rPr>
        <w:sectPr>
          <w:pgSz w:w="15840" w:h="12240" w:orient="landscape"/>
          <w:pgMar w:header="0" w:footer="992" w:top="1140" w:bottom="1180" w:left="2260" w:right="2260"/>
        </w:sectPr>
      </w:pPr>
    </w:p>
    <w:p>
      <w:pPr>
        <w:pStyle w:val="BodyText"/>
        <w:rPr>
          <w:rFonts w:ascii="Times New Roman"/>
          <w:sz w:val="20"/>
        </w:rPr>
      </w:pPr>
      <w:r>
        <w:rPr/>
        <w:pict>
          <v:group style="position:absolute;margin-left:250.919998pt;margin-top:117.410004pt;width:290.5pt;height:52.3pt;mso-position-horizontal-relative:page;mso-position-vertical-relative:page;z-index:-673792" coordorigin="5018,2348" coordsize="5810,1046">
            <v:shape style="position:absolute;left:5018;top:2348;width:5580;height:816" type="#_x0000_t75" stroked="false">
              <v:imagedata r:id="rId200" o:title=""/>
            </v:shape>
            <v:rect style="position:absolute;left:5066;top:3138;width:5758;height:129" filled="true" fillcolor="#e6b8b7" stroked="false">
              <v:fill type="solid"/>
            </v:rect>
            <v:rect style="position:absolute;left:5066;top:3265;width:5758;height:129" filled="true" fillcolor="#f1dcdb" stroked="false">
              <v:fill type="solid"/>
            </v:rect>
            <v:shape style="position:absolute;left:5066;top:2884;width:5759;height:2" coordorigin="5066,2884" coordsize="5759,0" path="m5066,2884l5066,2884,10824,2884e" filled="false" stroked="true" strokeweight=".375697pt" strokecolor="#000000">
              <v:path arrowok="t"/>
            </v:shape>
            <v:shape style="position:absolute;left:5018;top:2348;width:5810;height:1046" type="#_x0000_t202" filled="false" stroked="false">
              <v:textbox inset="0,0,0,0">
                <w:txbxContent>
                  <w:p>
                    <w:pPr>
                      <w:spacing w:line="252" w:lineRule="auto" w:before="0"/>
                      <w:ind w:left="1204" w:right="536" w:hanging="820"/>
                      <w:jc w:val="left"/>
                      <w:rPr>
                        <w:b/>
                        <w:sz w:val="10"/>
                      </w:rPr>
                    </w:pPr>
                    <w:r>
                      <w:rPr>
                        <w:w w:val="100"/>
                        <w:position w:val="4"/>
                        <w:sz w:val="24"/>
                      </w:rPr>
                      <w:t>A</w:t>
                    </w:r>
                    <w:r>
                      <w:rPr>
                        <w:w w:val="99"/>
                        <w:position w:val="4"/>
                        <w:sz w:val="24"/>
                      </w:rPr>
                      <w:t>ne</w:t>
                    </w:r>
                    <w:r>
                      <w:rPr>
                        <w:spacing w:val="-3"/>
                        <w:position w:val="4"/>
                        <w:sz w:val="24"/>
                      </w:rPr>
                      <w:t>x</w:t>
                    </w:r>
                    <w:r>
                      <w:rPr>
                        <w:w w:val="99"/>
                        <w:position w:val="4"/>
                        <w:sz w:val="24"/>
                      </w:rPr>
                      <w:t>o</w:t>
                    </w:r>
                    <w:r>
                      <w:rPr>
                        <w:position w:val="4"/>
                        <w:sz w:val="24"/>
                      </w:rPr>
                      <w:t> </w:t>
                    </w:r>
                    <w:r>
                      <w:rPr>
                        <w:w w:val="99"/>
                        <w:position w:val="4"/>
                        <w:sz w:val="24"/>
                      </w:rPr>
                      <w:t>7</w:t>
                    </w:r>
                    <w:r>
                      <w:rPr>
                        <w:spacing w:val="-50"/>
                        <w:w w:val="99"/>
                        <w:position w:val="4"/>
                        <w:sz w:val="24"/>
                      </w:rPr>
                      <w:t>2</w:t>
                    </w:r>
                    <w:r>
                      <w:rPr>
                        <w:b/>
                        <w:spacing w:val="-81"/>
                        <w:w w:val="177"/>
                        <w:sz w:val="10"/>
                      </w:rPr>
                      <w:t>C</w:t>
                    </w:r>
                    <w:r>
                      <w:rPr>
                        <w:spacing w:val="12"/>
                        <w:w w:val="100"/>
                        <w:position w:val="4"/>
                        <w:sz w:val="24"/>
                      </w:rPr>
                      <w:t>.</w:t>
                    </w:r>
                    <w:r>
                      <w:rPr>
                        <w:b/>
                        <w:spacing w:val="-1"/>
                        <w:w w:val="177"/>
                        <w:sz w:val="10"/>
                      </w:rPr>
                      <w:t>a</w:t>
                    </w:r>
                    <w:r>
                      <w:rPr>
                        <w:b/>
                        <w:w w:val="177"/>
                        <w:sz w:val="10"/>
                      </w:rPr>
                      <w:t>l</w:t>
                    </w:r>
                    <w:r>
                      <w:rPr>
                        <w:b/>
                        <w:spacing w:val="-1"/>
                        <w:w w:val="177"/>
                        <w:sz w:val="10"/>
                      </w:rPr>
                      <w:t>i</w:t>
                    </w:r>
                    <w:r>
                      <w:rPr>
                        <w:b/>
                        <w:w w:val="177"/>
                        <w:sz w:val="10"/>
                      </w:rPr>
                      <w:t>d</w:t>
                    </w:r>
                    <w:r>
                      <w:rPr>
                        <w:b/>
                        <w:w w:val="177"/>
                        <w:sz w:val="10"/>
                      </w:rPr>
                      <w:t>a</w:t>
                    </w:r>
                    <w:r>
                      <w:rPr>
                        <w:b/>
                        <w:w w:val="177"/>
                        <w:sz w:val="10"/>
                      </w:rPr>
                      <w:t>d</w:t>
                    </w:r>
                    <w:r>
                      <w:rPr>
                        <w:b/>
                        <w:sz w:val="10"/>
                      </w:rPr>
                      <w:t>  </w:t>
                    </w:r>
                    <w:r>
                      <w:rPr>
                        <w:b/>
                        <w:w w:val="177"/>
                        <w:sz w:val="10"/>
                      </w:rPr>
                      <w:t>d</w:t>
                    </w:r>
                    <w:r>
                      <w:rPr>
                        <w:b/>
                        <w:w w:val="177"/>
                        <w:sz w:val="10"/>
                      </w:rPr>
                      <w:t>e</w:t>
                    </w:r>
                    <w:r>
                      <w:rPr>
                        <w:b/>
                        <w:sz w:val="10"/>
                      </w:rPr>
                      <w:t>  </w:t>
                    </w:r>
                    <w:r>
                      <w:rPr>
                        <w:b/>
                        <w:w w:val="177"/>
                        <w:sz w:val="10"/>
                      </w:rPr>
                      <w:t>l</w:t>
                    </w:r>
                    <w:r>
                      <w:rPr>
                        <w:b/>
                        <w:w w:val="177"/>
                        <w:sz w:val="10"/>
                      </w:rPr>
                      <w:t>a</w:t>
                    </w:r>
                    <w:r>
                      <w:rPr>
                        <w:b/>
                        <w:sz w:val="10"/>
                      </w:rPr>
                      <w:t>  </w:t>
                    </w:r>
                    <w:r>
                      <w:rPr>
                        <w:b/>
                        <w:spacing w:val="-1"/>
                        <w:w w:val="177"/>
                        <w:sz w:val="10"/>
                      </w:rPr>
                      <w:t>G</w:t>
                    </w:r>
                    <w:r>
                      <w:rPr>
                        <w:b/>
                        <w:w w:val="177"/>
                        <w:sz w:val="10"/>
                      </w:rPr>
                      <w:t>es</w:t>
                    </w:r>
                    <w:r>
                      <w:rPr>
                        <w:b/>
                        <w:spacing w:val="-1"/>
                        <w:w w:val="177"/>
                        <w:sz w:val="10"/>
                      </w:rPr>
                      <w:t>t</w:t>
                    </w:r>
                    <w:r>
                      <w:rPr>
                        <w:b/>
                        <w:w w:val="177"/>
                        <w:sz w:val="10"/>
                      </w:rPr>
                      <w:t>i</w:t>
                    </w:r>
                    <w:r>
                      <w:rPr>
                        <w:b/>
                        <w:w w:val="177"/>
                        <w:sz w:val="10"/>
                      </w:rPr>
                      <w:t>ó</w:t>
                    </w:r>
                    <w:r>
                      <w:rPr>
                        <w:b/>
                        <w:w w:val="177"/>
                        <w:sz w:val="10"/>
                      </w:rPr>
                      <w:t>n</w:t>
                    </w:r>
                    <w:r>
                      <w:rPr>
                        <w:b/>
                        <w:sz w:val="10"/>
                      </w:rPr>
                      <w:t>  </w:t>
                    </w:r>
                    <w:r>
                      <w:rPr>
                        <w:b/>
                        <w:w w:val="177"/>
                        <w:sz w:val="10"/>
                      </w:rPr>
                      <w:t>G</w:t>
                    </w:r>
                    <w:r>
                      <w:rPr>
                        <w:b/>
                        <w:spacing w:val="-1"/>
                        <w:w w:val="177"/>
                        <w:sz w:val="10"/>
                      </w:rPr>
                      <w:t>u</w:t>
                    </w:r>
                    <w:r>
                      <w:rPr>
                        <w:b/>
                        <w:w w:val="177"/>
                        <w:sz w:val="10"/>
                      </w:rPr>
                      <w:t>b</w:t>
                    </w:r>
                    <w:r>
                      <w:rPr>
                        <w:b/>
                        <w:w w:val="177"/>
                        <w:sz w:val="10"/>
                      </w:rPr>
                      <w:t>e</w:t>
                    </w:r>
                    <w:r>
                      <w:rPr>
                        <w:b/>
                        <w:spacing w:val="-1"/>
                        <w:w w:val="177"/>
                        <w:sz w:val="10"/>
                      </w:rPr>
                      <w:t>r</w:t>
                    </w:r>
                    <w:r>
                      <w:rPr>
                        <w:b/>
                        <w:w w:val="177"/>
                        <w:sz w:val="10"/>
                      </w:rPr>
                      <w:t>n</w:t>
                    </w:r>
                    <w:r>
                      <w:rPr>
                        <w:b/>
                        <w:w w:val="177"/>
                        <w:sz w:val="10"/>
                      </w:rPr>
                      <w:t>a</w:t>
                    </w:r>
                    <w:r>
                      <w:rPr>
                        <w:b/>
                        <w:spacing w:val="-1"/>
                        <w:w w:val="177"/>
                        <w:sz w:val="10"/>
                      </w:rPr>
                      <w:t>m</w:t>
                    </w:r>
                    <w:r>
                      <w:rPr>
                        <w:b/>
                        <w:w w:val="177"/>
                        <w:sz w:val="10"/>
                      </w:rPr>
                      <w:t>e</w:t>
                    </w:r>
                    <w:r>
                      <w:rPr>
                        <w:b/>
                        <w:w w:val="177"/>
                        <w:sz w:val="10"/>
                      </w:rPr>
                      <w:t>n</w:t>
                    </w:r>
                    <w:r>
                      <w:rPr>
                        <w:b/>
                        <w:spacing w:val="-1"/>
                        <w:w w:val="177"/>
                        <w:sz w:val="10"/>
                      </w:rPr>
                      <w:t>t</w:t>
                    </w:r>
                    <w:r>
                      <w:rPr>
                        <w:b/>
                        <w:w w:val="177"/>
                        <w:sz w:val="10"/>
                      </w:rPr>
                      <w:t>a</w:t>
                    </w:r>
                    <w:r>
                      <w:rPr>
                        <w:b/>
                        <w:w w:val="177"/>
                        <w:sz w:val="10"/>
                      </w:rPr>
                      <w:t>l </w:t>
                    </w:r>
                    <w:r>
                      <w:rPr>
                        <w:b/>
                        <w:w w:val="165"/>
                        <w:sz w:val="10"/>
                      </w:rPr>
                      <w:t>Controles  Internos  (Manejo  y   Aplicación)</w:t>
                    </w:r>
                  </w:p>
                  <w:p>
                    <w:pPr>
                      <w:spacing w:before="6"/>
                      <w:ind w:left="1023" w:right="536" w:firstLine="0"/>
                      <w:jc w:val="left"/>
                      <w:rPr>
                        <w:b/>
                        <w:sz w:val="10"/>
                      </w:rPr>
                    </w:pPr>
                    <w:r>
                      <w:rPr>
                        <w:b/>
                        <w:w w:val="180"/>
                        <w:sz w:val="10"/>
                      </w:rPr>
                      <w:t>San Felipe del Progreso Ejercicio Fiscal 2013</w:t>
                    </w:r>
                  </w:p>
                </w:txbxContent>
              </v:textbox>
              <w10:wrap type="none"/>
            </v:shape>
            <w10:wrap type="none"/>
          </v:group>
        </w:pict>
      </w:r>
      <w:r>
        <w:rPr/>
        <w:pict>
          <v:shape style="position:absolute;margin-left:258.493439pt;margin-top:147.220734pt;width:11.35pt;height:10pt;mso-position-horizontal-relative:page;mso-position-vertical-relative:page;z-index:-673768;rotation:181" type="#_x0000_t136" fillcolor="#000000" stroked="f">
            <o:extrusion v:ext="view" autorotationcenter="t"/>
            <v:textpath style="font-family:&amp;quot;Arial&amp;quot;;font-size:10pt;v-text-kern:t;mso-text-shadow:auto" string="de"/>
            <w10:wrap type="none"/>
          </v:shape>
        </w:pict>
      </w:r>
      <w:r>
        <w:rPr/>
        <w:pict>
          <v:shape style="position:absolute;margin-left:328.693604pt;margin-top:147.220734pt;width:38.85pt;height:10pt;mso-position-horizontal-relative:page;mso-position-vertical-relative:page;z-index:-673744;rotation:181" type="#_x0000_t136" fillcolor="#000000" stroked="f">
            <o:extrusion v:ext="view" autorotationcenter="t"/>
            <v:textpath style="font-family:&amp;quot;Arial&amp;quot;;font-size:10pt;v-text-kern:t;mso-text-shadow:auto" string="base en"/>
            <w10:wrap type="none"/>
          </v:shape>
        </w:pict>
      </w:r>
      <w:r>
        <w:rPr/>
        <w:pict>
          <v:shape style="position:absolute;margin-left:275.398315pt;margin-top:147.220734pt;width:47.65pt;height:10pt;mso-position-horizontal-relative:page;mso-position-vertical-relative:page;z-index:-673720;rotation:181" type="#_x0000_t136" fillcolor="#000000" stroked="f">
            <o:extrusion v:ext="view" autorotationcenter="t"/>
            <v:textpath style="font-family:&amp;quot;Arial&amp;quot;;font-size:10pt;v-text-kern:t;mso-text-shadow:auto" string="el Informe"/>
            <w10:wrap type="none"/>
          </v:shape>
        </w:pict>
      </w:r>
      <w:r>
        <w:rPr/>
        <w:pict>
          <v:shape style="position:absolute;margin-left:373.153351pt;margin-top:147.220734pt;width:16.3pt;height:10pt;mso-position-horizontal-relative:page;mso-position-vertical-relative:page;z-index:-673696;rotation:181" type="#_x0000_t136" fillcolor="#000000" stroked="f">
            <o:extrusion v:ext="view" autorotationcenter="t"/>
            <v:textpath style="font-family:&amp;quot;Arial&amp;quot;;font-size:10pt;v-text-kern:t;mso-text-shadow:auto" string="con"/>
            <w10:wrap type="none"/>
          </v:shape>
        </w:pict>
      </w:r>
      <w:r>
        <w:rPr/>
        <w:pict>
          <v:shape style="position:absolute;margin-left:428.653259pt;margin-top:147.220749pt;width:52.85pt;height:10pt;mso-position-horizontal-relative:page;mso-position-vertical-relative:page;z-index:-673672;rotation:181" type="#_x0000_t136" fillcolor="#000000" stroked="f">
            <o:extrusion v:ext="view" autorotationcenter="t"/>
            <v:textpath style="font-family:&amp;quot;Arial&amp;quot;;font-size:10pt;v-text-kern:t;mso-text-shadow:auto" string="Elaboración"/>
            <w10:wrap type="none"/>
          </v:shape>
        </w:pict>
      </w:r>
      <w:r>
        <w:rPr/>
        <w:pict>
          <v:shape style="position:absolute;margin-left:394.996521pt;margin-top:147.220734pt;width:28.05pt;height:10pt;mso-position-horizontal-relative:page;mso-position-vertical-relative:page;z-index:-673648;rotation:181" type="#_x0000_t136" fillcolor="#000000" stroked="f">
            <o:extrusion v:ext="view" autorotationcenter="t"/>
            <v:textpath style="font-family:&amp;quot;Arial&amp;quot;;font-size:10pt;v-text-kern:t;mso-text-shadow:auto" string="propia"/>
            <w10:wrap type="none"/>
          </v:shape>
        </w:pict>
      </w:r>
      <w:r>
        <w:rPr/>
        <w:pict>
          <v:shape style="position:absolute;margin-left:487.17691pt;margin-top:147.220749pt;width:35.7pt;height:10pt;mso-position-horizontal-relative:page;mso-position-vertical-relative:page;z-index:-673624;rotation:181" type="#_x0000_t136" fillcolor="#000000" stroked="f">
            <o:extrusion v:ext="view" autorotationcenter="t"/>
            <v:textpath style="font-family:&amp;quot;Arial&amp;quot;;font-size:10pt;v-text-kern:t;mso-text-shadow:auto;font-weight:bold" string="Fuente:"/>
            <w10:wrap type="none"/>
          </v:shape>
        </w:pict>
      </w:r>
      <w:r>
        <w:rPr/>
        <w:pict>
          <v:shape style="position:absolute;margin-left:299.2901pt;margin-top:135.700745pt;width:30pt;height:10pt;mso-position-horizontal-relative:page;mso-position-vertical-relative:page;z-index:9640;rotation:181" type="#_x0000_t136" fillcolor="#000000" stroked="f">
            <o:extrusion v:ext="view" autorotationcenter="t"/>
            <v:textpath style="font-family:&amp;quot;Arial&amp;quot;;font-size:10pt;v-text-kern:t;mso-text-shadow:auto" string="de las"/>
            <w10:wrap type="none"/>
          </v:shape>
        </w:pict>
      </w:r>
      <w:r>
        <w:rPr/>
        <w:pict>
          <v:shape style="position:absolute;margin-left:258.414642pt;margin-top:135.700745pt;width:35.15pt;height:10pt;mso-position-horizontal-relative:page;mso-position-vertical-relative:page;z-index:9664;rotation:181" type="#_x0000_t136" fillcolor="#000000" stroked="f">
            <o:extrusion v:ext="view" autorotationcenter="t"/>
            <v:textpath style="font-family:&amp;quot;Arial&amp;quot;;font-size:10pt;v-text-kern:t;mso-text-shadow:auto" string="cuentas"/>
            <w10:wrap type="none"/>
          </v:shape>
        </w:pict>
      </w:r>
      <w:r>
        <w:rPr/>
        <w:pict>
          <v:shape style="position:absolute;margin-left:335.106873pt;margin-top:135.700745pt;width:37.950pt;height:10pt;mso-position-horizontal-relative:page;mso-position-vertical-relative:page;z-index:9688;rotation:181" type="#_x0000_t136" fillcolor="#000000" stroked="f">
            <o:extrusion v:ext="view" autorotationcenter="t"/>
            <v:textpath style="font-family:&amp;quot;Arial&amp;quot;;font-size:10pt;v-text-kern:t;mso-text-shadow:auto" string="Superior"/>
            <w10:wrap type="none"/>
          </v:shape>
        </w:pict>
      </w:r>
      <w:r>
        <w:rPr/>
        <w:pict>
          <v:shape style="position:absolute;margin-left:378.782959pt;margin-top:135.700745pt;width:57.55pt;height:10pt;mso-position-horizontal-relative:page;mso-position-vertical-relative:page;z-index:9712;rotation:181" type="#_x0000_t136" fillcolor="#000000" stroked="f">
            <o:extrusion v:ext="view" autorotationcenter="t"/>
            <v:textpath style="font-family:&amp;quot;Arial&amp;quot;;font-size:10pt;v-text-kern:t;mso-text-shadow:auto" string="Fiscalización"/>
            <w10:wrap type="none"/>
          </v:shape>
        </w:pict>
      </w:r>
      <w:r>
        <w:rPr/>
        <w:pict>
          <v:shape style="position:absolute;margin-left:442.019012pt;margin-top:135.700745pt;width:25pt;height:10pt;mso-position-horizontal-relative:page;mso-position-vertical-relative:page;z-index:9736;rotation:181" type="#_x0000_t136" fillcolor="#000000" stroked="f">
            <o:extrusion v:ext="view" autorotationcenter="t"/>
            <v:textpath style="font-family:&amp;quot;Arial&amp;quot;;font-size:10pt;v-text-kern:t;mso-text-shadow:auto" string="de la"/>
            <w10:wrap type="none"/>
          </v:shape>
        </w:pict>
      </w:r>
      <w:r>
        <w:rPr/>
        <w:pict>
          <v:shape style="position:absolute;margin-left:472.857056pt;margin-top:135.700745pt;width:50.05pt;height:10pt;mso-position-horizontal-relative:page;mso-position-vertical-relative:page;z-index:9760;rotation:181" type="#_x0000_t136" fillcolor="#000000" stroked="f">
            <o:extrusion v:ext="view" autorotationcenter="t"/>
            <v:textpath style="font-family:&amp;quot;Arial&amp;quot;;font-size:10pt;v-text-kern:t;mso-text-shadow:auto" string="Resultados"/>
            <w10:wrap type="none"/>
          </v:shape>
        </w:pict>
      </w:r>
      <w:r>
        <w:rPr/>
        <w:pict>
          <v:shape style="position:absolute;margin-left:432.681061pt;margin-top:124.060745pt;width:90.2pt;height:10pt;mso-position-horizontal-relative:page;mso-position-vertical-relative:page;z-index:9784;rotation:181" type="#_x0000_t136" fillcolor="#000000" stroked="f">
            <o:extrusion v:ext="view" autorotationcenter="t"/>
            <v:textpath style="font-family:&amp;quot;Arial&amp;quot;;font-size:10pt;v-text-kern:t;mso-text-shadow:auto" string="públicas 2008-2014."/>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3"/>
        </w:rPr>
      </w:pPr>
    </w:p>
    <w:tbl>
      <w:tblPr>
        <w:tblW w:w="0" w:type="auto"/>
        <w:jc w:val="left"/>
        <w:tblInd w:w="27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00"/>
        <w:gridCol w:w="2655"/>
      </w:tblGrid>
      <w:tr>
        <w:trPr>
          <w:trHeight w:val="259" w:hRule="exact"/>
        </w:trPr>
        <w:tc>
          <w:tcPr>
            <w:tcW w:w="5755" w:type="dxa"/>
            <w:gridSpan w:val="2"/>
            <w:tcBorders>
              <w:left w:val="single" w:sz="5" w:space="0" w:color="000000"/>
              <w:bottom w:val="single" w:sz="3" w:space="0" w:color="000000"/>
              <w:right w:val="single" w:sz="5" w:space="0" w:color="000000"/>
            </w:tcBorders>
          </w:tcPr>
          <w:p>
            <w:pPr>
              <w:pStyle w:val="TableParagraph"/>
              <w:spacing w:before="8"/>
              <w:ind w:left="2643" w:right="2627"/>
              <w:jc w:val="center"/>
              <w:rPr>
                <w:b/>
                <w:sz w:val="10"/>
              </w:rPr>
            </w:pPr>
            <w:r>
              <w:rPr>
                <w:b/>
                <w:w w:val="180"/>
                <w:sz w:val="10"/>
              </w:rPr>
              <w:t>FISM</w:t>
            </w:r>
          </w:p>
          <w:p>
            <w:pPr>
              <w:pStyle w:val="TableParagraph"/>
              <w:tabs>
                <w:tab w:pos="3926" w:val="left" w:leader="none"/>
              </w:tabs>
              <w:spacing w:before="12"/>
              <w:ind w:left="1108"/>
              <w:rPr>
                <w:b/>
                <w:sz w:val="10"/>
              </w:rPr>
            </w:pPr>
            <w:r>
              <w:rPr>
                <w:b/>
                <w:w w:val="180"/>
                <w:sz w:val="10"/>
              </w:rPr>
              <w:t>Fortalezas</w:t>
              <w:tab/>
              <w:t>Debilidades</w:t>
            </w:r>
          </w:p>
        </w:tc>
      </w:tr>
      <w:tr>
        <w:trPr>
          <w:trHeight w:val="764" w:hRule="exact"/>
        </w:trPr>
        <w:tc>
          <w:tcPr>
            <w:tcW w:w="3100"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4" w:right="1" w:firstLine="1"/>
              <w:rPr>
                <w:sz w:val="10"/>
              </w:rPr>
            </w:pPr>
            <w:r>
              <w:rPr>
                <w:w w:val="180"/>
                <w:sz w:val="10"/>
              </w:rPr>
              <w:t>El gobierno del municipio cuenta con un Manual de Organización, que precisa la distribución de funciones entre los servidores públicos con nivel de mando medio y superior.</w:t>
            </w:r>
          </w:p>
        </w:tc>
        <w:tc>
          <w:tcPr>
            <w:tcW w:w="2655"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4" w:right="14" w:firstLine="1"/>
              <w:rPr>
                <w:sz w:val="10"/>
              </w:rPr>
            </w:pPr>
            <w:r>
              <w:rPr>
                <w:w w:val="180"/>
                <w:sz w:val="10"/>
              </w:rPr>
              <w:t>El municipio no tiene implementado un Código de Ética, ni de Conducta.</w:t>
            </w:r>
          </w:p>
        </w:tc>
      </w:tr>
      <w:tr>
        <w:trPr>
          <w:trHeight w:val="1145" w:hRule="exact"/>
        </w:trPr>
        <w:tc>
          <w:tcPr>
            <w:tcW w:w="3100"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5" w:right="1"/>
              <w:rPr>
                <w:sz w:val="10"/>
              </w:rPr>
            </w:pPr>
            <w:r>
              <w:rPr>
                <w:w w:val="180"/>
                <w:sz w:val="10"/>
              </w:rPr>
              <w:t>El municipio cuenta con un Programa Operativo Anual que le permite encaminar sus actividades al cumplimiento de dicho programa.</w:t>
            </w:r>
          </w:p>
        </w:tc>
        <w:tc>
          <w:tcPr>
            <w:tcW w:w="2655"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5" w:right="14"/>
              <w:rPr>
                <w:sz w:val="10"/>
              </w:rPr>
            </w:pPr>
            <w:r>
              <w:rPr>
                <w:w w:val="180"/>
                <w:sz w:val="10"/>
              </w:rPr>
              <w:t>El gobierno del municipio no cuenta con Manuales de Procedimientos, que permitan precisar las actividades que deben realizarse para cumplir debidamente con cada una de las funciones que demandan los puestos a desempeñar.</w:t>
            </w:r>
          </w:p>
        </w:tc>
      </w:tr>
      <w:tr>
        <w:trPr>
          <w:trHeight w:val="1018" w:hRule="exact"/>
        </w:trPr>
        <w:tc>
          <w:tcPr>
            <w:tcW w:w="3100"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4" w:right="1" w:firstLine="1"/>
              <w:rPr>
                <w:sz w:val="10"/>
              </w:rPr>
            </w:pPr>
            <w:r>
              <w:rPr>
                <w:w w:val="180"/>
                <w:sz w:val="10"/>
              </w:rPr>
              <w:t>El municipio tiene un Sistema integral de Contabilidad para registrar las operaciones del fondo.</w:t>
            </w:r>
          </w:p>
        </w:tc>
        <w:tc>
          <w:tcPr>
            <w:tcW w:w="2655"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4" w:right="6" w:firstLine="1"/>
              <w:rPr>
                <w:sz w:val="10"/>
              </w:rPr>
            </w:pPr>
            <w:r>
              <w:rPr>
                <w:w w:val="180"/>
                <w:sz w:val="10"/>
              </w:rPr>
              <w:t>No se realizan evaluaciones del sistema de control interno por parte del municipio, lo que impide determinar las causas de los problemas y, en consecuencia, no se ha establecido un programa de atención.</w:t>
            </w:r>
          </w:p>
        </w:tc>
      </w:tr>
      <w:tr>
        <w:trPr>
          <w:trHeight w:val="1781" w:hRule="exact"/>
        </w:trPr>
        <w:tc>
          <w:tcPr>
            <w:tcW w:w="3100"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4" w:right="1" w:firstLine="1"/>
              <w:rPr>
                <w:sz w:val="10"/>
              </w:rPr>
            </w:pPr>
            <w:r>
              <w:rPr>
                <w:w w:val="180"/>
                <w:sz w:val="10"/>
              </w:rPr>
              <w:t>Se lleva a cabo una evaluación del Control Interno por parte del Órgano Superior de Fiscalización.</w:t>
            </w:r>
          </w:p>
        </w:tc>
        <w:tc>
          <w:tcPr>
            <w:tcW w:w="2655"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4" w:right="15" w:firstLine="1"/>
              <w:rPr>
                <w:sz w:val="10"/>
              </w:rPr>
            </w:pPr>
            <w:r>
              <w:rPr>
                <w:w w:val="180"/>
                <w:sz w:val="10"/>
              </w:rPr>
              <w:t>No existe un programa de capacitación, ni se ha impartido capacitación en temas como ética</w:t>
            </w:r>
            <w:r>
              <w:rPr>
                <w:spacing w:val="-10"/>
                <w:w w:val="180"/>
                <w:sz w:val="10"/>
              </w:rPr>
              <w:t> </w:t>
            </w:r>
            <w:r>
              <w:rPr>
                <w:w w:val="180"/>
                <w:sz w:val="10"/>
              </w:rPr>
              <w:t>e</w:t>
            </w:r>
            <w:r>
              <w:rPr>
                <w:spacing w:val="-11"/>
                <w:w w:val="180"/>
                <w:sz w:val="10"/>
              </w:rPr>
              <w:t> </w:t>
            </w:r>
            <w:r>
              <w:rPr>
                <w:w w:val="180"/>
                <w:sz w:val="10"/>
              </w:rPr>
              <w:t>integridad,</w:t>
            </w:r>
            <w:r>
              <w:rPr>
                <w:spacing w:val="-10"/>
                <w:w w:val="180"/>
                <w:sz w:val="10"/>
              </w:rPr>
              <w:t> </w:t>
            </w:r>
            <w:r>
              <w:rPr>
                <w:w w:val="180"/>
                <w:sz w:val="10"/>
              </w:rPr>
              <w:t>control</w:t>
            </w:r>
            <w:r>
              <w:rPr>
                <w:spacing w:val="-11"/>
                <w:w w:val="180"/>
                <w:sz w:val="10"/>
              </w:rPr>
              <w:t> </w:t>
            </w:r>
            <w:r>
              <w:rPr>
                <w:w w:val="180"/>
                <w:sz w:val="10"/>
              </w:rPr>
              <w:t>interno y su evaluación; administración de riesgos y su evaluación; prevención, disuasión,</w:t>
            </w:r>
            <w:r>
              <w:rPr>
                <w:spacing w:val="-38"/>
                <w:w w:val="180"/>
                <w:sz w:val="10"/>
              </w:rPr>
              <w:t> </w:t>
            </w:r>
            <w:r>
              <w:rPr>
                <w:w w:val="180"/>
                <w:sz w:val="10"/>
              </w:rPr>
              <w:t>detección y corrección de posibles actos de corrupción, y normativa específica de la operación del programa o fondo; situación que dificulta la actualización profesional del</w:t>
            </w:r>
            <w:r>
              <w:rPr>
                <w:spacing w:val="-32"/>
                <w:w w:val="180"/>
                <w:sz w:val="10"/>
              </w:rPr>
              <w:t> </w:t>
            </w:r>
            <w:r>
              <w:rPr>
                <w:w w:val="180"/>
                <w:sz w:val="10"/>
              </w:rPr>
              <w:t>personal.</w:t>
            </w:r>
          </w:p>
        </w:tc>
      </w:tr>
      <w:tr>
        <w:trPr>
          <w:trHeight w:val="1654" w:hRule="exact"/>
        </w:trPr>
        <w:tc>
          <w:tcPr>
            <w:tcW w:w="3100"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4" w:right="10" w:firstLine="1"/>
              <w:rPr>
                <w:sz w:val="10"/>
              </w:rPr>
            </w:pPr>
            <w:r>
              <w:rPr>
                <w:w w:val="180"/>
                <w:sz w:val="10"/>
              </w:rPr>
              <w:t>El Órgano Superior de Fiscalización establece en el procedimiento denominado “Promociones”, los lineamientos y mecanismos necesarios para que los responsables de los procesos (controles internos), en sus respectivos ámbitos, comuniquen los resultados de sus evaluaciones de control interno y de las deficiencias identificadas al responsable de coordinar las actividades para el seguimiento.</w:t>
            </w:r>
          </w:p>
        </w:tc>
        <w:tc>
          <w:tcPr>
            <w:tcW w:w="2655" w:type="dxa"/>
            <w:tcBorders>
              <w:top w:val="single" w:sz="3" w:space="0" w:color="000000"/>
              <w:left w:val="single" w:sz="5" w:space="0" w:color="000000"/>
              <w:bottom w:val="single" w:sz="3" w:space="0" w:color="000000"/>
              <w:right w:val="single" w:sz="5" w:space="0" w:color="000000"/>
            </w:tcBorders>
          </w:tcPr>
          <w:p>
            <w:pPr>
              <w:pStyle w:val="TableParagraph"/>
              <w:spacing w:line="266" w:lineRule="auto"/>
              <w:ind w:left="24" w:right="14" w:firstLine="1"/>
              <w:rPr>
                <w:sz w:val="10"/>
              </w:rPr>
            </w:pPr>
            <w:r>
              <w:rPr>
                <w:w w:val="180"/>
                <w:sz w:val="10"/>
              </w:rPr>
              <w:t>No existe una planeación estratégica que establezca las acciones que permitan la consecución de los objetivos y metas institucionales.</w:t>
            </w:r>
          </w:p>
        </w:tc>
      </w:tr>
    </w:tbl>
    <w:p>
      <w:pPr>
        <w:spacing w:after="0" w:line="266" w:lineRule="auto"/>
        <w:rPr>
          <w:sz w:val="10"/>
        </w:rPr>
        <w:sectPr>
          <w:pgSz w:w="15840" w:h="12240" w:orient="landscape"/>
          <w:pgMar w:header="0" w:footer="992" w:top="1140" w:bottom="1180" w:left="2260" w:right="2260"/>
        </w:sectPr>
      </w:pPr>
    </w:p>
    <w:p>
      <w:pPr>
        <w:pStyle w:val="BodyText"/>
        <w:rPr>
          <w:rFonts w:ascii="Times New Roman"/>
          <w:sz w:val="20"/>
        </w:rPr>
      </w:pPr>
      <w:r>
        <w:rPr/>
        <w:pict>
          <v:group style="position:absolute;margin-left:258.590698pt;margin-top:152.300766pt;width:278.850pt;height:13.6pt;mso-position-horizontal-relative:page;mso-position-vertical-relative:page;z-index:-673312" coordorigin="5172,3046" coordsize="5577,272">
            <v:rect style="position:absolute;left:5172;top:3050;width:5570;height:135" filled="true" fillcolor="#e6b8b7" stroked="false">
              <v:fill type="solid"/>
            </v:rect>
            <v:rect style="position:absolute;left:5172;top:3182;width:5570;height:135" filled="true" fillcolor="#f1dcdb" stroked="false">
              <v:fill type="solid"/>
            </v:rect>
            <v:shape style="position:absolute;left:552;top:-3520;width:8176;height:302" coordorigin="552,-3520" coordsize="8176,302" path="m5178,3050l5178,3050,10744,3050m5178,3182l5178,3182,10744,3182e" filled="false" stroked="true" strokeweight=".500149pt" strokecolor="#000000">
              <v:path arrowok="t"/>
            </v:shape>
            <w10:wrap type="none"/>
          </v:group>
        </w:pict>
      </w:r>
    </w:p>
    <w:p>
      <w:pPr>
        <w:pStyle w:val="BodyText"/>
        <w:rPr>
          <w:rFonts w:ascii="Times New Roman"/>
          <w:sz w:val="20"/>
        </w:rPr>
      </w:pPr>
    </w:p>
    <w:p>
      <w:pPr>
        <w:pStyle w:val="BodyText"/>
        <w:rPr>
          <w:rFonts w:ascii="Times New Roman"/>
          <w:sz w:val="20"/>
        </w:rPr>
      </w:pPr>
    </w:p>
    <w:p>
      <w:pPr>
        <w:pStyle w:val="BodyText"/>
        <w:spacing w:before="7"/>
        <w:rPr>
          <w:rFonts w:ascii="Times New Roman"/>
          <w:sz w:val="13"/>
        </w:rPr>
      </w:pPr>
    </w:p>
    <w:p>
      <w:pPr>
        <w:pStyle w:val="BodyText"/>
        <w:ind w:left="2758"/>
        <w:rPr>
          <w:rFonts w:ascii="Times New Roman"/>
          <w:sz w:val="20"/>
        </w:rPr>
      </w:pPr>
      <w:r>
        <w:rPr>
          <w:rFonts w:ascii="Times New Roman"/>
          <w:sz w:val="20"/>
        </w:rPr>
        <w:pict>
          <v:group style="width:288pt;height:46.8pt;mso-position-horizontal-relative:char;mso-position-vertical-relative:line" coordorigin="0,0" coordsize="5760,936">
            <v:shape style="position:absolute;left:0;top:0;width:5760;height:936" type="#_x0000_t75" stroked="false">
              <v:imagedata r:id="rId201" o:title=""/>
            </v:shape>
            <v:shape style="position:absolute;left:153;top:798;width:5570;height:2" coordorigin="153,798" coordsize="5570,0" path="m153,798l153,798,5723,798e" filled="false" stroked="true" strokeweight=".39183pt" strokecolor="#000000">
              <v:path arrowok="t"/>
            </v:shape>
            <v:shape style="position:absolute;left:144;top:21;width:5470;height:432" type="#_x0000_t202" filled="false" stroked="false">
              <v:textbox inset="0,0,0,0">
                <w:txbxContent>
                  <w:p>
                    <w:pPr>
                      <w:spacing w:line="204" w:lineRule="exact" w:before="0"/>
                      <w:ind w:left="0" w:right="-7" w:firstLine="0"/>
                      <w:jc w:val="left"/>
                      <w:rPr>
                        <w:sz w:val="20"/>
                      </w:rPr>
                    </w:pPr>
                    <w:r>
                      <w:rPr>
                        <w:b/>
                        <w:sz w:val="20"/>
                      </w:rPr>
                      <w:t>Fuente</w:t>
                    </w:r>
                    <w:r>
                      <w:rPr>
                        <w:sz w:val="20"/>
                      </w:rPr>
                      <w:t>:  Elaboración  propia  con  base  en  el  Informe     de</w:t>
                    </w:r>
                  </w:p>
                  <w:p>
                    <w:pPr>
                      <w:spacing w:line="225" w:lineRule="exact" w:before="3"/>
                      <w:ind w:left="0" w:right="-7" w:firstLine="0"/>
                      <w:jc w:val="left"/>
                      <w:rPr>
                        <w:sz w:val="20"/>
                      </w:rPr>
                    </w:pPr>
                    <w:r>
                      <w:rPr>
                        <w:sz w:val="20"/>
                      </w:rPr>
                      <w:t>Resultados  de  la  Fiscalización  Superior  de  las    </w:t>
                    </w:r>
                    <w:r>
                      <w:rPr>
                        <w:spacing w:val="54"/>
                        <w:sz w:val="20"/>
                      </w:rPr>
                      <w:t> </w:t>
                    </w:r>
                    <w:r>
                      <w:rPr>
                        <w:sz w:val="20"/>
                      </w:rPr>
                      <w:t>cuentas</w:t>
                    </w:r>
                  </w:p>
                </w:txbxContent>
              </v:textbox>
              <w10:wrap type="none"/>
            </v:shape>
            <v:shape style="position:absolute;left:144;top:485;width:4387;height:253" type="#_x0000_t202" filled="false" stroked="false">
              <v:textbox inset="0,0,0,0">
                <w:txbxContent>
                  <w:p>
                    <w:pPr>
                      <w:spacing w:line="253" w:lineRule="exact" w:before="0"/>
                      <w:ind w:left="0" w:right="0" w:firstLine="0"/>
                      <w:jc w:val="left"/>
                      <w:rPr>
                        <w:b/>
                        <w:sz w:val="10"/>
                      </w:rPr>
                    </w:pPr>
                    <w:r>
                      <w:rPr>
                        <w:w w:val="99"/>
                        <w:sz w:val="20"/>
                      </w:rPr>
                      <w:t>p</w:t>
                    </w:r>
                    <w:r>
                      <w:rPr>
                        <w:spacing w:val="-1"/>
                        <w:w w:val="99"/>
                        <w:sz w:val="20"/>
                      </w:rPr>
                      <w:t>ú</w:t>
                    </w:r>
                    <w:r>
                      <w:rPr>
                        <w:spacing w:val="1"/>
                        <w:w w:val="99"/>
                        <w:sz w:val="20"/>
                      </w:rPr>
                      <w:t>b</w:t>
                    </w:r>
                    <w:r>
                      <w:rPr>
                        <w:spacing w:val="-17"/>
                        <w:w w:val="99"/>
                        <w:sz w:val="20"/>
                      </w:rPr>
                      <w:t>l</w:t>
                    </w:r>
                    <w:r>
                      <w:rPr>
                        <w:spacing w:val="-145"/>
                        <w:w w:val="100"/>
                        <w:position w:val="-4"/>
                        <w:sz w:val="24"/>
                      </w:rPr>
                      <w:t>A</w:t>
                    </w:r>
                    <w:r>
                      <w:rPr>
                        <w:spacing w:val="-1"/>
                        <w:w w:val="99"/>
                        <w:sz w:val="20"/>
                      </w:rPr>
                      <w:t>i</w:t>
                    </w:r>
                    <w:r>
                      <w:rPr>
                        <w:spacing w:val="1"/>
                        <w:w w:val="99"/>
                        <w:sz w:val="20"/>
                      </w:rPr>
                      <w:t>c</w:t>
                    </w:r>
                    <w:r>
                      <w:rPr>
                        <w:spacing w:val="-110"/>
                        <w:w w:val="99"/>
                        <w:sz w:val="20"/>
                      </w:rPr>
                      <w:t>a</w:t>
                    </w:r>
                    <w:r>
                      <w:rPr>
                        <w:spacing w:val="-24"/>
                        <w:w w:val="99"/>
                        <w:position w:val="-4"/>
                        <w:sz w:val="24"/>
                      </w:rPr>
                      <w:t>n</w:t>
                    </w:r>
                    <w:r>
                      <w:rPr>
                        <w:spacing w:val="-76"/>
                        <w:w w:val="99"/>
                        <w:sz w:val="20"/>
                      </w:rPr>
                      <w:t>s</w:t>
                    </w:r>
                    <w:r>
                      <w:rPr>
                        <w:spacing w:val="-3"/>
                        <w:w w:val="99"/>
                        <w:position w:val="-4"/>
                        <w:sz w:val="24"/>
                      </w:rPr>
                      <w:t>e</w:t>
                    </w:r>
                    <w:r>
                      <w:rPr>
                        <w:spacing w:val="-108"/>
                        <w:w w:val="99"/>
                        <w:sz w:val="20"/>
                      </w:rPr>
                      <w:t>2</w:t>
                    </w:r>
                    <w:r>
                      <w:rPr>
                        <w:spacing w:val="-11"/>
                        <w:position w:val="-4"/>
                        <w:sz w:val="24"/>
                      </w:rPr>
                      <w:t>x</w:t>
                    </w:r>
                    <w:r>
                      <w:rPr>
                        <w:spacing w:val="-103"/>
                        <w:w w:val="99"/>
                        <w:sz w:val="20"/>
                      </w:rPr>
                      <w:t>0</w:t>
                    </w:r>
                    <w:r>
                      <w:rPr>
                        <w:spacing w:val="-31"/>
                        <w:w w:val="99"/>
                        <w:position w:val="-4"/>
                        <w:sz w:val="24"/>
                      </w:rPr>
                      <w:t>o</w:t>
                    </w:r>
                    <w:r>
                      <w:rPr>
                        <w:spacing w:val="-13"/>
                        <w:w w:val="99"/>
                        <w:sz w:val="20"/>
                      </w:rPr>
                      <w:t>0</w:t>
                    </w:r>
                    <w:r>
                      <w:rPr>
                        <w:spacing w:val="-122"/>
                        <w:w w:val="99"/>
                        <w:position w:val="-4"/>
                        <w:sz w:val="24"/>
                      </w:rPr>
                      <w:t>7</w:t>
                    </w:r>
                    <w:r>
                      <w:rPr>
                        <w:spacing w:val="-20"/>
                        <w:w w:val="99"/>
                        <w:sz w:val="20"/>
                      </w:rPr>
                      <w:t>8</w:t>
                    </w:r>
                    <w:r>
                      <w:rPr>
                        <w:b/>
                        <w:spacing w:val="-98"/>
                        <w:w w:val="163"/>
                        <w:position w:val="1"/>
                        <w:sz w:val="10"/>
                      </w:rPr>
                      <w:t>C</w:t>
                    </w:r>
                    <w:r>
                      <w:rPr>
                        <w:spacing w:val="-56"/>
                        <w:w w:val="99"/>
                        <w:sz w:val="20"/>
                      </w:rPr>
                      <w:t>-</w:t>
                    </w:r>
                    <w:r>
                      <w:rPr>
                        <w:spacing w:val="-78"/>
                        <w:w w:val="99"/>
                        <w:position w:val="-4"/>
                        <w:sz w:val="24"/>
                      </w:rPr>
                      <w:t>3</w:t>
                    </w:r>
                    <w:r>
                      <w:rPr>
                        <w:spacing w:val="-82"/>
                        <w:w w:val="99"/>
                        <w:sz w:val="20"/>
                      </w:rPr>
                      <w:t>2</w:t>
                    </w:r>
                    <w:r>
                      <w:rPr>
                        <w:b/>
                        <w:spacing w:val="-54"/>
                        <w:w w:val="163"/>
                        <w:position w:val="1"/>
                        <w:sz w:val="10"/>
                      </w:rPr>
                      <w:t>o</w:t>
                    </w:r>
                    <w:r>
                      <w:rPr>
                        <w:spacing w:val="-30"/>
                        <w:w w:val="100"/>
                        <w:position w:val="-4"/>
                        <w:sz w:val="24"/>
                      </w:rPr>
                      <w:t>.</w:t>
                    </w:r>
                    <w:r>
                      <w:rPr>
                        <w:spacing w:val="-94"/>
                        <w:w w:val="99"/>
                        <w:sz w:val="20"/>
                      </w:rPr>
                      <w:t>0</w:t>
                    </w:r>
                    <w:r>
                      <w:rPr>
                        <w:b/>
                        <w:spacing w:val="-7"/>
                        <w:w w:val="163"/>
                        <w:position w:val="1"/>
                        <w:sz w:val="10"/>
                      </w:rPr>
                      <w:t>n</w:t>
                    </w:r>
                    <w:r>
                      <w:rPr>
                        <w:spacing w:val="-105"/>
                        <w:w w:val="99"/>
                        <w:sz w:val="20"/>
                      </w:rPr>
                      <w:t>1</w:t>
                    </w:r>
                    <w:r>
                      <w:rPr>
                        <w:b/>
                        <w:spacing w:val="-1"/>
                        <w:w w:val="163"/>
                        <w:position w:val="1"/>
                        <w:sz w:val="10"/>
                      </w:rPr>
                      <w:t>t</w:t>
                    </w:r>
                    <w:r>
                      <w:rPr>
                        <w:b/>
                        <w:spacing w:val="-15"/>
                        <w:w w:val="163"/>
                        <w:position w:val="1"/>
                        <w:sz w:val="10"/>
                      </w:rPr>
                      <w:t>r</w:t>
                    </w:r>
                    <w:r>
                      <w:rPr>
                        <w:spacing w:val="-97"/>
                        <w:w w:val="99"/>
                        <w:sz w:val="20"/>
                      </w:rPr>
                      <w:t>4</w:t>
                    </w:r>
                    <w:r>
                      <w:rPr>
                        <w:b/>
                        <w:spacing w:val="-2"/>
                        <w:w w:val="163"/>
                        <w:position w:val="1"/>
                        <w:sz w:val="10"/>
                      </w:rPr>
                      <w:t>o</w:t>
                    </w:r>
                    <w:r>
                      <w:rPr>
                        <w:spacing w:val="-55"/>
                        <w:w w:val="99"/>
                        <w:sz w:val="20"/>
                      </w:rPr>
                      <w:t>.</w:t>
                    </w:r>
                    <w:r>
                      <w:rPr>
                        <w:b/>
                        <w:w w:val="163"/>
                        <w:position w:val="1"/>
                        <w:sz w:val="10"/>
                      </w:rPr>
                      <w:t>l</w:t>
                    </w:r>
                    <w:r>
                      <w:rPr>
                        <w:b/>
                        <w:w w:val="163"/>
                        <w:position w:val="1"/>
                        <w:sz w:val="10"/>
                      </w:rPr>
                      <w:t>es</w:t>
                    </w:r>
                    <w:r>
                      <w:rPr>
                        <w:b/>
                        <w:position w:val="1"/>
                        <w:sz w:val="10"/>
                      </w:rPr>
                      <w:t> </w:t>
                    </w:r>
                    <w:r>
                      <w:rPr>
                        <w:b/>
                        <w:spacing w:val="-11"/>
                        <w:position w:val="1"/>
                        <w:sz w:val="10"/>
                      </w:rPr>
                      <w:t> </w:t>
                    </w:r>
                    <w:r>
                      <w:rPr>
                        <w:b/>
                        <w:spacing w:val="-1"/>
                        <w:w w:val="163"/>
                        <w:position w:val="1"/>
                        <w:sz w:val="10"/>
                      </w:rPr>
                      <w:t>I</w:t>
                    </w:r>
                    <w:r>
                      <w:rPr>
                        <w:b/>
                        <w:w w:val="163"/>
                        <w:position w:val="1"/>
                        <w:sz w:val="10"/>
                      </w:rPr>
                      <w:t>n</w:t>
                    </w:r>
                    <w:r>
                      <w:rPr>
                        <w:b/>
                        <w:spacing w:val="-1"/>
                        <w:w w:val="163"/>
                        <w:position w:val="1"/>
                        <w:sz w:val="10"/>
                      </w:rPr>
                      <w:t>te</w:t>
                    </w:r>
                    <w:r>
                      <w:rPr>
                        <w:b/>
                        <w:w w:val="163"/>
                        <w:position w:val="1"/>
                        <w:sz w:val="10"/>
                      </w:rPr>
                      <w:t>r</w:t>
                    </w:r>
                    <w:r>
                      <w:rPr>
                        <w:b/>
                        <w:spacing w:val="-1"/>
                        <w:w w:val="163"/>
                        <w:position w:val="1"/>
                        <w:sz w:val="10"/>
                      </w:rPr>
                      <w:t>n</w:t>
                    </w:r>
                    <w:r>
                      <w:rPr>
                        <w:b/>
                        <w:w w:val="163"/>
                        <w:position w:val="1"/>
                        <w:sz w:val="10"/>
                      </w:rPr>
                      <w:t>o</w:t>
                    </w:r>
                    <w:r>
                      <w:rPr>
                        <w:b/>
                        <w:w w:val="163"/>
                        <w:position w:val="1"/>
                        <w:sz w:val="10"/>
                      </w:rPr>
                      <w:t>s</w:t>
                    </w:r>
                    <w:r>
                      <w:rPr>
                        <w:b/>
                        <w:position w:val="1"/>
                        <w:sz w:val="10"/>
                      </w:rPr>
                      <w:t> </w:t>
                    </w:r>
                    <w:r>
                      <w:rPr>
                        <w:b/>
                        <w:spacing w:val="-10"/>
                        <w:position w:val="1"/>
                        <w:sz w:val="10"/>
                      </w:rPr>
                      <w:t> </w:t>
                    </w:r>
                    <w:r>
                      <w:rPr>
                        <w:b/>
                        <w:spacing w:val="-1"/>
                        <w:w w:val="163"/>
                        <w:position w:val="1"/>
                        <w:sz w:val="10"/>
                      </w:rPr>
                      <w:t>(M</w:t>
                    </w:r>
                    <w:r>
                      <w:rPr>
                        <w:b/>
                        <w:w w:val="163"/>
                        <w:position w:val="1"/>
                        <w:sz w:val="10"/>
                      </w:rPr>
                      <w:t>a</w:t>
                    </w:r>
                    <w:r>
                      <w:rPr>
                        <w:b/>
                        <w:w w:val="163"/>
                        <w:position w:val="1"/>
                        <w:sz w:val="10"/>
                      </w:rPr>
                      <w:t>n</w:t>
                    </w:r>
                    <w:r>
                      <w:rPr>
                        <w:b/>
                        <w:w w:val="163"/>
                        <w:position w:val="1"/>
                        <w:sz w:val="10"/>
                      </w:rPr>
                      <w:t>e</w:t>
                    </w:r>
                    <w:r>
                      <w:rPr>
                        <w:b/>
                        <w:spacing w:val="-1"/>
                        <w:w w:val="163"/>
                        <w:position w:val="1"/>
                        <w:sz w:val="10"/>
                      </w:rPr>
                      <w:t>j</w:t>
                    </w:r>
                    <w:r>
                      <w:rPr>
                        <w:b/>
                        <w:w w:val="163"/>
                        <w:position w:val="1"/>
                        <w:sz w:val="10"/>
                      </w:rPr>
                      <w:t>o</w:t>
                    </w:r>
                    <w:r>
                      <w:rPr>
                        <w:b/>
                        <w:position w:val="1"/>
                        <w:sz w:val="10"/>
                      </w:rPr>
                      <w:t> </w:t>
                    </w:r>
                    <w:r>
                      <w:rPr>
                        <w:b/>
                        <w:spacing w:val="-11"/>
                        <w:position w:val="1"/>
                        <w:sz w:val="10"/>
                      </w:rPr>
                      <w:t> </w:t>
                    </w:r>
                    <w:r>
                      <w:rPr>
                        <w:b/>
                        <w:w w:val="163"/>
                        <w:position w:val="1"/>
                        <w:sz w:val="10"/>
                      </w:rPr>
                      <w:t>y</w:t>
                    </w:r>
                    <w:r>
                      <w:rPr>
                        <w:b/>
                        <w:spacing w:val="12"/>
                        <w:position w:val="1"/>
                        <w:sz w:val="10"/>
                      </w:rPr>
                      <w:t> </w:t>
                    </w:r>
                    <w:r>
                      <w:rPr>
                        <w:b/>
                        <w:w w:val="163"/>
                        <w:position w:val="1"/>
                        <w:sz w:val="10"/>
                      </w:rPr>
                      <w:t>A</w:t>
                    </w:r>
                    <w:r>
                      <w:rPr>
                        <w:b/>
                        <w:spacing w:val="-1"/>
                        <w:w w:val="163"/>
                        <w:position w:val="1"/>
                        <w:sz w:val="10"/>
                      </w:rPr>
                      <w:t>p</w:t>
                    </w:r>
                    <w:r>
                      <w:rPr>
                        <w:b/>
                        <w:w w:val="163"/>
                        <w:position w:val="1"/>
                        <w:sz w:val="10"/>
                      </w:rPr>
                      <w:t>l</w:t>
                    </w:r>
                    <w:r>
                      <w:rPr>
                        <w:b/>
                        <w:spacing w:val="-1"/>
                        <w:w w:val="163"/>
                        <w:position w:val="1"/>
                        <w:sz w:val="10"/>
                      </w:rPr>
                      <w:t>i</w:t>
                    </w:r>
                    <w:r>
                      <w:rPr>
                        <w:b/>
                        <w:w w:val="163"/>
                        <w:position w:val="1"/>
                        <w:sz w:val="10"/>
                      </w:rPr>
                      <w:t>c</w:t>
                    </w:r>
                    <w:r>
                      <w:rPr>
                        <w:b/>
                        <w:spacing w:val="-1"/>
                        <w:w w:val="163"/>
                        <w:position w:val="1"/>
                        <w:sz w:val="10"/>
                      </w:rPr>
                      <w:t>a</w:t>
                    </w:r>
                    <w:r>
                      <w:rPr>
                        <w:b/>
                        <w:w w:val="163"/>
                        <w:position w:val="1"/>
                        <w:sz w:val="10"/>
                      </w:rPr>
                      <w:t>c</w:t>
                    </w:r>
                    <w:r>
                      <w:rPr>
                        <w:b/>
                        <w:w w:val="163"/>
                        <w:position w:val="1"/>
                        <w:sz w:val="10"/>
                      </w:rPr>
                      <w:t>i</w:t>
                    </w:r>
                    <w:r>
                      <w:rPr>
                        <w:b/>
                        <w:spacing w:val="-1"/>
                        <w:w w:val="163"/>
                        <w:position w:val="1"/>
                        <w:sz w:val="10"/>
                      </w:rPr>
                      <w:t>ó</w:t>
                    </w:r>
                    <w:r>
                      <w:rPr>
                        <w:b/>
                        <w:w w:val="163"/>
                        <w:position w:val="1"/>
                        <w:sz w:val="10"/>
                      </w:rPr>
                      <w:t>n)</w:t>
                    </w:r>
                  </w:p>
                </w:txbxContent>
              </v:textbox>
              <w10:wrap type="none"/>
            </v:shape>
            <v:shape style="position:absolute;left:1489;top:415;width:2910;height:106" type="#_x0000_t202" filled="false" stroked="false">
              <v:textbox inset="0,0,0,0">
                <w:txbxContent>
                  <w:p>
                    <w:pPr>
                      <w:spacing w:line="105" w:lineRule="exact" w:before="0"/>
                      <w:ind w:left="0" w:right="-4" w:firstLine="0"/>
                      <w:jc w:val="left"/>
                      <w:rPr>
                        <w:b/>
                        <w:sz w:val="10"/>
                      </w:rPr>
                    </w:pPr>
                    <w:r>
                      <w:rPr>
                        <w:b/>
                        <w:w w:val="165"/>
                        <w:sz w:val="10"/>
                      </w:rPr>
                      <w:t>Calidad</w:t>
                    </w:r>
                    <w:r>
                      <w:rPr>
                        <w:b/>
                        <w:spacing w:val="-10"/>
                        <w:w w:val="165"/>
                        <w:sz w:val="10"/>
                      </w:rPr>
                      <w:t> </w:t>
                    </w:r>
                    <w:r>
                      <w:rPr>
                        <w:b/>
                        <w:w w:val="165"/>
                        <w:sz w:val="10"/>
                      </w:rPr>
                      <w:t>de</w:t>
                    </w:r>
                    <w:r>
                      <w:rPr>
                        <w:b/>
                        <w:spacing w:val="-10"/>
                        <w:w w:val="165"/>
                        <w:sz w:val="10"/>
                      </w:rPr>
                      <w:t> </w:t>
                    </w:r>
                    <w:r>
                      <w:rPr>
                        <w:b/>
                        <w:w w:val="165"/>
                        <w:sz w:val="10"/>
                      </w:rPr>
                      <w:t>la</w:t>
                    </w:r>
                    <w:r>
                      <w:rPr>
                        <w:b/>
                        <w:spacing w:val="-10"/>
                        <w:w w:val="165"/>
                        <w:sz w:val="10"/>
                      </w:rPr>
                      <w:t> </w:t>
                    </w:r>
                    <w:r>
                      <w:rPr>
                        <w:b/>
                        <w:w w:val="165"/>
                        <w:sz w:val="10"/>
                      </w:rPr>
                      <w:t>Gestión</w:t>
                    </w:r>
                    <w:r>
                      <w:rPr>
                        <w:b/>
                        <w:spacing w:val="-10"/>
                        <w:w w:val="165"/>
                        <w:sz w:val="10"/>
                      </w:rPr>
                      <w:t> </w:t>
                    </w:r>
                    <w:r>
                      <w:rPr>
                        <w:b/>
                        <w:w w:val="165"/>
                        <w:sz w:val="10"/>
                      </w:rPr>
                      <w:t>Gubernamental</w:t>
                    </w:r>
                  </w:p>
                </w:txbxContent>
              </v:textbox>
              <w10:wrap type="none"/>
            </v:shape>
            <v:shape style="position:absolute;left:1319;top:681;width:3246;height:106" type="#_x0000_t202" filled="false" stroked="false">
              <v:textbox inset="0,0,0,0">
                <w:txbxContent>
                  <w:p>
                    <w:pPr>
                      <w:spacing w:line="105" w:lineRule="exact" w:before="0"/>
                      <w:ind w:left="0" w:right="-2" w:firstLine="0"/>
                      <w:jc w:val="left"/>
                      <w:rPr>
                        <w:b/>
                        <w:sz w:val="10"/>
                      </w:rPr>
                    </w:pPr>
                    <w:r>
                      <w:rPr>
                        <w:b/>
                        <w:w w:val="165"/>
                        <w:sz w:val="10"/>
                      </w:rPr>
                      <w:t>San</w:t>
                    </w:r>
                    <w:r>
                      <w:rPr>
                        <w:b/>
                        <w:spacing w:val="-8"/>
                        <w:w w:val="165"/>
                        <w:sz w:val="10"/>
                      </w:rPr>
                      <w:t> </w:t>
                    </w:r>
                    <w:r>
                      <w:rPr>
                        <w:b/>
                        <w:w w:val="165"/>
                        <w:sz w:val="10"/>
                      </w:rPr>
                      <w:t>José</w:t>
                    </w:r>
                    <w:r>
                      <w:rPr>
                        <w:b/>
                        <w:spacing w:val="-7"/>
                        <w:w w:val="165"/>
                        <w:sz w:val="10"/>
                      </w:rPr>
                      <w:t> </w:t>
                    </w:r>
                    <w:r>
                      <w:rPr>
                        <w:b/>
                        <w:w w:val="165"/>
                        <w:sz w:val="10"/>
                      </w:rPr>
                      <w:t>del</w:t>
                    </w:r>
                    <w:r>
                      <w:rPr>
                        <w:b/>
                        <w:spacing w:val="-8"/>
                        <w:w w:val="165"/>
                        <w:sz w:val="10"/>
                      </w:rPr>
                      <w:t> </w:t>
                    </w:r>
                    <w:r>
                      <w:rPr>
                        <w:b/>
                        <w:w w:val="165"/>
                        <w:sz w:val="10"/>
                      </w:rPr>
                      <w:t>Rincón</w:t>
                    </w:r>
                    <w:r>
                      <w:rPr>
                        <w:b/>
                        <w:spacing w:val="-8"/>
                        <w:w w:val="165"/>
                        <w:sz w:val="10"/>
                      </w:rPr>
                      <w:t> </w:t>
                    </w:r>
                    <w:r>
                      <w:rPr>
                        <w:b/>
                        <w:w w:val="165"/>
                        <w:sz w:val="10"/>
                      </w:rPr>
                      <w:t>Ejercicio</w:t>
                    </w:r>
                    <w:r>
                      <w:rPr>
                        <w:b/>
                        <w:spacing w:val="-8"/>
                        <w:w w:val="165"/>
                        <w:sz w:val="10"/>
                      </w:rPr>
                      <w:t> </w:t>
                    </w:r>
                    <w:r>
                      <w:rPr>
                        <w:b/>
                        <w:w w:val="165"/>
                        <w:sz w:val="10"/>
                      </w:rPr>
                      <w:t>Fiscal</w:t>
                    </w:r>
                    <w:r>
                      <w:rPr>
                        <w:b/>
                        <w:spacing w:val="-8"/>
                        <w:w w:val="165"/>
                        <w:sz w:val="10"/>
                      </w:rPr>
                      <w:t> </w:t>
                    </w:r>
                    <w:r>
                      <w:rPr>
                        <w:b/>
                        <w:w w:val="165"/>
                        <w:sz w:val="10"/>
                      </w:rPr>
                      <w:t>2013</w:t>
                    </w:r>
                  </w:p>
                </w:txbxContent>
              </v:textbox>
              <w10:wrap type="none"/>
            </v:shape>
          </v:group>
        </w:pict>
      </w:r>
      <w:r>
        <w:rPr>
          <w:rFonts w:ascii="Times New Roman"/>
          <w:sz w:val="20"/>
        </w:rPr>
      </w:r>
    </w:p>
    <w:p>
      <w:pPr>
        <w:pStyle w:val="BodyText"/>
        <w:spacing w:before="5"/>
        <w:rPr>
          <w:rFonts w:ascii="Times New Roman"/>
          <w:sz w:val="7"/>
        </w:rPr>
      </w:pPr>
    </w:p>
    <w:tbl>
      <w:tblPr>
        <w:tblW w:w="0" w:type="auto"/>
        <w:jc w:val="left"/>
        <w:tblInd w:w="29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87"/>
        <w:gridCol w:w="2579"/>
      </w:tblGrid>
      <w:tr>
        <w:trPr>
          <w:trHeight w:val="270" w:hRule="exact"/>
        </w:trPr>
        <w:tc>
          <w:tcPr>
            <w:tcW w:w="5566" w:type="dxa"/>
            <w:gridSpan w:val="2"/>
            <w:tcBorders>
              <w:left w:val="single" w:sz="5" w:space="0" w:color="000000"/>
              <w:bottom w:val="single" w:sz="3" w:space="0" w:color="000000"/>
              <w:right w:val="single" w:sz="5" w:space="0" w:color="000000"/>
            </w:tcBorders>
          </w:tcPr>
          <w:p>
            <w:pPr>
              <w:pStyle w:val="TableParagraph"/>
              <w:spacing w:before="12"/>
              <w:ind w:left="2566" w:right="2553"/>
              <w:jc w:val="center"/>
              <w:rPr>
                <w:b/>
                <w:sz w:val="10"/>
              </w:rPr>
            </w:pPr>
            <w:r>
              <w:rPr>
                <w:b/>
                <w:w w:val="165"/>
                <w:sz w:val="10"/>
              </w:rPr>
              <w:t>FISM</w:t>
            </w:r>
          </w:p>
          <w:p>
            <w:pPr>
              <w:pStyle w:val="TableParagraph"/>
              <w:tabs>
                <w:tab w:pos="3816" w:val="left" w:leader="none"/>
              </w:tabs>
              <w:spacing w:before="18"/>
              <w:ind w:left="1087"/>
              <w:rPr>
                <w:b/>
                <w:sz w:val="10"/>
              </w:rPr>
            </w:pPr>
            <w:r>
              <w:rPr>
                <w:b/>
                <w:w w:val="165"/>
                <w:sz w:val="10"/>
              </w:rPr>
              <w:t>Fortalezas</w:t>
              <w:tab/>
              <w:t>Debilidades</w:t>
            </w:r>
          </w:p>
        </w:tc>
      </w:tr>
      <w:tr>
        <w:trPr>
          <w:trHeight w:val="1327" w:hRule="exact"/>
        </w:trPr>
        <w:tc>
          <w:tcPr>
            <w:tcW w:w="2987"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12" w:firstLine="1"/>
              <w:rPr>
                <w:sz w:val="10"/>
              </w:rPr>
            </w:pPr>
            <w:r>
              <w:rPr>
                <w:w w:val="165"/>
                <w:sz w:val="10"/>
              </w:rPr>
              <w:t>Existe una Planeación Estratégica que establece las acciones a seguir para la consecución de los objetivos y metas institucionales, el cual es del conocimiento de las áreas responsables de su ejecución.</w:t>
            </w:r>
          </w:p>
        </w:tc>
        <w:tc>
          <w:tcPr>
            <w:tcW w:w="2579"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5" w:firstLine="2"/>
              <w:rPr>
                <w:sz w:val="10"/>
              </w:rPr>
            </w:pPr>
            <w:r>
              <w:rPr>
                <w:w w:val="165"/>
                <w:sz w:val="10"/>
              </w:rPr>
              <w:t>El Gobierno del municipio de San José del Rincón cuenta con un proyecto de Manual de Organización, que se espera concluir el 31 de diciembre de 2014. La inexistencia de dicho Manual impide establecer la distribución de las funciones, entre los servidores públicos con nivel de mando medio y superior.</w:t>
            </w:r>
          </w:p>
        </w:tc>
      </w:tr>
      <w:tr>
        <w:trPr>
          <w:trHeight w:val="868" w:hRule="exact"/>
        </w:trPr>
        <w:tc>
          <w:tcPr>
            <w:tcW w:w="2987"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7" w:firstLine="1"/>
              <w:rPr>
                <w:sz w:val="10"/>
              </w:rPr>
            </w:pPr>
            <w:r>
              <w:rPr>
                <w:w w:val="165"/>
                <w:sz w:val="10"/>
              </w:rPr>
              <w:t>Para cada objetivo y meta institucional se han identificado y documentado los riesgos que pueden impedir su consecución y se han implementado las acciones que permitan atenuarlos, administrarlos o minimizarlos.</w:t>
            </w:r>
          </w:p>
        </w:tc>
        <w:tc>
          <w:tcPr>
            <w:tcW w:w="2579"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4" w:right="-5"/>
              <w:rPr>
                <w:sz w:val="10"/>
              </w:rPr>
            </w:pPr>
            <w:r>
              <w:rPr>
                <w:w w:val="165"/>
                <w:sz w:val="10"/>
              </w:rPr>
              <w:t>Existen un Código de Ética y otro de Conducta; sin embargo, no están debidamente formalizados.</w:t>
            </w:r>
          </w:p>
        </w:tc>
      </w:tr>
      <w:tr>
        <w:trPr>
          <w:trHeight w:val="889" w:hRule="exact"/>
        </w:trPr>
        <w:tc>
          <w:tcPr>
            <w:tcW w:w="2987"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4"/>
              <w:ind w:left="23" w:right="-12"/>
              <w:rPr>
                <w:sz w:val="10"/>
              </w:rPr>
            </w:pPr>
            <w:r>
              <w:rPr>
                <w:w w:val="165"/>
                <w:sz w:val="10"/>
              </w:rPr>
              <w:t>Existe un informe trimestral sobre el estado que guarda la administración de los riesgos relevantes.</w:t>
            </w:r>
          </w:p>
        </w:tc>
        <w:tc>
          <w:tcPr>
            <w:tcW w:w="2579"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4"/>
              <w:ind w:left="23" w:right="-5"/>
              <w:rPr>
                <w:sz w:val="10"/>
              </w:rPr>
            </w:pPr>
            <w:r>
              <w:rPr>
                <w:w w:val="165"/>
                <w:sz w:val="10"/>
              </w:rPr>
              <w:t>Existe un programa, y se ha impartido capacitación en temas como ética e integridad, Control Interno y su evaluación, administración de riesgos y su evaluación.</w:t>
            </w:r>
          </w:p>
        </w:tc>
      </w:tr>
      <w:tr>
        <w:trPr>
          <w:trHeight w:val="1061" w:hRule="exact"/>
        </w:trPr>
        <w:tc>
          <w:tcPr>
            <w:tcW w:w="2987" w:type="dxa"/>
            <w:tcBorders>
              <w:top w:val="single" w:sz="3" w:space="0" w:color="000000"/>
              <w:left w:val="single" w:sz="5" w:space="0" w:color="000000"/>
              <w:bottom w:val="single" w:sz="3" w:space="0" w:color="000000"/>
              <w:right w:val="single" w:sz="5" w:space="0" w:color="000000"/>
            </w:tcBorders>
          </w:tcPr>
          <w:p>
            <w:pPr/>
          </w:p>
        </w:tc>
        <w:tc>
          <w:tcPr>
            <w:tcW w:w="2579"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3" w:right="-8"/>
              <w:rPr>
                <w:sz w:val="10"/>
              </w:rPr>
            </w:pPr>
            <w:r>
              <w:rPr>
                <w:w w:val="165"/>
                <w:sz w:val="10"/>
              </w:rPr>
              <w:t>No se realizan evaluaciones del sistema de control interno, lo que impide determinar las causas de los problemas y, en consecuencia, no se ha establecido un programa de atención.</w:t>
            </w:r>
          </w:p>
        </w:tc>
      </w:tr>
      <w:tr>
        <w:trPr>
          <w:trHeight w:val="1194" w:hRule="exact"/>
        </w:trPr>
        <w:tc>
          <w:tcPr>
            <w:tcW w:w="2987" w:type="dxa"/>
            <w:tcBorders>
              <w:top w:val="single" w:sz="3" w:space="0" w:color="000000"/>
              <w:left w:val="single" w:sz="5" w:space="0" w:color="000000"/>
              <w:bottom w:val="single" w:sz="3" w:space="0" w:color="000000"/>
              <w:right w:val="single" w:sz="5" w:space="0" w:color="000000"/>
            </w:tcBorders>
          </w:tcPr>
          <w:p>
            <w:pPr/>
          </w:p>
        </w:tc>
        <w:tc>
          <w:tcPr>
            <w:tcW w:w="2579"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2" w:right="4" w:firstLine="2"/>
              <w:rPr>
                <w:sz w:val="10"/>
              </w:rPr>
            </w:pPr>
            <w:r>
              <w:rPr>
                <w:w w:val="165"/>
                <w:sz w:val="10"/>
              </w:rPr>
              <w:t>No existe un programa, ni se ha impartido capacitación en temas como prevención, disuasión, detección y corrección de posibles actos de corrupción; situación que dificulta la actualización profesional del personal.</w:t>
            </w:r>
          </w:p>
        </w:tc>
      </w:tr>
      <w:tr>
        <w:trPr>
          <w:trHeight w:val="337" w:hRule="exact"/>
        </w:trPr>
        <w:tc>
          <w:tcPr>
            <w:tcW w:w="2987" w:type="dxa"/>
            <w:tcBorders>
              <w:top w:val="single" w:sz="3" w:space="0" w:color="000000"/>
              <w:left w:val="single" w:sz="5" w:space="0" w:color="000000"/>
              <w:bottom w:val="single" w:sz="3" w:space="0" w:color="000000"/>
              <w:right w:val="single" w:sz="5" w:space="0" w:color="000000"/>
            </w:tcBorders>
          </w:tcPr>
          <w:p>
            <w:pPr/>
          </w:p>
        </w:tc>
        <w:tc>
          <w:tcPr>
            <w:tcW w:w="2579"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4" w:right="-5"/>
              <w:rPr>
                <w:sz w:val="10"/>
              </w:rPr>
            </w:pPr>
            <w:r>
              <w:rPr>
                <w:w w:val="165"/>
                <w:sz w:val="10"/>
              </w:rPr>
              <w:t>No se llevó a cabo la evaluación los riesgos relevantes.</w:t>
            </w:r>
          </w:p>
        </w:tc>
      </w:tr>
      <w:tr>
        <w:trPr>
          <w:trHeight w:val="849" w:hRule="exact"/>
        </w:trPr>
        <w:tc>
          <w:tcPr>
            <w:tcW w:w="2987" w:type="dxa"/>
            <w:tcBorders>
              <w:top w:val="single" w:sz="3" w:space="0" w:color="000000"/>
              <w:left w:val="single" w:sz="5" w:space="0" w:color="000000"/>
              <w:bottom w:val="single" w:sz="3" w:space="0" w:color="000000"/>
              <w:right w:val="single" w:sz="5" w:space="0" w:color="000000"/>
            </w:tcBorders>
          </w:tcPr>
          <w:p>
            <w:pPr/>
          </w:p>
        </w:tc>
        <w:tc>
          <w:tcPr>
            <w:tcW w:w="2579" w:type="dxa"/>
            <w:tcBorders>
              <w:top w:val="single" w:sz="3" w:space="0" w:color="000000"/>
              <w:left w:val="single" w:sz="5" w:space="0" w:color="000000"/>
              <w:bottom w:val="single" w:sz="3" w:space="0" w:color="000000"/>
              <w:right w:val="single" w:sz="5" w:space="0" w:color="000000"/>
            </w:tcBorders>
          </w:tcPr>
          <w:p>
            <w:pPr>
              <w:pStyle w:val="TableParagraph"/>
              <w:spacing w:line="276" w:lineRule="auto" w:before="3"/>
              <w:ind w:left="23" w:right="4"/>
              <w:rPr>
                <w:sz w:val="10"/>
              </w:rPr>
            </w:pPr>
            <w:r>
              <w:rPr>
                <w:w w:val="165"/>
                <w:sz w:val="10"/>
              </w:rPr>
              <w:t>No se tiene formalmente establecido un procedimiento por el cual se informe a los mandos superiores la existencia o surgimiento de riesgos de fuentes internas o externas.</w:t>
            </w:r>
          </w:p>
        </w:tc>
      </w:tr>
    </w:tbl>
    <w:p>
      <w:pPr>
        <w:spacing w:after="0" w:line="276" w:lineRule="auto"/>
        <w:rPr>
          <w:sz w:val="10"/>
        </w:rPr>
        <w:sectPr>
          <w:pgSz w:w="15840" w:h="12240" w:orient="landscape"/>
          <w:pgMar w:header="0" w:footer="992" w:top="1140" w:bottom="1180" w:left="2260" w:right="226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spacing w:line="240" w:lineRule="auto" w:before="74"/>
        <w:ind w:left="2902" w:right="2945" w:firstLine="0"/>
        <w:jc w:val="both"/>
        <w:rPr>
          <w:b/>
          <w:sz w:val="14"/>
        </w:rPr>
      </w:pPr>
      <w:r>
        <w:rPr/>
        <w:drawing>
          <wp:anchor distT="0" distB="0" distL="0" distR="0" allowOverlap="1" layoutInCell="1" locked="0" behindDoc="1" simplePos="0" relativeHeight="267762167">
            <wp:simplePos x="0" y="0"/>
            <wp:positionH relativeFrom="page">
              <wp:posOffset>3186683</wp:posOffset>
            </wp:positionH>
            <wp:positionV relativeFrom="paragraph">
              <wp:posOffset>50036</wp:posOffset>
            </wp:positionV>
            <wp:extent cx="3657600" cy="480060"/>
            <wp:effectExtent l="0" t="0" r="0" b="0"/>
            <wp:wrapNone/>
            <wp:docPr id="55" name="image144.png" descr=""/>
            <wp:cNvGraphicFramePr>
              <a:graphicFrameLocks noChangeAspect="1"/>
            </wp:cNvGraphicFramePr>
            <a:graphic>
              <a:graphicData uri="http://schemas.openxmlformats.org/drawingml/2006/picture">
                <pic:pic>
                  <pic:nvPicPr>
                    <pic:cNvPr id="56" name="image144.png"/>
                    <pic:cNvPicPr/>
                  </pic:nvPicPr>
                  <pic:blipFill>
                    <a:blip r:embed="rId202" cstate="print"/>
                    <a:stretch>
                      <a:fillRect/>
                    </a:stretch>
                  </pic:blipFill>
                  <pic:spPr>
                    <a:xfrm>
                      <a:off x="0" y="0"/>
                      <a:ext cx="3657600" cy="480060"/>
                    </a:xfrm>
                    <a:prstGeom prst="rect">
                      <a:avLst/>
                    </a:prstGeom>
                  </pic:spPr>
                </pic:pic>
              </a:graphicData>
            </a:graphic>
          </wp:anchor>
        </w:drawing>
      </w:r>
      <w:r>
        <w:rPr>
          <w:b/>
          <w:w w:val="105"/>
          <w:sz w:val="20"/>
        </w:rPr>
        <w:t>Fuente</w:t>
      </w:r>
      <w:r>
        <w:rPr>
          <w:w w:val="105"/>
          <w:sz w:val="20"/>
        </w:rPr>
        <w:t>: Elaboración propia con base en el Informe de Resultados de la Fiscalización Superior de las cuentas </w:t>
      </w:r>
      <w:r>
        <w:rPr>
          <w:w w:val="99"/>
          <w:position w:val="1"/>
          <w:sz w:val="20"/>
        </w:rPr>
        <w:t>p</w:t>
      </w:r>
      <w:r>
        <w:rPr>
          <w:spacing w:val="-1"/>
          <w:w w:val="99"/>
          <w:position w:val="1"/>
          <w:sz w:val="20"/>
        </w:rPr>
        <w:t>ú</w:t>
      </w:r>
      <w:r>
        <w:rPr>
          <w:spacing w:val="1"/>
          <w:w w:val="99"/>
          <w:position w:val="1"/>
          <w:sz w:val="20"/>
        </w:rPr>
        <w:t>b</w:t>
      </w:r>
      <w:r>
        <w:rPr>
          <w:spacing w:val="-1"/>
          <w:w w:val="99"/>
          <w:position w:val="1"/>
          <w:sz w:val="20"/>
        </w:rPr>
        <w:t>li</w:t>
      </w:r>
      <w:r>
        <w:rPr>
          <w:spacing w:val="1"/>
          <w:w w:val="99"/>
          <w:position w:val="1"/>
          <w:sz w:val="20"/>
        </w:rPr>
        <w:t>c</w:t>
      </w:r>
      <w:r>
        <w:rPr>
          <w:w w:val="99"/>
          <w:position w:val="1"/>
          <w:sz w:val="20"/>
        </w:rPr>
        <w:t>as</w:t>
      </w:r>
      <w:r>
        <w:rPr>
          <w:position w:val="1"/>
          <w:sz w:val="20"/>
        </w:rPr>
        <w:t> </w:t>
      </w:r>
      <w:r>
        <w:rPr>
          <w:spacing w:val="1"/>
          <w:w w:val="99"/>
          <w:position w:val="1"/>
          <w:sz w:val="20"/>
        </w:rPr>
        <w:t>2</w:t>
      </w:r>
      <w:r>
        <w:rPr>
          <w:w w:val="99"/>
          <w:position w:val="1"/>
          <w:sz w:val="20"/>
        </w:rPr>
        <w:t>0</w:t>
      </w:r>
      <w:r>
        <w:rPr>
          <w:spacing w:val="-1"/>
          <w:w w:val="99"/>
          <w:position w:val="1"/>
          <w:sz w:val="20"/>
        </w:rPr>
        <w:t>0</w:t>
      </w:r>
      <w:r>
        <w:rPr>
          <w:spacing w:val="1"/>
          <w:w w:val="99"/>
          <w:position w:val="1"/>
          <w:sz w:val="20"/>
        </w:rPr>
        <w:t>8</w:t>
      </w:r>
      <w:r>
        <w:rPr>
          <w:spacing w:val="-12"/>
          <w:w w:val="99"/>
          <w:position w:val="1"/>
          <w:sz w:val="20"/>
        </w:rPr>
        <w:t>-</w:t>
      </w:r>
      <w:r>
        <w:rPr>
          <w:b/>
          <w:spacing w:val="-112"/>
          <w:w w:val="122"/>
          <w:sz w:val="14"/>
        </w:rPr>
        <w:t>C</w:t>
      </w:r>
      <w:r>
        <w:rPr>
          <w:spacing w:val="1"/>
          <w:w w:val="99"/>
          <w:position w:val="1"/>
          <w:sz w:val="20"/>
        </w:rPr>
        <w:t>2</w:t>
      </w:r>
      <w:r>
        <w:rPr>
          <w:spacing w:val="-111"/>
          <w:w w:val="99"/>
          <w:position w:val="1"/>
          <w:sz w:val="20"/>
        </w:rPr>
        <w:t>0</w:t>
      </w:r>
      <w:r>
        <w:rPr>
          <w:b/>
          <w:w w:val="122"/>
          <w:sz w:val="14"/>
        </w:rPr>
        <w:t>a</w:t>
      </w:r>
      <w:r>
        <w:rPr>
          <w:b/>
          <w:spacing w:val="-33"/>
          <w:w w:val="122"/>
          <w:sz w:val="14"/>
        </w:rPr>
        <w:t>l</w:t>
      </w:r>
      <w:r>
        <w:rPr>
          <w:spacing w:val="-79"/>
          <w:w w:val="99"/>
          <w:position w:val="1"/>
          <w:sz w:val="20"/>
        </w:rPr>
        <w:t>1</w:t>
      </w:r>
      <w:r>
        <w:rPr>
          <w:b/>
          <w:w w:val="122"/>
          <w:sz w:val="14"/>
        </w:rPr>
        <w:t>i</w:t>
      </w:r>
      <w:r>
        <w:rPr>
          <w:b/>
          <w:spacing w:val="-77"/>
          <w:w w:val="122"/>
          <w:sz w:val="14"/>
        </w:rPr>
        <w:t>d</w:t>
      </w:r>
      <w:r>
        <w:rPr>
          <w:spacing w:val="-35"/>
          <w:w w:val="99"/>
          <w:position w:val="1"/>
          <w:sz w:val="20"/>
        </w:rPr>
        <w:t>4</w:t>
      </w:r>
      <w:r>
        <w:rPr>
          <w:b/>
          <w:spacing w:val="-60"/>
          <w:w w:val="122"/>
          <w:sz w:val="14"/>
        </w:rPr>
        <w:t>a</w:t>
      </w:r>
      <w:r>
        <w:rPr>
          <w:spacing w:val="3"/>
          <w:w w:val="99"/>
          <w:position w:val="1"/>
          <w:sz w:val="20"/>
        </w:rPr>
        <w:t>.</w:t>
      </w:r>
      <w:r>
        <w:rPr>
          <w:b/>
          <w:w w:val="122"/>
          <w:sz w:val="14"/>
        </w:rPr>
        <w:t>d</w:t>
      </w:r>
      <w:r>
        <w:rPr>
          <w:b/>
          <w:sz w:val="14"/>
        </w:rPr>
        <w:t> </w:t>
      </w:r>
      <w:r>
        <w:rPr>
          <w:b/>
          <w:spacing w:val="-1"/>
          <w:w w:val="122"/>
          <w:sz w:val="14"/>
        </w:rPr>
        <w:t>d</w:t>
      </w:r>
      <w:r>
        <w:rPr>
          <w:b/>
          <w:w w:val="122"/>
          <w:sz w:val="14"/>
        </w:rPr>
        <w:t>e</w:t>
      </w:r>
      <w:r>
        <w:rPr>
          <w:b/>
          <w:sz w:val="14"/>
        </w:rPr>
        <w:t> </w:t>
      </w:r>
      <w:r>
        <w:rPr>
          <w:b/>
          <w:spacing w:val="-1"/>
          <w:w w:val="122"/>
          <w:sz w:val="14"/>
        </w:rPr>
        <w:t>l</w:t>
      </w:r>
      <w:r>
        <w:rPr>
          <w:b/>
          <w:w w:val="122"/>
          <w:sz w:val="14"/>
        </w:rPr>
        <w:t>a</w:t>
      </w:r>
      <w:r>
        <w:rPr>
          <w:b/>
          <w:sz w:val="14"/>
        </w:rPr>
        <w:t> </w:t>
      </w:r>
      <w:r>
        <w:rPr>
          <w:b/>
          <w:spacing w:val="-1"/>
          <w:w w:val="122"/>
          <w:sz w:val="14"/>
        </w:rPr>
        <w:t>G</w:t>
      </w:r>
      <w:r>
        <w:rPr>
          <w:b/>
          <w:w w:val="122"/>
          <w:sz w:val="14"/>
        </w:rPr>
        <w:t>es</w:t>
      </w:r>
      <w:r>
        <w:rPr>
          <w:b/>
          <w:spacing w:val="-1"/>
          <w:w w:val="122"/>
          <w:sz w:val="14"/>
        </w:rPr>
        <w:t>t</w:t>
      </w:r>
      <w:r>
        <w:rPr>
          <w:b/>
          <w:w w:val="122"/>
          <w:sz w:val="14"/>
        </w:rPr>
        <w:t>i</w:t>
      </w:r>
      <w:r>
        <w:rPr>
          <w:b/>
          <w:w w:val="123"/>
          <w:sz w:val="14"/>
        </w:rPr>
        <w:t>ó</w:t>
      </w:r>
      <w:r>
        <w:rPr>
          <w:b/>
          <w:w w:val="122"/>
          <w:sz w:val="14"/>
        </w:rPr>
        <w:t>n</w:t>
      </w:r>
      <w:r>
        <w:rPr>
          <w:b/>
          <w:sz w:val="14"/>
        </w:rPr>
        <w:t> </w:t>
      </w:r>
      <w:r>
        <w:rPr>
          <w:b/>
          <w:spacing w:val="-1"/>
          <w:w w:val="122"/>
          <w:sz w:val="14"/>
        </w:rPr>
        <w:t>G</w:t>
      </w:r>
      <w:r>
        <w:rPr>
          <w:b/>
          <w:w w:val="122"/>
          <w:sz w:val="14"/>
        </w:rPr>
        <w:t>ub</w:t>
      </w:r>
      <w:r>
        <w:rPr>
          <w:b/>
          <w:w w:val="122"/>
          <w:sz w:val="14"/>
        </w:rPr>
        <w:t>e</w:t>
      </w:r>
      <w:r>
        <w:rPr>
          <w:b/>
          <w:spacing w:val="-1"/>
          <w:w w:val="122"/>
          <w:sz w:val="14"/>
        </w:rPr>
        <w:t>r</w:t>
      </w:r>
      <w:r>
        <w:rPr>
          <w:b/>
          <w:w w:val="122"/>
          <w:sz w:val="14"/>
        </w:rPr>
        <w:t>n</w:t>
      </w:r>
      <w:r>
        <w:rPr>
          <w:b/>
          <w:w w:val="122"/>
          <w:sz w:val="14"/>
        </w:rPr>
        <w:t>a</w:t>
      </w:r>
      <w:r>
        <w:rPr>
          <w:b/>
          <w:w w:val="122"/>
          <w:sz w:val="14"/>
        </w:rPr>
        <w:t>m</w:t>
      </w:r>
      <w:r>
        <w:rPr>
          <w:b/>
          <w:spacing w:val="-1"/>
          <w:w w:val="122"/>
          <w:sz w:val="14"/>
        </w:rPr>
        <w:t>e</w:t>
      </w:r>
      <w:r>
        <w:rPr>
          <w:b/>
          <w:w w:val="122"/>
          <w:sz w:val="14"/>
        </w:rPr>
        <w:t>n</w:t>
      </w:r>
      <w:r>
        <w:rPr>
          <w:b/>
          <w:spacing w:val="-1"/>
          <w:w w:val="122"/>
          <w:sz w:val="14"/>
        </w:rPr>
        <w:t>t</w:t>
      </w:r>
      <w:r>
        <w:rPr>
          <w:b/>
          <w:w w:val="122"/>
          <w:sz w:val="14"/>
        </w:rPr>
        <w:t>a</w:t>
      </w:r>
      <w:r>
        <w:rPr>
          <w:b/>
          <w:w w:val="122"/>
          <w:sz w:val="14"/>
        </w:rPr>
        <w:t>l</w:t>
      </w:r>
    </w:p>
    <w:p>
      <w:pPr>
        <w:spacing w:line="139" w:lineRule="exact" w:before="18"/>
        <w:ind w:left="119" w:right="0" w:firstLine="0"/>
        <w:jc w:val="center"/>
        <w:rPr>
          <w:b/>
          <w:sz w:val="14"/>
        </w:rPr>
      </w:pPr>
      <w:r>
        <w:rPr>
          <w:b/>
          <w:w w:val="125"/>
          <w:sz w:val="14"/>
        </w:rPr>
        <w:t>Controles Internos (Manejo y Aplicación)</w:t>
      </w:r>
    </w:p>
    <w:p>
      <w:pPr>
        <w:tabs>
          <w:tab w:pos="1563" w:val="left" w:leader="none"/>
          <w:tab w:pos="5957" w:val="left" w:leader="none"/>
        </w:tabs>
        <w:spacing w:line="254" w:lineRule="exact" w:before="0"/>
        <w:ind w:left="113" w:right="0" w:firstLine="0"/>
        <w:jc w:val="center"/>
        <w:rPr>
          <w:b/>
          <w:sz w:val="14"/>
        </w:rPr>
      </w:pPr>
      <w:r>
        <w:rPr>
          <w:w w:val="100"/>
          <w:position w:val="-2"/>
          <w:sz w:val="24"/>
          <w:u w:val="single"/>
        </w:rPr>
        <w:t> </w:t>
      </w:r>
      <w:r>
        <w:rPr>
          <w:spacing w:val="-26"/>
          <w:position w:val="-2"/>
          <w:sz w:val="24"/>
          <w:u w:val="single"/>
        </w:rPr>
        <w:t> </w:t>
      </w:r>
      <w:r>
        <w:rPr>
          <w:w w:val="110"/>
          <w:position w:val="-2"/>
          <w:sz w:val="24"/>
          <w:u w:val="single"/>
        </w:rPr>
        <w:t>Anexo</w:t>
      </w:r>
      <w:r>
        <w:rPr>
          <w:spacing w:val="-42"/>
          <w:w w:val="110"/>
          <w:position w:val="-2"/>
          <w:sz w:val="24"/>
          <w:u w:val="single"/>
        </w:rPr>
        <w:t> </w:t>
      </w:r>
      <w:r>
        <w:rPr>
          <w:w w:val="110"/>
          <w:position w:val="-2"/>
          <w:sz w:val="24"/>
          <w:u w:val="single"/>
        </w:rPr>
        <w:t>74.</w:t>
        <w:tab/>
      </w:r>
      <w:r>
        <w:rPr>
          <w:b/>
          <w:w w:val="115"/>
          <w:sz w:val="14"/>
          <w:u w:val="single"/>
        </w:rPr>
        <w:t>Temascaltepec  Ejercicio  Fiscal </w:t>
      </w:r>
      <w:r>
        <w:rPr>
          <w:b/>
          <w:spacing w:val="32"/>
          <w:w w:val="115"/>
          <w:sz w:val="14"/>
          <w:u w:val="single"/>
        </w:rPr>
        <w:t> </w:t>
      </w:r>
      <w:r>
        <w:rPr>
          <w:b/>
          <w:w w:val="115"/>
          <w:sz w:val="14"/>
          <w:u w:val="single"/>
        </w:rPr>
        <w:t>2013</w:t>
      </w:r>
      <w:r>
        <w:rPr>
          <w:b/>
          <w:sz w:val="14"/>
          <w:u w:val="single"/>
        </w:rPr>
        <w:tab/>
      </w:r>
    </w:p>
    <w:p>
      <w:pPr>
        <w:pStyle w:val="BodyText"/>
        <w:spacing w:before="9"/>
        <w:rPr>
          <w:b/>
          <w:sz w:val="27"/>
        </w:rPr>
      </w:pPr>
    </w:p>
    <w:tbl>
      <w:tblPr>
        <w:tblW w:w="0" w:type="auto"/>
        <w:jc w:val="left"/>
        <w:tblInd w:w="27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3"/>
        <w:gridCol w:w="2727"/>
      </w:tblGrid>
      <w:tr>
        <w:trPr>
          <w:trHeight w:val="181" w:hRule="exact"/>
        </w:trPr>
        <w:tc>
          <w:tcPr>
            <w:tcW w:w="5840" w:type="dxa"/>
            <w:gridSpan w:val="2"/>
            <w:tcBorders>
              <w:left w:val="single" w:sz="5" w:space="0" w:color="000000"/>
              <w:right w:val="single" w:sz="5" w:space="0" w:color="000000"/>
            </w:tcBorders>
            <w:shd w:val="clear" w:color="auto" w:fill="E6B8B7"/>
          </w:tcPr>
          <w:p>
            <w:pPr>
              <w:pStyle w:val="TableParagraph"/>
              <w:spacing w:before="1"/>
              <w:ind w:left="2690" w:right="2679"/>
              <w:jc w:val="center"/>
              <w:rPr>
                <w:b/>
                <w:sz w:val="14"/>
              </w:rPr>
            </w:pPr>
            <w:r>
              <w:rPr>
                <w:b/>
                <w:w w:val="125"/>
                <w:sz w:val="14"/>
              </w:rPr>
              <w:t>FISM</w:t>
            </w:r>
          </w:p>
        </w:tc>
      </w:tr>
      <w:tr>
        <w:trPr>
          <w:trHeight w:val="182" w:hRule="exact"/>
        </w:trPr>
        <w:tc>
          <w:tcPr>
            <w:tcW w:w="3113" w:type="dxa"/>
            <w:tcBorders>
              <w:left w:val="single" w:sz="5" w:space="0" w:color="000000"/>
              <w:right w:val="single" w:sz="5" w:space="0" w:color="000000"/>
            </w:tcBorders>
            <w:shd w:val="clear" w:color="auto" w:fill="F1DCDB"/>
          </w:tcPr>
          <w:p>
            <w:pPr>
              <w:pStyle w:val="TableParagraph"/>
              <w:spacing w:before="2"/>
              <w:ind w:left="1103" w:right="1091"/>
              <w:jc w:val="center"/>
              <w:rPr>
                <w:b/>
                <w:sz w:val="14"/>
              </w:rPr>
            </w:pPr>
            <w:r>
              <w:rPr>
                <w:b/>
                <w:w w:val="125"/>
                <w:sz w:val="14"/>
              </w:rPr>
              <w:t>Fortalezas</w:t>
            </w:r>
          </w:p>
        </w:tc>
        <w:tc>
          <w:tcPr>
            <w:tcW w:w="2727" w:type="dxa"/>
            <w:tcBorders>
              <w:left w:val="single" w:sz="5" w:space="0" w:color="000000"/>
              <w:right w:val="single" w:sz="5" w:space="0" w:color="000000"/>
            </w:tcBorders>
            <w:shd w:val="clear" w:color="auto" w:fill="F1DCDB"/>
          </w:tcPr>
          <w:p>
            <w:pPr>
              <w:pStyle w:val="TableParagraph"/>
              <w:spacing w:before="2"/>
              <w:ind w:left="879" w:right="15"/>
              <w:rPr>
                <w:b/>
                <w:sz w:val="14"/>
              </w:rPr>
            </w:pPr>
            <w:r>
              <w:rPr>
                <w:b/>
                <w:w w:val="125"/>
                <w:sz w:val="14"/>
              </w:rPr>
              <w:t>Debilidades</w:t>
            </w:r>
          </w:p>
        </w:tc>
      </w:tr>
      <w:tr>
        <w:trPr>
          <w:trHeight w:val="1632" w:hRule="exact"/>
        </w:trPr>
        <w:tc>
          <w:tcPr>
            <w:tcW w:w="3113" w:type="dxa"/>
            <w:tcBorders>
              <w:left w:val="single" w:sz="5" w:space="0" w:color="000000"/>
              <w:right w:val="single" w:sz="5" w:space="0" w:color="000000"/>
            </w:tcBorders>
          </w:tcPr>
          <w:p>
            <w:pPr/>
          </w:p>
        </w:tc>
        <w:tc>
          <w:tcPr>
            <w:tcW w:w="2727" w:type="dxa"/>
            <w:tcBorders>
              <w:left w:val="single" w:sz="5" w:space="0" w:color="000000"/>
              <w:right w:val="single" w:sz="5" w:space="0" w:color="000000"/>
            </w:tcBorders>
          </w:tcPr>
          <w:p>
            <w:pPr>
              <w:pStyle w:val="TableParagraph"/>
              <w:spacing w:line="271" w:lineRule="auto" w:before="2"/>
              <w:ind w:left="23" w:right="15" w:firstLine="1"/>
              <w:rPr>
                <w:sz w:val="14"/>
              </w:rPr>
            </w:pPr>
            <w:r>
              <w:rPr>
                <w:w w:val="125"/>
                <w:sz w:val="14"/>
              </w:rPr>
              <w:t>El municipio no cuenta con Manuales de Procedimientos para el fondo, lo cual impide precisar las actividades que deben realizarse para cumplir debidamente con cada una de las funciones que demandan los puestos a desempeñar.</w:t>
            </w:r>
          </w:p>
        </w:tc>
      </w:tr>
      <w:tr>
        <w:trPr>
          <w:trHeight w:val="544" w:hRule="exact"/>
        </w:trPr>
        <w:tc>
          <w:tcPr>
            <w:tcW w:w="3113" w:type="dxa"/>
            <w:tcBorders>
              <w:left w:val="single" w:sz="5" w:space="0" w:color="000000"/>
              <w:right w:val="single" w:sz="5" w:space="0" w:color="000000"/>
            </w:tcBorders>
          </w:tcPr>
          <w:p>
            <w:pPr/>
          </w:p>
        </w:tc>
        <w:tc>
          <w:tcPr>
            <w:tcW w:w="2727" w:type="dxa"/>
            <w:tcBorders>
              <w:left w:val="single" w:sz="5" w:space="0" w:color="000000"/>
              <w:right w:val="single" w:sz="5" w:space="0" w:color="000000"/>
            </w:tcBorders>
          </w:tcPr>
          <w:p>
            <w:pPr>
              <w:pStyle w:val="TableParagraph"/>
              <w:spacing w:line="268" w:lineRule="auto" w:before="3"/>
              <w:ind w:left="24" w:right="-15"/>
              <w:rPr>
                <w:sz w:val="14"/>
              </w:rPr>
            </w:pPr>
            <w:r>
              <w:rPr>
                <w:w w:val="125"/>
                <w:sz w:val="14"/>
              </w:rPr>
              <w:t>No existe un Código de Ética ni de Conducta.</w:t>
            </w:r>
          </w:p>
        </w:tc>
      </w:tr>
      <w:tr>
        <w:trPr>
          <w:trHeight w:val="1270" w:hRule="exact"/>
        </w:trPr>
        <w:tc>
          <w:tcPr>
            <w:tcW w:w="3113" w:type="dxa"/>
            <w:tcBorders>
              <w:left w:val="single" w:sz="5" w:space="0" w:color="000000"/>
              <w:right w:val="single" w:sz="5" w:space="0" w:color="000000"/>
            </w:tcBorders>
          </w:tcPr>
          <w:p>
            <w:pPr/>
          </w:p>
        </w:tc>
        <w:tc>
          <w:tcPr>
            <w:tcW w:w="2727" w:type="dxa"/>
            <w:tcBorders>
              <w:left w:val="single" w:sz="5" w:space="0" w:color="000000"/>
              <w:right w:val="single" w:sz="5" w:space="0" w:color="000000"/>
            </w:tcBorders>
          </w:tcPr>
          <w:p>
            <w:pPr>
              <w:pStyle w:val="TableParagraph"/>
              <w:spacing w:line="271" w:lineRule="auto" w:before="2"/>
              <w:ind w:left="24" w:right="-15"/>
              <w:rPr>
                <w:sz w:val="14"/>
              </w:rPr>
            </w:pPr>
            <w:r>
              <w:rPr>
                <w:w w:val="125"/>
                <w:sz w:val="14"/>
              </w:rPr>
              <w:t>No se realizan evaluaciones del sistema de control interno, lo que impide determinar las causas de los problemas y, en consecuencia, no se ha establecido un programa de atención.</w:t>
            </w:r>
          </w:p>
        </w:tc>
      </w:tr>
      <w:tr>
        <w:trPr>
          <w:trHeight w:val="1595" w:hRule="exact"/>
        </w:trPr>
        <w:tc>
          <w:tcPr>
            <w:tcW w:w="3113" w:type="dxa"/>
            <w:tcBorders>
              <w:left w:val="single" w:sz="5" w:space="0" w:color="000000"/>
              <w:right w:val="single" w:sz="5" w:space="0" w:color="000000"/>
            </w:tcBorders>
          </w:tcPr>
          <w:p>
            <w:pPr/>
          </w:p>
        </w:tc>
        <w:tc>
          <w:tcPr>
            <w:tcW w:w="2727" w:type="dxa"/>
            <w:tcBorders>
              <w:left w:val="single" w:sz="5" w:space="0" w:color="000000"/>
              <w:right w:val="single" w:sz="5" w:space="0" w:color="000000"/>
            </w:tcBorders>
          </w:tcPr>
          <w:p>
            <w:pPr>
              <w:pStyle w:val="TableParagraph"/>
              <w:spacing w:line="271" w:lineRule="auto" w:before="3"/>
              <w:ind w:left="22" w:right="7" w:firstLine="2"/>
              <w:rPr>
                <w:sz w:val="14"/>
              </w:rPr>
            </w:pPr>
            <w:r>
              <w:rPr>
                <w:w w:val="125"/>
                <w:sz w:val="14"/>
              </w:rPr>
              <w:t>No se dispone de un programa, ni se ha impartido capacitación en temas como transparencia, ética, comunicación, servicio público, riesgos y administración, situación que dificulta la actualización profesional del personal.</w:t>
            </w:r>
          </w:p>
        </w:tc>
      </w:tr>
      <w:tr>
        <w:trPr>
          <w:trHeight w:val="1089" w:hRule="exact"/>
        </w:trPr>
        <w:tc>
          <w:tcPr>
            <w:tcW w:w="3113" w:type="dxa"/>
            <w:tcBorders>
              <w:left w:val="single" w:sz="5" w:space="0" w:color="000000"/>
              <w:right w:val="single" w:sz="5" w:space="0" w:color="000000"/>
            </w:tcBorders>
          </w:tcPr>
          <w:p>
            <w:pPr/>
          </w:p>
        </w:tc>
        <w:tc>
          <w:tcPr>
            <w:tcW w:w="2727" w:type="dxa"/>
            <w:tcBorders>
              <w:left w:val="single" w:sz="5" w:space="0" w:color="000000"/>
              <w:right w:val="single" w:sz="5" w:space="0" w:color="000000"/>
            </w:tcBorders>
          </w:tcPr>
          <w:p>
            <w:pPr>
              <w:pStyle w:val="TableParagraph"/>
              <w:spacing w:line="271" w:lineRule="auto" w:before="2"/>
              <w:ind w:left="22" w:right="15" w:firstLine="2"/>
              <w:rPr>
                <w:sz w:val="14"/>
              </w:rPr>
            </w:pPr>
            <w:r>
              <w:rPr>
                <w:w w:val="125"/>
                <w:sz w:val="14"/>
              </w:rPr>
              <w:t>No se dispone de una Planeación Estratégica que establezca las acciones que permitan la consecución de los objetivos y </w:t>
            </w:r>
            <w:r>
              <w:rPr>
                <w:w w:val="120"/>
                <w:sz w:val="14"/>
              </w:rPr>
              <w:t>metas institucionales.</w:t>
            </w:r>
          </w:p>
        </w:tc>
      </w:tr>
    </w:tbl>
    <w:p>
      <w:pPr>
        <w:spacing w:after="0" w:line="271" w:lineRule="auto"/>
        <w:rPr>
          <w:sz w:val="14"/>
        </w:rPr>
        <w:sectPr>
          <w:pgSz w:w="15840" w:h="12240" w:orient="landscape"/>
          <w:pgMar w:header="0" w:footer="992" w:top="1140" w:bottom="1180" w:left="2260" w:right="2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5"/>
        </w:rPr>
      </w:pPr>
    </w:p>
    <w:p>
      <w:pPr>
        <w:pStyle w:val="BodyText"/>
        <w:ind w:left="2758"/>
        <w:rPr>
          <w:rFonts w:ascii="Times New Roman"/>
          <w:sz w:val="20"/>
        </w:rPr>
      </w:pPr>
      <w:r>
        <w:rPr>
          <w:rFonts w:ascii="Times New Roman"/>
          <w:sz w:val="20"/>
        </w:rPr>
        <w:pict>
          <v:group style="width:288pt;height:40.7pt;mso-position-horizontal-relative:char;mso-position-vertical-relative:line" coordorigin="0,0" coordsize="5760,814">
            <v:shape style="position:absolute;left:0;top:0;width:5760;height:814" type="#_x0000_t75" stroked="false">
              <v:imagedata r:id="rId203" o:title=""/>
            </v:shape>
            <v:shape style="position:absolute;left:144;top:21;width:5470;height:543" type="#_x0000_t202" filled="false" stroked="false">
              <v:textbox inset="0,0,0,0">
                <w:txbxContent>
                  <w:p>
                    <w:pPr>
                      <w:spacing w:line="204" w:lineRule="exact" w:before="0"/>
                      <w:ind w:left="0" w:right="-7" w:firstLine="0"/>
                      <w:jc w:val="left"/>
                      <w:rPr>
                        <w:sz w:val="20"/>
                      </w:rPr>
                    </w:pPr>
                    <w:r>
                      <w:rPr>
                        <w:b/>
                        <w:sz w:val="20"/>
                      </w:rPr>
                      <w:t>Fuente</w:t>
                    </w:r>
                    <w:r>
                      <w:rPr>
                        <w:sz w:val="20"/>
                      </w:rPr>
                      <w:t>:  Elaboración  propia  con  base  en  el  Informe     de</w:t>
                    </w:r>
                  </w:p>
                  <w:p>
                    <w:pPr>
                      <w:spacing w:line="226" w:lineRule="exact" w:before="3"/>
                      <w:ind w:left="0" w:right="-7" w:firstLine="0"/>
                      <w:jc w:val="left"/>
                      <w:rPr>
                        <w:sz w:val="20"/>
                      </w:rPr>
                    </w:pPr>
                    <w:r>
                      <w:rPr>
                        <w:w w:val="99"/>
                        <w:sz w:val="20"/>
                      </w:rPr>
                      <w:t>Res</w:t>
                    </w:r>
                    <w:r>
                      <w:rPr>
                        <w:w w:val="99"/>
                        <w:sz w:val="20"/>
                      </w:rPr>
                      <w:t>u</w:t>
                    </w:r>
                    <w:r>
                      <w:rPr>
                        <w:spacing w:val="-2"/>
                        <w:w w:val="99"/>
                        <w:sz w:val="20"/>
                      </w:rPr>
                      <w:t>l</w:t>
                    </w:r>
                    <w:r>
                      <w:rPr>
                        <w:spacing w:val="2"/>
                        <w:w w:val="99"/>
                        <w:sz w:val="20"/>
                      </w:rPr>
                      <w:t>t</w:t>
                    </w:r>
                    <w:r>
                      <w:rPr>
                        <w:w w:val="99"/>
                        <w:sz w:val="20"/>
                      </w:rPr>
                      <w:t>a</w:t>
                    </w:r>
                    <w:r>
                      <w:rPr>
                        <w:spacing w:val="-1"/>
                        <w:w w:val="99"/>
                        <w:sz w:val="20"/>
                      </w:rPr>
                      <w:t>d</w:t>
                    </w:r>
                    <w:r>
                      <w:rPr>
                        <w:w w:val="99"/>
                        <w:sz w:val="20"/>
                      </w:rPr>
                      <w:t>os</w:t>
                    </w:r>
                    <w:r>
                      <w:rPr>
                        <w:sz w:val="20"/>
                      </w:rPr>
                      <w:t>  </w:t>
                    </w:r>
                    <w:r>
                      <w:rPr>
                        <w:spacing w:val="-20"/>
                        <w:sz w:val="20"/>
                      </w:rPr>
                      <w:t> </w:t>
                    </w:r>
                    <w:r>
                      <w:rPr>
                        <w:spacing w:val="-59"/>
                        <w:w w:val="99"/>
                        <w:sz w:val="20"/>
                      </w:rPr>
                      <w:t>d</w:t>
                    </w:r>
                    <w:r>
                      <w:rPr>
                        <w:b/>
                        <w:spacing w:val="-82"/>
                        <w:w w:val="194"/>
                        <w:position w:val="1"/>
                        <w:sz w:val="10"/>
                      </w:rPr>
                      <w:t>C</w:t>
                    </w:r>
                    <w:r>
                      <w:rPr>
                        <w:spacing w:val="-30"/>
                        <w:w w:val="99"/>
                        <w:sz w:val="20"/>
                      </w:rPr>
                      <w:t>e</w:t>
                    </w:r>
                    <w:r>
                      <w:rPr>
                        <w:b/>
                        <w:w w:val="194"/>
                        <w:position w:val="1"/>
                        <w:sz w:val="10"/>
                      </w:rPr>
                      <w:t>a</w:t>
                    </w:r>
                    <w:r>
                      <w:rPr>
                        <w:b/>
                        <w:w w:val="194"/>
                        <w:position w:val="1"/>
                        <w:sz w:val="10"/>
                      </w:rPr>
                      <w:t>l</w:t>
                    </w:r>
                    <w:r>
                      <w:rPr>
                        <w:b/>
                        <w:spacing w:val="-42"/>
                        <w:w w:val="194"/>
                        <w:position w:val="1"/>
                        <w:sz w:val="10"/>
                      </w:rPr>
                      <w:t>i</w:t>
                    </w:r>
                    <w:r>
                      <w:rPr>
                        <w:spacing w:val="-3"/>
                        <w:w w:val="99"/>
                        <w:sz w:val="20"/>
                      </w:rPr>
                      <w:t>l</w:t>
                    </w:r>
                    <w:r>
                      <w:rPr>
                        <w:b/>
                        <w:spacing w:val="-117"/>
                        <w:w w:val="194"/>
                        <w:position w:val="1"/>
                        <w:sz w:val="10"/>
                      </w:rPr>
                      <w:t>d</w:t>
                    </w:r>
                    <w:r>
                      <w:rPr>
                        <w:spacing w:val="6"/>
                        <w:w w:val="99"/>
                        <w:sz w:val="20"/>
                      </w:rPr>
                      <w:t>a</w:t>
                    </w:r>
                    <w:r>
                      <w:rPr>
                        <w:b/>
                        <w:w w:val="194"/>
                        <w:position w:val="1"/>
                        <w:sz w:val="10"/>
                      </w:rPr>
                      <w:t>a</w:t>
                    </w:r>
                    <w:r>
                      <w:rPr>
                        <w:b/>
                        <w:spacing w:val="-88"/>
                        <w:w w:val="194"/>
                        <w:position w:val="1"/>
                        <w:sz w:val="10"/>
                      </w:rPr>
                      <w:t>d</w:t>
                    </w:r>
                    <w:r>
                      <w:rPr>
                        <w:w w:val="99"/>
                        <w:sz w:val="20"/>
                      </w:rPr>
                      <w:t>F</w:t>
                    </w:r>
                    <w:r>
                      <w:rPr>
                        <w:spacing w:val="-25"/>
                        <w:w w:val="99"/>
                        <w:sz w:val="20"/>
                      </w:rPr>
                      <w:t>i</w:t>
                    </w:r>
                    <w:r>
                      <w:rPr>
                        <w:b/>
                        <w:spacing w:val="-96"/>
                        <w:w w:val="194"/>
                        <w:position w:val="1"/>
                        <w:sz w:val="10"/>
                      </w:rPr>
                      <w:t>d</w:t>
                    </w:r>
                    <w:r>
                      <w:rPr>
                        <w:spacing w:val="-5"/>
                        <w:w w:val="99"/>
                        <w:sz w:val="20"/>
                      </w:rPr>
                      <w:t>s</w:t>
                    </w:r>
                    <w:r>
                      <w:rPr>
                        <w:b/>
                        <w:spacing w:val="-103"/>
                        <w:w w:val="194"/>
                        <w:position w:val="1"/>
                        <w:sz w:val="10"/>
                      </w:rPr>
                      <w:t>e</w:t>
                    </w:r>
                    <w:r>
                      <w:rPr>
                        <w:spacing w:val="1"/>
                        <w:w w:val="99"/>
                        <w:sz w:val="20"/>
                      </w:rPr>
                      <w:t>c</w:t>
                    </w:r>
                    <w:r>
                      <w:rPr>
                        <w:spacing w:val="-55"/>
                        <w:w w:val="99"/>
                        <w:sz w:val="20"/>
                      </w:rPr>
                      <w:t>a</w:t>
                    </w:r>
                    <w:r>
                      <w:rPr>
                        <w:b/>
                        <w:w w:val="194"/>
                        <w:position w:val="1"/>
                        <w:sz w:val="10"/>
                      </w:rPr>
                      <w:t>l</w:t>
                    </w:r>
                    <w:r>
                      <w:rPr>
                        <w:spacing w:val="-45"/>
                        <w:w w:val="99"/>
                        <w:sz w:val="20"/>
                      </w:rPr>
                      <w:t>l</w:t>
                    </w:r>
                    <w:r>
                      <w:rPr>
                        <w:b/>
                        <w:spacing w:val="-64"/>
                        <w:w w:val="194"/>
                        <w:position w:val="1"/>
                        <w:sz w:val="10"/>
                      </w:rPr>
                      <w:t>a</w:t>
                    </w:r>
                    <w:r>
                      <w:rPr>
                        <w:spacing w:val="4"/>
                        <w:w w:val="99"/>
                        <w:sz w:val="20"/>
                      </w:rPr>
                      <w:t>i</w:t>
                    </w:r>
                    <w:r>
                      <w:rPr>
                        <w:spacing w:val="-32"/>
                        <w:w w:val="99"/>
                        <w:sz w:val="20"/>
                      </w:rPr>
                      <w:t>z</w:t>
                    </w:r>
                    <w:r>
                      <w:rPr>
                        <w:b/>
                        <w:spacing w:val="-121"/>
                        <w:w w:val="194"/>
                        <w:position w:val="1"/>
                        <w:sz w:val="10"/>
                      </w:rPr>
                      <w:t>G</w:t>
                    </w:r>
                    <w:r>
                      <w:rPr>
                        <w:w w:val="99"/>
                        <w:sz w:val="20"/>
                      </w:rPr>
                      <w:t>a</w:t>
                    </w:r>
                    <w:r>
                      <w:rPr>
                        <w:spacing w:val="-91"/>
                        <w:w w:val="99"/>
                        <w:sz w:val="20"/>
                      </w:rPr>
                      <w:t>c</w:t>
                    </w:r>
                    <w:r>
                      <w:rPr>
                        <w:b/>
                        <w:spacing w:val="-18"/>
                        <w:w w:val="194"/>
                        <w:position w:val="1"/>
                        <w:sz w:val="10"/>
                      </w:rPr>
                      <w:t>e</w:t>
                    </w:r>
                    <w:r>
                      <w:rPr>
                        <w:spacing w:val="-27"/>
                        <w:w w:val="99"/>
                        <w:sz w:val="20"/>
                      </w:rPr>
                      <w:t>i</w:t>
                    </w:r>
                    <w:r>
                      <w:rPr>
                        <w:b/>
                        <w:spacing w:val="-81"/>
                        <w:w w:val="194"/>
                        <w:position w:val="1"/>
                        <w:sz w:val="10"/>
                      </w:rPr>
                      <w:t>s</w:t>
                    </w:r>
                    <w:r>
                      <w:rPr>
                        <w:spacing w:val="-31"/>
                        <w:w w:val="99"/>
                        <w:sz w:val="20"/>
                      </w:rPr>
                      <w:t>ó</w:t>
                    </w:r>
                    <w:r>
                      <w:rPr>
                        <w:b/>
                        <w:spacing w:val="-35"/>
                        <w:w w:val="194"/>
                        <w:position w:val="1"/>
                        <w:sz w:val="10"/>
                      </w:rPr>
                      <w:t>t</w:t>
                    </w:r>
                    <w:r>
                      <w:rPr>
                        <w:spacing w:val="-77"/>
                        <w:w w:val="99"/>
                        <w:sz w:val="20"/>
                      </w:rPr>
                      <w:t>n</w:t>
                    </w:r>
                    <w:r>
                      <w:rPr>
                        <w:b/>
                        <w:w w:val="194"/>
                        <w:position w:val="1"/>
                        <w:sz w:val="10"/>
                      </w:rPr>
                      <w:t>i</w:t>
                    </w:r>
                    <w:r>
                      <w:rPr>
                        <w:b/>
                        <w:w w:val="194"/>
                        <w:position w:val="1"/>
                        <w:sz w:val="10"/>
                      </w:rPr>
                      <w:t>ó</w:t>
                    </w:r>
                    <w:r>
                      <w:rPr>
                        <w:b/>
                        <w:spacing w:val="-71"/>
                        <w:w w:val="194"/>
                        <w:position w:val="1"/>
                        <w:sz w:val="10"/>
                      </w:rPr>
                      <w:t>n</w:t>
                    </w:r>
                    <w:r>
                      <w:rPr>
                        <w:spacing w:val="-9"/>
                        <w:w w:val="99"/>
                        <w:sz w:val="20"/>
                      </w:rPr>
                      <w:t>S</w:t>
                    </w:r>
                    <w:r>
                      <w:rPr>
                        <w:b/>
                        <w:spacing w:val="-144"/>
                        <w:w w:val="194"/>
                        <w:position w:val="1"/>
                        <w:sz w:val="10"/>
                      </w:rPr>
                      <w:t>G</w:t>
                    </w:r>
                    <w:r>
                      <w:rPr>
                        <w:spacing w:val="1"/>
                        <w:w w:val="99"/>
                        <w:sz w:val="20"/>
                      </w:rPr>
                      <w:t>u</w:t>
                    </w:r>
                    <w:r>
                      <w:rPr>
                        <w:spacing w:val="-80"/>
                        <w:w w:val="99"/>
                        <w:sz w:val="20"/>
                      </w:rPr>
                      <w:t>p</w:t>
                    </w:r>
                    <w:r>
                      <w:rPr>
                        <w:b/>
                        <w:spacing w:val="-40"/>
                        <w:w w:val="194"/>
                        <w:position w:val="1"/>
                        <w:sz w:val="10"/>
                      </w:rPr>
                      <w:t>u</w:t>
                    </w:r>
                    <w:r>
                      <w:rPr>
                        <w:spacing w:val="-73"/>
                        <w:w w:val="99"/>
                        <w:sz w:val="20"/>
                      </w:rPr>
                      <w:t>e</w:t>
                    </w:r>
                    <w:r>
                      <w:rPr>
                        <w:b/>
                        <w:spacing w:val="-48"/>
                        <w:w w:val="194"/>
                        <w:position w:val="1"/>
                        <w:sz w:val="10"/>
                      </w:rPr>
                      <w:t>b</w:t>
                    </w:r>
                    <w:r>
                      <w:rPr>
                        <w:spacing w:val="-19"/>
                        <w:w w:val="99"/>
                        <w:sz w:val="20"/>
                      </w:rPr>
                      <w:t>r</w:t>
                    </w:r>
                    <w:r>
                      <w:rPr>
                        <w:b/>
                        <w:spacing w:val="-89"/>
                        <w:w w:val="194"/>
                        <w:position w:val="1"/>
                        <w:sz w:val="10"/>
                      </w:rPr>
                      <w:t>e</w:t>
                    </w:r>
                    <w:r>
                      <w:rPr>
                        <w:spacing w:val="1"/>
                        <w:w w:val="99"/>
                        <w:sz w:val="20"/>
                      </w:rPr>
                      <w:t>i</w:t>
                    </w:r>
                    <w:r>
                      <w:rPr>
                        <w:spacing w:val="-68"/>
                        <w:w w:val="99"/>
                        <w:sz w:val="20"/>
                      </w:rPr>
                      <w:t>o</w:t>
                    </w:r>
                    <w:r>
                      <w:rPr>
                        <w:b/>
                        <w:spacing w:val="-9"/>
                        <w:w w:val="194"/>
                        <w:position w:val="1"/>
                        <w:sz w:val="10"/>
                      </w:rPr>
                      <w:t>r</w:t>
                    </w:r>
                    <w:r>
                      <w:rPr>
                        <w:spacing w:val="-59"/>
                        <w:w w:val="99"/>
                        <w:sz w:val="20"/>
                      </w:rPr>
                      <w:t>r</w:t>
                    </w:r>
                    <w:r>
                      <w:rPr>
                        <w:b/>
                        <w:w w:val="194"/>
                        <w:position w:val="1"/>
                        <w:sz w:val="10"/>
                      </w:rPr>
                      <w:t>n</w:t>
                    </w:r>
                    <w:r>
                      <w:rPr>
                        <w:b/>
                        <w:spacing w:val="-26"/>
                        <w:w w:val="194"/>
                        <w:position w:val="1"/>
                        <w:sz w:val="10"/>
                      </w:rPr>
                      <w:t>a</w:t>
                    </w:r>
                    <w:r>
                      <w:rPr>
                        <w:spacing w:val="-86"/>
                        <w:w w:val="99"/>
                        <w:sz w:val="20"/>
                      </w:rPr>
                      <w:t>d</w:t>
                    </w:r>
                    <w:r>
                      <w:rPr>
                        <w:b/>
                        <w:spacing w:val="-88"/>
                        <w:w w:val="194"/>
                        <w:position w:val="1"/>
                        <w:sz w:val="10"/>
                      </w:rPr>
                      <w:t>m</w:t>
                    </w:r>
                    <w:r>
                      <w:rPr>
                        <w:spacing w:val="-25"/>
                        <w:w w:val="99"/>
                        <w:sz w:val="20"/>
                      </w:rPr>
                      <w:t>e</w:t>
                    </w:r>
                    <w:r>
                      <w:rPr>
                        <w:b/>
                        <w:w w:val="194"/>
                        <w:position w:val="1"/>
                        <w:sz w:val="10"/>
                      </w:rPr>
                      <w:t>e</w:t>
                    </w:r>
                    <w:r>
                      <w:rPr>
                        <w:b/>
                        <w:spacing w:val="-59"/>
                        <w:w w:val="194"/>
                        <w:position w:val="1"/>
                        <w:sz w:val="10"/>
                      </w:rPr>
                      <w:t>n</w:t>
                    </w:r>
                    <w:r>
                      <w:rPr>
                        <w:spacing w:val="1"/>
                        <w:w w:val="99"/>
                        <w:sz w:val="20"/>
                      </w:rPr>
                      <w:t>l</w:t>
                    </w:r>
                    <w:r>
                      <w:rPr>
                        <w:spacing w:val="-98"/>
                        <w:w w:val="99"/>
                        <w:sz w:val="20"/>
                      </w:rPr>
                      <w:t>a</w:t>
                    </w:r>
                    <w:r>
                      <w:rPr>
                        <w:b/>
                        <w:spacing w:val="-1"/>
                        <w:w w:val="194"/>
                        <w:position w:val="1"/>
                        <w:sz w:val="10"/>
                      </w:rPr>
                      <w:t>t</w:t>
                    </w:r>
                    <w:r>
                      <w:rPr>
                        <w:b/>
                        <w:spacing w:val="-75"/>
                        <w:w w:val="194"/>
                        <w:position w:val="1"/>
                        <w:sz w:val="10"/>
                      </w:rPr>
                      <w:t>a</w:t>
                    </w:r>
                    <w:r>
                      <w:rPr>
                        <w:spacing w:val="-25"/>
                        <w:w w:val="99"/>
                        <w:sz w:val="20"/>
                      </w:rPr>
                      <w:t>s</w:t>
                    </w:r>
                    <w:r>
                      <w:rPr>
                        <w:b/>
                        <w:w w:val="194"/>
                        <w:position w:val="1"/>
                        <w:sz w:val="10"/>
                      </w:rPr>
                      <w:t>l</w:t>
                    </w:r>
                    <w:r>
                      <w:rPr>
                        <w:b/>
                        <w:position w:val="1"/>
                        <w:sz w:val="10"/>
                      </w:rPr>
                      <w:t>   </w:t>
                    </w:r>
                    <w:r>
                      <w:rPr>
                        <w:b/>
                        <w:spacing w:val="6"/>
                        <w:position w:val="1"/>
                        <w:sz w:val="10"/>
                      </w:rPr>
                      <w:t> </w:t>
                    </w:r>
                    <w:r>
                      <w:rPr>
                        <w:spacing w:val="1"/>
                        <w:w w:val="99"/>
                        <w:sz w:val="20"/>
                      </w:rPr>
                      <w:t>c</w:t>
                    </w:r>
                    <w:r>
                      <w:rPr>
                        <w:w w:val="99"/>
                        <w:sz w:val="20"/>
                      </w:rPr>
                      <w:t>u</w:t>
                    </w:r>
                    <w:r>
                      <w:rPr>
                        <w:spacing w:val="-1"/>
                        <w:w w:val="99"/>
                        <w:sz w:val="20"/>
                      </w:rPr>
                      <w:t>e</w:t>
                    </w:r>
                    <w:r>
                      <w:rPr>
                        <w:w w:val="99"/>
                        <w:sz w:val="20"/>
                      </w:rPr>
                      <w:t>nt</w:t>
                    </w:r>
                    <w:r>
                      <w:rPr>
                        <w:spacing w:val="-1"/>
                        <w:w w:val="99"/>
                        <w:sz w:val="20"/>
                      </w:rPr>
                      <w:t>a</w:t>
                    </w:r>
                    <w:r>
                      <w:rPr>
                        <w:w w:val="99"/>
                        <w:sz w:val="20"/>
                      </w:rPr>
                      <w:t>s</w:t>
                    </w:r>
                  </w:p>
                  <w:p>
                    <w:pPr>
                      <w:spacing w:line="110" w:lineRule="exact" w:before="0"/>
                      <w:ind w:left="1035" w:right="-7" w:firstLine="0"/>
                      <w:jc w:val="left"/>
                      <w:rPr>
                        <w:b/>
                        <w:sz w:val="10"/>
                      </w:rPr>
                    </w:pPr>
                    <w:r>
                      <w:rPr>
                        <w:b/>
                        <w:w w:val="195"/>
                        <w:sz w:val="10"/>
                      </w:rPr>
                      <w:t>Controles Internos (Manejo y Aplicación)</w:t>
                    </w:r>
                  </w:p>
                </w:txbxContent>
              </v:textbox>
              <w10:wrap type="none"/>
            </v:shape>
            <v:shape style="position:absolute;left:144;top:485;width:1801;height:200" type="#_x0000_t202" filled="false" stroked="false">
              <v:textbox inset="0,0,0,0">
                <w:txbxContent>
                  <w:p>
                    <w:pPr>
                      <w:spacing w:line="199" w:lineRule="exact" w:before="0"/>
                      <w:ind w:left="0" w:right="-15" w:firstLine="0"/>
                      <w:jc w:val="left"/>
                      <w:rPr>
                        <w:sz w:val="20"/>
                      </w:rPr>
                    </w:pPr>
                    <w:r>
                      <w:rPr>
                        <w:sz w:val="20"/>
                      </w:rPr>
                      <w:t>públicas</w:t>
                    </w:r>
                    <w:r>
                      <w:rPr>
                        <w:spacing w:val="-6"/>
                        <w:sz w:val="20"/>
                      </w:rPr>
                      <w:t> </w:t>
                    </w:r>
                    <w:r>
                      <w:rPr>
                        <w:sz w:val="20"/>
                      </w:rPr>
                      <w:t>2008-2014.</w:t>
                    </w:r>
                  </w:p>
                </w:txbxContent>
              </v:textbox>
              <w10:wrap type="none"/>
            </v:shape>
            <v:shape style="position:absolute;left:1675;top:592;width:2787;height:107" type="#_x0000_t202" filled="false" stroked="false">
              <v:textbox inset="0,0,0,0">
                <w:txbxContent>
                  <w:p>
                    <w:pPr>
                      <w:spacing w:line="107" w:lineRule="exact" w:before="0"/>
                      <w:ind w:left="0" w:right="-17" w:firstLine="0"/>
                      <w:jc w:val="left"/>
                      <w:rPr>
                        <w:b/>
                        <w:sz w:val="10"/>
                      </w:rPr>
                    </w:pPr>
                    <w:r>
                      <w:rPr>
                        <w:b/>
                        <w:spacing w:val="-3"/>
                        <w:w w:val="195"/>
                        <w:sz w:val="10"/>
                      </w:rPr>
                      <w:t>Temoaya </w:t>
                    </w:r>
                    <w:r>
                      <w:rPr>
                        <w:b/>
                        <w:w w:val="195"/>
                        <w:sz w:val="10"/>
                      </w:rPr>
                      <w:t>Ejercicio Fiscal 2013</w:t>
                    </w:r>
                  </w:p>
                </w:txbxContent>
              </v:textbox>
              <w10:wrap type="none"/>
            </v:shape>
          </v:group>
        </w:pict>
      </w:r>
      <w:r>
        <w:rPr>
          <w:rFonts w:ascii="Times New Roman"/>
          <w:sz w:val="20"/>
        </w:rPr>
      </w:r>
    </w:p>
    <w:p>
      <w:pPr>
        <w:pStyle w:val="BodyText"/>
        <w:spacing w:before="1"/>
        <w:rPr>
          <w:rFonts w:ascii="Times New Roman"/>
          <w:sz w:val="13"/>
        </w:rPr>
      </w:pPr>
    </w:p>
    <w:tbl>
      <w:tblPr>
        <w:tblW w:w="0" w:type="auto"/>
        <w:jc w:val="left"/>
        <w:tblInd w:w="266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388"/>
        <w:gridCol w:w="2902"/>
      </w:tblGrid>
      <w:tr>
        <w:trPr>
          <w:trHeight w:val="134" w:hRule="exact"/>
        </w:trPr>
        <w:tc>
          <w:tcPr>
            <w:tcW w:w="3388" w:type="dxa"/>
            <w:tcBorders>
              <w:left w:val="single" w:sz="6" w:space="0" w:color="000000"/>
              <w:right w:val="nil"/>
            </w:tcBorders>
            <w:shd w:val="clear" w:color="auto" w:fill="E6B8B7"/>
          </w:tcPr>
          <w:p>
            <w:pPr>
              <w:pStyle w:val="TableParagraph"/>
              <w:spacing w:before="5"/>
              <w:jc w:val="right"/>
              <w:rPr>
                <w:b/>
                <w:sz w:val="10"/>
              </w:rPr>
            </w:pPr>
            <w:r>
              <w:rPr>
                <w:b/>
                <w:w w:val="190"/>
                <w:sz w:val="10"/>
              </w:rPr>
              <w:t>FISM</w:t>
            </w:r>
          </w:p>
        </w:tc>
        <w:tc>
          <w:tcPr>
            <w:tcW w:w="2902" w:type="dxa"/>
            <w:tcBorders>
              <w:left w:val="nil"/>
              <w:right w:val="single" w:sz="6" w:space="0" w:color="000000"/>
            </w:tcBorders>
            <w:shd w:val="clear" w:color="auto" w:fill="E6B8B7"/>
          </w:tcPr>
          <w:p>
            <w:pPr/>
          </w:p>
        </w:tc>
      </w:tr>
      <w:tr>
        <w:trPr>
          <w:trHeight w:val="135" w:hRule="exact"/>
        </w:trPr>
        <w:tc>
          <w:tcPr>
            <w:tcW w:w="3388" w:type="dxa"/>
            <w:tcBorders>
              <w:left w:val="single" w:sz="6" w:space="0" w:color="000000"/>
              <w:right w:val="single" w:sz="6" w:space="0" w:color="000000"/>
            </w:tcBorders>
            <w:shd w:val="clear" w:color="auto" w:fill="F1DCDB"/>
          </w:tcPr>
          <w:p>
            <w:pPr>
              <w:pStyle w:val="TableParagraph"/>
              <w:spacing w:before="5"/>
              <w:ind w:left="1189" w:right="1180"/>
              <w:jc w:val="center"/>
              <w:rPr>
                <w:b/>
                <w:sz w:val="10"/>
              </w:rPr>
            </w:pPr>
            <w:r>
              <w:rPr>
                <w:b/>
                <w:w w:val="195"/>
                <w:sz w:val="10"/>
              </w:rPr>
              <w:t>Fortalezas</w:t>
            </w:r>
          </w:p>
        </w:tc>
        <w:tc>
          <w:tcPr>
            <w:tcW w:w="2902" w:type="dxa"/>
            <w:tcBorders>
              <w:left w:val="single" w:sz="6" w:space="0" w:color="000000"/>
              <w:right w:val="single" w:sz="6" w:space="0" w:color="000000"/>
            </w:tcBorders>
            <w:shd w:val="clear" w:color="auto" w:fill="F1DCDB"/>
          </w:tcPr>
          <w:p>
            <w:pPr>
              <w:pStyle w:val="TableParagraph"/>
              <w:spacing w:before="5"/>
              <w:ind w:left="903" w:right="-10"/>
              <w:rPr>
                <w:b/>
                <w:sz w:val="10"/>
              </w:rPr>
            </w:pPr>
            <w:r>
              <w:rPr>
                <w:b/>
                <w:w w:val="195"/>
                <w:sz w:val="10"/>
              </w:rPr>
              <w:t>Debilidades</w:t>
            </w:r>
          </w:p>
        </w:tc>
      </w:tr>
      <w:tr>
        <w:trPr>
          <w:trHeight w:val="806" w:hRule="exact"/>
        </w:trPr>
        <w:tc>
          <w:tcPr>
            <w:tcW w:w="3388" w:type="dxa"/>
            <w:tcBorders>
              <w:left w:val="single" w:sz="6" w:space="0" w:color="000000"/>
              <w:right w:val="single" w:sz="6" w:space="0" w:color="000000"/>
            </w:tcBorders>
          </w:tcPr>
          <w:p>
            <w:pPr>
              <w:pStyle w:val="TableParagraph"/>
              <w:spacing w:line="160" w:lineRule="auto" w:before="27"/>
              <w:ind w:left="28" w:right="11"/>
              <w:rPr>
                <w:sz w:val="10"/>
              </w:rPr>
            </w:pPr>
            <w:r>
              <w:rPr>
                <w:spacing w:val="-1"/>
                <w:w w:val="194"/>
                <w:sz w:val="10"/>
              </w:rPr>
              <w:t>E</w:t>
            </w:r>
            <w:r>
              <w:rPr>
                <w:spacing w:val="-2"/>
                <w:w w:val="194"/>
                <w:sz w:val="10"/>
              </w:rPr>
              <w:t>x</w:t>
            </w:r>
            <w:r>
              <w:rPr>
                <w:spacing w:val="1"/>
                <w:w w:val="194"/>
                <w:sz w:val="10"/>
              </w:rPr>
              <w:t>i</w:t>
            </w:r>
            <w:r>
              <w:rPr>
                <w:spacing w:val="-2"/>
                <w:w w:val="194"/>
                <w:sz w:val="10"/>
              </w:rPr>
              <w:t>s</w:t>
            </w:r>
            <w:r>
              <w:rPr>
                <w:spacing w:val="1"/>
                <w:w w:val="194"/>
                <w:sz w:val="10"/>
              </w:rPr>
              <w:t>t</w:t>
            </w:r>
            <w:r>
              <w:rPr>
                <w:spacing w:val="-96"/>
                <w:w w:val="194"/>
                <w:sz w:val="10"/>
              </w:rPr>
              <w:t>e</w:t>
            </w:r>
            <w:r>
              <w:rPr>
                <w:spacing w:val="-11"/>
                <w:w w:val="100"/>
                <w:position w:val="-7"/>
                <w:sz w:val="24"/>
              </w:rPr>
              <w:t>A</w:t>
            </w:r>
            <w:r>
              <w:rPr>
                <w:spacing w:val="-97"/>
                <w:w w:val="194"/>
                <w:sz w:val="10"/>
              </w:rPr>
              <w:t>u</w:t>
            </w:r>
            <w:r>
              <w:rPr>
                <w:spacing w:val="-37"/>
                <w:w w:val="99"/>
                <w:position w:val="-7"/>
                <w:sz w:val="24"/>
              </w:rPr>
              <w:t>n</w:t>
            </w:r>
            <w:r>
              <w:rPr>
                <w:spacing w:val="-71"/>
                <w:w w:val="194"/>
                <w:sz w:val="10"/>
              </w:rPr>
              <w:t>n</w:t>
            </w:r>
            <w:r>
              <w:rPr>
                <w:spacing w:val="-63"/>
                <w:w w:val="99"/>
                <w:position w:val="-7"/>
                <w:sz w:val="24"/>
              </w:rPr>
              <w:t>e</w:t>
            </w:r>
            <w:r>
              <w:rPr>
                <w:spacing w:val="-46"/>
                <w:w w:val="194"/>
                <w:sz w:val="10"/>
              </w:rPr>
              <w:t>a</w:t>
            </w:r>
            <w:r>
              <w:rPr>
                <w:spacing w:val="-21"/>
                <w:position w:val="-7"/>
                <w:sz w:val="24"/>
              </w:rPr>
              <w:t>x</w:t>
            </w:r>
            <w:r>
              <w:rPr>
                <w:spacing w:val="-112"/>
                <w:w w:val="194"/>
                <w:sz w:val="10"/>
              </w:rPr>
              <w:t>P</w:t>
            </w:r>
            <w:r>
              <w:rPr>
                <w:spacing w:val="-23"/>
                <w:w w:val="99"/>
                <w:position w:val="-7"/>
                <w:sz w:val="24"/>
              </w:rPr>
              <w:t>o</w:t>
            </w:r>
            <w:r>
              <w:rPr>
                <w:w w:val="194"/>
                <w:sz w:val="10"/>
              </w:rPr>
              <w:t>l</w:t>
            </w:r>
            <w:r>
              <w:rPr>
                <w:spacing w:val="-63"/>
                <w:w w:val="194"/>
                <w:sz w:val="10"/>
              </w:rPr>
              <w:t>a</w:t>
            </w:r>
            <w:r>
              <w:rPr>
                <w:spacing w:val="-72"/>
                <w:w w:val="99"/>
                <w:position w:val="-7"/>
                <w:sz w:val="24"/>
              </w:rPr>
              <w:t>7</w:t>
            </w:r>
            <w:r>
              <w:rPr>
                <w:spacing w:val="-36"/>
                <w:w w:val="194"/>
                <w:sz w:val="10"/>
              </w:rPr>
              <w:t>n</w:t>
            </w:r>
            <w:r>
              <w:rPr>
                <w:spacing w:val="-98"/>
                <w:w w:val="99"/>
                <w:position w:val="-7"/>
                <w:sz w:val="24"/>
              </w:rPr>
              <w:t>5</w:t>
            </w:r>
            <w:r>
              <w:rPr>
                <w:spacing w:val="-12"/>
                <w:w w:val="194"/>
                <w:sz w:val="10"/>
              </w:rPr>
              <w:t>e</w:t>
            </w:r>
            <w:r>
              <w:rPr>
                <w:spacing w:val="-55"/>
                <w:w w:val="100"/>
                <w:position w:val="-7"/>
                <w:sz w:val="24"/>
              </w:rPr>
              <w:t>.</w:t>
            </w:r>
            <w:r>
              <w:rPr>
                <w:w w:val="194"/>
                <w:sz w:val="10"/>
              </w:rPr>
              <w:t>a</w:t>
            </w:r>
            <w:r>
              <w:rPr>
                <w:spacing w:val="-2"/>
                <w:w w:val="194"/>
                <w:sz w:val="10"/>
              </w:rPr>
              <w:t>c</w:t>
            </w:r>
            <w:r>
              <w:rPr>
                <w:spacing w:val="1"/>
                <w:w w:val="194"/>
                <w:sz w:val="10"/>
              </w:rPr>
              <w:t>i</w:t>
            </w:r>
            <w:r>
              <w:rPr>
                <w:w w:val="194"/>
                <w:sz w:val="10"/>
              </w:rPr>
              <w:t>ón</w:t>
            </w:r>
            <w:r>
              <w:rPr>
                <w:sz w:val="10"/>
              </w:rPr>
              <w:t>  </w:t>
            </w:r>
            <w:r>
              <w:rPr>
                <w:spacing w:val="-1"/>
                <w:w w:val="194"/>
                <w:sz w:val="10"/>
              </w:rPr>
              <w:t>E</w:t>
            </w:r>
            <w:r>
              <w:rPr>
                <w:spacing w:val="-2"/>
                <w:w w:val="194"/>
                <w:sz w:val="10"/>
              </w:rPr>
              <w:t>s</w:t>
            </w:r>
            <w:r>
              <w:rPr>
                <w:spacing w:val="1"/>
                <w:w w:val="194"/>
                <w:sz w:val="10"/>
              </w:rPr>
              <w:t>t</w:t>
            </w:r>
            <w:r>
              <w:rPr>
                <w:spacing w:val="-1"/>
                <w:w w:val="194"/>
                <w:sz w:val="10"/>
              </w:rPr>
              <w:t>r</w:t>
            </w:r>
            <w:r>
              <w:rPr>
                <w:w w:val="194"/>
                <w:sz w:val="10"/>
              </w:rPr>
              <w:t>a</w:t>
            </w:r>
            <w:r>
              <w:rPr>
                <w:w w:val="194"/>
                <w:sz w:val="10"/>
              </w:rPr>
              <w:t>t</w:t>
            </w:r>
            <w:r>
              <w:rPr>
                <w:w w:val="194"/>
                <w:sz w:val="10"/>
              </w:rPr>
              <w:t>ég</w:t>
            </w:r>
            <w:r>
              <w:rPr>
                <w:spacing w:val="-1"/>
                <w:w w:val="194"/>
                <w:sz w:val="10"/>
              </w:rPr>
              <w:t>i</w:t>
            </w:r>
            <w:r>
              <w:rPr>
                <w:spacing w:val="-2"/>
                <w:w w:val="194"/>
                <w:sz w:val="10"/>
              </w:rPr>
              <w:t>c</w:t>
            </w:r>
            <w:r>
              <w:rPr>
                <w:w w:val="194"/>
                <w:sz w:val="10"/>
              </w:rPr>
              <w:t>a</w:t>
            </w:r>
            <w:r>
              <w:rPr>
                <w:sz w:val="10"/>
              </w:rPr>
              <w:t>  </w:t>
            </w:r>
            <w:r>
              <w:rPr>
                <w:spacing w:val="-1"/>
                <w:w w:val="194"/>
                <w:sz w:val="10"/>
              </w:rPr>
              <w:t>q</w:t>
            </w:r>
            <w:r>
              <w:rPr>
                <w:w w:val="194"/>
                <w:sz w:val="10"/>
              </w:rPr>
              <w:t>ue </w:t>
            </w:r>
            <w:r>
              <w:rPr>
                <w:w w:val="185"/>
                <w:sz w:val="10"/>
              </w:rPr>
              <w:t>establece  las acciones por seguir  para</w:t>
            </w:r>
          </w:p>
          <w:p>
            <w:pPr>
              <w:pStyle w:val="TableParagraph"/>
              <w:spacing w:line="280" w:lineRule="auto" w:before="26"/>
              <w:ind w:left="29" w:right="11"/>
              <w:rPr>
                <w:sz w:val="10"/>
              </w:rPr>
            </w:pPr>
            <w:r>
              <w:rPr>
                <w:w w:val="195"/>
                <w:sz w:val="10"/>
              </w:rPr>
              <w:t>la consecución de los objetivos y metas institucionales, la cual se difunde entre las áreas responsables de su ejecución.</w:t>
            </w:r>
          </w:p>
        </w:tc>
        <w:tc>
          <w:tcPr>
            <w:tcW w:w="2902" w:type="dxa"/>
            <w:tcBorders>
              <w:left w:val="single" w:sz="6" w:space="0" w:color="000000"/>
              <w:right w:val="single" w:sz="6" w:space="0" w:color="000000"/>
            </w:tcBorders>
          </w:tcPr>
          <w:p>
            <w:pPr>
              <w:pStyle w:val="TableParagraph"/>
              <w:spacing w:line="280" w:lineRule="auto" w:before="4"/>
              <w:ind w:left="27" w:right="-10"/>
              <w:rPr>
                <w:sz w:val="10"/>
              </w:rPr>
            </w:pPr>
            <w:r>
              <w:rPr>
                <w:w w:val="195"/>
                <w:sz w:val="10"/>
              </w:rPr>
              <w:t>El municipio no dispone de un Manual de Organización, lo que impide establecer la distribución de las funciones entre los servidores públicos con nivel de mando medio y superior</w:t>
            </w:r>
          </w:p>
        </w:tc>
      </w:tr>
      <w:tr>
        <w:trPr>
          <w:trHeight w:val="1209" w:hRule="exact"/>
        </w:trPr>
        <w:tc>
          <w:tcPr>
            <w:tcW w:w="3388" w:type="dxa"/>
            <w:tcBorders>
              <w:left w:val="single" w:sz="6" w:space="0" w:color="000000"/>
              <w:right w:val="single" w:sz="6" w:space="0" w:color="000000"/>
            </w:tcBorders>
          </w:tcPr>
          <w:p>
            <w:pPr/>
          </w:p>
        </w:tc>
        <w:tc>
          <w:tcPr>
            <w:tcW w:w="2902" w:type="dxa"/>
            <w:tcBorders>
              <w:left w:val="single" w:sz="6" w:space="0" w:color="000000"/>
              <w:right w:val="single" w:sz="6" w:space="0" w:color="000000"/>
            </w:tcBorders>
          </w:tcPr>
          <w:p>
            <w:pPr>
              <w:pStyle w:val="TableParagraph"/>
              <w:spacing w:line="280" w:lineRule="auto" w:before="5"/>
              <w:ind w:left="26" w:right="-10" w:firstLine="1"/>
              <w:rPr>
                <w:sz w:val="10"/>
              </w:rPr>
            </w:pPr>
            <w:r>
              <w:rPr>
                <w:w w:val="195"/>
                <w:sz w:val="10"/>
              </w:rPr>
              <w:t>El municipio no cuenta con Manuales de Procedimientos, lo que impide precisar las actividades que deben realizarse para cumplir debidamente con cada una de las funciones que demandan los puestos por desempeñar.</w:t>
            </w:r>
          </w:p>
        </w:tc>
      </w:tr>
      <w:tr>
        <w:trPr>
          <w:trHeight w:val="806" w:hRule="exact"/>
        </w:trPr>
        <w:tc>
          <w:tcPr>
            <w:tcW w:w="3388" w:type="dxa"/>
            <w:tcBorders>
              <w:left w:val="single" w:sz="6" w:space="0" w:color="000000"/>
              <w:right w:val="single" w:sz="6" w:space="0" w:color="000000"/>
            </w:tcBorders>
          </w:tcPr>
          <w:p>
            <w:pPr/>
          </w:p>
        </w:tc>
        <w:tc>
          <w:tcPr>
            <w:tcW w:w="2902" w:type="dxa"/>
            <w:tcBorders>
              <w:left w:val="single" w:sz="6" w:space="0" w:color="000000"/>
              <w:right w:val="single" w:sz="6" w:space="0" w:color="000000"/>
            </w:tcBorders>
          </w:tcPr>
          <w:p>
            <w:pPr>
              <w:pStyle w:val="TableParagraph"/>
              <w:spacing w:line="280" w:lineRule="auto" w:before="4"/>
              <w:ind w:left="26" w:right="62" w:firstLine="1"/>
              <w:rPr>
                <w:sz w:val="10"/>
              </w:rPr>
            </w:pPr>
            <w:r>
              <w:rPr>
                <w:w w:val="195"/>
                <w:sz w:val="10"/>
              </w:rPr>
              <w:t>No existe un Código de Ética ni uno de Conducta, que orienten el comportamiento de los servidores públicos en el desarrollo de sus actividades.</w:t>
            </w:r>
          </w:p>
        </w:tc>
      </w:tr>
      <w:tr>
        <w:trPr>
          <w:trHeight w:val="940" w:hRule="exact"/>
        </w:trPr>
        <w:tc>
          <w:tcPr>
            <w:tcW w:w="3388" w:type="dxa"/>
            <w:tcBorders>
              <w:left w:val="single" w:sz="6" w:space="0" w:color="000000"/>
              <w:right w:val="single" w:sz="6" w:space="0" w:color="000000"/>
            </w:tcBorders>
          </w:tcPr>
          <w:p>
            <w:pPr/>
          </w:p>
        </w:tc>
        <w:tc>
          <w:tcPr>
            <w:tcW w:w="2902" w:type="dxa"/>
            <w:tcBorders>
              <w:left w:val="single" w:sz="6" w:space="0" w:color="000000"/>
              <w:right w:val="single" w:sz="6" w:space="0" w:color="000000"/>
            </w:tcBorders>
          </w:tcPr>
          <w:p>
            <w:pPr>
              <w:pStyle w:val="TableParagraph"/>
              <w:spacing w:line="280" w:lineRule="auto" w:before="5"/>
              <w:ind w:left="26" w:right="62" w:firstLine="1"/>
              <w:rPr>
                <w:sz w:val="10"/>
              </w:rPr>
            </w:pPr>
            <w:r>
              <w:rPr>
                <w:w w:val="195"/>
                <w:sz w:val="10"/>
              </w:rPr>
              <w:t>No se realizan evaluaciones del sistema de control interno, lo que impide determinar las causas de los problemas y, en consecuencia, no se ha establecido un programa de atención.</w:t>
            </w:r>
          </w:p>
        </w:tc>
      </w:tr>
      <w:tr>
        <w:trPr>
          <w:trHeight w:val="940" w:hRule="exact"/>
        </w:trPr>
        <w:tc>
          <w:tcPr>
            <w:tcW w:w="3388" w:type="dxa"/>
            <w:tcBorders>
              <w:left w:val="single" w:sz="6" w:space="0" w:color="000000"/>
              <w:right w:val="single" w:sz="6" w:space="0" w:color="000000"/>
            </w:tcBorders>
          </w:tcPr>
          <w:p>
            <w:pPr/>
          </w:p>
        </w:tc>
        <w:tc>
          <w:tcPr>
            <w:tcW w:w="2902" w:type="dxa"/>
            <w:tcBorders>
              <w:left w:val="single" w:sz="6" w:space="0" w:color="000000"/>
              <w:right w:val="single" w:sz="6" w:space="0" w:color="000000"/>
            </w:tcBorders>
          </w:tcPr>
          <w:p>
            <w:pPr>
              <w:pStyle w:val="TableParagraph"/>
              <w:spacing w:line="280" w:lineRule="auto" w:before="5"/>
              <w:ind w:left="27" w:right="-10"/>
              <w:rPr>
                <w:sz w:val="10"/>
              </w:rPr>
            </w:pPr>
            <w:r>
              <w:rPr>
                <w:w w:val="195"/>
                <w:sz w:val="10"/>
              </w:rPr>
              <w:t>Se carece de un programa de capacitación en temas relacionados con el manejo del fondo, situación que dificulta la actualización profesional del personal.</w:t>
            </w:r>
          </w:p>
        </w:tc>
      </w:tr>
      <w:tr>
        <w:trPr>
          <w:trHeight w:val="1343" w:hRule="exact"/>
        </w:trPr>
        <w:tc>
          <w:tcPr>
            <w:tcW w:w="3388" w:type="dxa"/>
            <w:tcBorders>
              <w:left w:val="single" w:sz="6" w:space="0" w:color="000000"/>
              <w:right w:val="single" w:sz="6" w:space="0" w:color="000000"/>
            </w:tcBorders>
          </w:tcPr>
          <w:p>
            <w:pPr/>
          </w:p>
        </w:tc>
        <w:tc>
          <w:tcPr>
            <w:tcW w:w="2902" w:type="dxa"/>
            <w:tcBorders>
              <w:left w:val="single" w:sz="6" w:space="0" w:color="000000"/>
              <w:right w:val="single" w:sz="6" w:space="0" w:color="000000"/>
            </w:tcBorders>
          </w:tcPr>
          <w:p>
            <w:pPr>
              <w:pStyle w:val="TableParagraph"/>
              <w:spacing w:line="280" w:lineRule="auto" w:before="5"/>
              <w:ind w:left="26" w:right="-10" w:firstLine="1"/>
              <w:rPr>
                <w:sz w:val="10"/>
              </w:rPr>
            </w:pPr>
            <w:r>
              <w:rPr>
                <w:w w:val="195"/>
                <w:sz w:val="10"/>
              </w:rPr>
              <w:t>No se han implementado mecanismos para identificar los riesgos que pueden impedir la consecución de cada objetivo y meta institucional, lo que imposibilita la realización de acciones que permitan mitigar, administrar o minimizar dichos riesgos.</w:t>
            </w:r>
          </w:p>
        </w:tc>
      </w:tr>
    </w:tbl>
    <w:p>
      <w:pPr>
        <w:spacing w:after="0" w:line="280" w:lineRule="auto"/>
        <w:rPr>
          <w:sz w:val="10"/>
        </w:rPr>
        <w:sectPr>
          <w:pgSz w:w="15840" w:h="12240" w:orient="landscape"/>
          <w:pgMar w:header="0" w:footer="992" w:top="1140" w:bottom="1180" w:left="2260" w:right="2260"/>
        </w:sectPr>
      </w:pPr>
    </w:p>
    <w:p>
      <w:pPr>
        <w:pStyle w:val="BodyText"/>
        <w:rPr>
          <w:rFonts w:ascii="Times New Roman"/>
          <w:sz w:val="20"/>
        </w:rPr>
      </w:pPr>
      <w:r>
        <w:rPr/>
        <w:drawing>
          <wp:anchor distT="0" distB="0" distL="0" distR="0" allowOverlap="1" layoutInCell="1" locked="0" behindDoc="0" simplePos="0" relativeHeight="10624">
            <wp:simplePos x="0" y="0"/>
            <wp:positionH relativeFrom="page">
              <wp:posOffset>2903839</wp:posOffset>
            </wp:positionH>
            <wp:positionV relativeFrom="page">
              <wp:posOffset>4377637</wp:posOffset>
            </wp:positionV>
            <wp:extent cx="420396" cy="66675"/>
            <wp:effectExtent l="0" t="0" r="0" b="0"/>
            <wp:wrapNone/>
            <wp:docPr id="57" name="image146.png" descr=""/>
            <wp:cNvGraphicFramePr>
              <a:graphicFrameLocks noChangeAspect="1"/>
            </wp:cNvGraphicFramePr>
            <a:graphic>
              <a:graphicData uri="http://schemas.openxmlformats.org/drawingml/2006/picture">
                <pic:pic>
                  <pic:nvPicPr>
                    <pic:cNvPr id="58" name="image146.png"/>
                    <pic:cNvPicPr/>
                  </pic:nvPicPr>
                  <pic:blipFill>
                    <a:blip r:embed="rId205" cstate="print"/>
                    <a:stretch>
                      <a:fillRect/>
                    </a:stretch>
                  </pic:blipFill>
                  <pic:spPr>
                    <a:xfrm>
                      <a:off x="0" y="0"/>
                      <a:ext cx="420396" cy="66675"/>
                    </a:xfrm>
                    <a:prstGeom prst="rect">
                      <a:avLst/>
                    </a:prstGeom>
                  </pic:spPr>
                </pic:pic>
              </a:graphicData>
            </a:graphic>
          </wp:anchor>
        </w:drawing>
      </w:r>
      <w:r>
        <w:rPr/>
        <w:drawing>
          <wp:anchor distT="0" distB="0" distL="0" distR="0" allowOverlap="1" layoutInCell="1" locked="0" behindDoc="0" simplePos="0" relativeHeight="10648">
            <wp:simplePos x="0" y="0"/>
            <wp:positionH relativeFrom="page">
              <wp:posOffset>4076935</wp:posOffset>
            </wp:positionH>
            <wp:positionV relativeFrom="page">
              <wp:posOffset>4464782</wp:posOffset>
            </wp:positionV>
            <wp:extent cx="153528" cy="64007"/>
            <wp:effectExtent l="0" t="0" r="0" b="0"/>
            <wp:wrapNone/>
            <wp:docPr id="59" name="image147.png" descr=""/>
            <wp:cNvGraphicFramePr>
              <a:graphicFrameLocks noChangeAspect="1"/>
            </wp:cNvGraphicFramePr>
            <a:graphic>
              <a:graphicData uri="http://schemas.openxmlformats.org/drawingml/2006/picture">
                <pic:pic>
                  <pic:nvPicPr>
                    <pic:cNvPr id="60" name="image147.png"/>
                    <pic:cNvPicPr/>
                  </pic:nvPicPr>
                  <pic:blipFill>
                    <a:blip r:embed="rId206" cstate="print"/>
                    <a:stretch>
                      <a:fillRect/>
                    </a:stretch>
                  </pic:blipFill>
                  <pic:spPr>
                    <a:xfrm>
                      <a:off x="0" y="0"/>
                      <a:ext cx="153528" cy="64007"/>
                    </a:xfrm>
                    <a:prstGeom prst="rect">
                      <a:avLst/>
                    </a:prstGeom>
                  </pic:spPr>
                </pic:pic>
              </a:graphicData>
            </a:graphic>
          </wp:anchor>
        </w:drawing>
      </w:r>
      <w:r>
        <w:rPr/>
        <w:drawing>
          <wp:anchor distT="0" distB="0" distL="0" distR="0" allowOverlap="1" layoutInCell="1" locked="0" behindDoc="0" simplePos="0" relativeHeight="10672">
            <wp:simplePos x="0" y="0"/>
            <wp:positionH relativeFrom="page">
              <wp:posOffset>4276289</wp:posOffset>
            </wp:positionH>
            <wp:positionV relativeFrom="page">
              <wp:posOffset>4470523</wp:posOffset>
            </wp:positionV>
            <wp:extent cx="596791" cy="53435"/>
            <wp:effectExtent l="0" t="0" r="0" b="0"/>
            <wp:wrapNone/>
            <wp:docPr id="61" name="image148.png" descr=""/>
            <wp:cNvGraphicFramePr>
              <a:graphicFrameLocks noChangeAspect="1"/>
            </wp:cNvGraphicFramePr>
            <a:graphic>
              <a:graphicData uri="http://schemas.openxmlformats.org/drawingml/2006/picture">
                <pic:pic>
                  <pic:nvPicPr>
                    <pic:cNvPr id="62" name="image148.png"/>
                    <pic:cNvPicPr/>
                  </pic:nvPicPr>
                  <pic:blipFill>
                    <a:blip r:embed="rId207" cstate="print"/>
                    <a:stretch>
                      <a:fillRect/>
                    </a:stretch>
                  </pic:blipFill>
                  <pic:spPr>
                    <a:xfrm>
                      <a:off x="0" y="0"/>
                      <a:ext cx="596791" cy="53435"/>
                    </a:xfrm>
                    <a:prstGeom prst="rect">
                      <a:avLst/>
                    </a:prstGeom>
                  </pic:spPr>
                </pic:pic>
              </a:graphicData>
            </a:graphic>
          </wp:anchor>
        </w:drawing>
      </w:r>
      <w:r>
        <w:rPr/>
        <w:drawing>
          <wp:anchor distT="0" distB="0" distL="0" distR="0" allowOverlap="1" layoutInCell="1" locked="0" behindDoc="0" simplePos="0" relativeHeight="10696">
            <wp:simplePos x="0" y="0"/>
            <wp:positionH relativeFrom="page">
              <wp:posOffset>2904659</wp:posOffset>
            </wp:positionH>
            <wp:positionV relativeFrom="page">
              <wp:posOffset>4841211</wp:posOffset>
            </wp:positionV>
            <wp:extent cx="853919" cy="53435"/>
            <wp:effectExtent l="0" t="0" r="0" b="0"/>
            <wp:wrapNone/>
            <wp:docPr id="63" name="image149.png" descr=""/>
            <wp:cNvGraphicFramePr>
              <a:graphicFrameLocks noChangeAspect="1"/>
            </wp:cNvGraphicFramePr>
            <a:graphic>
              <a:graphicData uri="http://schemas.openxmlformats.org/drawingml/2006/picture">
                <pic:pic>
                  <pic:nvPicPr>
                    <pic:cNvPr id="64" name="image149.png"/>
                    <pic:cNvPicPr/>
                  </pic:nvPicPr>
                  <pic:blipFill>
                    <a:blip r:embed="rId208" cstate="print"/>
                    <a:stretch>
                      <a:fillRect/>
                    </a:stretch>
                  </pic:blipFill>
                  <pic:spPr>
                    <a:xfrm>
                      <a:off x="0" y="0"/>
                      <a:ext cx="853919" cy="53435"/>
                    </a:xfrm>
                    <a:prstGeom prst="rect">
                      <a:avLst/>
                    </a:prstGeom>
                  </pic:spPr>
                </pic:pic>
              </a:graphicData>
            </a:graphic>
          </wp:anchor>
        </w:drawing>
      </w:r>
      <w:r>
        <w:rPr/>
        <w:drawing>
          <wp:anchor distT="0" distB="0" distL="0" distR="0" allowOverlap="1" layoutInCell="1" locked="0" behindDoc="0" simplePos="0" relativeHeight="10720">
            <wp:simplePos x="0" y="0"/>
            <wp:positionH relativeFrom="page">
              <wp:posOffset>3770959</wp:posOffset>
            </wp:positionH>
            <wp:positionV relativeFrom="page">
              <wp:posOffset>4835470</wp:posOffset>
            </wp:positionV>
            <wp:extent cx="154442" cy="64007"/>
            <wp:effectExtent l="0" t="0" r="0" b="0"/>
            <wp:wrapNone/>
            <wp:docPr id="65" name="image150.png" descr=""/>
            <wp:cNvGraphicFramePr>
              <a:graphicFrameLocks noChangeAspect="1"/>
            </wp:cNvGraphicFramePr>
            <a:graphic>
              <a:graphicData uri="http://schemas.openxmlformats.org/drawingml/2006/picture">
                <pic:pic>
                  <pic:nvPicPr>
                    <pic:cNvPr id="66" name="image150.png"/>
                    <pic:cNvPicPr/>
                  </pic:nvPicPr>
                  <pic:blipFill>
                    <a:blip r:embed="rId209" cstate="print"/>
                    <a:stretch>
                      <a:fillRect/>
                    </a:stretch>
                  </pic:blipFill>
                  <pic:spPr>
                    <a:xfrm>
                      <a:off x="0" y="0"/>
                      <a:ext cx="154442" cy="64007"/>
                    </a:xfrm>
                    <a:prstGeom prst="rect">
                      <a:avLst/>
                    </a:prstGeom>
                  </pic:spPr>
                </pic:pic>
              </a:graphicData>
            </a:graphic>
          </wp:anchor>
        </w:drawing>
      </w:r>
      <w:r>
        <w:rPr/>
        <w:pict>
          <v:group style="position:absolute;margin-left:228.196747pt;margin-top:395.374084pt;width:95.75pt;height:12.35pt;mso-position-horizontal-relative:page;mso-position-vertical-relative:page;z-index:-672496" coordorigin="4564,7907" coordsize="1915,247">
            <v:shape style="position:absolute;left:4564;top:7917;width:1318;height:105" type="#_x0000_t75" stroked="false">
              <v:imagedata r:id="rId210" o:title=""/>
            </v:shape>
            <v:shape style="position:absolute;left:4564;top:7907;width:1915;height:239" type="#_x0000_t75" stroked="false">
              <v:imagedata r:id="rId211" o:title=""/>
            </v:shape>
            <v:shape style="position:absolute;left:6214;top:8053;width:242;height:101" type="#_x0000_t75" stroked="false">
              <v:imagedata r:id="rId212" o:title=""/>
            </v:shape>
            <w10:wrap type="none"/>
          </v:group>
        </w:pict>
      </w:r>
      <w:r>
        <w:rPr/>
        <w:drawing>
          <wp:anchor distT="0" distB="0" distL="0" distR="0" allowOverlap="1" layoutInCell="1" locked="0" behindDoc="0" simplePos="0" relativeHeight="10768">
            <wp:simplePos x="0" y="0"/>
            <wp:positionH relativeFrom="page">
              <wp:posOffset>4164747</wp:posOffset>
            </wp:positionH>
            <wp:positionV relativeFrom="page">
              <wp:posOffset>5021305</wp:posOffset>
            </wp:positionV>
            <wp:extent cx="707903" cy="71627"/>
            <wp:effectExtent l="0" t="0" r="0" b="0"/>
            <wp:wrapNone/>
            <wp:docPr id="67" name="image154.png" descr=""/>
            <wp:cNvGraphicFramePr>
              <a:graphicFrameLocks noChangeAspect="1"/>
            </wp:cNvGraphicFramePr>
            <a:graphic>
              <a:graphicData uri="http://schemas.openxmlformats.org/drawingml/2006/picture">
                <pic:pic>
                  <pic:nvPicPr>
                    <pic:cNvPr id="68" name="image154.png"/>
                    <pic:cNvPicPr/>
                  </pic:nvPicPr>
                  <pic:blipFill>
                    <a:blip r:embed="rId213" cstate="print"/>
                    <a:stretch>
                      <a:fillRect/>
                    </a:stretch>
                  </pic:blipFill>
                  <pic:spPr>
                    <a:xfrm>
                      <a:off x="0" y="0"/>
                      <a:ext cx="707903" cy="71627"/>
                    </a:xfrm>
                    <a:prstGeom prst="rect">
                      <a:avLst/>
                    </a:prstGeom>
                  </pic:spPr>
                </pic:pic>
              </a:graphicData>
            </a:graphic>
          </wp:anchor>
        </w:drawing>
      </w:r>
      <w:r>
        <w:rPr/>
        <w:drawing>
          <wp:anchor distT="0" distB="0" distL="0" distR="0" allowOverlap="1" layoutInCell="1" locked="0" behindDoc="0" simplePos="0" relativeHeight="10792">
            <wp:simplePos x="0" y="0"/>
            <wp:positionH relativeFrom="page">
              <wp:posOffset>4142548</wp:posOffset>
            </wp:positionH>
            <wp:positionV relativeFrom="page">
              <wp:posOffset>5118584</wp:posOffset>
            </wp:positionV>
            <wp:extent cx="809978" cy="68008"/>
            <wp:effectExtent l="0" t="0" r="0" b="0"/>
            <wp:wrapNone/>
            <wp:docPr id="69" name="image155.png" descr=""/>
            <wp:cNvGraphicFramePr>
              <a:graphicFrameLocks noChangeAspect="1"/>
            </wp:cNvGraphicFramePr>
            <a:graphic>
              <a:graphicData uri="http://schemas.openxmlformats.org/drawingml/2006/picture">
                <pic:pic>
                  <pic:nvPicPr>
                    <pic:cNvPr id="70" name="image155.png"/>
                    <pic:cNvPicPr/>
                  </pic:nvPicPr>
                  <pic:blipFill>
                    <a:blip r:embed="rId214" cstate="print"/>
                    <a:stretch>
                      <a:fillRect/>
                    </a:stretch>
                  </pic:blipFill>
                  <pic:spPr>
                    <a:xfrm>
                      <a:off x="0" y="0"/>
                      <a:ext cx="809978" cy="68008"/>
                    </a:xfrm>
                    <a:prstGeom prst="rect">
                      <a:avLst/>
                    </a:prstGeom>
                  </pic:spPr>
                </pic:pic>
              </a:graphicData>
            </a:graphic>
          </wp:anchor>
        </w:drawing>
      </w:r>
      <w:r>
        <w:rPr/>
        <w:pict>
          <v:group style="position:absolute;margin-left:225.839737pt;margin-top:121.216225pt;width:340.05pt;height:28.2pt;mso-position-horizontal-relative:page;mso-position-vertical-relative:page;z-index:-672400" coordorigin="4517,2424" coordsize="6801,564">
            <v:shape style="position:absolute;left:6094;top:2573;width:247;height:85" coordorigin="6094,2573" coordsize="247,85" path="m6221,2597l6218,2590,6214,2587,6212,2585,6206,2582,6197,2578,6187,2575,6175,2574,6162,2573,6147,2574,6134,2576,6123,2579,6113,2584,6100,2592,6094,2603,6094,2630,6100,2640,6113,2647,6123,2652,6134,2655,6147,2657,6161,2658,6176,2658,6189,2656,6210,2647,6213,2644,6218,2640,6221,2632,6193,2627,6190,2632,6187,2637,6180,2640,6175,2643,6168,2644,6149,2644,6141,2642,6134,2637,6127,2633,6125,2625,6125,2605,6127,2598,6135,2593,6141,2589,6150,2587,6168,2587,6175,2588,6181,2591,6187,2593,6190,2597,6192,2601,6221,2597m6340,2656l6338,2654,6337,2651,6336,2650,6335,2648,6335,2647,6335,2646,6334,2643,6334,2628,6334,2611,6333,2608,6333,2607,6330,2604,6329,2602,6324,2600,6317,2598,6312,2596,6302,2595,6276,2595,6265,2597,6258,2600,6251,2603,6246,2607,6243,2613,6269,2615,6271,2612,6276,2609,6278,2608,6282,2608,6295,2608,6300,2608,6303,2610,6306,2611,6307,2613,6307,2618,6307,2628,6307,2637,6306,2639,6304,2641,6303,2643,6299,2644,6294,2646,6290,2647,6280,2647,6276,2646,6273,2645,6271,2643,6269,2641,6269,2637,6271,2635,6275,2633,6277,2632,6282,2632,6290,2630,6298,2630,6303,2629,6307,2628,6307,2618,6302,2619,6293,2620,6280,2622,6269,2623,6261,2624,6251,2627,6247,2629,6245,2632,6242,2634,6241,2637,6241,2645,6243,2650,6250,2653,6256,2656,6265,2658,6282,2658,6287,2657,6294,2656,6299,2655,6304,2653,6309,2650,6309,2652,6311,2654,6312,2656,6313,2656,6340,2656e" filled="true" fillcolor="#000000" stroked="false">
              <v:path arrowok="t"/>
              <v:fill type="solid"/>
            </v:shape>
            <v:shape style="position:absolute;left:6362;top:2560;width:455;height:110" type="#_x0000_t75" stroked="false">
              <v:imagedata r:id="rId215" o:title=""/>
            </v:shape>
            <v:shape style="position:absolute;left:5924;top:2575;width:1197;height:230" coordorigin="5924,2575" coordsize="1197,230" path="m6052,2743l6048,2737,6045,2733,6043,2732,6037,2728,6027,2724,6017,2721,6006,2719,5993,2719,5978,2719,5965,2722,5953,2725,5944,2730,5931,2738,5924,2748,5924,2775,5931,2785,5942,2793,5953,2798,5965,2801,5977,2803,5992,2804,6007,2804,6020,2802,6041,2793,6045,2790,6048,2787,6052,2777,6024,2772,6021,2779,6017,2783,6011,2786,6006,2788,5999,2790,5980,2790,5971,2787,5964,2783,5958,2779,5955,2771,5955,2751,5958,2744,5964,2740,5972,2735,5980,2733,5999,2733,6006,2734,6011,2737,6017,2740,6021,2743,6023,2747,6052,2743m6181,2763l6176,2756,6174,2755,6156,2745,6153,2744,6153,2767,6153,2779,6150,2783,6145,2787,6140,2790,6134,2791,6119,2791,6113,2790,6108,2787,6104,2783,6101,2779,6101,2767,6104,2762,6108,2759,6113,2756,6119,2755,6134,2755,6140,2756,6150,2762,6153,2767,6153,2744,6143,2742,6117,2742,6106,2743,6099,2745,6090,2748,6083,2752,6079,2757,6074,2761,6072,2766,6072,2779,6074,2785,6079,2790,6083,2794,6090,2798,6099,2800,6108,2803,6117,2804,6143,2804,6156,2801,6166,2795,6173,2791,6176,2789,6181,2782,6181,2763m6302,2758l6300,2755,6299,2753,6299,2753,6299,2752,6298,2750,6295,2748,6291,2746,6287,2745,6282,2743,6277,2743,6272,2742,6251,2742,6240,2745,6230,2752,6230,2743,6205,2743,6205,2803,6233,2803,6233,2764,6234,2762,6236,2759,6238,2758,6242,2756,6246,2755,6251,2753,6260,2753,6263,2754,6265,2756,6268,2756,6271,2758,6272,2760,6273,2761,6273,2803,6302,2803,6302,2758m6382,2802l6379,2791,6379,2790,6375,2790,6371,2791,6365,2791,6364,2790,6362,2790,6361,2789,6361,2756,6380,2756,6380,2743,6361,2743,6361,2722,6333,2731,6333,2743,6320,2743,6320,2756,6333,2756,6333,2792,6334,2795,6335,2798,6337,2799,6342,2802,6345,2803,6351,2803,6355,2804,6368,2804,6375,2803,6382,2802m6467,2745l6462,2743,6455,2742,6445,2742,6440,2743,6437,2743,6433,2745,6429,2748,6424,2751,6424,2743,6398,2743,6398,2803,6427,2803,6427,2767,6429,2764,6431,2761,6433,2759,6438,2756,6441,2756,6450,2756,6454,2757,6459,2758,6461,2756,6463,2751,6467,2745m6583,2763l6578,2756,6575,2755,6557,2745,6555,2744,6555,2767,6555,2779,6552,2783,6547,2787,6542,2790,6535,2791,6521,2791,6515,2790,6510,2787,6506,2783,6503,2779,6503,2767,6506,2762,6510,2759,6515,2756,6521,2755,6535,2755,6542,2756,6552,2762,6555,2767,6555,2744,6544,2742,6519,2742,6508,2743,6500,2745,6491,2748,6485,2752,6481,2757,6476,2761,6473,2766,6473,2779,6476,2785,6481,2790,6485,2794,6491,2798,6500,2800,6510,2803,6519,2804,6544,2804,6557,2801,6568,2795,6575,2791,6578,2789,6583,2782,6583,2763m7001,2575l6972,2575,6972,2604,6972,2620,6972,2633,6970,2637,6966,2641,6960,2644,6955,2645,6941,2645,6935,2643,6929,2640,6927,2637,6925,2632,6925,2619,6927,2615,6932,2612,6936,2609,6942,2608,6955,2608,6962,2609,6970,2615,6972,2620,6972,2604,6963,2598,6953,2595,6928,2595,6918,2598,6909,2603,6901,2608,6896,2617,6896,2637,6901,2644,6909,2650,6918,2656,6928,2658,6946,2658,6953,2657,6959,2656,6964,2654,6970,2651,6975,2648,6975,2656,7001,2656,7001,2648,7001,2645,7001,2608,7001,2604,7001,2575m7121,2619l7117,2610,7113,2608,7106,2604,7097,2598,7092,2597,7092,2617,7092,2622,7050,2622,7050,2617,7052,2614,7056,2611,7060,2609,7065,2608,7077,2608,7082,2609,7086,2611,7090,2614,7092,2617,7092,2597,7086,2595,7055,2595,7043,2598,7034,2604,7025,2610,7021,2617,7021,2635,7024,2643,7032,2648,7039,2652,7048,2655,7059,2657,7073,2658,7084,2658,7094,2656,7109,2650,7115,2646,7118,2640,7091,2637,7090,2640,7087,2643,7083,2644,7081,2645,7077,2646,7066,2646,7061,2645,7056,2643,7052,2640,7050,2636,7050,2632,7121,2632,7121,2622,7121,2619e" filled="true" fillcolor="#000000" stroked="false">
              <v:path arrowok="t"/>
              <v:fill type="solid"/>
            </v:shape>
            <v:shape style="position:absolute;left:6606;top:2706;width:262;height:111" type="#_x0000_t75" stroked="false">
              <v:imagedata r:id="rId216" o:title=""/>
            </v:shape>
            <v:shape style="position:absolute;left:7201;top:2560;width:151;height:110" type="#_x0000_t75" stroked="false">
              <v:imagedata r:id="rId217" o:title=""/>
            </v:shape>
            <v:shape style="position:absolute;left:7427;top:2573;width:2267;height:85" type="#_x0000_t75" stroked="false">
              <v:imagedata r:id="rId218" o:title=""/>
            </v:shape>
            <v:line style="position:absolute" from="9731,2575" to="9731,2656" stroked="true" strokeweight="1.35187pt" strokecolor="#000000"/>
            <v:shape style="position:absolute;left:6950;top:2705;width:791;height:112" type="#_x0000_t75" stroked="false">
              <v:imagedata r:id="rId219" o:title=""/>
            </v:shape>
            <v:shape style="position:absolute;left:7820;top:2719;width:762;height:109" type="#_x0000_t75" stroked="false">
              <v:imagedata r:id="rId220" o:title=""/>
            </v:shape>
            <v:shape style="position:absolute;left:8649;top:2743;width:110;height:84" coordorigin="8649,2743" coordsize="110,84" path="m8679,2743l8649,2743,8689,2803,8688,2806,8685,2809,8683,2811,8679,2813,8675,2814,8655,2814,8658,2826,8663,2827,8668,2827,8680,2827,8684,2827,8689,2826,8693,2825,8697,2824,8699,2824,8704,2821,8707,2818,8710,2817,8712,2814,8661,2814,8655,2813,8713,2813,8715,2811,8721,2800,8731,2785,8704,2785,8679,2743xm8759,2743l8729,2743,8704,2785,8731,2785,8759,2743xe" filled="true" fillcolor="#000000" stroked="false">
              <v:path arrowok="t"/>
              <v:fill type="solid"/>
            </v:shape>
            <v:shape style="position:absolute;left:8812;top:2720;width:267;height:105" type="#_x0000_t75" stroked="false">
              <v:imagedata r:id="rId221" o:title=""/>
            </v:shape>
            <v:line style="position:absolute" from="9117,2720" to="9117,2803" stroked="true" strokeweight="1.420755pt" strokecolor="#000000"/>
            <v:shape style="position:absolute;left:5923;top:2719;width:3993;height:231" coordorigin="5923,2719" coordsize="3993,231" path="m6039,2866l5923,2866,5923,2880,5967,2880,5967,2949,5997,2949,5997,2880,6039,2880,6039,2866m9188,2743l9161,2743,9161,2803,9188,2803,9188,2743m9188,2720l9161,2720,9161,2734,9188,2734,9188,2720m9312,2782l9285,2780,9283,2784,9281,2787,9277,2789,9273,2790,9269,2791,9256,2791,9251,2790,9247,2787,9242,2784,9241,2779,9241,2766,9242,2761,9247,2758,9251,2756,9256,2754,9269,2754,9273,2755,9277,2756,9279,2758,9282,2761,9282,2763,9310,2761,9306,2754,9301,2750,9294,2746,9286,2743,9275,2742,9247,2742,9234,2745,9225,2750,9216,2756,9211,2763,9211,2782,9216,2790,9225,2796,9234,2801,9247,2804,9275,2804,9287,2802,9295,2798,9304,2795,9308,2791,9309,2790,9312,2782m9425,2803l9420,2797,9420,2796,9420,2795,9419,2793,9419,2792,9419,2774,9419,2758,9418,2753,9412,2748,9409,2746,9402,2744,9396,2743,9387,2742,9361,2742,9349,2743,9343,2746,9336,2748,9331,2753,9329,2758,9353,2761,9356,2758,9357,2756,9361,2756,9363,2754,9367,2753,9379,2753,9384,2754,9387,2756,9391,2757,9392,2759,9392,2763,9392,2774,9392,2781,9391,2784,9391,2785,9389,2787,9387,2789,9384,2790,9374,2793,9365,2793,9361,2792,9358,2790,9354,2789,9353,2787,9353,2782,9361,2778,9366,2777,9374,2776,9381,2776,9388,2774,9392,2774,9392,2763,9387,2765,9378,2766,9363,2768,9354,2769,9347,2770,9336,2773,9332,2774,9330,2777,9326,2780,9325,2783,9325,2792,9329,2795,9335,2799,9341,2803,9349,2804,9367,2804,9372,2803,9378,2802,9384,2800,9389,2799,9393,2796,9393,2797,9394,2797,9394,2798,9396,2800,9397,2802,9397,2803,9425,2803m9542,2782l9515,2780,9513,2784,9511,2787,9507,2789,9503,2790,9499,2791,9486,2791,9481,2790,9477,2787,9472,2784,9471,2779,9471,2766,9472,2761,9477,2758,9481,2756,9486,2754,9499,2754,9503,2755,9507,2756,9509,2758,9512,2761,9512,2763,9540,2761,9537,2754,9531,2750,9524,2746,9516,2743,9506,2742,9477,2742,9464,2745,9455,2750,9446,2756,9441,2763,9441,2782,9446,2790,9455,2796,9464,2801,9477,2804,9506,2804,9517,2802,9525,2798,9534,2795,9538,2791,9539,2790,9542,2782m9591,2743l9562,2743,9562,2803,9591,2803,9591,2743m9591,2720l9562,2720,9562,2734,9591,2734,9591,2720m9699,2719l9667,2719,9654,2736,9671,2736,9699,2719m9724,2763l9719,2756,9716,2755,9708,2750,9700,2747,9694,2745,9694,2767,9694,2779,9692,2783,9686,2787,9681,2790,9676,2791,9661,2791,9655,2790,9650,2787,9645,2783,9642,2779,9642,2767,9645,2762,9655,2756,9661,2755,9676,2755,9681,2756,9692,2762,9694,2767,9694,2745,9690,2744,9680,2742,9668,2742,9658,2742,9649,2743,9640,2745,9631,2748,9624,2752,9620,2757,9615,2761,9613,2766,9613,2779,9615,2785,9620,2790,9624,2794,9632,2798,9640,2800,9649,2803,9659,2804,9684,2804,9697,2801,9715,2791,9719,2789,9724,2782,9724,2763m9843,2758l9841,2755,9841,2753,9840,2753,9840,2752,9839,2750,9836,2748,9834,2746,9830,2745,9825,2743,9820,2743,9813,2742,9794,2742,9782,2745,9772,2752,9772,2743,9746,2743,9746,2803,9774,2803,9774,2764,9777,2762,9778,2759,9781,2758,9785,2756,9789,2755,9792,2753,9801,2753,9804,2754,9807,2756,9810,2756,9812,2758,9813,2760,9814,2761,9814,2803,9843,2803,9843,2758m9915,2763l9912,2753,9907,2745,9901,2735,9893,2727,9884,2719,9865,2719,9874,2730,9880,2740,9883,2748,9887,2756,9888,2764,9888,2782,9887,2786,9885,2790,9884,2795,9883,2799,9880,2804,9879,2808,9876,2811,9874,2815,9870,2820,9865,2827,9884,2827,9896,2817,9903,2807,9909,2797,9914,2788,9915,2780,9915,2763e" filled="true" fillcolor="#000000" stroked="false">
              <v:path arrowok="t"/>
              <v:fill type="solid"/>
            </v:shape>
            <v:shape style="position:absolute;left:6060;top:2853;width:150;height:110" type="#_x0000_t75" stroked="false">
              <v:imagedata r:id="rId222" o:title=""/>
            </v:shape>
            <v:shape style="position:absolute;left:6232;top:2852;width:717;height:119" type="#_x0000_t75" stroked="false">
              <v:imagedata r:id="rId223" o:title=""/>
            </v:shape>
            <v:shape style="position:absolute;left:6967;top:2852;width:150;height:111" type="#_x0000_t75" stroked="false">
              <v:imagedata r:id="rId224" o:title=""/>
            </v:shape>
            <v:shape style="position:absolute;left:7190;top:2866;width:2155;height:106" type="#_x0000_t75" stroked="false">
              <v:imagedata r:id="rId225" o:title=""/>
            </v:shape>
            <v:line style="position:absolute" from="9382,2866" to="9382,2949" stroked="true" strokeweight="1.360481pt" strokecolor="#000000"/>
            <v:shape style="position:absolute;left:9473;top:2866;width:446;height:85" coordorigin="9473,2866" coordsize="446,85" path="m9573,2882l9570,2879,9568,2877,9560,2873,9552,2868,9540,2866,9512,2866,9502,2868,9484,2875,9478,2882,9477,2890,9504,2892,9506,2887,9507,2884,9511,2882,9515,2880,9518,2879,9531,2879,9535,2880,9539,2882,9542,2884,9544,2887,9544,2893,9542,2896,9538,2900,9535,2902,9515,2913,9499,2921,9489,2928,9484,2933,9477,2938,9475,2943,9473,2949,9573,2949,9573,2934,9516,2934,9517,2932,9530,2925,9539,2921,9553,2913,9557,2910,9562,2906,9566,2903,9569,2900,9571,2896,9573,2892,9573,2882m9688,2892l9682,2882,9680,2879,9673,2874,9664,2869,9658,2867,9658,2898,9658,2918,9657,2924,9655,2929,9653,2932,9651,2934,9646,2937,9642,2937,9636,2937,9633,2937,9628,2934,9626,2932,9624,2928,9622,2924,9622,2892,9624,2887,9626,2884,9628,2882,9633,2879,9646,2879,9651,2882,9654,2884,9655,2888,9657,2892,9658,2898,9658,2867,9654,2866,9626,2866,9614,2869,9606,2874,9597,2881,9592,2892,9592,2924,9596,2934,9605,2941,9614,2947,9626,2950,9654,2950,9664,2947,9673,2942,9679,2937,9682,2935,9688,2924,9688,2892m9779,2866l9756,2866,9754,2871,9747,2875,9738,2879,9730,2883,9721,2885,9715,2887,9715,2901,9729,2898,9741,2895,9751,2889,9751,2949,9779,2949,9779,2889,9779,2866m9919,2919l9916,2915,9911,2911,9910,2911,9906,2908,9900,2905,9890,2905,9905,2900,9912,2895,9912,2882,9910,2879,9909,2877,9893,2869,9883,2866,9861,2866,9853,2867,9847,2869,9840,2870,9835,2873,9831,2876,9827,2879,9825,2882,9823,2887,9849,2890,9849,2887,9852,2884,9858,2880,9862,2879,9872,2879,9876,2879,9879,2882,9883,2883,9884,2885,9884,2891,9882,2894,9878,2896,9874,2897,9867,2899,9861,2899,9857,2911,9862,2911,9875,2911,9880,2911,9884,2914,9888,2916,9889,2919,9889,2927,9888,2931,9884,2933,9880,2936,9875,2937,9863,2937,9859,2936,9856,2934,9852,2932,9849,2929,9848,2925,9821,2926,9822,2934,9827,2939,9836,2944,9845,2948,9856,2950,9883,2950,9894,2947,9905,2942,9914,2937,9919,2932,9919,2919e" filled="true" fillcolor="#000000" stroked="false">
              <v:path arrowok="t"/>
              <v:fill type="solid"/>
            </v:shape>
            <v:shape style="position:absolute;left:4521;top:2984;width:6792;height:2" coordorigin="4521,2984" coordsize="6792,0" path="m4521,2984l4521,2984,11313,2984e" filled="false" stroked="true" strokeweight=".434596pt" strokecolor="#000000">
              <v:path arrowok="t"/>
            </v:shape>
            <v:shape style="position:absolute;left:4517;top:2424;width:6801;height:564" type="#_x0000_t202" filled="false" stroked="false">
              <v:textbox inset="0,0,0,0">
                <w:txbxContent>
                  <w:p>
                    <w:pPr>
                      <w:spacing w:line="245" w:lineRule="exact" w:before="0"/>
                      <w:ind w:left="105" w:right="0" w:firstLine="0"/>
                      <w:jc w:val="left"/>
                      <w:rPr>
                        <w:sz w:val="24"/>
                      </w:rPr>
                    </w:pPr>
                    <w:r>
                      <w:rPr>
                        <w:sz w:val="24"/>
                      </w:rPr>
                      <w:t>Anexo 76.</w:t>
                    </w:r>
                  </w:p>
                </w:txbxContent>
              </v:textbox>
              <w10:wrap type="none"/>
            </v:shape>
            <w10:wrap type="none"/>
          </v:group>
        </w:pict>
      </w:r>
      <w:r>
        <w:rPr/>
        <w:drawing>
          <wp:anchor distT="0" distB="0" distL="0" distR="0" allowOverlap="1" layoutInCell="1" locked="0" behindDoc="0" simplePos="0" relativeHeight="10864">
            <wp:simplePos x="0" y="0"/>
            <wp:positionH relativeFrom="page">
              <wp:posOffset>4962930</wp:posOffset>
            </wp:positionH>
            <wp:positionV relativeFrom="page">
              <wp:posOffset>2088928</wp:posOffset>
            </wp:positionV>
            <wp:extent cx="214465" cy="70675"/>
            <wp:effectExtent l="0" t="0" r="0" b="0"/>
            <wp:wrapNone/>
            <wp:docPr id="71" name="image167.png" descr=""/>
            <wp:cNvGraphicFramePr>
              <a:graphicFrameLocks noChangeAspect="1"/>
            </wp:cNvGraphicFramePr>
            <a:graphic>
              <a:graphicData uri="http://schemas.openxmlformats.org/drawingml/2006/picture">
                <pic:pic>
                  <pic:nvPicPr>
                    <pic:cNvPr id="72" name="image167.png"/>
                    <pic:cNvPicPr/>
                  </pic:nvPicPr>
                  <pic:blipFill>
                    <a:blip r:embed="rId226" cstate="print"/>
                    <a:stretch>
                      <a:fillRect/>
                    </a:stretch>
                  </pic:blipFill>
                  <pic:spPr>
                    <a:xfrm>
                      <a:off x="0" y="0"/>
                      <a:ext cx="214465" cy="70675"/>
                    </a:xfrm>
                    <a:prstGeom prst="rect">
                      <a:avLst/>
                    </a:prstGeom>
                  </pic:spPr>
                </pic:pic>
              </a:graphicData>
            </a:graphic>
          </wp:anchor>
        </w:drawing>
      </w:r>
    </w:p>
    <w:p>
      <w:pPr>
        <w:pStyle w:val="BodyText"/>
        <w:rPr>
          <w:rFonts w:ascii="Times New Roman"/>
          <w:sz w:val="20"/>
        </w:rPr>
      </w:pPr>
    </w:p>
    <w:p>
      <w:pPr>
        <w:pStyle w:val="BodyText"/>
        <w:spacing w:before="10"/>
        <w:rPr>
          <w:rFonts w:ascii="Times New Roman"/>
          <w:sz w:val="19"/>
        </w:rPr>
      </w:pPr>
    </w:p>
    <w:p>
      <w:pPr>
        <w:pStyle w:val="BodyText"/>
        <w:ind w:left="2578"/>
        <w:rPr>
          <w:rFonts w:ascii="Times New Roman"/>
          <w:sz w:val="20"/>
        </w:rPr>
      </w:pPr>
      <w:r>
        <w:rPr>
          <w:rFonts w:ascii="Times New Roman"/>
          <w:sz w:val="20"/>
        </w:rPr>
        <w:pict>
          <v:group style="width:324pt;height:31.8pt;mso-position-horizontal-relative:char;mso-position-vertical-relative:line" coordorigin="0,0" coordsize="6480,636">
            <v:shape style="position:absolute;left:0;top:0;width:6480;height:636" type="#_x0000_t75" stroked="false">
              <v:imagedata r:id="rId191" o:title=""/>
            </v:shape>
            <v:shape style="position:absolute;left:0;top:0;width:6480;height:636" type="#_x0000_t202" filled="false" stroked="false">
              <v:textbox inset="0,0,0,0">
                <w:txbxContent>
                  <w:p>
                    <w:pPr>
                      <w:spacing w:line="244" w:lineRule="auto" w:before="0"/>
                      <w:ind w:left="144" w:right="63"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3"/>
        <w:rPr>
          <w:rFonts w:ascii="Times New Roman"/>
          <w:sz w:val="29"/>
        </w:rPr>
      </w:pPr>
    </w:p>
    <w:tbl>
      <w:tblPr>
        <w:tblW w:w="0" w:type="auto"/>
        <w:jc w:val="left"/>
        <w:tblInd w:w="225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601"/>
        <w:gridCol w:w="3187"/>
      </w:tblGrid>
      <w:tr>
        <w:trPr>
          <w:trHeight w:val="146" w:hRule="exact"/>
        </w:trPr>
        <w:tc>
          <w:tcPr>
            <w:tcW w:w="3601" w:type="dxa"/>
            <w:tcBorders>
              <w:left w:val="single" w:sz="6" w:space="0" w:color="000000"/>
              <w:right w:val="nil"/>
            </w:tcBorders>
            <w:shd w:val="clear" w:color="auto" w:fill="E6B8B7"/>
          </w:tcPr>
          <w:p>
            <w:pPr>
              <w:pStyle w:val="TableParagraph"/>
              <w:spacing w:before="1"/>
              <w:rPr>
                <w:rFonts w:ascii="Times New Roman"/>
                <w:sz w:val="2"/>
              </w:rPr>
            </w:pPr>
          </w:p>
          <w:p>
            <w:pPr>
              <w:pStyle w:val="TableParagraph"/>
              <w:spacing w:line="81" w:lineRule="exact"/>
              <w:ind w:left="3161"/>
              <w:rPr>
                <w:rFonts w:ascii="Times New Roman"/>
                <w:sz w:val="8"/>
              </w:rPr>
            </w:pPr>
            <w:r>
              <w:rPr>
                <w:rFonts w:ascii="Times New Roman"/>
                <w:position w:val="-1"/>
                <w:sz w:val="8"/>
              </w:rPr>
              <w:pict>
                <v:group style="width:5.05pt;height:4.1pt;mso-position-horizontal-relative:char;mso-position-vertical-relative:line" coordorigin="0,0" coordsize="101,82">
                  <v:shape style="position:absolute;left:0;top:0;width:101;height:82" coordorigin="0,0" coordsize="101,82" path="m101,0l0,0,0,82,30,82,30,47,92,47,92,33,30,33,30,14,101,14,101,0xe" filled="true" fillcolor="#000000" stroked="false">
                    <v:path arrowok="t"/>
                    <v:fill type="solid"/>
                  </v:shape>
                </v:group>
              </w:pict>
            </w:r>
            <w:r>
              <w:rPr>
                <w:rFonts w:ascii="Times New Roman"/>
                <w:position w:val="-1"/>
                <w:sz w:val="8"/>
              </w:rPr>
            </w:r>
          </w:p>
        </w:tc>
        <w:tc>
          <w:tcPr>
            <w:tcW w:w="3187" w:type="dxa"/>
            <w:tcBorders>
              <w:left w:val="nil"/>
              <w:right w:val="single" w:sz="6" w:space="0" w:color="000000"/>
            </w:tcBorders>
            <w:shd w:val="clear" w:color="auto" w:fill="E6B8B7"/>
          </w:tcPr>
          <w:p>
            <w:pPr/>
          </w:p>
        </w:tc>
      </w:tr>
      <w:tr>
        <w:trPr>
          <w:trHeight w:val="146" w:hRule="exact"/>
        </w:trPr>
        <w:tc>
          <w:tcPr>
            <w:tcW w:w="3601" w:type="dxa"/>
            <w:tcBorders>
              <w:left w:val="single" w:sz="6" w:space="0" w:color="000000"/>
              <w:right w:val="single" w:sz="6" w:space="0" w:color="000000"/>
            </w:tcBorders>
            <w:shd w:val="clear" w:color="auto" w:fill="F1DCDB"/>
          </w:tcPr>
          <w:p>
            <w:pPr>
              <w:pStyle w:val="TableParagraph"/>
              <w:spacing w:line="110" w:lineRule="exact"/>
              <w:ind w:left="1300"/>
              <w:rPr>
                <w:rFonts w:ascii="Times New Roman"/>
                <w:sz w:val="11"/>
              </w:rPr>
            </w:pPr>
            <w:r>
              <w:rPr>
                <w:rFonts w:ascii="Times New Roman"/>
                <w:position w:val="-1"/>
                <w:sz w:val="11"/>
              </w:rPr>
              <w:drawing>
                <wp:inline distT="0" distB="0" distL="0" distR="0">
                  <wp:extent cx="628640" cy="70008"/>
                  <wp:effectExtent l="0" t="0" r="0" b="0"/>
                  <wp:docPr id="73" name="image168.png" descr=""/>
                  <wp:cNvGraphicFramePr>
                    <a:graphicFrameLocks noChangeAspect="1"/>
                  </wp:cNvGraphicFramePr>
                  <a:graphic>
                    <a:graphicData uri="http://schemas.openxmlformats.org/drawingml/2006/picture">
                      <pic:pic>
                        <pic:nvPicPr>
                          <pic:cNvPr id="74" name="image168.png"/>
                          <pic:cNvPicPr/>
                        </pic:nvPicPr>
                        <pic:blipFill>
                          <a:blip r:embed="rId227" cstate="print"/>
                          <a:stretch>
                            <a:fillRect/>
                          </a:stretch>
                        </pic:blipFill>
                        <pic:spPr>
                          <a:xfrm>
                            <a:off x="0" y="0"/>
                            <a:ext cx="628640" cy="70008"/>
                          </a:xfrm>
                          <a:prstGeom prst="rect">
                            <a:avLst/>
                          </a:prstGeom>
                        </pic:spPr>
                      </pic:pic>
                    </a:graphicData>
                  </a:graphic>
                </wp:inline>
              </w:drawing>
            </w:r>
            <w:r>
              <w:rPr>
                <w:rFonts w:ascii="Times New Roman"/>
                <w:position w:val="-1"/>
                <w:sz w:val="11"/>
              </w:rPr>
            </w:r>
          </w:p>
        </w:tc>
        <w:tc>
          <w:tcPr>
            <w:tcW w:w="3187" w:type="dxa"/>
            <w:tcBorders>
              <w:left w:val="single" w:sz="6" w:space="0" w:color="000000"/>
              <w:right w:val="single" w:sz="6" w:space="0" w:color="000000"/>
            </w:tcBorders>
            <w:shd w:val="clear" w:color="auto" w:fill="F1DCDB"/>
          </w:tcPr>
          <w:p>
            <w:pPr>
              <w:pStyle w:val="TableParagraph"/>
              <w:spacing w:line="110" w:lineRule="exact"/>
              <w:ind w:left="1028"/>
              <w:rPr>
                <w:rFonts w:ascii="Times New Roman"/>
                <w:sz w:val="11"/>
              </w:rPr>
            </w:pPr>
            <w:r>
              <w:rPr>
                <w:rFonts w:ascii="Times New Roman"/>
                <w:position w:val="0"/>
                <w:sz w:val="8"/>
              </w:rPr>
              <w:pict>
                <v:group style="width:18.350pt;height:4.25pt;mso-position-horizontal-relative:char;mso-position-vertical-relative:line" coordorigin="0,0" coordsize="367,85">
                  <v:shape style="position:absolute;left:0;top:0;width:123;height:83" coordorigin="0,0" coordsize="123,83" path="m66,0l0,0,0,83,67,83,75,82,83,81,90,80,98,77,103,75,110,70,111,69,30,69,30,14,112,14,111,13,105,9,98,6,90,3,83,1,76,1,66,0xm112,14l63,14,67,15,72,16,77,17,85,21,88,23,89,27,92,30,93,35,93,48,92,53,89,57,88,60,85,63,81,64,79,66,75,67,70,68,66,69,111,69,115,66,119,60,121,55,123,49,123,35,121,28,119,22,115,17,112,14xe" filled="true" fillcolor="#000000" stroked="false">
                    <v:path arrowok="t"/>
                    <v:fill type="solid"/>
                  </v:shape>
                  <v:shape style="position:absolute;left:141;top:22;width:100;height:63" coordorigin="141,22" coordsize="100,63" path="m205,22l176,22,164,25,155,30,146,36,141,43,141,62,145,68,151,74,159,78,168,81,180,83,192,84,204,84,214,83,230,77,234,73,186,73,181,71,177,68,172,66,170,62,169,57,240,57,240,48,170,48,170,43,172,40,181,35,185,33,232,33,227,30,218,25,205,22xm210,64l209,67,207,69,201,72,198,73,234,73,235,72,239,67,210,64xm232,33l198,33,201,35,207,37,210,40,212,43,212,48,240,48,240,45,236,36,232,33xe" filled="true" fillcolor="#000000" stroked="false">
                    <v:path arrowok="t"/>
                    <v:fill type="solid"/>
                  </v:shape>
                  <v:shape style="position:absolute;left:263;top:0;width:104;height:85" coordorigin="263,0" coordsize="104,85" path="m357,74l289,74,293,78,298,80,305,81,310,83,317,84,335,84,345,81,354,76,357,74xm291,0l263,0,263,83,289,83,289,74,357,74,361,72,307,72,301,70,296,65,293,62,291,58,291,46,293,41,297,38,302,36,307,33,360,33,354,30,291,30,291,0xm360,33l322,33,327,36,332,38,336,41,338,46,338,59,336,64,332,67,327,70,322,72,361,72,363,70,367,62,367,42,363,35,360,33xm335,22l310,22,300,25,291,30,354,30,346,24,335,22xe" filled="true" fillcolor="#000000" stroked="false">
                    <v:path arrowok="t"/>
                    <v:fill type="solid"/>
                  </v:shape>
                </v:group>
              </w:pict>
            </w:r>
            <w:r>
              <w:rPr>
                <w:rFonts w:ascii="Times New Roman"/>
                <w:position w:val="0"/>
                <w:sz w:val="8"/>
              </w:rPr>
            </w:r>
            <w:r>
              <w:rPr>
                <w:rFonts w:ascii="Times New Roman"/>
                <w:spacing w:val="-23"/>
                <w:position w:val="0"/>
                <w:sz w:val="11"/>
              </w:rPr>
              <w:t> </w:t>
            </w:r>
            <w:r>
              <w:rPr>
                <w:rFonts w:ascii="Times New Roman"/>
                <w:spacing w:val="-23"/>
                <w:position w:val="-1"/>
                <w:sz w:val="11"/>
              </w:rPr>
              <w:drawing>
                <wp:inline distT="0" distB="0" distL="0" distR="0">
                  <wp:extent cx="469925" cy="70008"/>
                  <wp:effectExtent l="0" t="0" r="0" b="0"/>
                  <wp:docPr id="75" name="image169.png" descr=""/>
                  <wp:cNvGraphicFramePr>
                    <a:graphicFrameLocks noChangeAspect="1"/>
                  </wp:cNvGraphicFramePr>
                  <a:graphic>
                    <a:graphicData uri="http://schemas.openxmlformats.org/drawingml/2006/picture">
                      <pic:pic>
                        <pic:nvPicPr>
                          <pic:cNvPr id="76" name="image169.png"/>
                          <pic:cNvPicPr/>
                        </pic:nvPicPr>
                        <pic:blipFill>
                          <a:blip r:embed="rId228" cstate="print"/>
                          <a:stretch>
                            <a:fillRect/>
                          </a:stretch>
                        </pic:blipFill>
                        <pic:spPr>
                          <a:xfrm>
                            <a:off x="0" y="0"/>
                            <a:ext cx="469925" cy="70008"/>
                          </a:xfrm>
                          <a:prstGeom prst="rect">
                            <a:avLst/>
                          </a:prstGeom>
                        </pic:spPr>
                      </pic:pic>
                    </a:graphicData>
                  </a:graphic>
                </wp:inline>
              </w:drawing>
            </w:r>
            <w:r>
              <w:rPr>
                <w:rFonts w:ascii="Times New Roman"/>
                <w:spacing w:val="-23"/>
                <w:position w:val="-1"/>
                <w:sz w:val="11"/>
              </w:rPr>
            </w:r>
          </w:p>
        </w:tc>
      </w:tr>
      <w:tr>
        <w:trPr>
          <w:trHeight w:val="1022" w:hRule="exact"/>
        </w:trPr>
        <w:tc>
          <w:tcPr>
            <w:tcW w:w="3601" w:type="dxa"/>
            <w:tcBorders>
              <w:left w:val="single" w:sz="6" w:space="0" w:color="000000"/>
              <w:right w:val="single" w:sz="6" w:space="0" w:color="000000"/>
            </w:tcBorders>
          </w:tcPr>
          <w:p>
            <w:pPr>
              <w:pStyle w:val="TableParagraph"/>
              <w:spacing w:after="18"/>
              <w:ind w:left="32"/>
              <w:rPr>
                <w:rFonts w:ascii="Times New Roman"/>
                <w:sz w:val="20"/>
              </w:rPr>
            </w:pPr>
            <w:r>
              <w:rPr>
                <w:rFonts w:ascii="Times New Roman"/>
                <w:sz w:val="20"/>
              </w:rPr>
              <w:pict>
                <v:group style="width:172.3pt;height:35.6pt;mso-position-horizontal-relative:char;mso-position-vertical-relative:line" coordorigin="0,0" coordsize="3446,712">
                  <v:shape style="position:absolute;left:13;top:21;width:110;height:83" coordorigin="13,21" coordsize="110,83" path="m120,21l13,21,13,104,123,104,123,93,32,93,32,66,114,66,114,56,32,56,32,30,120,30,120,21xe" filled="true" fillcolor="#000000" stroked="false">
                    <v:path arrowok="t"/>
                    <v:fill type="solid"/>
                  </v:shape>
                  <v:shape style="position:absolute;left:137;top:43;width:100;height:61" coordorigin="137,43" coordsize="100,61" path="m161,43l140,43,176,72,137,104,159,104,186,80,206,80,196,72,206,64,186,64,183,62,181,60,161,43xm206,80l186,80,192,85,214,104,236,104,206,80xm234,43l212,43,194,58,191,59,189,62,186,64,206,64,234,43xe" filled="true" fillcolor="#000000" stroked="false">
                    <v:path arrowok="t"/>
                    <v:fill type="solid"/>
                  </v:shape>
                  <v:shape style="position:absolute;left:252;top:21;width:19;height:83" coordorigin="252,21" coordsize="19,83" path="m270,21l252,21,252,33,270,33,270,21xm270,43l252,43,252,104,270,104,270,43xe" filled="true" fillcolor="#000000" stroked="false">
                    <v:path arrowok="t"/>
                    <v:fill type="solid"/>
                  </v:shape>
                  <v:shape style="position:absolute;left:291;top:42;width:88;height:64" coordorigin="291,42" coordsize="88,64" path="m309,84l291,85,292,92,297,96,305,100,311,103,322,105,345,105,351,104,359,102,366,101,371,98,373,96,328,96,322,96,317,93,313,91,309,88,309,84xm341,42l327,42,322,43,317,43,313,44,309,46,306,46,302,48,298,50,297,52,295,54,293,56,293,62,295,65,297,67,300,70,304,72,314,75,323,76,337,78,346,80,353,80,355,81,359,83,360,85,360,89,358,92,354,93,350,96,344,96,373,96,373,96,377,93,379,89,379,83,377,80,375,78,372,75,368,73,363,72,358,71,349,69,336,67,327,66,322,65,320,64,317,64,315,63,313,62,311,61,311,56,313,54,320,51,326,51,369,51,368,50,366,48,360,46,355,44,349,43,341,42xm369,51l341,51,346,51,350,53,354,55,357,57,358,60,375,59,373,55,372,52,369,51xe" filled="true" fillcolor="#000000" stroked="false">
                    <v:path arrowok="t"/>
                    <v:fill type="solid"/>
                  </v:shape>
                  <v:shape style="position:absolute;left:391;top:22;width:52;height:82" coordorigin="391,22" coordsize="52,82" path="m422,51l404,51,404,92,406,96,407,98,408,100,411,101,415,102,417,104,422,104,434,104,438,104,443,104,441,95,430,95,428,94,426,94,425,93,424,93,424,92,422,91,422,51xm441,94l437,95,441,95,441,94xm441,43l391,43,391,51,441,51,441,43xm422,22l404,29,404,43,422,43,422,22xe" filled="true" fillcolor="#000000" stroked="false">
                    <v:path arrowok="t"/>
                    <v:fill type="solid"/>
                  </v:shape>
                  <v:shape style="position:absolute;left:452;top:42;width:99;height:64" coordorigin="452,42" coordsize="99,64" path="m517,42l487,42,475,45,457,56,452,64,452,84,457,91,466,96,475,102,487,105,515,105,526,103,534,100,541,96,495,96,487,95,481,91,475,88,472,83,472,76,550,76,550,68,472,68,473,62,475,59,482,55,487,52,494,51,537,51,528,45,517,42xm531,84l528,88,525,91,521,93,515,96,510,96,541,96,546,91,550,85,531,84xm537,51l512,51,519,53,525,56,528,59,531,63,531,68,550,68,550,64,546,56,537,51xe" filled="true" fillcolor="#000000" stroked="false">
                    <v:path arrowok="t"/>
                    <v:fill type="solid"/>
                  </v:shape>
                  <v:shape style="position:absolute;left:630;top:43;width:87;height:62" coordorigin="630,43" coordsize="87,62" path="m649,43l630,43,630,88,632,90,634,96,637,98,639,100,643,101,650,103,655,104,660,105,681,105,692,101,698,96,665,96,660,95,656,93,654,92,651,90,650,88,649,85,649,43xm717,95l700,95,700,104,717,104,717,95xm717,43l699,43,699,80,698,85,696,88,694,90,690,92,686,93,676,96,698,96,700,95,717,95,717,43xe" filled="true" fillcolor="#000000" stroked="false">
                    <v:path arrowok="t"/>
                    <v:fill type="solid"/>
                  </v:shape>
                  <v:shape style="position:absolute;left:745;top:42;width:87;height:62" coordorigin="745,42" coordsize="87,62" path="m762,43l745,43,745,104,764,104,764,63,766,58,773,55,778,52,762,52,762,43xm827,51l797,51,801,51,809,54,811,56,813,58,814,60,814,104,832,104,832,56,831,54,828,51,827,51xm802,42l782,42,770,46,762,52,778,52,784,51,827,51,826,49,823,47,819,46,809,43,802,42xe" filled="true" fillcolor="#000000" stroked="false">
                    <v:path arrowok="t"/>
                    <v:fill type="solid"/>
                  </v:shape>
                  <v:shape style="position:absolute;left:915;top:20;width:637;height:108" type="#_x0000_t75" stroked="false">
                    <v:imagedata r:id="rId229" o:title=""/>
                  </v:shape>
                  <v:shape style="position:absolute;left:0;top:0;width:3217;height:397" type="#_x0000_t75" stroked="false">
                    <v:imagedata r:id="rId230" o:title=""/>
                  </v:shape>
                  <v:shape style="position:absolute;left:540;top:304;width:621;height:101" type="#_x0000_t75" stroked="false">
                    <v:imagedata r:id="rId231" o:title=""/>
                  </v:shape>
                  <v:shape style="position:absolute;left:1021;top:304;width:2287;height:246" type="#_x0000_t75" stroked="false">
                    <v:imagedata r:id="rId232" o:title=""/>
                  </v:shape>
                  <v:shape style="position:absolute;left:4;top:480;width:730;height:209" type="#_x0000_t75" stroked="false">
                    <v:imagedata r:id="rId233" o:title=""/>
                  </v:shape>
                  <v:line style="position:absolute" from="765,459" to="765,541" stroked="true" strokeweight=".904117pt" strokecolor="#000000"/>
                  <v:shape style="position:absolute;left:849;top:482;width:99;height:84" coordorigin="849,482" coordsize="99,84" path="m857,555l859,564,863,565,867,566,876,566,881,565,889,562,897,556,897,555,860,555,857,555xm869,482l849,482,890,542,889,542,889,544,886,548,884,550,882,551,880,554,877,555,875,555,897,555,899,553,902,549,907,542,915,530,899,530,897,525,891,516,869,482xm947,482l929,482,906,516,900,525,899,530,915,530,947,482xe" filled="true" fillcolor="#000000" stroked="false">
                    <v:path arrowok="t"/>
                    <v:fill type="solid"/>
                  </v:shape>
                  <v:shape style="position:absolute;left:469;top:596;width:291;height:108" type="#_x0000_t75" stroked="false">
                    <v:imagedata r:id="rId234" o:title=""/>
                  </v:shape>
                  <v:shape style="position:absolute;left:838;top:605;width:760;height:106" type="#_x0000_t75" stroked="false">
                    <v:imagedata r:id="rId235" o:title=""/>
                  </v:shape>
                  <v:shape style="position:absolute;left:1676;top:603;width:62;height:84" coordorigin="1676,603" coordsize="62,84" path="m1709,636l1691,636,1691,687,1709,687,1709,636xm1730,628l1676,628,1676,636,1730,636,1730,628xm1726,603l1713,603,1707,604,1703,606,1697,608,1695,610,1694,613,1692,614,1691,617,1691,628,1709,628,1709,619,1711,616,1716,613,1720,613,1735,613,1738,605,1731,604,1726,603xm1735,613l1731,613,1735,613,1735,613xe" filled="true" fillcolor="#000000" stroked="false">
                    <v:path arrowok="t"/>
                    <v:fill type="solid"/>
                  </v:shape>
                  <v:shape style="position:absolute;left:1738;top:627;width:100;height:63" coordorigin="1738,627" coordsize="100,63" path="m1802,627l1775,627,1763,629,1754,633,1743,638,1738,647,1738,668,1743,675,1752,681,1761,686,1773,689,1797,689,1806,687,1814,685,1822,683,1826,680,1779,680,1771,679,1765,675,1760,671,1757,665,1757,650,1760,644,1765,640,1771,637,1779,634,1824,634,1814,629,1802,627xm1824,634l1797,634,1805,637,1810,640,1816,644,1819,650,1819,665,1816,671,1810,675,1805,679,1797,680,1826,680,1827,679,1832,675,1836,671,1837,665,1837,647,1833,640,1824,634xe" filled="true" fillcolor="#000000" stroked="false">
                    <v:path arrowok="t"/>
                    <v:fill type="solid"/>
                  </v:shape>
                  <v:shape style="position:absolute;left:1859;top:596;width:461;height:101" type="#_x0000_t75" stroked="false">
                    <v:imagedata r:id="rId236" o:title=""/>
                  </v:shape>
                  <v:shape style="position:absolute;left:2389;top:628;width:99;height:84" coordorigin="2389,628" coordsize="99,84" path="m2396,701l2399,711,2403,711,2407,712,2416,712,2421,711,2425,709,2429,708,2433,705,2437,702,2400,702,2396,701xm2409,628l2389,628,2430,687,2429,689,2429,690,2426,694,2424,697,2422,698,2421,699,2420,700,2417,700,2415,701,2411,702,2437,702,2439,700,2442,695,2447,688,2455,676,2439,676,2437,671,2434,666,2431,662,2409,628xm2487,628l2469,628,2446,663,2440,671,2439,676,2455,676,2487,628xe" filled="true" fillcolor="#000000" stroked="false">
                    <v:path arrowok="t"/>
                    <v:fill type="solid"/>
                  </v:shape>
                  <v:shape style="position:absolute;left:2561;top:605;width:598;height:107" type="#_x0000_t75" stroked="false">
                    <v:imagedata r:id="rId237" o:title=""/>
                  </v:shape>
                  <v:shape style="position:absolute;left:3232;top:605;width:92;height:84" coordorigin="3232,605" coordsize="92,84" path="m3284,627l3269,627,3261,628,3253,630,3247,633,3241,637,3238,642,3234,646,3232,652,3232,663,3234,669,3238,674,3241,679,3248,682,3254,685,3262,687,3270,689,3290,689,3301,686,3307,680,3271,680,3265,679,3259,675,3253,671,3250,666,3250,650,3253,644,3258,640,3265,637,3271,634,3306,634,3303,632,3300,630,3289,627,3284,627xm3324,605l3306,605,3306,634,3287,634,3294,637,3300,640,3305,645,3309,650,3309,666,3305,671,3300,675,3294,679,3288,680,3307,680,3307,687,3324,687,3324,605xe" filled="true" fillcolor="#000000" stroked="false">
                    <v:path arrowok="t"/>
                    <v:fill type="solid"/>
                  </v:shape>
                  <v:shape style="position:absolute;left:3347;top:627;width:99;height:63" coordorigin="3347,627" coordsize="99,63" path="m3412,627l3382,627,3371,629,3362,634,3352,640,3347,648,3347,668,3352,675,3362,681,3371,686,3382,689,3411,689,3421,687,3429,684,3436,680,3390,680,3382,679,3376,675,3371,671,3367,667,3367,660,3445,660,3445,652,3367,652,3368,647,3371,642,3377,640,3382,636,3389,634,3433,634,3424,629,3412,627xm3426,669l3424,672,3420,676,3416,677,3411,679,3405,680,3436,680,3442,676,3445,669,3426,669xm3433,634l3407,634,3414,637,3420,640,3424,643,3426,647,3426,652,3445,652,3445,647,3442,640,3433,634xe" filled="true" fillcolor="#000000" stroked="false">
                    <v:path arrowok="t"/>
                    <v:fill type="solid"/>
                  </v:shape>
                </v:group>
              </w:pict>
            </w:r>
            <w:r>
              <w:rPr>
                <w:rFonts w:ascii="Times New Roman"/>
                <w:sz w:val="20"/>
              </w:rPr>
            </w:r>
          </w:p>
          <w:p>
            <w:pPr>
              <w:pStyle w:val="TableParagraph"/>
              <w:spacing w:line="104" w:lineRule="exact"/>
              <w:ind w:left="33"/>
              <w:rPr>
                <w:rFonts w:ascii="Times New Roman"/>
                <w:sz w:val="10"/>
              </w:rPr>
            </w:pPr>
            <w:r>
              <w:rPr>
                <w:rFonts w:ascii="Times New Roman"/>
                <w:position w:val="-1"/>
                <w:sz w:val="10"/>
              </w:rPr>
              <w:pict>
                <v:group style="width:64.8pt;height:5.25pt;mso-position-horizontal-relative:char;mso-position-vertical-relative:line" coordorigin="0,0" coordsize="1296,105">
                  <v:shape style="position:absolute;left:0;top:0;width:1240;height:105" type="#_x0000_t75" stroked="false">
                    <v:imagedata r:id="rId238" o:title=""/>
                  </v:shape>
                  <v:line style="position:absolute" from="1269,77" to="1289,77" stroked="true" strokeweight=".579320pt" strokecolor="#000000"/>
                </v:group>
              </w:pict>
            </w:r>
            <w:r>
              <w:rPr>
                <w:rFonts w:ascii="Times New Roman"/>
                <w:position w:val="-1"/>
                <w:sz w:val="10"/>
              </w:rPr>
            </w:r>
          </w:p>
        </w:tc>
        <w:tc>
          <w:tcPr>
            <w:tcW w:w="3187" w:type="dxa"/>
            <w:tcBorders>
              <w:left w:val="single" w:sz="6" w:space="0" w:color="000000"/>
              <w:right w:val="single" w:sz="6" w:space="0" w:color="000000"/>
            </w:tcBorders>
          </w:tcPr>
          <w:p>
            <w:pPr>
              <w:pStyle w:val="TableParagraph"/>
              <w:spacing w:before="1"/>
              <w:rPr>
                <w:rFonts w:ascii="Times New Roman"/>
                <w:sz w:val="2"/>
              </w:rPr>
            </w:pPr>
          </w:p>
          <w:p>
            <w:pPr>
              <w:pStyle w:val="TableParagraph"/>
              <w:ind w:left="37"/>
              <w:rPr>
                <w:rFonts w:ascii="Times New Roman"/>
                <w:sz w:val="20"/>
              </w:rPr>
            </w:pPr>
            <w:r>
              <w:rPr>
                <w:rFonts w:ascii="Times New Roman"/>
                <w:sz w:val="20"/>
              </w:rPr>
              <w:pict>
                <v:group style="width:131.3pt;height:19.95pt;mso-position-horizontal-relative:char;mso-position-vertical-relative:line" coordorigin="0,0" coordsize="2626,399">
                  <v:shape style="position:absolute;left:1;top:0;width:2245;height:230" type="#_x0000_t75" stroked="false">
                    <v:imagedata r:id="rId239" o:title=""/>
                  </v:shape>
                  <v:shape style="position:absolute;left:513;top:136;width:518;height:101" type="#_x0000_t75" stroked="false">
                    <v:imagedata r:id="rId240" o:title=""/>
                  </v:shape>
                  <v:shape style="position:absolute;left:1110;top:145;width:1345;height:106" type="#_x0000_t75" stroked="false">
                    <v:imagedata r:id="rId241" o:title=""/>
                  </v:shape>
                  <v:line style="position:absolute" from="2486,146" to="2486,228" stroked="true" strokeweight=".904117pt" strokecolor="#000000"/>
                  <v:shape style="position:absolute;left:0;top:314;width:93;height:63" coordorigin="0,314" coordsize="93,63" path="m59,314l39,314,31,314,23,317,15,319,9,323,5,328,1,332,0,338,0,355,4,362,13,368,22,373,34,376,59,376,70,374,77,370,83,367,39,367,32,366,26,362,21,359,18,353,18,337,21,331,27,327,32,324,40,322,84,322,76,318,70,315,59,314xm75,353l74,358,71,361,66,364,61,366,55,367,83,367,85,366,90,361,93,353,75,353xm84,322l55,322,59,322,65,324,68,327,71,330,74,334,90,332,89,326,84,322xe" filled="true" fillcolor="#000000" stroked="false">
                    <v:path arrowok="t"/>
                    <v:fill type="solid"/>
                  </v:shape>
                  <v:shape style="position:absolute;left:108;top:314;width:87;height:62" coordorigin="108,314" coordsize="87,62" path="m127,314l108,314,108,359,110,361,110,364,112,366,115,369,117,371,121,372,132,375,138,376,159,376,170,372,177,367,142,367,138,366,134,365,130,363,128,361,128,359,127,356,127,314xm195,366l178,366,178,374,195,374,195,366xm195,314l177,314,177,352,176,356,173,359,172,361,168,363,163,365,159,366,154,367,177,367,178,366,195,366,195,314xe" filled="true" fillcolor="#000000" stroked="false">
                    <v:path arrowok="t"/>
                    <v:fill type="solid"/>
                  </v:shape>
                  <v:shape style="position:absolute;left:224;top:314;width:145;height:61" coordorigin="224,314" coordsize="145,61" path="m240,314l224,314,224,374,242,374,242,338,243,334,244,331,247,328,249,326,253,324,258,323,240,323,240,314xm301,322l275,322,279,323,283,325,286,327,287,331,287,374,305,374,305,334,307,329,313,326,318,324,302,324,301,322xm366,322l338,322,342,324,345,324,348,326,348,328,349,330,350,332,350,374,368,374,368,327,366,322xm345,314l322,314,310,317,302,324,318,324,323,322,366,322,366,322,359,318,354,315,345,314xm280,314l265,314,258,314,253,316,248,318,243,320,240,323,258,323,262,322,301,322,300,320,292,316,287,314,280,314xe" filled="true" fillcolor="#000000" stroked="false">
                    <v:path arrowok="t"/>
                    <v:fill type="solid"/>
                  </v:shape>
                  <v:shape style="position:absolute;left:395;top:314;width:93;height:84" coordorigin="395,314" coordsize="93,84" path="m412,314l395,314,395,397,413,397,413,368,475,368,476,367,433,367,426,366,420,362,415,359,412,353,412,337,415,331,421,327,426,323,430,322,412,322,412,314xm475,368l413,368,421,372,425,374,430,375,435,376,449,376,457,374,465,372,473,369,475,368xm476,322l449,322,456,323,461,327,466,331,470,336,470,352,466,358,461,361,456,366,448,367,476,367,478,366,482,361,486,356,488,350,488,338,486,333,483,328,479,324,476,322xm452,314l437,314,430,314,420,317,416,319,412,322,430,322,434,322,476,322,474,320,468,317,460,314,452,314xe" filled="true" fillcolor="#000000" stroked="false">
                    <v:path arrowok="t"/>
                    <v:fill type="solid"/>
                  </v:shape>
                  <v:shape style="position:absolute;left:510;top:283;width:691;height:101" type="#_x0000_t75" stroked="false">
                    <v:imagedata r:id="rId242" o:title=""/>
                  </v:shape>
                  <v:shape style="position:absolute;left:1274;top:292;width:93;height:84" coordorigin="1274,292" coordsize="93,84" path="m1326,314l1310,314,1302,314,1296,317,1288,320,1283,324,1279,328,1275,333,1274,339,1274,350,1276,356,1280,361,1284,366,1289,369,1296,372,1303,374,1311,376,1333,376,1342,373,1349,367,1314,367,1307,366,1301,361,1296,358,1292,352,1292,337,1295,331,1301,327,1306,324,1313,322,1349,322,1345,319,1341,317,1331,314,1326,314xm1367,366l1350,366,1350,374,1367,374,1367,366xm1367,292l1349,292,1349,322,1329,322,1336,324,1341,327,1347,331,1350,337,1350,353,1347,359,1341,362,1336,366,1329,367,1349,367,1350,366,1367,366,1367,292xe" filled="true" fillcolor="#000000" stroked="false">
                    <v:path arrowok="t"/>
                    <v:fill type="solid"/>
                  </v:shape>
                  <v:shape style="position:absolute;left:1389;top:314;width:99;height:63" coordorigin="1389,314" coordsize="99,63" path="m1453,314l1425,314,1412,316,1403,322,1394,327,1389,335,1389,355,1394,362,1403,368,1412,373,1425,376,1452,376,1462,374,1470,371,1478,367,1431,367,1424,366,1419,362,1412,359,1408,353,1408,347,1487,347,1487,339,1409,339,1409,334,1413,330,1419,327,1424,323,1431,322,1474,322,1465,316,1453,314xm1469,355l1465,359,1462,363,1457,364,1452,366,1447,367,1478,367,1484,363,1487,356,1469,355xm1474,322l1448,322,1456,324,1461,327,1465,330,1468,334,1469,339,1487,339,1487,335,1483,327,1474,322xe" filled="true" fillcolor="#000000" stroked="false">
                    <v:path arrowok="t"/>
                    <v:fill type="solid"/>
                  </v:shape>
                  <v:shape style="position:absolute;left:1567;top:283;width:243;height:101" type="#_x0000_t75" stroked="false">
                    <v:imagedata r:id="rId243" o:title=""/>
                  </v:shape>
                  <v:shape style="position:absolute;left:1886;top:290;width:739;height:108" type="#_x0000_t75" stroked="false">
                    <v:imagedata r:id="rId244" o:title=""/>
                  </v:shape>
                </v:group>
              </w:pict>
            </w:r>
            <w:r>
              <w:rPr>
                <w:rFonts w:ascii="Times New Roman"/>
                <w:sz w:val="20"/>
              </w:rPr>
            </w:r>
            <w:r>
              <w:rPr>
                <w:rFonts w:ascii="Times New Roman"/>
                <w:spacing w:val="36"/>
                <w:sz w:val="8"/>
              </w:rPr>
              <w:t> </w:t>
            </w:r>
            <w:r>
              <w:rPr>
                <w:rFonts w:ascii="Times New Roman"/>
                <w:spacing w:val="36"/>
                <w:position w:val="2"/>
                <w:sz w:val="20"/>
              </w:rPr>
              <w:pict>
                <v:group style="width:10.7pt;height:4.2pt;mso-position-horizontal-relative:char;mso-position-vertical-relative:line" coordorigin="0,0" coordsize="214,84">
                  <v:shape style="position:absolute;left:0;top:0;width:92;height:84" coordorigin="0,0" coordsize="92,84" path="m52,22l36,22,28,22,21,25,14,28,9,32,5,36,1,41,0,47,0,59,1,64,7,69,10,74,15,77,22,80,30,83,38,84,59,84,69,81,75,75,40,75,32,74,27,70,22,66,18,60,18,45,21,39,27,35,32,32,39,30,75,30,67,25,57,22,52,22xm92,75l76,75,76,83,92,83,92,75xm92,0l75,0,75,30,56,30,62,32,67,35,74,39,76,46,76,61,74,67,67,70,62,74,56,75,75,75,76,75,92,75,92,0xe" filled="true" fillcolor="#000000" stroked="false">
                    <v:path arrowok="t"/>
                    <v:fill type="solid"/>
                  </v:shape>
                  <v:shape style="position:absolute;left:115;top:22;width:99;height:63" coordorigin="115,22" coordsize="99,63" path="m180,22l150,22,138,24,129,30,120,35,115,43,115,63,120,70,129,76,138,81,151,84,178,84,189,82,196,79,204,75,158,75,150,74,143,70,138,67,134,62,134,55,213,55,213,47,136,47,136,42,138,38,145,35,150,31,158,30,200,30,191,24,180,22xm194,63l191,67,187,71,183,72,178,75,173,75,204,75,211,71,213,64,194,63xm200,30l174,30,182,32,187,35,191,38,194,42,195,47,213,47,213,43,209,35,200,30xe" filled="true" fillcolor="#000000" stroked="false">
                    <v:path arrowok="t"/>
                    <v:fill type="solid"/>
                  </v:shape>
                </v:group>
              </w:pict>
            </w:r>
            <w:r>
              <w:rPr>
                <w:rFonts w:ascii="Times New Roman"/>
                <w:spacing w:val="36"/>
                <w:position w:val="2"/>
                <w:sz w:val="20"/>
              </w:rPr>
            </w:r>
          </w:p>
          <w:p>
            <w:pPr>
              <w:pStyle w:val="TableParagraph"/>
              <w:ind w:left="47"/>
              <w:rPr>
                <w:rFonts w:ascii="Times New Roman"/>
                <w:sz w:val="20"/>
              </w:rPr>
            </w:pPr>
            <w:r>
              <w:rPr>
                <w:rFonts w:ascii="Times New Roman"/>
                <w:sz w:val="20"/>
              </w:rPr>
              <w:pict>
                <v:group style="width:108.35pt;height:13.65pt;mso-position-horizontal-relative:char;mso-position-vertical-relative:line" coordorigin="0,0" coordsize="2167,273">
                  <v:shape style="position:absolute;left:0;top:0;width:1824;height:259" type="#_x0000_t75" stroked="false">
                    <v:imagedata r:id="rId245" o:title=""/>
                  </v:shape>
                  <v:shape style="position:absolute;left:1040;top:158;width:243;height:101" type="#_x0000_t75" stroked="false">
                    <v:imagedata r:id="rId246" o:title=""/>
                  </v:shape>
                  <v:shape style="position:absolute;left:1362;top:188;width:93;height:84" coordorigin="1362,188" coordsize="93,84" path="m1378,190l1362,190,1362,272,1380,272,1380,243,1440,243,1442,242,1399,242,1393,241,1386,237,1381,233,1378,227,1378,212,1381,206,1388,202,1393,199,1398,197,1378,197,1378,190xm1440,243l1380,243,1384,246,1388,247,1391,248,1396,250,1402,251,1416,251,1424,249,1431,247,1439,244,1440,243xm1442,196l1416,196,1422,198,1427,202,1433,206,1437,212,1437,227,1433,233,1427,237,1422,241,1415,242,1442,242,1444,241,1448,235,1452,230,1455,225,1455,213,1453,208,1450,204,1446,199,1442,196xm1419,188l1403,188,1396,189,1386,192,1382,194,1378,197,1398,197,1400,196,1442,196,1440,195,1434,192,1426,190,1419,188xe" filled="true" fillcolor="#000000" stroked="false">
                    <v:path arrowok="t"/>
                    <v:fill type="solid"/>
                  </v:shape>
                  <v:shape style="position:absolute;left:1470;top:188;width:100;height:63" coordorigin="1470,188" coordsize="100,63" path="m1535,188l1508,188,1496,190,1487,195,1475,200,1470,209,1470,230,1475,237,1484,243,1493,248,1505,251,1530,251,1539,249,1546,247,1554,245,1558,242,1512,242,1504,241,1497,237,1492,233,1489,227,1489,212,1492,206,1497,202,1504,199,1512,196,1557,196,1546,191,1535,188xm1557,196l1530,196,1536,199,1543,202,1549,206,1551,212,1551,227,1549,233,1543,237,1537,241,1530,242,1558,242,1559,241,1564,237,1568,233,1569,227,1570,209,1566,201,1557,196xe" filled="true" fillcolor="#000000" stroked="false">
                    <v:path arrowok="t"/>
                    <v:fill type="solid"/>
                  </v:shape>
                  <v:shape style="position:absolute;left:1592;top:188;width:59;height:61" coordorigin="1592,188" coordsize="59,61" path="m1608,190l1592,190,1592,249,1610,249,1610,214,1611,210,1612,206,1615,204,1616,202,1620,201,1623,199,1627,199,1608,199,1608,190xm1637,188l1627,188,1623,189,1620,190,1616,191,1612,194,1608,199,1634,199,1639,199,1643,201,1650,191,1643,189,1637,188xe" filled="true" fillcolor="#000000" stroked="false">
                    <v:path arrowok="t"/>
                    <v:fill type="solid"/>
                  </v:shape>
                  <v:shape style="position:absolute;left:1718;top:169;width:448;height:104" type="#_x0000_t75" stroked="false">
                    <v:imagedata r:id="rId247" o:title=""/>
                  </v:shape>
                </v:group>
              </w:pict>
            </w:r>
            <w:r>
              <w:rPr>
                <w:rFonts w:ascii="Times New Roman"/>
                <w:sz w:val="20"/>
              </w:rPr>
            </w:r>
            <w:r>
              <w:rPr>
                <w:rFonts w:ascii="Times New Roman"/>
                <w:spacing w:val="35"/>
                <w:sz w:val="8"/>
              </w:rPr>
              <w:t> </w:t>
            </w:r>
            <w:r>
              <w:rPr>
                <w:rFonts w:ascii="Times New Roman"/>
                <w:spacing w:val="35"/>
                <w:position w:val="2"/>
                <w:sz w:val="20"/>
              </w:rPr>
              <w:pict>
                <v:group style="width:10.75pt;height:4.2pt;mso-position-horizontal-relative:char;mso-position-vertical-relative:line" coordorigin="0,0" coordsize="215,84">
                  <v:shape style="position:absolute;left:0;top:0;width:93;height:84" coordorigin="0,0" coordsize="93,84" path="m52,22l36,22,28,23,22,25,14,28,9,32,5,37,3,41,0,47,0,59,3,64,6,69,10,74,15,77,23,80,30,83,37,84,59,84,69,81,76,75,40,75,34,74,27,70,22,66,19,61,19,45,22,39,27,35,32,32,39,30,75,30,67,25,57,22,52,22xm93,0l75,0,75,30,55,30,62,32,67,35,74,40,76,46,76,61,74,67,69,70,62,74,55,75,76,75,76,83,93,83,93,0xe" filled="true" fillcolor="#000000" stroked="false">
                    <v:path arrowok="t"/>
                    <v:fill type="solid"/>
                  </v:shape>
                  <v:shape style="position:absolute;left:116;top:22;width:99;height:63" coordorigin="116,22" coordsize="99,63" path="m180,22l151,22,138,25,129,30,120,35,116,43,116,63,120,70,129,76,138,81,151,84,178,84,189,83,196,79,205,75,158,75,150,74,145,70,138,67,136,62,134,55,213,55,214,54,214,47,136,47,136,42,139,38,145,35,150,31,158,30,200,30,191,25,180,22xm195,64l193,67,189,71,183,72,178,75,173,75,205,75,211,71,213,64,195,64xm200,30l174,30,182,32,189,35,191,38,194,42,195,47,214,47,214,43,209,35,200,30xe" filled="true" fillcolor="#000000" stroked="false">
                    <v:path arrowok="t"/>
                    <v:fill type="solid"/>
                  </v:shape>
                </v:group>
              </w:pict>
            </w:r>
            <w:r>
              <w:rPr>
                <w:rFonts w:ascii="Times New Roman"/>
                <w:spacing w:val="35"/>
                <w:position w:val="2"/>
                <w:sz w:val="20"/>
              </w:rPr>
            </w:r>
            <w:r>
              <w:rPr>
                <w:rFonts w:ascii="Times New Roman"/>
                <w:spacing w:val="33"/>
                <w:position w:val="2"/>
                <w:sz w:val="10"/>
              </w:rPr>
              <w:t> </w:t>
            </w:r>
            <w:r>
              <w:rPr>
                <w:rFonts w:ascii="Times New Roman"/>
                <w:spacing w:val="33"/>
                <w:position w:val="1"/>
                <w:sz w:val="20"/>
              </w:rPr>
              <w:drawing>
                <wp:inline distT="0" distB="0" distL="0" distR="0">
                  <wp:extent cx="154442" cy="64008"/>
                  <wp:effectExtent l="0" t="0" r="0" b="0"/>
                  <wp:docPr id="77" name="image189.png" descr=""/>
                  <wp:cNvGraphicFramePr>
                    <a:graphicFrameLocks noChangeAspect="1"/>
                  </wp:cNvGraphicFramePr>
                  <a:graphic>
                    <a:graphicData uri="http://schemas.openxmlformats.org/drawingml/2006/picture">
                      <pic:pic>
                        <pic:nvPicPr>
                          <pic:cNvPr id="78" name="image189.png"/>
                          <pic:cNvPicPr/>
                        </pic:nvPicPr>
                        <pic:blipFill>
                          <a:blip r:embed="rId248" cstate="print"/>
                          <a:stretch>
                            <a:fillRect/>
                          </a:stretch>
                        </pic:blipFill>
                        <pic:spPr>
                          <a:xfrm>
                            <a:off x="0" y="0"/>
                            <a:ext cx="154442" cy="64008"/>
                          </a:xfrm>
                          <a:prstGeom prst="rect">
                            <a:avLst/>
                          </a:prstGeom>
                        </pic:spPr>
                      </pic:pic>
                    </a:graphicData>
                  </a:graphic>
                </wp:inline>
              </w:drawing>
            </w:r>
            <w:r>
              <w:rPr>
                <w:rFonts w:ascii="Times New Roman"/>
                <w:spacing w:val="33"/>
                <w:position w:val="1"/>
                <w:sz w:val="20"/>
              </w:rPr>
            </w:r>
          </w:p>
          <w:p>
            <w:pPr>
              <w:pStyle w:val="TableParagraph"/>
              <w:spacing w:line="113" w:lineRule="exact"/>
              <w:ind w:left="36"/>
              <w:rPr>
                <w:rFonts w:ascii="Times New Roman"/>
                <w:sz w:val="10"/>
              </w:rPr>
            </w:pPr>
            <w:r>
              <w:rPr>
                <w:rFonts w:ascii="Times New Roman"/>
                <w:sz w:val="8"/>
              </w:rPr>
              <w:drawing>
                <wp:inline distT="0" distB="0" distL="0" distR="0">
                  <wp:extent cx="596710" cy="53435"/>
                  <wp:effectExtent l="0" t="0" r="0" b="0"/>
                  <wp:docPr id="79" name="image190.png" descr=""/>
                  <wp:cNvGraphicFramePr>
                    <a:graphicFrameLocks noChangeAspect="1"/>
                  </wp:cNvGraphicFramePr>
                  <a:graphic>
                    <a:graphicData uri="http://schemas.openxmlformats.org/drawingml/2006/picture">
                      <pic:pic>
                        <pic:nvPicPr>
                          <pic:cNvPr id="80" name="image190.png"/>
                          <pic:cNvPicPr/>
                        </pic:nvPicPr>
                        <pic:blipFill>
                          <a:blip r:embed="rId249" cstate="print"/>
                          <a:stretch>
                            <a:fillRect/>
                          </a:stretch>
                        </pic:blipFill>
                        <pic:spPr>
                          <a:xfrm>
                            <a:off x="0" y="0"/>
                            <a:ext cx="596710" cy="53435"/>
                          </a:xfrm>
                          <a:prstGeom prst="rect">
                            <a:avLst/>
                          </a:prstGeom>
                        </pic:spPr>
                      </pic:pic>
                    </a:graphicData>
                  </a:graphic>
                </wp:inline>
              </w:drawing>
            </w:r>
            <w:r>
              <w:rPr>
                <w:rFonts w:ascii="Times New Roman"/>
                <w:sz w:val="8"/>
              </w:rPr>
            </w:r>
            <w:r>
              <w:rPr>
                <w:rFonts w:ascii="Times New Roman"/>
                <w:spacing w:val="53"/>
                <w:sz w:val="10"/>
              </w:rPr>
              <w:t> </w:t>
            </w:r>
            <w:r>
              <w:rPr>
                <w:rFonts w:ascii="Times New Roman"/>
                <w:spacing w:val="53"/>
                <w:position w:val="-1"/>
                <w:sz w:val="10"/>
              </w:rPr>
              <w:drawing>
                <wp:inline distT="0" distB="0" distL="0" distR="0">
                  <wp:extent cx="202872" cy="66675"/>
                  <wp:effectExtent l="0" t="0" r="0" b="0"/>
                  <wp:docPr id="81" name="image191.png" descr=""/>
                  <wp:cNvGraphicFramePr>
                    <a:graphicFrameLocks noChangeAspect="1"/>
                  </wp:cNvGraphicFramePr>
                  <a:graphic>
                    <a:graphicData uri="http://schemas.openxmlformats.org/drawingml/2006/picture">
                      <pic:pic>
                        <pic:nvPicPr>
                          <pic:cNvPr id="82" name="image191.png"/>
                          <pic:cNvPicPr/>
                        </pic:nvPicPr>
                        <pic:blipFill>
                          <a:blip r:embed="rId250" cstate="print"/>
                          <a:stretch>
                            <a:fillRect/>
                          </a:stretch>
                        </pic:blipFill>
                        <pic:spPr>
                          <a:xfrm>
                            <a:off x="0" y="0"/>
                            <a:ext cx="202872" cy="66675"/>
                          </a:xfrm>
                          <a:prstGeom prst="rect">
                            <a:avLst/>
                          </a:prstGeom>
                        </pic:spPr>
                      </pic:pic>
                    </a:graphicData>
                  </a:graphic>
                </wp:inline>
              </w:drawing>
            </w:r>
            <w:r>
              <w:rPr>
                <w:rFonts w:ascii="Times New Roman"/>
                <w:spacing w:val="53"/>
                <w:position w:val="-1"/>
                <w:sz w:val="10"/>
              </w:rPr>
            </w:r>
            <w:r>
              <w:rPr>
                <w:rFonts w:ascii="Times New Roman"/>
                <w:spacing w:val="-1"/>
                <w:position w:val="-1"/>
                <w:sz w:val="10"/>
              </w:rPr>
              <w:t> </w:t>
            </w:r>
            <w:r>
              <w:rPr>
                <w:rFonts w:ascii="Times New Roman"/>
                <w:spacing w:val="-1"/>
                <w:position w:val="0"/>
                <w:sz w:val="10"/>
              </w:rPr>
              <w:drawing>
                <wp:inline distT="0" distB="0" distL="0" distR="0">
                  <wp:extent cx="285562" cy="64388"/>
                  <wp:effectExtent l="0" t="0" r="0" b="0"/>
                  <wp:docPr id="83" name="image192.png" descr=""/>
                  <wp:cNvGraphicFramePr>
                    <a:graphicFrameLocks noChangeAspect="1"/>
                  </wp:cNvGraphicFramePr>
                  <a:graphic>
                    <a:graphicData uri="http://schemas.openxmlformats.org/drawingml/2006/picture">
                      <pic:pic>
                        <pic:nvPicPr>
                          <pic:cNvPr id="84" name="image192.png"/>
                          <pic:cNvPicPr/>
                        </pic:nvPicPr>
                        <pic:blipFill>
                          <a:blip r:embed="rId251" cstate="print"/>
                          <a:stretch>
                            <a:fillRect/>
                          </a:stretch>
                        </pic:blipFill>
                        <pic:spPr>
                          <a:xfrm>
                            <a:off x="0" y="0"/>
                            <a:ext cx="285562" cy="64388"/>
                          </a:xfrm>
                          <a:prstGeom prst="rect">
                            <a:avLst/>
                          </a:prstGeom>
                        </pic:spPr>
                      </pic:pic>
                    </a:graphicData>
                  </a:graphic>
                </wp:inline>
              </w:drawing>
            </w:r>
            <w:r>
              <w:rPr>
                <w:rFonts w:ascii="Times New Roman"/>
                <w:spacing w:val="-1"/>
                <w:position w:val="0"/>
                <w:sz w:val="10"/>
              </w:rPr>
            </w:r>
          </w:p>
        </w:tc>
      </w:tr>
      <w:tr>
        <w:trPr>
          <w:trHeight w:val="1838" w:hRule="exact"/>
        </w:trPr>
        <w:tc>
          <w:tcPr>
            <w:tcW w:w="3601" w:type="dxa"/>
            <w:tcBorders>
              <w:left w:val="single" w:sz="6" w:space="0" w:color="000000"/>
              <w:right w:val="single" w:sz="6" w:space="0" w:color="000000"/>
            </w:tcBorders>
          </w:tcPr>
          <w:p>
            <w:pPr>
              <w:pStyle w:val="TableParagraph"/>
              <w:spacing w:after="50"/>
              <w:ind w:left="38"/>
              <w:rPr>
                <w:rFonts w:ascii="Times New Roman"/>
                <w:sz w:val="20"/>
              </w:rPr>
            </w:pPr>
            <w:r>
              <w:rPr>
                <w:rFonts w:ascii="Times New Roman"/>
                <w:sz w:val="20"/>
              </w:rPr>
              <w:pict>
                <v:group style="width:170.35pt;height:41.2pt;mso-position-horizontal-relative:char;mso-position-vertical-relative:line" coordorigin="0,0" coordsize="3407,824">
                  <v:shape style="position:absolute;left:0;top:0;width:3039;height:524" type="#_x0000_t75" stroked="false">
                    <v:imagedata r:id="rId252" o:title=""/>
                  </v:shape>
                  <v:shape style="position:absolute;left:338;top:431;width:627;height:101" type="#_x0000_t75" stroked="false">
                    <v:imagedata r:id="rId253" o:title=""/>
                  </v:shape>
                  <v:shape style="position:absolute;left:1041;top:438;width:2365;height:108" type="#_x0000_t75" stroked="false">
                    <v:imagedata r:id="rId254" o:title=""/>
                  </v:shape>
                  <v:shape style="position:absolute;left:5;top:576;width:138;height:101" type="#_x0000_t75" stroked="false">
                    <v:imagedata r:id="rId255" o:title=""/>
                  </v:shape>
                  <v:shape style="position:absolute;left:3;top:585;width:1394;height:230" type="#_x0000_t75" stroked="false">
                    <v:imagedata r:id="rId256" o:title=""/>
                  </v:shape>
                  <v:line style="position:absolute" from="1428,585" to="1428,668" stroked="true" strokeweight=".904117pt" strokecolor="#000000"/>
                  <v:shape style="position:absolute;left:1512;top:584;width:62;height:84" coordorigin="1512,584" coordsize="62,84" path="m1545,616l1527,616,1527,668,1545,668,1545,616xm1566,608l1512,608,1512,616,1566,616,1566,608xm1567,584l1549,584,1543,585,1539,587,1533,588,1531,590,1528,593,1527,595,1527,608,1545,608,1545,599,1546,597,1549,595,1550,594,1554,593,1571,593,1574,585,1567,584xm1571,593l1563,593,1567,594,1571,594,1571,593xe" filled="true" fillcolor="#000000" stroked="false">
                    <v:path arrowok="t"/>
                    <v:fill type="solid"/>
                  </v:shape>
                  <v:shape style="position:absolute;left:1574;top:607;width:100;height:63" coordorigin="1574,607" coordsize="100,63" path="m1638,607l1610,607,1599,609,1590,613,1579,619,1574,627,1574,648,1577,656,1588,661,1597,666,1608,669,1633,669,1641,668,1648,666,1657,663,1661,661,1615,661,1607,659,1601,655,1595,652,1592,646,1592,631,1595,625,1601,621,1607,617,1615,616,1660,616,1650,610,1638,607xm1660,616l1632,616,1639,617,1646,621,1651,625,1655,630,1655,645,1651,651,1646,655,1639,659,1632,661,1661,661,1663,660,1667,655,1672,651,1673,646,1673,628,1669,621,1660,616xe" filled="true" fillcolor="#000000" stroked="false">
                    <v:path arrowok="t"/>
                    <v:fill type="solid"/>
                  </v:shape>
                  <v:shape style="position:absolute;left:1695;top:607;width:87;height:61" coordorigin="1695,607" coordsize="87,61" path="m1712,608l1695,608,1695,668,1713,668,1713,628,1716,623,1722,620,1727,617,1712,617,1712,608xm1777,616l1747,616,1751,616,1754,618,1757,619,1760,621,1761,622,1764,624,1764,668,1782,668,1782,624,1780,621,1779,619,1778,616,1777,616xm1752,607l1730,607,1720,611,1712,617,1727,617,1734,616,1777,616,1775,614,1772,612,1769,610,1764,609,1757,608,1752,607xe" filled="true" fillcolor="#000000" stroked="false">
                    <v:path arrowok="t"/>
                    <v:fill type="solid"/>
                  </v:shape>
                  <v:shape style="position:absolute;left:1803;top:585;width:93;height:84" coordorigin="1803,585" coordsize="93,84" path="m1855,607l1840,607,1832,608,1824,611,1818,613,1813,617,1809,622,1805,626,1803,632,1803,645,1806,650,1810,655,1814,659,1819,663,1826,666,1833,668,1841,669,1863,669,1872,666,1879,661,1844,661,1837,659,1831,655,1826,652,1822,646,1822,630,1824,624,1831,621,1836,617,1842,616,1896,616,1896,615,1878,615,1871,611,1860,608,1855,607xm1896,661l1880,661,1880,668,1896,668,1896,661xm1896,616l1859,616,1865,617,1871,621,1877,625,1880,631,1880,647,1877,652,1871,655,1865,659,1859,661,1879,661,1880,661,1896,661,1896,616xm1896,585l1878,585,1878,615,1896,615,1896,585xe" filled="true" fillcolor="#000000" stroked="false">
                    <v:path arrowok="t"/>
                    <v:fill type="solid"/>
                  </v:shape>
                  <v:shape style="position:absolute;left:1919;top:607;width:100;height:63" coordorigin="1919,607" coordsize="100,63" path="m1983,607l1955,607,1944,609,1935,613,1924,619,1919,627,1919,648,1922,656,1933,661,1942,666,1953,669,1978,669,1986,668,1993,666,2002,663,2006,661,1960,661,1952,659,1946,655,1940,652,1937,646,1937,631,1940,625,1946,621,1952,617,1960,616,2005,616,1995,610,1983,607xm2005,616l1977,616,1984,617,1991,621,1996,625,2000,630,2000,645,1996,651,1991,655,1984,659,1977,661,2006,661,2008,660,2012,655,2017,651,2018,646,2018,628,2014,621,2005,616xe" filled="true" fillcolor="#000000" stroked="false">
                    <v:path arrowok="t"/>
                    <v:fill type="solid"/>
                  </v:shape>
                  <v:line style="position:absolute" from="2045,662" to="2066,662" stroked="true" strokeweight=".579320pt" strokecolor="#000000"/>
                  <v:shape style="position:absolute;left:1269;top:722;width:518;height:101" type="#_x0000_t75" stroked="false">
                    <v:imagedata r:id="rId257" o:title=""/>
                  </v:shape>
                </v:group>
              </w:pict>
            </w:r>
            <w:r>
              <w:rPr>
                <w:rFonts w:ascii="Times New Roman"/>
                <w:sz w:val="20"/>
              </w:rPr>
            </w:r>
          </w:p>
          <w:p>
            <w:pPr>
              <w:pStyle w:val="TableParagraph"/>
              <w:ind w:left="31"/>
              <w:rPr>
                <w:rFonts w:ascii="Times New Roman"/>
                <w:sz w:val="20"/>
              </w:rPr>
            </w:pPr>
            <w:r>
              <w:rPr>
                <w:rFonts w:ascii="Times New Roman"/>
                <w:sz w:val="20"/>
              </w:rPr>
              <w:pict>
                <v:group style="width:164.4pt;height:41.2pt;mso-position-horizontal-relative:char;mso-position-vertical-relative:line" coordorigin="0,0" coordsize="3288,824">
                  <v:shape style="position:absolute;left:0;top:0;width:3288;height:554" type="#_x0000_t75" stroked="false">
                    <v:imagedata r:id="rId258" o:title=""/>
                  </v:shape>
                  <v:shape style="position:absolute;left:1398;top:593;width:55;height:83" coordorigin="1398,593" coordsize="55,83" path="m1452,611l1434,611,1434,675,1452,675,1452,611xm1452,593l1440,593,1438,596,1433,600,1425,604,1417,607,1408,611,1398,613,1398,623,1404,622,1411,620,1417,618,1425,615,1430,613,1434,611,1452,611,1452,593xe" filled="true" fillcolor="#000000" stroked="false">
                    <v:path arrowok="t"/>
                    <v:fill type="solid"/>
                  </v:shape>
                  <v:shape style="position:absolute;left:1500;top:593;width:96;height:84" coordorigin="1500,593" coordsize="96,84" path="m1518,652l1500,654,1501,660,1505,666,1514,670,1523,675,1533,677,1561,677,1572,674,1581,670,1584,668,1539,668,1533,668,1528,665,1523,662,1519,658,1518,652xm1585,635l1557,635,1563,637,1574,643,1576,646,1576,656,1574,660,1568,664,1562,667,1555,668,1584,668,1592,665,1595,658,1595,646,1593,641,1589,638,1585,635xm1581,601l1553,601,1559,602,1568,607,1570,610,1570,618,1567,622,1561,624,1554,626,1548,628,1537,628,1535,636,1540,636,1545,635,1585,635,1584,634,1577,632,1568,631,1575,629,1580,627,1584,624,1586,621,1589,618,1589,610,1586,607,1584,604,1581,601xm1554,593l1533,593,1524,594,1517,598,1509,602,1504,607,1501,614,1519,616,1521,611,1523,607,1528,604,1533,602,1539,601,1581,601,1580,600,1575,597,1568,596,1561,594,1554,593xe" filled="true" fillcolor="#000000" stroked="false">
                    <v:path arrowok="t"/>
                    <v:fill type="solid"/>
                  </v:shape>
                  <v:line style="position:absolute" from="1612,646" to="1668,646" stroked="true" strokeweight=".506905pt" strokecolor="#000000"/>
                  <v:shape style="position:absolute;left:1691;top:593;width:122;height:83" coordorigin="1691,593" coordsize="122,83" path="m1753,593l1691,593,1691,675,1753,675,1761,675,1767,674,1774,673,1780,672,1785,670,1789,668,1795,665,1710,665,1710,603,1796,603,1789,600,1783,597,1776,595,1767,594,1761,594,1753,593xm1796,603l1761,603,1766,604,1774,606,1779,609,1784,614,1789,618,1792,625,1792,640,1791,645,1785,654,1782,657,1778,660,1774,662,1770,663,1765,664,1758,665,1795,665,1798,662,1802,660,1806,655,1809,650,1811,646,1813,640,1813,626,1810,620,1806,614,1802,608,1797,604,1796,603xe" filled="true" fillcolor="#000000" stroked="false">
                    <v:path arrowok="t"/>
                    <v:fill type="solid"/>
                  </v:shape>
                  <v:line style="position:absolute" from="1831,646" to="1886,646" stroked="true" strokeweight=".506905pt" strokecolor="#000000"/>
                  <v:shape style="position:absolute;left:1915;top:593;width:55;height:83" coordorigin="1915,593" coordsize="55,83" path="m1969,611l1951,611,1951,675,1969,675,1969,611xm1969,593l1957,593,1955,596,1950,600,1942,604,1934,607,1925,611,1915,613,1915,623,1921,622,1927,620,1934,618,1942,615,1947,613,1951,611,1969,611,1969,593xe" filled="true" fillcolor="#000000" stroked="false">
                    <v:path arrowok="t"/>
                    <v:fill type="solid"/>
                  </v:shape>
                  <v:shape style="position:absolute;left:2017;top:594;width:97;height:83" coordorigin="2017,594" coordsize="97,83" path="m2035,653l2017,654,2018,661,2022,666,2031,670,2040,675,2050,677,2063,677,2075,676,2086,674,2094,671,2099,668,2057,668,2050,668,2040,662,2037,658,2035,653xm2103,630l2072,630,2080,631,2092,638,2094,643,2094,654,2092,660,2085,663,2080,667,2072,668,2099,668,2102,667,2110,662,2114,655,2114,640,2110,633,2103,630xm2107,594l2033,594,2019,636,2036,638,2039,636,2043,633,2053,631,2058,630,2103,630,2097,626,2040,626,2048,604,2107,604,2107,594xm2081,620l2058,620,2049,623,2040,626,2097,626,2092,623,2081,620xe" filled="true" fillcolor="#000000" stroked="false">
                    <v:path arrowok="t"/>
                    <v:fill type="solid"/>
                  </v:shape>
                  <v:shape style="position:absolute;left:2145;top:593;width:55;height:83" coordorigin="2145,593" coordsize="55,83" path="m2199,611l2181,611,2181,675,2199,675,2199,611xm2199,593l2187,593,2185,596,2179,600,2172,604,2164,607,2155,611,2145,613,2145,623,2151,622,2158,620,2164,618,2172,615,2177,613,2181,611,2199,611,2199,593xe" filled="true" fillcolor="#000000" stroked="false">
                    <v:path arrowok="t"/>
                    <v:fill type="solid"/>
                  </v:shape>
                  <v:shape style="position:absolute;left:2247;top:593;width:96;height:84" coordorigin="2247,593" coordsize="96,84" path="m2302,593l2284,593,2275,594,2267,597,2261,601,2256,605,2252,611,2248,617,2247,625,2247,650,2252,662,2261,668,2269,674,2280,677,2305,677,2314,675,2321,672,2328,669,2329,668,2285,668,2279,666,2274,662,2267,657,2265,648,2265,621,2269,612,2274,607,2279,603,2285,601,2327,601,2325,599,2321,597,2315,595,2309,594,2302,593xm2327,601l2302,601,2310,603,2315,607,2320,612,2324,621,2324,648,2320,657,2310,666,2302,668,2329,668,2333,664,2337,658,2341,652,2342,644,2342,626,2341,620,2338,615,2337,610,2333,607,2329,603,2327,601xe" filled="true" fillcolor="#000000" stroked="false">
                    <v:path arrowok="t"/>
                    <v:fill type="solid"/>
                  </v:shape>
                  <v:shape style="position:absolute;left:2355;top:593;width:103;height:83" coordorigin="2355,593" coordsize="103,83" path="m2438,656l2420,656,2420,675,2438,675,2438,656xm2438,593l2422,593,2355,646,2355,656,2457,656,2457,646,2373,646,2420,609,2438,609,2438,593xm2438,609l2420,609,2420,646,2438,646,2438,609xe" filled="true" fillcolor="#000000" stroked="false">
                    <v:path arrowok="t"/>
                    <v:fill type="solid"/>
                  </v:shape>
                  <v:line style="position:absolute" from="2474,646" to="2530,646" stroked="true" strokeweight=".506905pt" strokecolor="#000000"/>
                  <v:shape style="position:absolute;left:2545;top:593;width:96;height:84" coordorigin="2545,593" coordsize="96,84" path="m2601,593l2583,593,2573,594,2567,597,2559,601,2554,605,2550,611,2546,617,2545,625,2545,650,2550,662,2559,668,2568,674,2579,677,2603,677,2612,675,2620,672,2626,669,2627,668,2585,668,2577,666,2567,657,2563,648,2563,621,2567,612,2573,607,2577,603,2585,601,2627,601,2625,599,2620,597,2614,595,2608,594,2601,593xm2627,601l2602,601,2608,603,2614,607,2620,612,2623,621,2623,648,2620,657,2614,662,2608,666,2602,668,2627,668,2632,664,2635,658,2639,652,2641,644,2641,626,2639,620,2638,615,2635,610,2633,607,2629,603,2627,601xe" filled="true" fillcolor="#000000" stroked="false">
                    <v:path arrowok="t"/>
                    <v:fill type="solid"/>
                  </v:shape>
                  <v:shape style="position:absolute;left:2657;top:593;width:97;height:83" coordorigin="2657,593" coordsize="97,83" path="m2745,601l2717,601,2723,602,2734,608,2736,611,2736,619,2734,623,2727,628,2722,632,2712,638,2695,645,2685,649,2677,654,2672,657,2666,661,2663,665,2660,668,2659,670,2657,673,2657,675,2754,675,2754,665,2683,665,2685,664,2687,662,2691,660,2694,658,2700,655,2712,650,2725,644,2745,632,2749,628,2752,626,2753,622,2754,619,2754,609,2750,604,2745,601xm2723,593l2695,593,2683,594,2668,603,2663,609,2661,617,2679,618,2679,612,2682,608,2692,602,2700,601,2745,601,2743,599,2734,595,2723,593xe" filled="true" fillcolor="#000000" stroked="false">
                    <v:path arrowok="t"/>
                    <v:fill type="solid"/>
                  </v:shape>
                  <v:line style="position:absolute" from="2773,646" to="2828,646" stroked="true" strokeweight=".506905pt" strokecolor="#000000"/>
                  <v:shape style="position:absolute;left:2858;top:593;width:55;height:83" coordorigin="2858,593" coordsize="55,83" path="m2912,611l2894,611,2894,675,2912,675,2912,611xm2912,593l2900,593,2897,596,2891,600,2884,604,2877,607,2868,611,2858,613,2858,623,2863,622,2869,620,2877,618,2884,615,2890,613,2894,611,2912,611,2912,593xe" filled="true" fillcolor="#000000" stroked="false">
                    <v:path arrowok="t"/>
                    <v:fill type="solid"/>
                  </v:shape>
                  <v:shape style="position:absolute;left:2959;top:593;width:97;height:84" coordorigin="2959,593" coordsize="97,84" path="m2977,652l2959,654,2960,660,2965,666,2974,670,2982,675,2993,677,3021,677,3032,674,3041,670,3044,668,2998,668,2992,668,2988,665,2983,662,2979,658,2977,652xm3044,635l3015,635,3023,637,3033,643,3036,646,3036,656,3033,660,3027,664,3022,667,3014,668,3044,668,3050,665,3055,658,3055,646,3053,641,3048,638,3044,635xm3039,601l3013,601,3018,602,3023,604,3027,607,3029,610,3029,618,3027,622,3021,624,3014,626,3008,628,2996,628,2995,636,3000,636,3004,635,3044,635,3044,634,3036,632,3028,631,3035,629,3040,627,3042,624,3046,621,3048,618,3048,610,3046,607,3042,604,3039,601xm3013,593l2993,593,2983,594,2975,598,2967,602,2962,607,2961,614,2979,616,2980,611,2983,607,2992,602,2998,601,3039,601,3039,600,3033,597,3027,596,3021,594,3013,593xe" filled="true" fillcolor="#000000" stroked="false">
                    <v:path arrowok="t"/>
                    <v:fill type="solid"/>
                  </v:shape>
                  <v:shape style="position:absolute;left:3071;top:593;width:99;height:83" coordorigin="3071,593" coordsize="99,83" path="m3159,601l3130,601,3137,602,3147,608,3150,611,3150,619,3147,623,3142,628,3136,632,3125,638,3110,645,3099,649,3091,654,3085,657,3080,661,3076,665,3073,668,3072,670,3071,673,3071,675,3169,675,3169,665,3097,665,3098,664,3101,662,3104,660,3107,658,3115,655,3125,650,3138,644,3159,632,3163,628,3165,626,3168,622,3169,619,3169,609,3164,604,3159,601xm3137,593l3108,593,3098,594,3089,599,3081,603,3076,609,3075,617,3093,618,3094,612,3097,608,3107,602,3114,601,3159,601,3148,595,3137,593xe" filled="true" fillcolor="#000000" stroked="false">
                    <v:path arrowok="t"/>
                    <v:fill type="solid"/>
                  </v:shape>
                  <v:shape style="position:absolute;left:3188;top:594;width:99;height:83" coordorigin="3188,594" coordsize="99,83" path="m3208,653l3188,654,3190,661,3195,666,3203,670,3212,675,3222,677,3236,677,3247,676,3258,674,3267,671,3272,668,3229,668,3222,668,3218,665,3213,662,3209,658,3208,653xm3275,630l3245,630,3253,631,3258,635,3265,638,3267,643,3267,654,3265,660,3252,667,3245,668,3272,668,3275,667,3283,662,3287,655,3287,640,3281,633,3275,630xm3279,594l3206,594,3192,636,3209,638,3212,636,3216,633,3219,632,3225,631,3230,630,3275,630,3272,628,3269,626,3213,626,3221,604,3279,604,3279,594xm3253,620l3231,620,3222,623,3213,626,3269,626,3265,623,3253,620xe" filled="true" fillcolor="#000000" stroked="false">
                    <v:path arrowok="t"/>
                    <v:fill type="solid"/>
                  </v:shape>
                  <v:shape style="position:absolute;left:8;top:591;width:532;height:106" type="#_x0000_t75" stroked="false">
                    <v:imagedata r:id="rId259" o:title=""/>
                  </v:shape>
                  <v:shape style="position:absolute;left:10;top:738;width:137;height:85" coordorigin="10,738" coordsize="137,85" path="m94,738l70,738,57,739,45,743,34,746,26,752,19,758,14,765,10,772,10,788,14,796,19,802,26,809,35,814,46,817,58,821,71,822,97,822,107,822,118,820,127,817,137,814,140,813,75,813,66,812,57,809,49,807,41,804,37,799,32,794,31,787,31,774,32,768,36,763,41,757,45,755,49,753,54,751,67,748,75,747,131,747,128,745,121,742,114,741,105,738,94,738xm147,779l84,779,84,789,128,789,128,804,124,807,118,809,110,810,101,812,93,813,140,813,147,810,147,779xm131,747l92,747,98,748,111,751,115,752,119,755,121,757,124,760,127,765,145,762,142,757,138,752,133,749,131,747xe" filled="true" fillcolor="#000000" stroked="false">
                    <v:path arrowok="t"/>
                    <v:fill type="solid"/>
                  </v:shape>
                  <v:shape style="position:absolute;left:177;top:739;width:100;height:82" coordorigin="177,739" coordsize="100,82" path="m276,739l177,739,177,821,196,821,196,784,266,784,266,774,196,774,196,749,276,749,276,739xe" filled="true" fillcolor="#000000" stroked="false">
                    <v:path arrowok="t"/>
                    <v:fill type="solid"/>
                  </v:shape>
                  <v:line style="position:absolute" from="293,791" to="349,791" stroked="true" strokeweight=".506905pt" strokecolor="#000000"/>
                  <v:shape style="position:absolute;left:364;top:738;width:96;height:85" coordorigin="364,738" coordsize="96,85" path="m382,799l364,799,366,807,371,812,379,817,388,821,398,823,425,823,437,820,447,815,448,814,404,814,398,813,393,811,388,808,384,804,382,799xm449,781l421,781,428,783,438,788,442,793,442,802,438,807,433,809,426,813,420,814,448,814,456,810,460,804,460,792,459,787,453,784,449,781xm403,773l402,773,399,783,404,782,410,781,449,781,448,780,442,778,433,777,439,775,441,774,404,774,403,773xm445,747l417,747,424,748,428,751,433,753,434,756,434,765,431,768,425,770,420,772,412,774,441,774,444,772,452,767,453,764,453,757,451,753,448,749,445,747xm419,738l399,738,389,741,381,744,373,748,368,753,366,760,384,762,385,757,389,753,393,751,398,748,403,747,445,747,444,746,439,744,433,741,425,740,419,738xe" filled="true" fillcolor="#000000" stroked="false">
                    <v:path arrowok="t"/>
                    <v:fill type="solid"/>
                  </v:shape>
                  <v:shape style="position:absolute;left:562;top:584;width:738;height:101" type="#_x0000_t75" stroked="false">
                    <v:imagedata r:id="rId260" o:title=""/>
                  </v:shape>
                  <v:shape style="position:absolute;left:477;top:738;width:97;height:83" coordorigin="477,738" coordsize="97,83" path="m566,747l536,747,543,749,548,751,553,754,556,757,556,765,553,769,546,773,541,778,531,783,514,791,504,796,496,800,491,804,486,807,482,811,479,814,477,817,477,821,574,821,574,812,501,812,504,810,506,808,509,806,513,804,519,801,530,796,544,790,553,785,558,781,563,778,567,775,570,771,572,768,574,765,574,755,570,749,566,747xm543,738l514,738,503,741,495,745,486,749,482,754,481,762,499,764,499,758,501,754,512,749,519,747,566,747,562,745,553,741,543,738xe" filled="true" fillcolor="#000000" stroked="false">
                    <v:path arrowok="t"/>
                    <v:fill type="solid"/>
                  </v:shape>
                  <v:shape style="position:absolute;left:594;top:740;width:97;height:83" coordorigin="594,740" coordsize="97,83" path="m612,799l594,800,596,807,599,812,618,821,628,822,658,822,670,820,678,814,634,814,628,813,623,811,618,808,615,804,612,799xm681,775l650,775,658,778,664,780,669,784,672,788,672,801,669,805,663,809,658,812,650,814,678,814,680,813,687,807,691,801,691,786,687,779,681,775xm685,740l611,740,597,783,614,783,616,781,620,779,630,776,636,775,681,775,678,774,674,772,618,772,625,750,685,750,685,740xm659,767l636,767,627,768,618,772,674,772,669,769,659,767xe" filled="true" fillcolor="#000000" stroked="false">
                    <v:path arrowok="t"/>
                    <v:fill type="solid"/>
                  </v:shape>
                  <v:line style="position:absolute" from="720,816" to="740,816" stroked="true" strokeweight=".545526pt" strokecolor="#000000"/>
                </v:group>
              </w:pict>
            </w:r>
            <w:r>
              <w:rPr>
                <w:rFonts w:ascii="Times New Roman"/>
                <w:sz w:val="20"/>
              </w:rPr>
            </w:r>
          </w:p>
        </w:tc>
        <w:tc>
          <w:tcPr>
            <w:tcW w:w="3187" w:type="dxa"/>
            <w:tcBorders>
              <w:left w:val="single" w:sz="6" w:space="0" w:color="000000"/>
              <w:right w:val="single" w:sz="6" w:space="0" w:color="000000"/>
            </w:tcBorders>
          </w:tcPr>
          <w:p>
            <w:pPr>
              <w:pStyle w:val="TableParagraph"/>
              <w:ind w:left="34"/>
              <w:rPr>
                <w:rFonts w:ascii="Times New Roman"/>
                <w:sz w:val="20"/>
              </w:rPr>
            </w:pPr>
            <w:r>
              <w:rPr>
                <w:rFonts w:ascii="Times New Roman"/>
                <w:sz w:val="20"/>
              </w:rPr>
              <w:pict>
                <v:group style="width:152.8pt;height:33.85pt;mso-position-horizontal-relative:char;mso-position-vertical-relative:line" coordorigin="0,0" coordsize="3056,677">
                  <v:shape style="position:absolute;left:0;top:0;width:2615;height:385" type="#_x0000_t75" stroked="false">
                    <v:imagedata r:id="rId261" o:title=""/>
                  </v:shape>
                  <v:shape style="position:absolute;left:594;top:292;width:356;height:101" type="#_x0000_t75" stroked="false">
                    <v:imagedata r:id="rId262" o:title=""/>
                  </v:shape>
                  <v:shape style="position:absolute;left:1031;top:323;width:93;height:84" coordorigin="1031,323" coordsize="93,84" path="m1048,324l1031,324,1031,407,1049,407,1049,378,1109,378,1111,376,1068,376,1062,375,1055,371,1050,368,1048,362,1048,346,1050,341,1057,336,1062,333,1067,331,1048,331,1048,324xm1109,378l1049,378,1053,380,1057,381,1061,383,1066,384,1071,385,1085,385,1093,383,1101,381,1108,378,1109,378xm1112,331l1085,331,1092,332,1097,336,1102,340,1106,346,1106,361,1102,367,1097,371,1092,375,1084,376,1111,376,1114,375,1117,370,1121,365,1124,360,1124,347,1121,342,1119,338,1115,333,1112,331xm1088,323l1072,323,1066,323,1055,326,1052,328,1048,331,1067,331,1070,331,1112,331,1110,329,1103,326,1095,324,1088,323xe" filled="true" fillcolor="#000000" stroked="false">
                    <v:path arrowok="t"/>
                    <v:fill type="solid"/>
                  </v:shape>
                  <v:shape style="position:absolute;left:1141;top:323;width:97;height:63" coordorigin="1141,323" coordsize="97,63" path="m1229,331l1198,331,1204,332,1209,334,1213,336,1214,339,1214,346,1208,347,1196,348,1182,349,1174,349,1169,350,1167,351,1161,352,1156,352,1154,354,1150,355,1146,357,1143,360,1141,362,1141,373,1143,377,1150,380,1156,383,1165,385,1183,385,1190,384,1196,383,1203,381,1209,379,1214,377,1174,377,1168,376,1165,374,1161,373,1159,370,1159,366,1160,364,1161,362,1164,361,1167,360,1169,360,1172,359,1177,358,1185,357,1198,357,1208,355,1214,354,1232,354,1232,337,1231,336,1231,333,1229,331xm1234,376l1216,376,1216,379,1217,381,1219,383,1238,383,1236,381,1235,379,1234,376xm1232,354l1214,354,1214,362,1213,365,1212,368,1209,370,1205,373,1199,374,1194,376,1187,377,1214,377,1216,376,1234,376,1232,374,1232,354xm1200,323l1182,323,1174,323,1167,325,1160,326,1155,328,1151,331,1147,333,1145,336,1143,341,1161,342,1163,338,1165,335,1170,333,1174,332,1181,331,1229,331,1226,329,1223,327,1219,326,1213,324,1208,323,1200,323xe" filled="true" fillcolor="#000000" stroked="false">
                    <v:path arrowok="t"/>
                    <v:fill type="solid"/>
                  </v:shape>
                  <v:shape style="position:absolute;left:1261;top:323;width:59;height:61" coordorigin="1261,323" coordsize="59,61" path="m1278,324l1261,324,1261,383,1279,383,1279,348,1280,344,1282,341,1283,338,1285,336,1289,335,1292,333,1296,333,1278,333,1278,324xm1306,323l1296,323,1292,323,1289,325,1285,326,1282,328,1278,333,1303,333,1309,333,1313,335,1319,326,1313,323,1306,323xe" filled="true" fillcolor="#000000" stroked="false">
                    <v:path arrowok="t"/>
                    <v:fill type="solid"/>
                  </v:shape>
                  <v:shape style="position:absolute;left:1324;top:323;width:99;height:63" coordorigin="1324,323" coordsize="99,63" path="m1412,331l1381,331,1389,332,1393,334,1396,336,1398,339,1398,346,1391,347,1381,348,1365,349,1359,349,1354,350,1350,351,1345,352,1341,352,1337,354,1333,355,1329,357,1328,360,1326,362,1324,365,1324,373,1327,377,1333,380,1340,383,1349,385,1367,385,1375,384,1380,383,1386,381,1393,379,1398,377,1358,377,1353,376,1349,374,1345,373,1344,370,1344,364,1346,362,1347,361,1350,360,1353,360,1357,359,1362,358,1368,357,1381,357,1391,355,1398,354,1416,354,1416,336,1415,333,1412,331xm1417,376l1399,376,1400,379,1402,381,1403,383,1422,383,1420,381,1419,379,1417,376xm1416,354l1398,354,1398,362,1396,365,1395,368,1393,370,1389,373,1384,374,1377,376,1372,377,1398,377,1399,376,1417,376,1417,374,1416,368,1416,354xm1384,323l1365,323,1358,323,1351,325,1344,326,1338,328,1334,331,1331,333,1328,336,1327,341,1345,342,1346,338,1350,335,1354,333,1358,332,1364,331,1412,331,1409,329,1407,327,1403,326,1398,324,1391,323,1384,323xe" filled="true" fillcolor="#000000" stroked="false">
                    <v:path arrowok="t"/>
                    <v:fill type="solid"/>
                  </v:shape>
                  <v:shape style="position:absolute;left:2128;top:301;width:928;height:84" type="#_x0000_t75" stroked="false">
                    <v:imagedata r:id="rId263" o:title=""/>
                  </v:shape>
                  <v:shape style="position:absolute;left:3;top:447;width:92;height:84" coordorigin="3,447" coordsize="92,84" path="m54,468l39,468,31,470,23,472,17,475,12,478,8,483,4,488,3,494,3,506,4,511,8,516,12,520,18,525,24,527,32,530,40,531,61,531,71,528,77,523,41,523,35,520,30,517,23,513,21,507,21,492,23,486,28,483,34,478,41,477,76,477,74,474,70,472,65,471,59,469,54,468xm94,522l77,522,77,530,94,530,94,522xm94,447l76,447,76,477,57,477,65,479,70,483,75,486,77,492,77,508,75,514,70,517,65,521,58,523,77,523,77,522,94,522,94,447xe" filled="true" fillcolor="#000000" stroked="false">
                    <v:path arrowok="t"/>
                    <v:fill type="solid"/>
                  </v:shape>
                  <v:shape style="position:absolute;left:117;top:468;width:99;height:64" coordorigin="117,468" coordsize="99,64" path="m182,468l152,468,141,471,132,477,123,483,117,490,117,510,123,517,132,523,141,528,152,531,181,531,191,529,199,526,207,523,160,523,152,521,146,517,141,514,137,509,137,502,216,502,216,494,137,494,138,488,141,485,152,478,159,477,203,477,194,471,182,468xm196,510l194,515,190,517,186,520,181,522,176,523,207,523,212,517,216,512,196,510xm203,477l177,477,185,479,190,483,194,485,196,489,196,494,216,494,216,490,212,482,203,477xe" filled="true" fillcolor="#000000" stroked="false">
                    <v:path arrowok="t"/>
                    <v:fill type="solid"/>
                  </v:shape>
                  <v:shape style="position:absolute;left:296;top:447;width:472;height:105" type="#_x0000_t75" stroked="false">
                    <v:imagedata r:id="rId264" o:title=""/>
                  </v:shape>
                  <v:shape style="position:absolute;left:789;top:438;width:243;height:101" type="#_x0000_t75" stroked="false">
                    <v:imagedata r:id="rId265" o:title=""/>
                  </v:shape>
                  <v:shape style="position:absolute;left:1106;top:303;width:1615;height:228" type="#_x0000_t75" stroked="false">
                    <v:imagedata r:id="rId266" o:title=""/>
                  </v:shape>
                  <v:shape style="position:absolute;left:2801;top:438;width:138;height:101" type="#_x0000_t75" stroked="false">
                    <v:imagedata r:id="rId267" o:title=""/>
                  </v:shape>
                  <v:shape style="position:absolute;left:4;top:593;width:99;height:84" coordorigin="4,593" coordsize="99,84" path="m67,615l39,615,27,617,17,622,8,628,4,636,4,656,8,664,26,674,39,677,67,677,76,675,85,672,93,669,45,669,37,667,32,663,26,660,23,655,22,649,102,649,102,640,23,640,23,635,27,630,32,628,39,625,45,622,88,622,79,617,67,615xm83,657l80,661,76,664,71,666,67,667,61,669,93,669,98,664,101,658,83,657xm88,622l62,622,70,625,76,629,80,631,81,635,83,640,102,640,102,635,97,628,88,622xm80,593l55,593,43,609,58,609,80,593xe" filled="true" fillcolor="#000000" stroked="false">
                    <v:path arrowok="t"/>
                    <v:fill type="solid"/>
                  </v:shape>
                  <v:shape style="position:absolute;left:115;top:595;width:52;height:82" coordorigin="115,595" coordsize="52,82" path="m146,624l128,624,128,668,130,670,132,672,137,675,141,676,161,676,167,675,164,667,151,667,150,666,148,666,147,665,147,664,146,663,146,624xm164,616l115,616,115,624,164,624,164,616xm146,595l128,601,128,616,146,616,146,595xe" filled="true" fillcolor="#000000" stroked="false">
                    <v:path arrowok="t"/>
                    <v:fill type="solid"/>
                  </v:shape>
                  <v:shape style="position:absolute;left:182;top:593;width:19;height:83" coordorigin="182,593" coordsize="19,83" path="m200,593l182,593,182,605,200,605,200,593xm200,616l182,616,182,675,200,675,200,616xe" filled="true" fillcolor="#000000" stroked="false">
                    <v:path arrowok="t"/>
                    <v:fill type="solid"/>
                  </v:shape>
                  <v:shape style="position:absolute;left:222;top:615;width:93;height:63" coordorigin="222,615" coordsize="93,63" path="m283,615l262,615,253,616,245,618,238,620,231,624,227,629,225,634,222,639,222,656,226,664,244,674,256,677,283,677,292,675,300,671,305,669,262,669,255,667,249,663,244,659,240,654,240,638,244,632,249,628,255,625,262,622,306,622,300,620,292,616,283,615xm297,654l296,659,293,662,288,665,283,667,278,669,305,669,309,667,313,662,315,655,297,654xm306,622l278,622,283,624,287,626,291,628,294,631,296,635,314,633,311,628,306,622xe" filled="true" fillcolor="#000000" stroked="false">
                    <v:path arrowok="t"/>
                    <v:fill type="solid"/>
                  </v:shape>
                  <v:shape style="position:absolute;left:325;top:615;width:99;height:63" coordorigin="325,615" coordsize="99,63" path="m414,623l382,623,389,624,394,626,398,628,399,631,399,638,393,639,381,640,367,641,359,641,354,642,351,643,346,643,342,644,338,646,335,647,331,649,328,652,325,654,325,664,328,669,335,672,341,675,350,677,368,677,375,676,381,675,387,674,394,672,399,669,359,669,354,668,350,667,346,664,344,662,344,658,345,657,346,655,351,652,354,651,356,651,362,650,369,649,382,649,393,647,399,646,417,646,417,630,416,628,416,625,414,623xm418,668l400,668,402,671,402,673,404,675,424,675,421,673,420,671,418,668xm417,646l399,646,399,654,398,657,397,659,394,662,390,664,384,667,379,668,372,669,399,669,400,668,418,668,417,666,417,646xm385,615l367,615,359,615,351,617,345,618,340,620,336,622,332,625,329,629,328,633,346,634,348,630,350,627,355,625,359,624,366,623,414,623,413,622,411,621,408,619,404,617,398,616,393,615,385,615xe" filled="true" fillcolor="#000000" stroked="false">
                    <v:path arrowok="t"/>
                    <v:fill type="solid"/>
                  </v:shape>
                  <v:line style="position:absolute" from="451,670" to="472,670" stroked="true" strokeweight=".579320pt" strokecolor="#000000"/>
                </v:group>
              </w:pict>
            </w:r>
            <w:r>
              <w:rPr>
                <w:rFonts w:ascii="Times New Roman"/>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17"/>
              </w:rPr>
            </w:pPr>
          </w:p>
        </w:tc>
      </w:tr>
      <w:tr>
        <w:trPr>
          <w:trHeight w:val="1168" w:hRule="exact"/>
        </w:trPr>
        <w:tc>
          <w:tcPr>
            <w:tcW w:w="3601" w:type="dxa"/>
            <w:tcBorders>
              <w:left w:val="single" w:sz="6" w:space="0" w:color="000000"/>
              <w:right w:val="single" w:sz="6" w:space="0" w:color="000000"/>
            </w:tcBorders>
          </w:tcPr>
          <w:p>
            <w:pPr>
              <w:pStyle w:val="TableParagraph"/>
              <w:spacing w:after="34"/>
              <w:ind w:left="38"/>
              <w:rPr>
                <w:rFonts w:ascii="Times New Roman"/>
                <w:sz w:val="20"/>
              </w:rPr>
            </w:pPr>
            <w:r>
              <w:rPr>
                <w:rFonts w:ascii="Times New Roman"/>
                <w:sz w:val="20"/>
              </w:rPr>
              <w:pict>
                <v:group style="width:170.3pt;height:26.95pt;mso-position-horizontal-relative:char;mso-position-vertical-relative:line" coordorigin="0,0" coordsize="3406,539">
                  <v:shape style="position:absolute;left:1;top:0;width:3404;height:262" type="#_x0000_t75" stroked="false">
                    <v:imagedata r:id="rId268" o:title=""/>
                  </v:shape>
                  <v:shape style="position:absolute;left:3152;top:146;width:138;height:101" type="#_x0000_t75" stroked="false">
                    <v:imagedata r:id="rId269" o:title=""/>
                  </v:shape>
                  <v:shape style="position:absolute;left:0;top:146;width:3063;height:239" type="#_x0000_t75" stroked="false">
                    <v:imagedata r:id="rId270" o:title=""/>
                  </v:shape>
                  <v:shape style="position:absolute;left:747;top:468;width:99;height:63" coordorigin="747,468" coordsize="99,63" path="m810,468l782,468,769,471,760,476,751,482,747,490,747,509,751,517,760,523,769,528,782,530,809,530,819,529,827,525,836,523,788,523,780,520,775,517,769,514,765,509,765,502,844,502,844,501,845,500,845,494,766,494,766,488,770,484,780,478,788,476,831,476,822,471,810,468xm826,510l819,517,814,520,804,523,836,523,841,517,844,512,826,510xm831,476l805,476,813,478,818,483,822,485,824,488,826,494,845,494,845,489,840,482,831,476xe" filled="true" fillcolor="#000000" stroked="false">
                    <v:path arrowok="t"/>
                    <v:fill type="solid"/>
                  </v:shape>
                  <v:shape style="position:absolute;left:860;top:468;width:88;height:63" coordorigin="860,468" coordsize="88,63" path="m877,510l860,512,862,517,867,523,873,525,881,529,891,530,913,530,921,530,934,527,939,524,941,523,897,523,890,521,886,519,881,517,878,514,877,510xm911,468l897,468,891,469,886,470,881,470,877,471,875,472,871,474,868,475,866,478,864,481,863,483,863,488,864,491,867,494,869,496,873,498,884,501,893,502,906,504,916,505,922,507,925,507,930,510,930,515,928,517,924,520,920,521,913,523,941,523,947,518,948,515,948,508,947,505,944,503,941,501,937,499,933,498,928,496,919,495,906,493,897,491,891,491,889,491,886,490,884,489,882,488,881,487,880,486,880,482,882,481,886,479,889,478,895,476,939,476,938,475,935,473,930,472,917,469,911,468xm939,476l911,476,916,478,924,481,926,483,926,486,944,485,943,481,939,476xe" filled="true" fillcolor="#000000" stroked="false">
                    <v:path arrowok="t"/>
                    <v:fill type="solid"/>
                  </v:shape>
                  <v:shape style="position:absolute;left:960;top:449;width:53;height:82" coordorigin="960,449" coordsize="53,82" path="m992,478l974,478,974,522,975,524,983,528,987,530,1008,530,1013,529,1010,520,997,520,996,520,995,520,993,519,992,518,992,478xm1010,470l960,470,960,478,1010,478,1010,470xm992,449l974,454,974,470,992,470,992,449xe" filled="true" fillcolor="#000000" stroked="false">
                    <v:path arrowok="t"/>
                    <v:fill type="solid"/>
                  </v:shape>
                  <v:shape style="position:absolute;left:1022;top:468;width:99;height:63" coordorigin="1022,468" coordsize="99,63" path="m1111,477l1080,477,1086,478,1090,480,1094,482,1096,485,1096,491,1089,493,1079,494,1063,495,1057,495,1052,496,1048,496,1043,497,1039,498,1031,501,1027,503,1026,506,1023,508,1022,511,1022,518,1024,523,1031,526,1037,529,1046,530,1066,530,1072,530,1077,528,1084,528,1090,525,1095,523,1055,523,1050,522,1046,520,1043,518,1041,516,1041,510,1044,509,1045,507,1048,506,1050,505,1054,504,1059,504,1066,503,1080,502,1089,501,1096,499,1114,499,1114,481,1112,478,1111,477xm1115,522l1097,522,1098,525,1099,527,1101,529,1120,529,1118,527,1116,525,1115,522xm1114,499l1096,499,1096,511,1093,513,1090,516,1086,518,1081,520,1076,522,1070,523,1095,523,1097,522,1115,522,1115,520,1114,514,1114,499xm1083,468l1063,468,1055,469,1049,470,1041,472,1036,474,1032,476,1030,479,1027,483,1024,486,1043,488,1044,483,1048,481,1055,478,1062,477,1111,477,1110,476,1107,475,1105,472,1101,471,1096,470,1089,469,1083,468xe" filled="true" fillcolor="#000000" stroked="false">
                    <v:path arrowok="t"/>
                    <v:fill type="solid"/>
                  </v:shape>
                  <v:shape style="position:absolute;left:1143;top:446;width:92;height:84" coordorigin="1143,446" coordsize="92,84" path="m1176,522l1160,522,1167,528,1177,530,1201,530,1213,528,1222,523,1178,523,1176,522xm1161,446l1143,446,1143,529,1160,529,1160,522,1176,522,1170,520,1164,514,1161,511,1159,506,1159,491,1163,486,1168,482,1173,478,1181,476,1161,476,1161,446xm1196,468l1178,468,1168,471,1161,476,1196,476,1203,478,1208,482,1214,486,1217,491,1217,507,1214,512,1208,517,1203,520,1195,523,1222,523,1231,517,1235,509,1235,494,1234,490,1232,486,1230,483,1227,479,1223,477,1220,474,1214,472,1209,470,1203,469,1196,468xe" filled="true" fillcolor="#000000" stroked="false">
                    <v:path arrowok="t"/>
                    <v:fill type="solid"/>
                  </v:shape>
                  <v:shape style="position:absolute;left:1257;top:437;width:438;height:101" type="#_x0000_t75" stroked="false">
                    <v:imagedata r:id="rId271" o:title=""/>
                  </v:shape>
                  <v:shape style="position:absolute;left:1764;top:437;width:138;height:101" type="#_x0000_t75" stroked="false">
                    <v:imagedata r:id="rId272" o:title=""/>
                  </v:shape>
                  <v:shape style="position:absolute;left:1975;top:292;width:1316;height:239" type="#_x0000_t75" stroked="false">
                    <v:imagedata r:id="rId273" o:title=""/>
                  </v:shape>
                </v:group>
              </w:pict>
            </w:r>
            <w:r>
              <w:rPr>
                <w:rFonts w:ascii="Times New Roman"/>
                <w:sz w:val="20"/>
              </w:rPr>
            </w:r>
          </w:p>
          <w:p>
            <w:pPr>
              <w:pStyle w:val="TableParagraph"/>
              <w:ind w:left="41"/>
              <w:rPr>
                <w:rFonts w:ascii="Times New Roman"/>
                <w:sz w:val="20"/>
              </w:rPr>
            </w:pPr>
            <w:r>
              <w:rPr>
                <w:rFonts w:ascii="Times New Roman"/>
                <w:sz w:val="20"/>
              </w:rPr>
              <w:pict>
                <v:group style="width:168.85pt;height:13.1pt;mso-position-horizontal-relative:char;mso-position-vertical-relative:line" coordorigin="0,0" coordsize="3377,262">
                  <v:shape style="position:absolute;left:0;top:0;width:242;height:101" type="#_x0000_t75" stroked="false">
                    <v:imagedata r:id="rId274" o:title=""/>
                  </v:shape>
                  <v:shape style="position:absolute;left:4;top:8;width:1766;height:253" type="#_x0000_t75" stroked="false">
                    <v:imagedata r:id="rId275" o:title=""/>
                  </v:shape>
                  <v:shape style="position:absolute;left:1589;top:146;width:1788;height:115" type="#_x0000_t75" stroked="false">
                    <v:imagedata r:id="rId276" o:title=""/>
                  </v:shape>
                </v:group>
              </w:pict>
            </w:r>
            <w:r>
              <w:rPr>
                <w:rFonts w:ascii="Times New Roman"/>
                <w:sz w:val="20"/>
              </w:rPr>
            </w:r>
          </w:p>
          <w:p>
            <w:pPr>
              <w:pStyle w:val="TableParagraph"/>
              <w:spacing w:before="5"/>
              <w:rPr>
                <w:rFonts w:ascii="Times New Roman"/>
                <w:sz w:val="2"/>
              </w:rPr>
            </w:pPr>
          </w:p>
          <w:p>
            <w:pPr>
              <w:pStyle w:val="TableParagraph"/>
              <w:spacing w:line="105" w:lineRule="exact"/>
              <w:ind w:left="36"/>
              <w:rPr>
                <w:rFonts w:ascii="Times New Roman"/>
                <w:sz w:val="10"/>
              </w:rPr>
            </w:pPr>
            <w:r>
              <w:rPr>
                <w:rFonts w:ascii="Times New Roman"/>
                <w:position w:val="-1"/>
                <w:sz w:val="10"/>
              </w:rPr>
              <w:drawing>
                <wp:inline distT="0" distB="0" distL="0" distR="0">
                  <wp:extent cx="487973" cy="66675"/>
                  <wp:effectExtent l="0" t="0" r="0" b="0"/>
                  <wp:docPr id="85" name="image218.png" descr=""/>
                  <wp:cNvGraphicFramePr>
                    <a:graphicFrameLocks noChangeAspect="1"/>
                  </wp:cNvGraphicFramePr>
                  <a:graphic>
                    <a:graphicData uri="http://schemas.openxmlformats.org/drawingml/2006/picture">
                      <pic:pic>
                        <pic:nvPicPr>
                          <pic:cNvPr id="86" name="image218.png"/>
                          <pic:cNvPicPr/>
                        </pic:nvPicPr>
                        <pic:blipFill>
                          <a:blip r:embed="rId277" cstate="print"/>
                          <a:stretch>
                            <a:fillRect/>
                          </a:stretch>
                        </pic:blipFill>
                        <pic:spPr>
                          <a:xfrm>
                            <a:off x="0" y="0"/>
                            <a:ext cx="487973" cy="66675"/>
                          </a:xfrm>
                          <a:prstGeom prst="rect">
                            <a:avLst/>
                          </a:prstGeom>
                        </pic:spPr>
                      </pic:pic>
                    </a:graphicData>
                  </a:graphic>
                </wp:inline>
              </w:drawing>
            </w:r>
            <w:r>
              <w:rPr>
                <w:rFonts w:ascii="Times New Roman"/>
                <w:position w:val="-1"/>
                <w:sz w:val="10"/>
              </w:rPr>
            </w:r>
          </w:p>
        </w:tc>
        <w:tc>
          <w:tcPr>
            <w:tcW w:w="3187" w:type="dxa"/>
            <w:tcBorders>
              <w:left w:val="single" w:sz="6" w:space="0" w:color="000000"/>
              <w:right w:val="single" w:sz="6" w:space="0" w:color="000000"/>
            </w:tcBorders>
          </w:tcPr>
          <w:p>
            <w:pPr>
              <w:pStyle w:val="TableParagraph"/>
              <w:spacing w:after="15"/>
              <w:ind w:left="43"/>
              <w:rPr>
                <w:rFonts w:ascii="Times New Roman"/>
                <w:sz w:val="20"/>
              </w:rPr>
            </w:pPr>
            <w:r>
              <w:rPr>
                <w:rFonts w:ascii="Times New Roman"/>
                <w:sz w:val="20"/>
              </w:rPr>
              <w:pict>
                <v:group style="width:136.8pt;height:12.65pt;mso-position-horizontal-relative:char;mso-position-vertical-relative:line" coordorigin="0,0" coordsize="2736,253">
                  <v:shape style="position:absolute;left:0;top:0;width:2722;height:253" type="#_x0000_t75" stroked="false">
                    <v:imagedata r:id="rId278" o:title=""/>
                  </v:shape>
                  <v:shape style="position:absolute;left:2022;top:138;width:220;height:101" type="#_x0000_t75" stroked="false">
                    <v:imagedata r:id="rId279" o:title=""/>
                  </v:shape>
                  <v:shape style="position:absolute;left:2304;top:147;width:93;height:84" coordorigin="2304,147" coordsize="93,84" path="m2355,169l2340,169,2332,170,2324,172,2318,175,2313,179,2309,184,2305,188,2304,194,2304,206,2306,211,2310,216,2314,221,2319,224,2326,227,2333,230,2341,231,2363,231,2372,228,2380,222,2344,222,2337,221,2331,217,2326,213,2322,208,2322,192,2324,186,2331,182,2336,179,2342,177,2378,177,2375,174,2371,172,2360,169,2355,169xm2397,147l2378,147,2378,177,2359,177,2366,179,2371,182,2377,187,2380,193,2380,208,2377,214,2371,217,2366,221,2359,222,2380,222,2380,230,2397,230,2397,147xe" filled="true" fillcolor="#000000" stroked="false">
                    <v:path arrowok="t"/>
                    <v:fill type="solid"/>
                  </v:shape>
                  <v:shape style="position:absolute;left:2419;top:169;width:99;height:63" coordorigin="2419,169" coordsize="99,63" path="m2483,169l2455,169,2442,172,2433,177,2424,182,2419,190,2419,210,2424,217,2433,223,2442,228,2455,231,2482,231,2492,230,2500,226,2508,222,2461,222,2453,221,2448,217,2442,214,2438,209,2438,202,2517,202,2517,194,2439,194,2439,189,2442,185,2448,182,2453,178,2461,177,2504,177,2495,172,2483,169xm2497,211l2495,214,2491,218,2487,219,2482,222,2477,222,2508,222,2514,218,2517,211,2497,211xm2504,177l2478,177,2486,179,2491,182,2495,185,2497,189,2499,194,2517,194,2517,190,2513,182,2504,177xe" filled="true" fillcolor="#000000" stroked="false">
                    <v:path arrowok="t"/>
                    <v:fill type="solid"/>
                  </v:shape>
                  <v:shape style="position:absolute;left:2597;top:138;width:138;height:101" type="#_x0000_t75" stroked="false">
                    <v:imagedata r:id="rId280" o:title=""/>
                  </v:shape>
                </v:group>
              </w:pict>
            </w:r>
            <w:r>
              <w:rPr>
                <w:rFonts w:ascii="Times New Roman"/>
                <w:sz w:val="20"/>
              </w:rPr>
            </w:r>
          </w:p>
          <w:p>
            <w:pPr>
              <w:pStyle w:val="TableParagraph"/>
              <w:ind w:left="34"/>
              <w:rPr>
                <w:rFonts w:ascii="Times New Roman"/>
                <w:sz w:val="20"/>
              </w:rPr>
            </w:pPr>
            <w:r>
              <w:rPr>
                <w:rFonts w:ascii="Times New Roman"/>
                <w:sz w:val="20"/>
              </w:rPr>
              <w:pict>
                <v:group style="width:151.65pt;height:13.7pt;mso-position-horizontal-relative:char;mso-position-vertical-relative:line" coordorigin="0,0" coordsize="3033,274">
                  <v:shape style="position:absolute;left:0;top:0;width:3032;height:251" type="#_x0000_t75" stroked="false">
                    <v:imagedata r:id="rId281" o:title=""/>
                  </v:shape>
                  <v:shape style="position:absolute;left:581;top:158;width:138;height:101" type="#_x0000_t75" stroked="false">
                    <v:imagedata r:id="rId282" o:title=""/>
                  </v:shape>
                  <v:shape style="position:absolute;left:793;top:167;width:1202;height:106" type="#_x0000_t75" stroked="false">
                    <v:imagedata r:id="rId283" o:title=""/>
                  </v:shape>
                  <v:shape style="position:absolute;left:2068;top:167;width:628;height:107" type="#_x0000_t75" stroked="false">
                    <v:imagedata r:id="rId284" o:title=""/>
                  </v:shape>
                  <v:shape style="position:absolute;left:2771;top:188;width:99;height:63" coordorigin="2771,188" coordsize="99,63" path="m2834,188l2806,188,2793,191,2784,196,2775,202,2771,210,2771,230,2775,238,2784,243,2793,248,2806,251,2833,251,2843,249,2851,246,2860,243,2812,243,2805,240,2799,237,2793,234,2791,229,2789,222,2869,222,2869,214,2791,214,2791,209,2794,204,2805,198,2812,196,2855,196,2846,191,2834,188xm2850,230l2847,235,2843,238,2838,240,2828,243,2860,243,2865,238,2868,232,2850,230xm2855,196l2829,196,2837,198,2843,203,2846,205,2849,209,2850,214,2869,214,2869,209,2864,202,2855,196xe" filled="true" fillcolor="#000000" stroked="false">
                    <v:path arrowok="t"/>
                    <v:fill type="solid"/>
                  </v:shape>
                  <v:line style="position:absolute" from="2900,167" to="2900,249" stroked="true" strokeweight=".904117pt" strokecolor="#000000"/>
                </v:group>
              </w:pict>
            </w:r>
            <w:r>
              <w:rPr>
                <w:rFonts w:ascii="Times New Roman"/>
                <w:sz w:val="20"/>
              </w:rPr>
            </w:r>
          </w:p>
          <w:p>
            <w:pPr>
              <w:pStyle w:val="TableParagraph"/>
              <w:ind w:left="33"/>
              <w:rPr>
                <w:rFonts w:ascii="Times New Roman"/>
                <w:sz w:val="20"/>
              </w:rPr>
            </w:pPr>
            <w:r>
              <w:rPr>
                <w:rFonts w:ascii="Times New Roman"/>
                <w:sz w:val="20"/>
              </w:rPr>
              <w:drawing>
                <wp:inline distT="0" distB="0" distL="0" distR="0">
                  <wp:extent cx="1573332" cy="157162"/>
                  <wp:effectExtent l="0" t="0" r="0" b="0"/>
                  <wp:docPr id="87" name="image226.png" descr=""/>
                  <wp:cNvGraphicFramePr>
                    <a:graphicFrameLocks noChangeAspect="1"/>
                  </wp:cNvGraphicFramePr>
                  <a:graphic>
                    <a:graphicData uri="http://schemas.openxmlformats.org/drawingml/2006/picture">
                      <pic:pic>
                        <pic:nvPicPr>
                          <pic:cNvPr id="88" name="image226.png"/>
                          <pic:cNvPicPr/>
                        </pic:nvPicPr>
                        <pic:blipFill>
                          <a:blip r:embed="rId285" cstate="print"/>
                          <a:stretch>
                            <a:fillRect/>
                          </a:stretch>
                        </pic:blipFill>
                        <pic:spPr>
                          <a:xfrm>
                            <a:off x="0" y="0"/>
                            <a:ext cx="1573332" cy="157162"/>
                          </a:xfrm>
                          <a:prstGeom prst="rect">
                            <a:avLst/>
                          </a:prstGeom>
                        </pic:spPr>
                      </pic:pic>
                    </a:graphicData>
                  </a:graphic>
                </wp:inline>
              </w:drawing>
            </w:r>
            <w:r>
              <w:rPr>
                <w:rFonts w:ascii="Times New Roman"/>
                <w:sz w:val="20"/>
              </w:rPr>
            </w:r>
          </w:p>
          <w:p>
            <w:pPr>
              <w:pStyle w:val="TableParagraph"/>
              <w:spacing w:before="1"/>
              <w:rPr>
                <w:rFonts w:ascii="Times New Roman"/>
                <w:sz w:val="27"/>
              </w:rPr>
            </w:pPr>
          </w:p>
        </w:tc>
      </w:tr>
      <w:tr>
        <w:trPr>
          <w:trHeight w:val="1022" w:hRule="exact"/>
        </w:trPr>
        <w:tc>
          <w:tcPr>
            <w:tcW w:w="3601" w:type="dxa"/>
            <w:tcBorders>
              <w:left w:val="single" w:sz="6" w:space="0" w:color="000000"/>
              <w:right w:val="single" w:sz="6" w:space="0" w:color="000000"/>
            </w:tcBorders>
          </w:tcPr>
          <w:p>
            <w:pPr>
              <w:pStyle w:val="TableParagraph"/>
              <w:ind w:left="38"/>
              <w:rPr>
                <w:rFonts w:ascii="Times New Roman"/>
                <w:sz w:val="20"/>
              </w:rPr>
            </w:pPr>
            <w:r>
              <w:rPr>
                <w:rFonts w:ascii="Times New Roman"/>
                <w:sz w:val="20"/>
              </w:rPr>
              <w:pict>
                <v:group style="width:16.45pt;height:4.2pt;mso-position-horizontal-relative:char;mso-position-vertical-relative:line" coordorigin="0,0" coordsize="329,84">
                  <v:shape style="position:absolute;left:0;top:0;width:92;height:84" coordorigin="0,0" coordsize="92,84" path="m92,54l74,54,74,83,92,83,92,54xm58,0l36,0,28,1,21,4,14,6,9,9,5,14,1,19,0,25,0,41,4,48,22,59,34,62,52,62,57,62,67,59,71,56,74,54,92,54,92,54,40,54,32,52,27,48,21,44,18,38,18,23,21,17,26,13,32,9,39,8,75,8,68,3,58,0xm75,8l54,8,61,9,67,14,72,17,76,24,76,39,72,45,67,48,62,52,56,54,92,54,92,9,76,9,75,8xm92,1l76,1,76,9,92,9,92,1xe" filled="true" fillcolor="#000000" stroked="false">
                    <v:path arrowok="t"/>
                    <v:fill type="solid"/>
                  </v:shape>
                  <v:shape style="position:absolute;left:120;top:1;width:87;height:62" coordorigin="120,1" coordsize="87,62" path="m138,1l120,1,120,42,121,46,121,48,123,51,124,53,127,55,129,57,145,62,151,62,171,62,182,59,189,54,155,54,151,53,147,51,143,49,141,48,140,45,140,43,138,39,138,1xm207,52l191,52,191,61,207,61,207,52xm207,1l189,1,189,38,187,42,186,45,183,47,181,49,176,51,171,53,165,54,189,54,191,52,207,52,207,1xe" filled="true" fillcolor="#000000" stroked="false">
                    <v:path arrowok="t"/>
                    <v:fill type="solid"/>
                  </v:shape>
                  <v:shape style="position:absolute;left:230;top:0;width:99;height:63" coordorigin="230,0" coordsize="99,63" path="m293,0l265,0,253,2,244,8,234,14,230,22,230,41,234,48,253,59,265,62,293,62,304,60,311,57,319,54,271,54,265,52,258,48,252,45,249,40,248,33,328,33,328,25,249,25,251,20,253,16,258,13,265,9,271,8,314,8,305,2,293,0xm309,41l306,46,302,49,297,51,293,53,287,54,319,54,324,49,327,43,309,41xm314,8l289,8,296,10,302,14,306,17,309,20,309,25,328,25,328,21,323,13,314,8xe" filled="true" fillcolor="#000000" stroked="false">
                    <v:path arrowok="t"/>
                    <v:fill type="solid"/>
                  </v:shape>
                </v:group>
              </w:pict>
            </w:r>
            <w:r>
              <w:rPr>
                <w:rFonts w:ascii="Times New Roman"/>
                <w:sz w:val="20"/>
              </w:rPr>
            </w:r>
            <w:r>
              <w:rPr>
                <w:rFonts w:ascii="Times New Roman"/>
                <w:spacing w:val="43"/>
                <w:sz w:val="10"/>
              </w:rPr>
              <w:t> </w:t>
            </w:r>
            <w:r>
              <w:rPr>
                <w:rFonts w:ascii="Times New Roman"/>
                <w:spacing w:val="43"/>
                <w:sz w:val="20"/>
              </w:rPr>
              <w:drawing>
                <wp:inline distT="0" distB="0" distL="0" distR="0">
                  <wp:extent cx="493257" cy="66675"/>
                  <wp:effectExtent l="0" t="0" r="0" b="0"/>
                  <wp:docPr id="89" name="image227.png" descr=""/>
                  <wp:cNvGraphicFramePr>
                    <a:graphicFrameLocks noChangeAspect="1"/>
                  </wp:cNvGraphicFramePr>
                  <a:graphic>
                    <a:graphicData uri="http://schemas.openxmlformats.org/drawingml/2006/picture">
                      <pic:pic>
                        <pic:nvPicPr>
                          <pic:cNvPr id="90" name="image227.png"/>
                          <pic:cNvPicPr/>
                        </pic:nvPicPr>
                        <pic:blipFill>
                          <a:blip r:embed="rId286" cstate="print"/>
                          <a:stretch>
                            <a:fillRect/>
                          </a:stretch>
                        </pic:blipFill>
                        <pic:spPr>
                          <a:xfrm>
                            <a:off x="0" y="0"/>
                            <a:ext cx="493257" cy="66675"/>
                          </a:xfrm>
                          <a:prstGeom prst="rect">
                            <a:avLst/>
                          </a:prstGeom>
                        </pic:spPr>
                      </pic:pic>
                    </a:graphicData>
                  </a:graphic>
                </wp:inline>
              </w:drawing>
            </w:r>
            <w:r>
              <w:rPr>
                <w:rFonts w:ascii="Times New Roman"/>
                <w:spacing w:val="43"/>
                <w:sz w:val="20"/>
              </w:rPr>
            </w:r>
            <w:r>
              <w:rPr>
                <w:rFonts w:ascii="Times New Roman"/>
                <w:spacing w:val="34"/>
                <w:sz w:val="20"/>
              </w:rPr>
              <w:t> </w:t>
            </w:r>
            <w:r>
              <w:rPr>
                <w:rFonts w:ascii="Times New Roman"/>
                <w:spacing w:val="34"/>
                <w:sz w:val="20"/>
              </w:rPr>
              <w:pict>
                <v:group style="width:108.05pt;height:12.6pt;mso-position-horizontal-relative:char;mso-position-vertical-relative:line" coordorigin="0,0" coordsize="2161,252">
                  <v:shape style="position:absolute;left:0;top:146;width:723;height:105" type="#_x0000_t75" stroked="false">
                    <v:imagedata r:id="rId287" o:title=""/>
                  </v:shape>
                  <v:shape style="position:absolute;left:792;top:137;width:243;height:101" type="#_x0000_t75" stroked="false">
                    <v:imagedata r:id="rId288" o:title=""/>
                  </v:shape>
                  <v:shape style="position:absolute;left:417;top:0;width:1743;height:230" type="#_x0000_t75" stroked="false">
                    <v:imagedata r:id="rId289" o:title=""/>
                  </v:shape>
                </v:group>
              </w:pict>
            </w:r>
            <w:r>
              <w:rPr>
                <w:rFonts w:ascii="Times New Roman"/>
                <w:spacing w:val="34"/>
                <w:sz w:val="20"/>
              </w:rPr>
            </w:r>
          </w:p>
          <w:p>
            <w:pPr>
              <w:pStyle w:val="TableParagraph"/>
              <w:spacing w:before="8" w:after="1"/>
              <w:rPr>
                <w:rFonts w:ascii="Times New Roman"/>
                <w:sz w:val="27"/>
              </w:rPr>
            </w:pPr>
          </w:p>
          <w:p>
            <w:pPr>
              <w:pStyle w:val="TableParagraph"/>
              <w:spacing w:line="113" w:lineRule="exact"/>
              <w:ind w:left="37"/>
              <w:rPr>
                <w:rFonts w:ascii="Times New Roman"/>
                <w:sz w:val="10"/>
              </w:rPr>
            </w:pPr>
            <w:r>
              <w:rPr>
                <w:rFonts w:ascii="Times New Roman"/>
                <w:sz w:val="8"/>
              </w:rPr>
              <w:drawing>
                <wp:inline distT="0" distB="0" distL="0" distR="0">
                  <wp:extent cx="610562" cy="53720"/>
                  <wp:effectExtent l="0" t="0" r="0" b="0"/>
                  <wp:docPr id="91" name="image231.png" descr=""/>
                  <wp:cNvGraphicFramePr>
                    <a:graphicFrameLocks noChangeAspect="1"/>
                  </wp:cNvGraphicFramePr>
                  <a:graphic>
                    <a:graphicData uri="http://schemas.openxmlformats.org/drawingml/2006/picture">
                      <pic:pic>
                        <pic:nvPicPr>
                          <pic:cNvPr id="92" name="image231.png"/>
                          <pic:cNvPicPr/>
                        </pic:nvPicPr>
                        <pic:blipFill>
                          <a:blip r:embed="rId290" cstate="print"/>
                          <a:stretch>
                            <a:fillRect/>
                          </a:stretch>
                        </pic:blipFill>
                        <pic:spPr>
                          <a:xfrm>
                            <a:off x="0" y="0"/>
                            <a:ext cx="610562" cy="53720"/>
                          </a:xfrm>
                          <a:prstGeom prst="rect">
                            <a:avLst/>
                          </a:prstGeom>
                        </pic:spPr>
                      </pic:pic>
                    </a:graphicData>
                  </a:graphic>
                </wp:inline>
              </w:drawing>
            </w:r>
            <w:r>
              <w:rPr>
                <w:rFonts w:ascii="Times New Roman"/>
                <w:sz w:val="8"/>
              </w:rPr>
            </w:r>
            <w:r>
              <w:rPr>
                <w:rFonts w:ascii="Times New Roman"/>
                <w:spacing w:val="53"/>
                <w:sz w:val="10"/>
              </w:rPr>
              <w:t> </w:t>
            </w:r>
            <w:r>
              <w:rPr>
                <w:rFonts w:ascii="Times New Roman"/>
                <w:spacing w:val="53"/>
                <w:position w:val="0"/>
                <w:sz w:val="10"/>
              </w:rPr>
              <w:drawing>
                <wp:inline distT="0" distB="0" distL="0" distR="0">
                  <wp:extent cx="154475" cy="64007"/>
                  <wp:effectExtent l="0" t="0" r="0" b="0"/>
                  <wp:docPr id="93" name="image232.png" descr=""/>
                  <wp:cNvGraphicFramePr>
                    <a:graphicFrameLocks noChangeAspect="1"/>
                  </wp:cNvGraphicFramePr>
                  <a:graphic>
                    <a:graphicData uri="http://schemas.openxmlformats.org/drawingml/2006/picture">
                      <pic:pic>
                        <pic:nvPicPr>
                          <pic:cNvPr id="94" name="image232.png"/>
                          <pic:cNvPicPr/>
                        </pic:nvPicPr>
                        <pic:blipFill>
                          <a:blip r:embed="rId291" cstate="print"/>
                          <a:stretch>
                            <a:fillRect/>
                          </a:stretch>
                        </pic:blipFill>
                        <pic:spPr>
                          <a:xfrm>
                            <a:off x="0" y="0"/>
                            <a:ext cx="154475" cy="64007"/>
                          </a:xfrm>
                          <a:prstGeom prst="rect">
                            <a:avLst/>
                          </a:prstGeom>
                        </pic:spPr>
                      </pic:pic>
                    </a:graphicData>
                  </a:graphic>
                </wp:inline>
              </w:drawing>
            </w:r>
            <w:r>
              <w:rPr>
                <w:rFonts w:ascii="Times New Roman"/>
                <w:spacing w:val="53"/>
                <w:position w:val="0"/>
                <w:sz w:val="10"/>
              </w:rPr>
            </w:r>
            <w:r>
              <w:rPr>
                <w:rFonts w:ascii="Times New Roman"/>
                <w:spacing w:val="53"/>
                <w:position w:val="0"/>
                <w:sz w:val="10"/>
              </w:rPr>
              <w:t> </w:t>
            </w:r>
            <w:r>
              <w:rPr>
                <w:rFonts w:ascii="Times New Roman"/>
                <w:spacing w:val="53"/>
                <w:position w:val="-1"/>
                <w:sz w:val="10"/>
              </w:rPr>
              <w:drawing>
                <wp:inline distT="0" distB="0" distL="0" distR="0">
                  <wp:extent cx="445609" cy="65627"/>
                  <wp:effectExtent l="0" t="0" r="0" b="0"/>
                  <wp:docPr id="95" name="image233.png" descr=""/>
                  <wp:cNvGraphicFramePr>
                    <a:graphicFrameLocks noChangeAspect="1"/>
                  </wp:cNvGraphicFramePr>
                  <a:graphic>
                    <a:graphicData uri="http://schemas.openxmlformats.org/drawingml/2006/picture">
                      <pic:pic>
                        <pic:nvPicPr>
                          <pic:cNvPr id="96" name="image233.png"/>
                          <pic:cNvPicPr/>
                        </pic:nvPicPr>
                        <pic:blipFill>
                          <a:blip r:embed="rId292" cstate="print"/>
                          <a:stretch>
                            <a:fillRect/>
                          </a:stretch>
                        </pic:blipFill>
                        <pic:spPr>
                          <a:xfrm>
                            <a:off x="0" y="0"/>
                            <a:ext cx="445609" cy="65627"/>
                          </a:xfrm>
                          <a:prstGeom prst="rect">
                            <a:avLst/>
                          </a:prstGeom>
                        </pic:spPr>
                      </pic:pic>
                    </a:graphicData>
                  </a:graphic>
                </wp:inline>
              </w:drawing>
            </w:r>
            <w:r>
              <w:rPr>
                <w:rFonts w:ascii="Times New Roman"/>
                <w:spacing w:val="53"/>
                <w:position w:val="-1"/>
                <w:sz w:val="10"/>
              </w:rPr>
            </w:r>
          </w:p>
          <w:p>
            <w:pPr>
              <w:pStyle w:val="TableParagraph"/>
              <w:spacing w:before="7"/>
              <w:rPr>
                <w:rFonts w:ascii="Times New Roman"/>
                <w:sz w:val="3"/>
              </w:rPr>
            </w:pPr>
          </w:p>
          <w:p>
            <w:pPr>
              <w:pStyle w:val="TableParagraph"/>
              <w:spacing w:line="105" w:lineRule="exact"/>
              <w:ind w:left="37"/>
              <w:rPr>
                <w:rFonts w:ascii="Times New Roman"/>
                <w:sz w:val="10"/>
              </w:rPr>
            </w:pPr>
            <w:r>
              <w:rPr>
                <w:rFonts w:ascii="Times New Roman"/>
                <w:position w:val="-1"/>
                <w:sz w:val="10"/>
              </w:rPr>
              <w:pict>
                <v:group style="width:72.6pt;height:5.3pt;mso-position-horizontal-relative:char;mso-position-vertical-relative:line" coordorigin="0,0" coordsize="1452,106">
                  <v:shape style="position:absolute;left:0;top:0;width:1398;height:106" type="#_x0000_t75" stroked="false">
                    <v:imagedata r:id="rId293" o:title=""/>
                  </v:shape>
                  <v:line style="position:absolute" from="1425,77" to="1446,77" stroked="true" strokeweight=".579320pt" strokecolor="#000000"/>
                </v:group>
              </w:pict>
            </w:r>
            <w:r>
              <w:rPr>
                <w:rFonts w:ascii="Times New Roman"/>
                <w:position w:val="-1"/>
                <w:sz w:val="10"/>
              </w:rPr>
            </w:r>
          </w:p>
        </w:tc>
        <w:tc>
          <w:tcPr>
            <w:tcW w:w="3187" w:type="dxa"/>
            <w:tcBorders>
              <w:left w:val="single" w:sz="6" w:space="0" w:color="000000"/>
              <w:bottom w:val="single" w:sz="5" w:space="0" w:color="000000"/>
              <w:right w:val="single" w:sz="6" w:space="0" w:color="000000"/>
            </w:tcBorders>
          </w:tcPr>
          <w:p>
            <w:pPr>
              <w:pStyle w:val="TableParagraph"/>
              <w:ind w:left="34"/>
              <w:rPr>
                <w:rFonts w:ascii="Times New Roman"/>
                <w:sz w:val="20"/>
              </w:rPr>
            </w:pPr>
            <w:r>
              <w:rPr>
                <w:rFonts w:ascii="Times New Roman"/>
                <w:sz w:val="20"/>
              </w:rPr>
              <w:pict>
                <v:group style="width:151.2pt;height:49.1pt;mso-position-horizontal-relative:char;mso-position-vertical-relative:line" coordorigin="0,0" coordsize="3024,982">
                  <v:shape style="position:absolute;left:3;top:0;width:2880;height:522" type="#_x0000_t75" stroked="false">
                    <v:imagedata r:id="rId294" o:title=""/>
                  </v:shape>
                  <v:shape style="position:absolute;left:1686;top:438;width:645;height:107" type="#_x0000_t75" stroked="false">
                    <v:imagedata r:id="rId295" o:title=""/>
                  </v:shape>
                  <v:shape style="position:absolute;left:2399;top:461;width:99;height:84" coordorigin="2399,461" coordsize="99,84" path="m2407,535l2409,544,2413,545,2417,545,2426,545,2431,544,2435,543,2439,541,2443,539,2447,535,2411,535,2407,535xm2418,461l2399,461,2440,521,2439,522,2439,523,2438,524,2435,527,2434,530,2433,531,2431,532,2429,533,2428,534,2425,535,2421,535,2447,535,2449,533,2452,529,2457,521,2465,509,2449,509,2447,505,2444,500,2442,495,2418,461xm2497,461l2479,461,2456,496,2451,505,2449,509,2465,509,2497,461xe" filled="true" fillcolor="#000000" stroked="false">
                    <v:path arrowok="t"/>
                    <v:fill type="solid"/>
                  </v:shape>
                  <v:shape style="position:absolute;left:2563;top:460;width:90;height:63" coordorigin="2563,460" coordsize="90,63" path="m2581,501l2563,503,2566,509,2570,514,2577,517,2585,521,2595,522,2617,522,2625,521,2632,520,2638,518,2643,516,2646,514,2601,514,2594,513,2589,511,2585,508,2583,506,2581,501xm2614,460l2595,460,2590,461,2585,462,2581,463,2579,464,2575,466,2572,467,2570,469,2567,472,2566,474,2566,480,2567,482,2571,485,2573,487,2577,490,2583,490,2588,492,2597,494,2610,495,2619,497,2625,498,2628,499,2632,501,2633,502,2633,507,2632,509,2628,511,2622,513,2617,514,2646,514,2647,513,2652,507,2652,500,2650,497,2647,495,2644,493,2641,490,2635,490,2630,488,2608,485,2601,483,2594,482,2593,482,2590,482,2586,479,2585,478,2584,477,2584,474,2585,472,2589,470,2593,469,2598,468,2643,468,2642,467,2634,463,2628,462,2621,461,2614,460xm2643,468l2614,468,2619,469,2622,471,2626,472,2629,475,2630,478,2648,477,2647,473,2644,469,2643,468xe" filled="true" fillcolor="#000000" stroked="false">
                    <v:path arrowok="t"/>
                    <v:fill type="solid"/>
                  </v:shape>
                  <v:shape style="position:absolute;left:2673;top:461;width:87;height:61" coordorigin="2673,461" coordsize="87,61" path="m2691,461l2673,461,2673,503,2674,506,2674,508,2675,511,2678,513,2681,515,2683,517,2687,519,2698,521,2704,522,2725,522,2735,519,2742,514,2708,514,2704,513,2700,511,2696,510,2694,508,2692,505,2692,503,2691,500,2691,461xm2760,512l2744,512,2744,521,2760,521,2760,512xm2760,461l2741,461,2741,502,2736,508,2734,510,2729,511,2725,513,2719,514,2742,514,2744,512,2760,512,2760,461xe" filled="true" fillcolor="#000000" stroked="false">
                    <v:path arrowok="t"/>
                    <v:fill type="solid"/>
                  </v:shape>
                  <v:shape style="position:absolute;left:4;top:605;width:99;height:64" coordorigin="4,605" coordsize="99,64" path="m68,605l39,605,27,608,18,614,9,620,4,627,4,647,9,655,18,660,27,666,39,669,67,669,77,666,85,663,93,660,46,660,39,658,32,655,27,651,23,646,23,640,102,640,102,632,23,632,24,626,27,622,39,616,45,614,89,614,80,608,68,605xm83,647l80,652,76,655,72,657,67,659,62,660,93,660,99,655,102,649,83,647xm89,614l63,614,71,616,76,620,80,622,83,627,84,632,102,632,102,627,98,619,89,614xe" filled="true" fillcolor="#000000" stroked="false">
                    <v:path arrowok="t"/>
                    <v:fill type="solid"/>
                  </v:shape>
                  <v:shape style="position:absolute;left:114;top:607;width:99;height:61" coordorigin="114,607" coordsize="99,61" path="m133,607l114,607,155,667,172,667,180,655,163,655,161,650,159,647,156,643,133,607xm212,607l194,607,169,644,167,648,164,652,163,655,180,655,212,607xe" filled="true" fillcolor="#000000" stroked="false">
                    <v:path arrowok="t"/>
                    <v:fill type="solid"/>
                  </v:shape>
                  <v:shape style="position:absolute;left:222;top:605;width:99;height:64" coordorigin="222,605" coordsize="99,64" path="m311,614l280,614,287,616,292,618,294,619,297,622,297,629,289,630,279,632,265,632,257,633,252,634,248,634,243,634,239,636,235,637,231,639,229,641,226,643,224,645,222,648,222,656,226,661,231,663,238,666,247,669,266,669,273,668,279,666,286,665,292,663,297,661,256,661,251,659,247,658,243,656,242,653,242,649,243,647,244,646,245,645,248,643,252,642,255,642,260,641,267,641,280,640,289,638,297,637,315,637,315,624,314,621,314,619,313,616,311,614xm317,660l298,660,298,662,300,665,301,667,320,667,318,665,317,662,317,660xm315,637l297,637,297,645,296,648,293,650,291,654,287,656,276,659,270,661,297,661,298,660,317,660,315,657,315,637xm283,605l265,605,256,606,249,608,243,609,238,611,234,614,230,616,227,620,226,624,243,626,245,621,248,619,252,616,256,615,262,614,311,614,309,612,306,611,291,606,283,605xe" filled="true" fillcolor="#000000" stroked="false">
                    <v:path arrowok="t"/>
                    <v:fill type="solid"/>
                  </v:shape>
                  <v:shape style="position:absolute;left:344;top:575;width:627;height:101" type="#_x0000_t75" stroked="false">
                    <v:imagedata r:id="rId296" o:title=""/>
                  </v:shape>
                  <v:shape style="position:absolute;left:0;top:584;width:3023;height:377" type="#_x0000_t75" stroked="false">
                    <v:imagedata r:id="rId297" o:title=""/>
                  </v:shape>
                  <v:shape style="position:absolute;left:296;top:876;width:472;height:105" type="#_x0000_t75" stroked="false">
                    <v:imagedata r:id="rId298" o:title=""/>
                  </v:shape>
                  <v:shape style="position:absolute;left:789;top:867;width:243;height:101" type="#_x0000_t75" stroked="false">
                    <v:imagedata r:id="rId299" o:title=""/>
                  </v:shape>
                  <v:shape style="position:absolute;left:1106;top:876;width:1782;height:106" type="#_x0000_t75" stroked="false">
                    <v:imagedata r:id="rId300" o:title=""/>
                  </v:shape>
                </v:group>
              </w:pict>
            </w:r>
            <w:r>
              <w:rPr>
                <w:rFonts w:ascii="Times New Roman"/>
                <w:sz w:val="20"/>
              </w:rPr>
            </w:r>
          </w:p>
        </w:tc>
      </w:tr>
      <w:tr>
        <w:trPr>
          <w:trHeight w:val="1168" w:hRule="exact"/>
        </w:trPr>
        <w:tc>
          <w:tcPr>
            <w:tcW w:w="3601" w:type="dxa"/>
            <w:tcBorders>
              <w:left w:val="single" w:sz="6" w:space="0" w:color="000000"/>
              <w:right w:val="single" w:sz="6" w:space="0" w:color="000000"/>
            </w:tcBorders>
          </w:tcPr>
          <w:p>
            <w:pPr>
              <w:pStyle w:val="TableParagraph"/>
              <w:ind w:left="36" w:right="-19"/>
              <w:rPr>
                <w:rFonts w:ascii="Times New Roman"/>
                <w:sz w:val="20"/>
              </w:rPr>
            </w:pPr>
            <w:r>
              <w:rPr>
                <w:rFonts w:ascii="Times New Roman"/>
                <w:sz w:val="20"/>
              </w:rPr>
              <w:pict>
                <v:group style="width:176.2pt;height:42.3pt;mso-position-horizontal-relative:char;mso-position-vertical-relative:line" coordorigin="0,0" coordsize="3524,846">
                  <v:shape style="position:absolute;left:1;top:0;width:3522;height:239" type="#_x0000_t75" stroked="false">
                    <v:imagedata r:id="rId301" o:title=""/>
                  </v:shape>
                  <v:shape style="position:absolute;left:2615;top:146;width:138;height:101" type="#_x0000_t75" stroked="false">
                    <v:imagedata r:id="rId302" o:title=""/>
                  </v:shape>
                  <v:shape style="position:absolute;left:0;top:146;width:2535;height:239" type="#_x0000_t75" stroked="false">
                    <v:imagedata r:id="rId303" o:title=""/>
                  </v:shape>
                  <v:shape style="position:absolute;left:1499;top:292;width:243;height:101" type="#_x0000_t75" stroked="false">
                    <v:imagedata r:id="rId304" o:title=""/>
                  </v:shape>
                  <v:shape style="position:absolute;left:1815;top:301;width:800;height:106" type="#_x0000_t75" stroked="false">
                    <v:imagedata r:id="rId305" o:title=""/>
                  </v:shape>
                  <v:shape style="position:absolute;left:2685;top:323;width:97;height:84" coordorigin="2685,323" coordsize="97,84" path="m2692,397l2694,406,2697,407,2712,407,2716,407,2721,405,2725,404,2728,401,2731,398,2699,398,2696,397,2692,397xm2704,323l2685,323,2725,383,2723,384,2723,386,2721,390,2718,392,2718,394,2716,395,2714,396,2707,398,2731,398,2734,395,2738,391,2741,384,2749,372,2734,372,2731,367,2726,358,2704,323xm2781,323l2763,323,2741,358,2738,362,2736,368,2734,372,2749,372,2781,323xe" filled="true" fillcolor="#000000" stroked="false">
                    <v:path arrowok="t"/>
                    <v:fill type="solid"/>
                  </v:shape>
                  <v:shape style="position:absolute;left:2855;top:322;width:145;height:62" coordorigin="2855,322" coordsize="145,62" path="m2872,323l2855,323,2855,383,2873,383,2873,347,2874,343,2876,340,2878,337,2881,335,2886,334,2890,332,2872,332,2872,323xm2932,331l2907,331,2911,332,2915,334,2917,336,2918,340,2918,383,2936,383,2936,342,2939,338,2948,333,2934,333,2932,331xm2997,331l2966,331,2970,331,2974,333,2977,334,2979,335,2980,337,2980,339,2982,341,2982,383,3000,383,3000,336,2997,331xm2978,322l2953,322,2942,326,2934,333,2948,333,2949,332,2955,331,2997,331,2991,327,2986,324,2978,322xm2912,322l2897,322,2890,323,2885,325,2874,329,2872,332,2890,332,2895,331,2932,331,2931,329,2929,327,2924,325,2918,323,2912,322xe" filled="true" fillcolor="#000000" stroked="false">
                    <v:path arrowok="t"/>
                    <v:fill type="solid"/>
                  </v:shape>
                  <v:shape style="position:absolute;left:3022;top:322;width:99;height:63" coordorigin="3022,322" coordsize="99,63" path="m3085,322l3057,322,3045,325,3035,331,3026,336,3022,344,3022,364,3026,371,3035,376,3044,382,3057,385,3085,385,3094,383,3103,380,3111,376,3063,376,3055,375,3050,371,3044,368,3041,362,3040,356,3120,356,3120,348,3041,348,3041,342,3045,339,3050,335,3057,332,3063,331,3106,331,3097,325,3085,322xm3101,364l3098,368,3094,371,3089,373,3085,376,3079,376,3111,376,3116,371,3119,365,3101,364xm3106,331l3081,331,3088,333,3094,336,3098,339,3101,348,3120,348,3120,344,3115,336,3106,331xe" filled="true" fillcolor="#000000" stroked="false">
                    <v:path arrowok="t"/>
                    <v:fill type="solid"/>
                  </v:shape>
                  <v:shape style="position:absolute;left:3133;top:302;width:52;height:82" coordorigin="3133,302" coordsize="52,82" path="m3164,331l3146,331,3146,372,3147,376,3148,378,3150,380,3152,381,3156,382,3159,383,3164,384,3174,384,3179,383,3185,383,3182,375,3172,375,3169,374,3168,374,3167,373,3165,373,3165,372,3164,371,3164,331xm3182,374l3178,375,3182,375,3182,374xm3182,323l3133,323,3133,331,3182,331,3182,323xm3164,302l3146,309,3146,323,3164,323,3164,302xe" filled="true" fillcolor="#000000" stroked="false">
                    <v:path arrowok="t"/>
                    <v:fill type="solid"/>
                  </v:shape>
                  <v:shape style="position:absolute;left:3194;top:322;width:99;height:63" coordorigin="3194,322" coordsize="99,63" path="m3283,331l3252,331,3258,332,3263,334,3266,336,3268,339,3268,344,3267,345,3261,347,3250,348,3236,349,3229,349,3223,350,3219,350,3214,351,3210,352,3206,354,3203,355,3195,362,3194,365,3194,373,3198,377,3203,380,3209,383,3218,385,3237,385,3244,384,3250,383,3256,381,3262,379,3268,377,3227,377,3222,376,3218,374,3214,372,3213,370,3213,365,3214,364,3216,362,3217,361,3219,360,3222,359,3226,358,3231,357,3239,357,3252,356,3261,355,3267,353,3287,353,3287,340,3285,337,3285,336,3284,333,3283,331xm3288,376l3270,376,3270,378,3271,381,3272,383,3292,383,3289,381,3288,378,3288,376xm3287,353l3267,353,3267,365,3265,367,3262,370,3258,373,3248,376,3241,377,3268,377,3270,376,3288,376,3287,373,3287,353xm3254,322l3236,322,3227,323,3221,324,3214,326,3208,328,3205,331,3201,333,3199,336,3198,341,3214,342,3217,338,3219,335,3223,333,3227,331,3234,331,3283,331,3280,328,3276,327,3272,326,3267,324,3261,323,3254,322xe" filled="true" fillcolor="#000000" stroked="false">
                    <v:path arrowok="t"/>
                    <v:fill type="solid"/>
                  </v:shape>
                  <v:shape style="position:absolute;left:3307;top:322;width:90;height:63" coordorigin="3307,322" coordsize="90,63" path="m3325,364l3307,365,3310,372,3314,376,3322,380,3329,383,3340,385,3361,385,3369,383,3376,382,3382,381,3387,378,3390,376,3345,376,3338,376,3334,373,3329,371,3327,368,3325,364xm3358,322l3345,322,3329,324,3325,326,3323,326,3319,328,3311,334,3311,342,3312,345,3315,347,3318,350,3322,352,3332,355,3341,356,3354,358,3369,360,3372,361,3376,362,3377,365,3377,369,3376,372,3372,373,3368,376,3361,376,3390,376,3391,376,3394,373,3396,369,3396,362,3395,360,3391,357,3389,355,3385,353,3380,352,3374,351,3365,349,3353,347,3345,346,3340,345,3332,343,3330,341,3329,341,3328,339,3328,336,3329,334,3333,333,3337,331,3343,331,3387,331,3386,330,3382,328,3378,326,3372,324,3365,323,3358,322xm3387,331l3358,331,3364,331,3368,333,3372,335,3373,337,3374,340,3392,339,3391,335,3389,332,3387,331xe" filled="true" fillcolor="#000000" stroked="false">
                    <v:path arrowok="t"/>
                    <v:fill type="solid"/>
                  </v:shape>
                  <v:shape style="position:absolute;left:6;top:446;width:1012;height:84" type="#_x0000_t75" stroked="false">
                    <v:imagedata r:id="rId306" o:title=""/>
                  </v:shape>
                  <v:shape style="position:absolute;left:1041;top:437;width:289;height:108" type="#_x0000_t75" stroked="false">
                    <v:imagedata r:id="rId307" o:title=""/>
                  </v:shape>
                  <v:shape style="position:absolute;left:0;top:437;width:1950;height:239" type="#_x0000_t75" stroked="false">
                    <v:imagedata r:id="rId308" o:title=""/>
                  </v:shape>
                  <v:line style="position:absolute" from="1980,446" to="1980,529" stroked="true" strokeweight=".904117pt" strokecolor="#000000"/>
                  <v:shape style="position:absolute;left:2070;top:468;width:99;height:63" coordorigin="2070,468" coordsize="99,63" path="m2133,468l2105,468,2093,471,2083,476,2074,482,2070,490,2070,510,2074,517,2083,523,2092,528,2105,531,2133,531,2142,529,2151,525,2159,523,2111,523,2103,520,2098,517,2092,514,2089,509,2088,502,2168,502,2168,494,2089,494,2089,489,2093,484,2098,481,2105,478,2111,476,2154,476,2145,471,2133,468xm2148,510l2146,515,2142,517,2137,520,2133,521,2127,523,2159,523,2164,517,2167,512,2148,510xm2154,476l2128,476,2136,478,2142,483,2146,485,2147,489,2148,494,2168,494,2168,489,2163,482,2154,476xe" filled="true" fillcolor="#000000" stroked="false">
                    <v:path arrowok="t"/>
                    <v:fill type="solid"/>
                  </v:shape>
                  <v:shape style="position:absolute;left:2183;top:468;width:88;height:63" coordorigin="2183,468" coordsize="88,63" path="m2201,510l2183,512,2185,517,2190,523,2196,525,2204,529,2214,531,2236,531,2244,530,2251,528,2257,527,2262,524,2264,523,2221,523,2214,521,2204,517,2201,514,2201,510xm2234,468l2220,468,2209,470,2205,470,2201,471,2198,473,2195,474,2191,475,2190,478,2187,481,2186,483,2186,489,2187,491,2190,494,2192,496,2196,498,2207,501,2216,502,2229,504,2239,505,2245,507,2248,507,2253,510,2253,515,2251,517,2247,520,2243,521,2236,523,2264,523,2266,521,2270,518,2271,515,2271,508,2270,505,2265,501,2261,499,2256,498,2251,496,2241,495,2229,493,2220,491,2214,491,2213,491,2209,490,2207,489,2205,488,2204,487,2204,482,2205,481,2209,479,2212,478,2218,476,2262,476,2261,475,2258,473,2253,472,2247,470,2241,469,2234,468xm2262,476l2234,476,2239,478,2243,479,2247,481,2249,483,2249,486,2267,485,2266,481,2265,478,2262,476xe" filled="true" fillcolor="#000000" stroked="false">
                    <v:path arrowok="t"/>
                    <v:fill type="solid"/>
                  </v:shape>
                  <v:shape style="position:absolute;left:2345;top:446;width:92;height:84" coordorigin="2345,446" coordsize="92,84" path="m2396,468l2381,468,2373,470,2365,472,2359,475,2354,478,2350,483,2346,488,2345,494,2345,506,2346,511,2350,516,2354,520,2360,524,2367,527,2375,529,2382,531,2403,531,2413,528,2419,523,2383,523,2377,520,2372,517,2365,513,2363,507,2363,491,2365,486,2376,478,2383,477,2437,477,2437,476,2418,476,2416,474,2412,472,2402,469,2396,468xm2437,522l2420,522,2420,529,2437,529,2437,522xm2437,477l2399,477,2407,478,2412,482,2417,486,2420,492,2420,508,2417,513,2407,520,2400,523,2419,523,2420,522,2437,522,2437,477xm2437,446l2418,446,2418,476,2437,476,2437,446xe" filled="true" fillcolor="#000000" stroked="false">
                    <v:path arrowok="t"/>
                    <v:fill type="solid"/>
                  </v:shape>
                  <v:shape style="position:absolute;left:2460;top:468;width:99;height:63" coordorigin="2460,468" coordsize="99,63" path="m2524,468l2495,468,2483,471,2474,476,2465,482,2460,490,2460,510,2465,517,2474,523,2483,528,2495,531,2523,531,2533,529,2541,525,2549,523,2502,523,2495,520,2488,517,2483,514,2479,509,2479,502,2558,502,2558,494,2479,494,2480,489,2483,484,2490,481,2495,478,2501,476,2545,476,2536,471,2524,468xm2539,510l2536,515,2532,517,2528,520,2518,523,2549,523,2554,517,2558,512,2539,510xm2545,476l2519,476,2527,478,2532,483,2536,485,2539,489,2539,494,2558,494,2558,489,2554,482,2545,476xe" filled="true" fillcolor="#000000" stroked="false">
                    <v:path arrowok="t"/>
                    <v:fill type="solid"/>
                  </v:shape>
                  <v:line style="position:absolute" from="2589,446" to="2589,529" stroked="true" strokeweight=".904117pt" strokecolor="#000000"/>
                  <v:shape style="position:absolute;left:1567;top:584;width:243;height:101" type="#_x0000_t75" stroked="false">
                    <v:imagedata r:id="rId309" o:title=""/>
                  </v:shape>
                  <v:shape style="position:absolute;left:8;top:592;width:2696;height:253" type="#_x0000_t75" stroked="false">
                    <v:imagedata r:id="rId310" o:title=""/>
                  </v:shape>
                  <v:line style="position:absolute" from="2738,816" to="2758,816" stroked="true" strokeweight=".543112pt" strokecolor="#000000"/>
                </v:group>
              </w:pict>
            </w:r>
            <w:r>
              <w:rPr>
                <w:rFonts w:ascii="Times New Roman"/>
                <w:sz w:val="20"/>
              </w:rPr>
            </w:r>
          </w:p>
          <w:p>
            <w:pPr>
              <w:pStyle w:val="TableParagraph"/>
              <w:rPr>
                <w:rFonts w:ascii="Times New Roman"/>
                <w:sz w:val="25"/>
              </w:rPr>
            </w:pPr>
          </w:p>
        </w:tc>
        <w:tc>
          <w:tcPr>
            <w:tcW w:w="3187" w:type="dxa"/>
            <w:tcBorders>
              <w:top w:val="single" w:sz="5" w:space="0" w:color="000000"/>
              <w:left w:val="single" w:sz="6" w:space="0" w:color="000000"/>
              <w:right w:val="single" w:sz="6" w:space="0" w:color="000000"/>
            </w:tcBorders>
          </w:tcPr>
          <w:p>
            <w:pPr>
              <w:pStyle w:val="TableParagraph"/>
              <w:ind w:left="36"/>
              <w:rPr>
                <w:rFonts w:ascii="Times New Roman"/>
                <w:sz w:val="20"/>
              </w:rPr>
            </w:pPr>
            <w:r>
              <w:rPr>
                <w:rFonts w:ascii="Times New Roman"/>
                <w:sz w:val="20"/>
              </w:rPr>
              <w:pict>
                <v:group style="width:145.8pt;height:49.25pt;mso-position-horizontal-relative:char;mso-position-vertical-relative:line" coordorigin="0,0" coordsize="2916,985">
                  <v:shape style="position:absolute;left:5;top:0;width:2644;height:254" type="#_x0000_t75" stroked="false">
                    <v:imagedata r:id="rId311" o:title=""/>
                  </v:shape>
                  <v:shape style="position:absolute;left:820;top:138;width:784;height:108" type="#_x0000_t75" stroked="false">
                    <v:imagedata r:id="rId312" o:title=""/>
                  </v:shape>
                  <v:shape style="position:absolute;left:0;top:169;width:2858;height:354" type="#_x0000_t75" stroked="false">
                    <v:imagedata r:id="rId313" o:title=""/>
                  </v:shape>
                  <v:shape style="position:absolute;left:288;top:430;width:597;height:101" type="#_x0000_t75" stroked="false">
                    <v:imagedata r:id="rId314" o:title=""/>
                  </v:shape>
                  <v:shape style="position:absolute;left:965;top:439;width:92;height:84" coordorigin="965,439" coordsize="92,84" path="m1017,461l1001,461,993,462,986,464,979,467,974,471,970,476,966,480,965,486,965,498,966,503,970,508,974,513,981,516,987,519,995,521,1003,523,1023,523,1034,520,1039,515,1004,515,997,513,992,509,986,506,983,500,983,484,986,478,991,474,997,471,1004,469,1057,469,1057,469,1039,469,1036,466,1032,464,1022,461,1017,461xm1057,514l1040,514,1040,521,1057,521,1057,514xm1057,469l1019,469,1027,471,1032,474,1037,479,1041,485,1041,500,1037,506,1027,513,1021,515,1039,515,1040,514,1057,514,1057,469xm1057,439l1039,439,1039,469,1057,469,1057,439xe" filled="true" fillcolor="#000000" stroked="false">
                    <v:path arrowok="t"/>
                    <v:fill type="solid"/>
                  </v:shape>
                  <v:shape style="position:absolute;left:1080;top:461;width:99;height:63" coordorigin="1080,461" coordsize="99,63" path="m1145,461l1115,461,1103,464,1094,469,1085,474,1080,482,1080,502,1085,510,1094,515,1103,520,1115,523,1143,523,1154,521,1161,518,1169,515,1123,515,1115,513,1109,509,1103,506,1099,501,1099,495,1178,495,1178,486,1099,486,1101,481,1103,477,1110,474,1115,471,1121,469,1165,469,1156,464,1145,461xm1159,503l1156,507,1152,510,1148,512,1138,515,1169,515,1174,510,1178,504,1159,503xm1165,469l1140,469,1147,471,1152,475,1156,477,1159,481,1159,486,1178,486,1178,482,1174,474,1165,469xe" filled="true" fillcolor="#000000" stroked="false">
                    <v:path arrowok="t"/>
                    <v:fill type="solid"/>
                  </v:shape>
                  <v:shape style="position:absolute;left:1200;top:430;width:1681;height:108" type="#_x0000_t75" stroked="false">
                    <v:imagedata r:id="rId315" o:title=""/>
                  </v:shape>
                  <v:shape style="position:absolute;left:8;top:585;width:87;height:83" coordorigin="8,585" coordsize="87,83" path="m26,585l8,585,8,668,26,668,26,630,27,626,28,624,31,621,34,619,44,616,49,616,90,616,89,615,26,615,26,585xm90,616l61,616,67,616,71,619,75,621,76,625,76,668,94,668,94,624,93,619,90,616xm66,607l45,607,35,609,26,615,89,615,88,613,84,611,79,609,72,608,66,607xe" filled="true" fillcolor="#000000" stroked="false">
                    <v:path arrowok="t"/>
                    <v:fill type="solid"/>
                  </v:shape>
                  <v:shape style="position:absolute;left:116;top:607;width:99;height:63" coordorigin="116,607" coordsize="99,63" path="m205,615l174,615,181,616,186,619,189,620,191,623,191,630,183,631,173,632,159,633,151,634,146,634,142,634,138,636,133,637,129,638,125,640,118,646,116,649,116,657,120,661,127,664,132,668,141,669,160,669,167,668,180,666,186,663,191,661,150,661,145,661,141,658,138,657,136,655,136,650,137,648,138,647,139,645,142,645,146,644,149,643,154,642,162,642,174,640,185,640,191,638,209,638,209,621,208,620,207,617,205,615xm211,661l193,661,193,663,194,666,196,668,215,668,212,666,211,663,211,661xm209,638l191,638,191,646,190,649,185,655,181,657,176,658,170,661,164,661,191,661,193,661,211,661,209,658,209,638xm185,607l159,607,151,608,143,609,137,610,132,612,128,615,124,617,121,621,120,625,137,626,139,622,142,619,146,618,150,616,156,615,205,615,203,613,200,611,185,607xe" filled="true" fillcolor="#000000" stroked="false">
                    <v:path arrowok="t"/>
                    <v:fill type="solid"/>
                  </v:shape>
                  <v:shape style="position:absolute;left:238;top:607;width:87;height:61" coordorigin="238,607" coordsize="87,61" path="m255,608l238,608,238,668,256,668,256,627,258,622,264,619,270,617,273,616,255,616,255,608xm320,616l289,616,293,616,297,617,302,620,304,622,305,624,306,627,306,668,324,668,324,623,323,621,322,619,320,616xm300,607l273,607,262,610,255,616,273,616,277,616,320,616,315,611,311,610,306,608,300,607xe" filled="true" fillcolor="#000000" stroked="false">
                    <v:path arrowok="t"/>
                    <v:fill type="solid"/>
                  </v:shape>
                  <v:shape style="position:absolute;left:403;top:607;width:88;height:63" coordorigin="403,607" coordsize="88,63" path="m421,648l403,650,404,656,410,661,417,664,424,668,434,669,457,669,464,668,470,666,478,665,483,663,485,661,441,661,434,660,429,658,425,655,421,653,421,648xm453,607l434,607,429,608,425,608,421,610,419,611,415,612,411,614,410,616,407,619,406,621,406,626,407,629,410,632,412,634,416,636,426,639,435,640,450,642,459,644,465,645,468,646,472,647,473,649,473,654,470,656,466,658,463,660,456,661,485,661,486,660,490,657,491,653,491,647,490,644,484,640,481,637,475,636,470,635,461,634,448,632,439,630,434,629,433,629,429,628,428,627,425,626,424,625,424,621,425,619,429,617,433,616,438,615,482,615,481,614,478,612,473,610,468,608,461,608,453,607xm482,615l453,615,459,616,463,618,466,619,469,621,470,625,487,624,486,619,484,616,482,615xe" filled="true" fillcolor="#000000" stroked="false">
                    <v:path arrowok="t"/>
                    <v:fill type="solid"/>
                  </v:shape>
                  <v:shape style="position:absolute;left:514;top:585;width:17;height:83" coordorigin="514,585" coordsize="17,83" path="m531,585l514,585,514,597,531,597,531,585xm531,608l514,608,514,668,531,668,531,608xe" filled="true" fillcolor="#000000" stroked="false">
                    <v:path arrowok="t"/>
                    <v:fill type="solid"/>
                  </v:shape>
                  <v:shape style="position:absolute;left:553;top:585;width:92;height:85" coordorigin="553,585" coordsize="92,85" path="m605,607l589,607,581,608,574,611,567,613,562,617,558,621,554,626,553,632,553,644,554,650,558,654,563,659,568,663,575,665,583,668,591,669,612,669,622,666,627,661,593,661,585,659,580,655,575,651,571,645,571,630,574,624,580,621,585,617,592,615,628,615,624,613,620,611,610,608,605,607xm645,660l628,660,628,668,645,668,645,660xm645,585l628,585,628,615,607,615,615,617,620,621,627,624,629,631,629,646,627,652,620,655,615,659,609,661,627,661,628,660,645,660,645,585xe" filled="true" fillcolor="#000000" stroked="false">
                    <v:path arrowok="t"/>
                    <v:fill type="solid"/>
                  </v:shape>
                  <v:shape style="position:absolute;left:668;top:607;width:100;height:63" coordorigin="668,607" coordsize="100,63" path="m733,607l704,607,694,609,685,613,673,619,668,626,668,648,672,655,681,661,691,666,703,669,727,669,735,668,743,666,751,663,755,661,708,661,702,659,695,655,689,651,686,645,686,630,689,624,695,621,702,617,708,615,753,615,744,609,733,607xm753,615l726,615,734,617,740,621,746,624,749,630,749,645,746,651,740,655,734,659,726,661,755,661,757,660,761,655,765,650,767,645,767,627,762,620,753,615xe" filled="true" fillcolor="#000000" stroked="false">
                    <v:path arrowok="t"/>
                    <v:fill type="solid"/>
                  </v:shape>
                  <v:shape style="position:absolute;left:840;top:585;width:640;height:106" type="#_x0000_t75" stroked="false">
                    <v:imagedata r:id="rId316" o:title=""/>
                  </v:shape>
                  <v:shape style="position:absolute;left:868;top:576;width:2048;height:254" type="#_x0000_t75" stroked="false">
                    <v:imagedata r:id="rId317" o:title=""/>
                  </v:shape>
                  <v:shape style="position:absolute;left:0;top:731;width:93;height:84" coordorigin="0,731" coordsize="93,84" path="m52,752l36,752,28,754,21,757,14,759,9,763,5,768,1,773,0,778,0,790,3,795,7,800,10,805,15,808,22,811,30,814,38,815,59,815,69,812,75,807,40,807,34,805,27,801,22,797,18,792,18,776,21,770,27,766,32,763,39,761,75,761,71,758,67,756,57,753,52,752xm93,806l76,806,76,813,93,813,93,806xm93,731l75,731,75,761,56,761,62,763,67,767,74,771,76,776,76,792,74,797,67,801,62,805,56,807,75,807,76,806,93,806,93,731xe" filled="true" fillcolor="#000000" stroked="false">
                    <v:path arrowok="t"/>
                    <v:fill type="solid"/>
                  </v:shape>
                  <v:shape style="position:absolute;left:115;top:752;width:99;height:63" coordorigin="115,752" coordsize="99,63" path="m180,752l151,752,138,755,129,761,120,766,115,774,115,794,120,802,129,807,138,813,151,815,178,815,189,813,196,810,204,807,158,807,150,805,145,802,138,798,134,793,134,787,213,787,213,778,136,778,136,773,139,768,150,763,158,761,201,761,200,760,191,755,180,752xm195,794l191,799,189,802,178,806,173,807,204,807,211,802,213,796,195,794xm201,761l174,761,182,763,187,767,191,769,194,773,195,778,213,778,213,774,209,766,201,761xe" filled="true" fillcolor="#000000" stroked="false">
                    <v:path arrowok="t"/>
                    <v:fill type="solid"/>
                  </v:shape>
                  <v:shape style="position:absolute;left:288;top:752;width:93;height:63" coordorigin="288,752" coordsize="93,63" path="m349,752l328,752,319,754,311,756,304,759,298,763,295,767,291,772,288,778,288,794,293,802,302,807,310,813,322,815,349,815,358,813,367,809,372,807,328,807,320,805,310,797,308,792,308,776,310,770,315,766,322,763,328,761,372,761,366,758,358,754,349,752xm363,792l362,797,359,800,354,803,350,805,344,807,372,807,375,805,380,800,381,793,363,792xm372,761l344,761,349,762,353,764,358,766,360,769,362,773,380,771,377,766,372,761xe" filled="true" fillcolor="#000000" stroked="false">
                    <v:path arrowok="t"/>
                    <v:fill type="solid"/>
                  </v:shape>
                  <v:shape style="position:absolute;left:390;top:752;width:101;height:63" coordorigin="390,752" coordsize="101,63" path="m455,752l428,752,416,755,407,759,397,765,390,773,390,794,395,802,404,807,413,813,425,815,450,815,459,814,466,811,474,809,478,807,432,807,424,805,419,801,412,797,410,792,410,776,412,771,419,767,424,763,432,761,478,761,477,760,468,755,455,752xm478,761l450,761,457,763,463,767,469,771,472,776,472,792,469,797,463,801,457,805,450,807,478,807,481,805,484,801,488,797,491,791,491,773,486,766,478,761xe" filled="true" fillcolor="#000000" stroked="false">
                    <v:path arrowok="t"/>
                    <v:fill type="solid"/>
                  </v:shape>
                  <v:shape style="position:absolute;left:513;top:752;width:87;height:61" coordorigin="513,752" coordsize="87,61" path="m528,754l513,754,513,813,530,813,530,773,534,768,544,763,528,763,528,754xm593,761l563,761,567,762,571,763,575,765,578,766,579,768,580,770,581,773,581,813,599,813,599,772,598,769,598,767,597,764,593,761xm568,752l548,752,536,756,528,763,544,763,550,761,593,761,589,758,585,756,575,753,568,752xe" filled="true" fillcolor="#000000" stroked="false">
                    <v:path arrowok="t"/>
                    <v:fill type="solid"/>
                  </v:shape>
                  <v:shape style="position:absolute;left:618;top:733;width:52;height:82" coordorigin="618,733" coordsize="52,82" path="m649,762l630,762,630,802,632,806,633,808,634,810,637,812,641,813,643,814,649,815,660,815,664,814,669,813,667,805,656,805,654,805,653,805,651,804,650,803,650,802,649,802,649,762xm667,805l663,805,660,805,667,805,667,805xm667,754l618,754,618,762,667,762,667,754xm649,733l630,739,630,754,649,754,649,733xe" filled="true" fillcolor="#000000" stroked="false">
                    <v:path arrowok="t"/>
                    <v:fill type="solid"/>
                  </v:shape>
                  <v:shape style="position:absolute;left:685;top:752;width:59;height:61" coordorigin="685,752" coordsize="59,61" path="m700,754l685,754,685,813,703,813,703,778,704,774,705,771,707,768,709,766,712,765,716,764,718,763,700,763,700,754xm730,752l720,752,716,753,712,755,709,756,705,759,700,763,727,763,731,764,736,766,743,756,736,754,730,752xe" filled="true" fillcolor="#000000" stroked="false">
                    <v:path arrowok="t"/>
                    <v:fill type="solid"/>
                  </v:shape>
                  <v:shape style="position:absolute;left:747;top:752;width:100;height:63" coordorigin="747,752" coordsize="100,63" path="m811,752l783,752,773,755,764,759,752,765,747,773,747,794,752,802,761,807,770,813,782,815,806,815,815,814,823,811,831,809,834,807,788,807,780,805,774,801,769,797,765,792,765,776,769,771,774,767,780,763,788,761,833,761,823,755,811,752xm833,761l806,761,813,763,819,767,826,771,828,776,828,792,826,797,819,801,813,805,806,807,834,807,836,805,840,801,845,797,846,792,846,773,842,766,833,761xe" filled="true" fillcolor="#000000" stroked="false">
                    <v:path arrowok="t"/>
                    <v:fill type="solid"/>
                  </v:shape>
                  <v:shape style="position:absolute;left:2225;top:731;width:643;height:106" type="#_x0000_t75" stroked="false">
                    <v:imagedata r:id="rId318" o:title=""/>
                  </v:shape>
                  <v:shape style="position:absolute;left:3;top:899;width:99;height:63" coordorigin="3,899" coordsize="99,63" path="m67,899l38,899,26,902,17,907,8,913,3,921,3,940,8,947,17,953,26,958,38,961,66,961,76,960,92,952,45,952,38,951,31,947,26,944,22,939,22,932,101,932,101,924,22,924,23,919,26,915,32,912,38,908,44,907,88,907,79,902,67,899xm81,941l79,944,75,948,71,949,66,952,61,952,92,952,97,948,101,942,81,941xm88,907l62,907,70,909,75,913,79,915,81,919,81,924,101,924,101,920,97,913,88,907xe" filled="true" fillcolor="#000000" stroked="false">
                    <v:path arrowok="t"/>
                    <v:fill type="solid"/>
                  </v:shape>
                  <v:shape style="position:absolute;left:124;top:899;width:87;height:61" coordorigin="124,899" coordsize="87,61" path="m139,900l124,900,124,960,142,960,142,920,145,914,150,912,156,909,160,908,139,908,139,900xm207,907l174,907,180,908,182,909,186,910,189,912,190,914,191,916,193,919,193,960,211,960,211,918,209,915,209,913,207,907xm181,899l159,899,147,902,139,908,160,908,163,907,207,907,204,905,201,904,196,902,191,900,181,899xe" filled="true" fillcolor="#000000" stroked="false">
                    <v:path arrowok="t"/>
                    <v:fill type="solid"/>
                  </v:shape>
                  <v:shape style="position:absolute;left:291;top:899;width:99;height:63" coordorigin="291,899" coordsize="99,63" path="m354,899l326,899,313,902,304,907,295,913,291,921,291,940,295,947,304,953,313,958,326,961,353,961,363,960,371,956,380,952,332,952,324,951,319,947,313,944,309,939,309,932,388,932,388,931,389,931,389,924,310,924,310,919,314,915,319,912,324,908,332,907,375,907,366,902,354,899xm370,941l366,944,363,948,358,949,353,952,348,952,380,952,385,948,388,942,370,941xm375,907l349,907,357,909,362,913,366,915,368,919,370,924,389,924,389,920,384,913,375,907xe" filled="true" fillcolor="#000000" stroked="false">
                    <v:path arrowok="t"/>
                    <v:fill type="solid"/>
                  </v:shape>
                  <v:line style="position:absolute" from="420,877" to="420,960" stroked="true" strokeweight=".904117pt" strokecolor="#000000"/>
                  <v:shape style="position:absolute;left:514;top:877;width:87;height:84" coordorigin="514,877" coordsize="87,84" path="m532,900l514,900,514,944,515,947,517,949,518,952,523,956,527,957,532,959,539,960,544,961,565,961,576,957,582,952,549,952,544,952,540,950,536,949,535,947,534,944,532,942,532,900xm601,951l584,951,584,960,601,960,601,951xm601,900l583,900,583,937,581,941,579,944,578,947,574,949,570,950,565,952,560,952,582,952,584,951,601,951,601,900xm584,877l560,877,546,892,561,892,584,877xe" filled="true" fillcolor="#000000" stroked="false">
                    <v:path arrowok="t"/>
                    <v:fill type="solid"/>
                  </v:shape>
                  <v:shape style="position:absolute;left:629;top:868;width:415;height:101" type="#_x0000_t75" stroked="false">
                    <v:imagedata r:id="rId319" o:title=""/>
                  </v:shape>
                  <v:shape style="position:absolute;left:1117;top:877;width:795;height:107" type="#_x0000_t75" stroked="false">
                    <v:imagedata r:id="rId320" o:title=""/>
                  </v:shape>
                </v:group>
              </w:pict>
            </w:r>
            <w:r>
              <w:rPr>
                <w:rFonts w:ascii="Times New Roman"/>
                <w:sz w:val="20"/>
              </w:rPr>
            </w:r>
          </w:p>
        </w:tc>
      </w:tr>
    </w:tbl>
    <w:p>
      <w:pPr>
        <w:spacing w:after="0"/>
        <w:rPr>
          <w:rFonts w:ascii="Times New Roman"/>
          <w:sz w:val="20"/>
        </w:rPr>
        <w:sectPr>
          <w:footerReference w:type="default" r:id="rId204"/>
          <w:pgSz w:w="15840" w:h="12240" w:orient="landscape"/>
          <w:pgMar w:footer="992" w:header="0" w:top="1140" w:bottom="1180" w:left="2260" w:right="2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5"/>
        </w:rPr>
      </w:pPr>
    </w:p>
    <w:p>
      <w:pPr>
        <w:spacing w:line="266" w:lineRule="auto" w:before="73"/>
        <w:ind w:left="3510" w:right="3566" w:hanging="428"/>
        <w:jc w:val="left"/>
        <w:rPr>
          <w:b/>
          <w:sz w:val="23"/>
        </w:rPr>
      </w:pPr>
      <w:r>
        <w:rPr/>
        <w:drawing>
          <wp:anchor distT="0" distB="0" distL="0" distR="0" allowOverlap="1" layoutInCell="1" locked="0" behindDoc="0" simplePos="0" relativeHeight="10960">
            <wp:simplePos x="0" y="0"/>
            <wp:positionH relativeFrom="page">
              <wp:posOffset>2729483</wp:posOffset>
            </wp:positionH>
            <wp:positionV relativeFrom="paragraph">
              <wp:posOffset>-708950</wp:posOffset>
            </wp:positionV>
            <wp:extent cx="4457699" cy="402336"/>
            <wp:effectExtent l="0" t="0" r="0" b="0"/>
            <wp:wrapNone/>
            <wp:docPr id="97" name="image262.png" descr=""/>
            <wp:cNvGraphicFramePr>
              <a:graphicFrameLocks noChangeAspect="1"/>
            </wp:cNvGraphicFramePr>
            <a:graphic>
              <a:graphicData uri="http://schemas.openxmlformats.org/drawingml/2006/picture">
                <pic:pic>
                  <pic:nvPicPr>
                    <pic:cNvPr id="98" name="image262.png"/>
                    <pic:cNvPicPr/>
                  </pic:nvPicPr>
                  <pic:blipFill>
                    <a:blip r:embed="rId322" cstate="print"/>
                    <a:stretch>
                      <a:fillRect/>
                    </a:stretch>
                  </pic:blipFill>
                  <pic:spPr>
                    <a:xfrm>
                      <a:off x="0" y="0"/>
                      <a:ext cx="4457699" cy="402336"/>
                    </a:xfrm>
                    <a:prstGeom prst="rect">
                      <a:avLst/>
                    </a:prstGeom>
                  </pic:spPr>
                </pic:pic>
              </a:graphicData>
            </a:graphic>
          </wp:anchor>
        </w:drawing>
      </w:r>
      <w:r>
        <w:rPr/>
        <w:pict>
          <v:shape style="position:absolute;margin-left:294.463989pt;margin-top:4.963331pt;width:26.75pt;height:12pt;mso-position-horizontal-relative:page;mso-position-vertical-relative:paragraph;z-index:-672256" type="#_x0000_t202" filled="false" stroked="false">
            <v:textbox inset="0,0,0,0">
              <w:txbxContent>
                <w:p>
                  <w:pPr>
                    <w:pStyle w:val="BodyText"/>
                    <w:spacing w:line="240" w:lineRule="exact"/>
                    <w:ind w:right="-19"/>
                  </w:pPr>
                  <w:r>
                    <w:rPr/>
                    <w:t>o 77.</w:t>
                  </w:r>
                </w:p>
              </w:txbxContent>
            </v:textbox>
            <w10:wrap type="none"/>
          </v:shape>
        </w:pict>
      </w:r>
      <w:r>
        <w:rPr/>
        <w:pict>
          <v:shape style="position:absolute;margin-left:250.484329pt;margin-top:-35.122166pt;width:65.650pt;height:10pt;mso-position-horizontal-relative:page;mso-position-vertical-relative:paragraph;z-index:11008;rotation:181" type="#_x0000_t136" fillcolor="#000000" stroked="f">
            <o:extrusion v:ext="view" autorotationcenter="t"/>
            <v:textpath style="font-family:&amp;quot;Arial&amp;quot;;font-size:10pt;v-text-kern:t;mso-text-shadow:auto" string="de Resultados"/>
            <w10:wrap type="none"/>
          </v:shape>
        </w:pict>
      </w:r>
      <w:r>
        <w:rPr/>
        <w:pict>
          <v:shape style="position:absolute;margin-left:222.493515pt;margin-top:-35.122173pt;width:23.6pt;height:10pt;mso-position-horizontal-relative:page;mso-position-vertical-relative:paragraph;z-index:11032;rotation:181" type="#_x0000_t136" fillcolor="#000000" stroked="f">
            <o:extrusion v:ext="view" autorotationcenter="t"/>
            <v:textpath style="font-family:&amp;quot;Arial&amp;quot;;font-size:10pt;v-text-kern:t;mso-text-shadow:auto" string="de la"/>
            <w10:wrap type="none"/>
          </v:shape>
        </w:pict>
      </w:r>
      <w:r>
        <w:rPr/>
        <w:pict>
          <v:shape style="position:absolute;margin-left:320.332367pt;margin-top:-35.122162pt;width:46.6pt;height:10pt;mso-position-horizontal-relative:page;mso-position-vertical-relative:paragraph;z-index:11056;rotation:181" type="#_x0000_t136" fillcolor="#000000" stroked="f">
            <o:extrusion v:ext="view" autorotationcenter="t"/>
            <v:textpath style="font-family:&amp;quot;Arial&amp;quot;;font-size:10pt;v-text-kern:t;mso-text-shadow:auto" string="el Informe"/>
            <w10:wrap type="none"/>
          </v:shape>
        </w:pict>
      </w:r>
      <w:r>
        <w:rPr/>
        <w:pict>
          <v:shape style="position:absolute;margin-left:371.258698pt;margin-top:-35.122158pt;width:58pt;height:10pt;mso-position-horizontal-relative:page;mso-position-vertical-relative:paragraph;z-index:11080;rotation:181" type="#_x0000_t136" fillcolor="#000000" stroked="f">
            <o:extrusion v:ext="view" autorotationcenter="t"/>
            <v:textpath style="font-family:&amp;quot;Arial&amp;quot;;font-size:10pt;v-text-kern:t;mso-text-shadow:auto" string="con base en"/>
            <w10:wrap type="none"/>
          </v:shape>
        </w:pict>
      </w:r>
      <w:r>
        <w:rPr/>
        <w:pict>
          <v:shape style="position:absolute;margin-left:433.615997pt;margin-top:-35.122154pt;width:28.05pt;height:10pt;mso-position-horizontal-relative:page;mso-position-vertical-relative:paragraph;z-index:11104;rotation:181" type="#_x0000_t136" fillcolor="#000000" stroked="f">
            <o:extrusion v:ext="view" autorotationcenter="t"/>
            <v:textpath style="font-family:&amp;quot;Arial&amp;quot;;font-size:10pt;v-text-kern:t;mso-text-shadow:auto" string="propia"/>
            <w10:wrap type="none"/>
          </v:shape>
        </w:pict>
      </w:r>
      <w:r>
        <w:rPr/>
        <w:pict>
          <v:shape style="position:absolute;margin-left:465.967957pt;margin-top:-35.122147pt;width:52.85pt;height:10pt;mso-position-horizontal-relative:page;mso-position-vertical-relative:paragraph;z-index:11128;rotation:181" type="#_x0000_t136" fillcolor="#000000" stroked="f">
            <o:extrusion v:ext="view" autorotationcenter="t"/>
            <v:textpath style="font-family:&amp;quot;Arial&amp;quot;;font-size:10pt;v-text-kern:t;mso-text-shadow:auto" string="Elaboración"/>
            <w10:wrap type="none"/>
          </v:shape>
        </w:pict>
      </w:r>
      <w:r>
        <w:rPr/>
        <w:pict>
          <v:shape style="position:absolute;margin-left:523.17688pt;margin-top:-35.122147pt;width:35.7pt;height:10pt;mso-position-horizontal-relative:page;mso-position-vertical-relative:paragraph;z-index:11152;rotation:181" type="#_x0000_t136" fillcolor="#000000" stroked="f">
            <o:extrusion v:ext="view" autorotationcenter="t"/>
            <v:textpath style="font-family:&amp;quot;Arial&amp;quot;;font-size:10pt;v-text-kern:t;mso-text-shadow:auto;font-weight:bold" string="Fuente:"/>
            <w10:wrap type="none"/>
          </v:shape>
        </w:pict>
      </w:r>
      <w:r>
        <w:rPr/>
        <w:pict>
          <v:shape style="position:absolute;margin-left:300.813843pt;margin-top:-46.762146pt;width:258.05pt;height:10pt;mso-position-horizontal-relative:page;mso-position-vertical-relative:paragraph;z-index:11176;rotation:181" type="#_x0000_t136" fillcolor="#000000" stroked="f">
            <o:extrusion v:ext="view" autorotationcenter="t"/>
            <v:textpath style="font-family:&amp;quot;Arial&amp;quot;;font-size:10pt;v-text-kern:t;mso-text-shadow:auto" string="Fiscalización Superior de las cuentas públicas 2008-2014."/>
            <w10:wrap type="none"/>
          </v:shape>
        </w:pict>
      </w:r>
      <w:r>
        <w:rPr>
          <w:w w:val="95"/>
          <w:position w:val="13"/>
          <w:sz w:val="24"/>
        </w:rPr>
        <w:t>Anex </w:t>
      </w:r>
      <w:r>
        <w:rPr>
          <w:b/>
          <w:w w:val="95"/>
          <w:sz w:val="23"/>
        </w:rPr>
        <w:t>Calidad de la Gestión Gubernamental </w:t>
      </w:r>
      <w:r>
        <w:rPr>
          <w:b/>
          <w:w w:val="90"/>
          <w:sz w:val="23"/>
        </w:rPr>
        <w:t>Controles Internos (Manejo y Aplicación)</w:t>
      </w:r>
    </w:p>
    <w:p>
      <w:pPr>
        <w:spacing w:before="1" w:after="13"/>
        <w:ind w:left="3512" w:right="3739" w:firstLine="0"/>
        <w:jc w:val="center"/>
        <w:rPr>
          <w:b/>
          <w:sz w:val="23"/>
        </w:rPr>
      </w:pPr>
      <w:r>
        <w:rPr>
          <w:b/>
          <w:w w:val="95"/>
          <w:sz w:val="23"/>
        </w:rPr>
        <w:t>Toluca Ejercicio Fiscal 2013</w:t>
      </w:r>
    </w:p>
    <w:p>
      <w:pPr>
        <w:pStyle w:val="BodyText"/>
        <w:spacing w:line="20" w:lineRule="exact"/>
        <w:ind w:left="2138"/>
        <w:rPr>
          <w:sz w:val="2"/>
        </w:rPr>
      </w:pPr>
      <w:r>
        <w:rPr>
          <w:sz w:val="2"/>
        </w:rPr>
        <w:pict>
          <v:group style="width:340.1pt;height:.9pt;mso-position-horizontal-relative:char;mso-position-vertical-relative:line" coordorigin="0,0" coordsize="6802,18">
            <v:shape style="position:absolute;left:9;top:9;width:6784;height:2" coordorigin="9,9" coordsize="6784,0" path="m9,9l9,9,6793,9e" filled="false" stroked="true" strokeweight=".870118pt" strokecolor="#000000">
              <v:path arrowok="t"/>
            </v:shape>
          </v:group>
        </w:pict>
      </w:r>
      <w:r>
        <w:rPr>
          <w:sz w:val="2"/>
        </w:rPr>
      </w:r>
    </w:p>
    <w:p>
      <w:pPr>
        <w:pStyle w:val="BodyText"/>
        <w:rPr>
          <w:b/>
          <w:sz w:val="20"/>
        </w:rPr>
      </w:pPr>
    </w:p>
    <w:p>
      <w:pPr>
        <w:pStyle w:val="BodyText"/>
        <w:spacing w:before="6"/>
        <w:rPr>
          <w:b/>
          <w:sz w:val="29"/>
        </w:rPr>
      </w:pPr>
    </w:p>
    <w:tbl>
      <w:tblPr>
        <w:tblW w:w="0" w:type="auto"/>
        <w:jc w:val="left"/>
        <w:tblInd w:w="2139"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3652"/>
        <w:gridCol w:w="3128"/>
      </w:tblGrid>
      <w:tr>
        <w:trPr>
          <w:trHeight w:val="294" w:hRule="exact"/>
        </w:trPr>
        <w:tc>
          <w:tcPr>
            <w:tcW w:w="6780" w:type="dxa"/>
            <w:gridSpan w:val="2"/>
            <w:tcBorders>
              <w:left w:val="single" w:sz="6" w:space="0" w:color="000000"/>
              <w:right w:val="single" w:sz="6" w:space="0" w:color="000000"/>
            </w:tcBorders>
            <w:shd w:val="clear" w:color="auto" w:fill="E6B8B7"/>
          </w:tcPr>
          <w:p>
            <w:pPr>
              <w:pStyle w:val="TableParagraph"/>
              <w:spacing w:before="1"/>
              <w:ind w:left="3097" w:right="3078"/>
              <w:jc w:val="center"/>
              <w:rPr>
                <w:b/>
                <w:sz w:val="23"/>
              </w:rPr>
            </w:pPr>
            <w:r>
              <w:rPr>
                <w:b/>
                <w:sz w:val="23"/>
              </w:rPr>
              <w:t>FISM</w:t>
            </w:r>
          </w:p>
        </w:tc>
      </w:tr>
      <w:tr>
        <w:trPr>
          <w:trHeight w:val="295" w:hRule="exact"/>
        </w:trPr>
        <w:tc>
          <w:tcPr>
            <w:tcW w:w="3652" w:type="dxa"/>
            <w:tcBorders>
              <w:left w:val="single" w:sz="6" w:space="0" w:color="000000"/>
              <w:right w:val="single" w:sz="6" w:space="0" w:color="000000"/>
            </w:tcBorders>
            <w:shd w:val="clear" w:color="auto" w:fill="F1DCDB"/>
          </w:tcPr>
          <w:p>
            <w:pPr>
              <w:pStyle w:val="TableParagraph"/>
              <w:spacing w:before="2"/>
              <w:ind w:left="1210" w:right="1247"/>
              <w:jc w:val="center"/>
              <w:rPr>
                <w:b/>
                <w:sz w:val="23"/>
              </w:rPr>
            </w:pPr>
            <w:r>
              <w:rPr>
                <w:b/>
                <w:sz w:val="23"/>
              </w:rPr>
              <w:t>Fortalezas</w:t>
            </w:r>
          </w:p>
        </w:tc>
        <w:tc>
          <w:tcPr>
            <w:tcW w:w="3128" w:type="dxa"/>
            <w:tcBorders>
              <w:left w:val="single" w:sz="6" w:space="0" w:color="000000"/>
              <w:right w:val="single" w:sz="6" w:space="0" w:color="000000"/>
            </w:tcBorders>
            <w:shd w:val="clear" w:color="auto" w:fill="F1DCDB"/>
          </w:tcPr>
          <w:p>
            <w:pPr>
              <w:pStyle w:val="TableParagraph"/>
              <w:spacing w:before="2"/>
              <w:ind w:left="973"/>
              <w:rPr>
                <w:b/>
                <w:sz w:val="23"/>
              </w:rPr>
            </w:pPr>
            <w:r>
              <w:rPr>
                <w:b/>
                <w:sz w:val="23"/>
              </w:rPr>
              <w:t>Debilidades</w:t>
            </w:r>
          </w:p>
        </w:tc>
      </w:tr>
      <w:tr>
        <w:trPr>
          <w:trHeight w:val="295" w:hRule="exact"/>
        </w:trPr>
        <w:tc>
          <w:tcPr>
            <w:tcW w:w="3652" w:type="dxa"/>
            <w:tcBorders>
              <w:left w:val="single" w:sz="6" w:space="0" w:color="000000"/>
              <w:right w:val="single" w:sz="6" w:space="0" w:color="000000"/>
            </w:tcBorders>
          </w:tcPr>
          <w:p>
            <w:pPr/>
          </w:p>
        </w:tc>
        <w:tc>
          <w:tcPr>
            <w:tcW w:w="3128" w:type="dxa"/>
            <w:tcBorders>
              <w:left w:val="single" w:sz="6" w:space="0" w:color="000000"/>
              <w:right w:val="single" w:sz="6" w:space="0" w:color="000000"/>
            </w:tcBorders>
          </w:tcPr>
          <w:p>
            <w:pPr/>
          </w:p>
        </w:tc>
      </w:tr>
      <w:tr>
        <w:trPr>
          <w:trHeight w:val="3242" w:hRule="exact"/>
        </w:trPr>
        <w:tc>
          <w:tcPr>
            <w:tcW w:w="3652" w:type="dxa"/>
            <w:tcBorders>
              <w:left w:val="single" w:sz="6" w:space="0" w:color="000000"/>
              <w:right w:val="single" w:sz="6" w:space="0" w:color="000000"/>
            </w:tcBorders>
          </w:tcPr>
          <w:p>
            <w:pPr>
              <w:pStyle w:val="TableParagraph"/>
              <w:spacing w:line="266" w:lineRule="auto" w:before="1"/>
              <w:ind w:left="28" w:right="21" w:firstLine="1"/>
              <w:rPr>
                <w:sz w:val="23"/>
              </w:rPr>
            </w:pPr>
            <w:r>
              <w:rPr>
                <w:sz w:val="23"/>
              </w:rPr>
              <w:t>Este resultado se presenta sin observaciones debido a que el resultado de la aplicación del </w:t>
            </w:r>
            <w:r>
              <w:rPr>
                <w:w w:val="95"/>
                <w:sz w:val="23"/>
              </w:rPr>
              <w:t>procedimiento referente a evaluar el </w:t>
            </w:r>
            <w:r>
              <w:rPr>
                <w:sz w:val="23"/>
              </w:rPr>
              <w:t>control interno en el municipio de </w:t>
            </w:r>
            <w:r>
              <w:rPr>
                <w:spacing w:val="-4"/>
                <w:sz w:val="23"/>
              </w:rPr>
              <w:t>Toluca, </w:t>
            </w:r>
            <w:r>
              <w:rPr>
                <w:sz w:val="23"/>
              </w:rPr>
              <w:t>Estado de México, se presenta en el informe de auditoría </w:t>
            </w:r>
            <w:r>
              <w:rPr>
                <w:w w:val="95"/>
                <w:sz w:val="23"/>
              </w:rPr>
              <w:t>núm.</w:t>
            </w:r>
            <w:r>
              <w:rPr>
                <w:spacing w:val="-32"/>
                <w:w w:val="95"/>
                <w:sz w:val="23"/>
              </w:rPr>
              <w:t> </w:t>
            </w:r>
            <w:r>
              <w:rPr>
                <w:w w:val="95"/>
                <w:sz w:val="23"/>
              </w:rPr>
              <w:t>556</w:t>
            </w:r>
            <w:r>
              <w:rPr>
                <w:spacing w:val="-32"/>
                <w:w w:val="95"/>
                <w:sz w:val="23"/>
              </w:rPr>
              <w:t> </w:t>
            </w:r>
            <w:r>
              <w:rPr>
                <w:w w:val="95"/>
                <w:sz w:val="23"/>
              </w:rPr>
              <w:t>que</w:t>
            </w:r>
            <w:r>
              <w:rPr>
                <w:spacing w:val="-31"/>
                <w:w w:val="95"/>
                <w:sz w:val="23"/>
              </w:rPr>
              <w:t> </w:t>
            </w:r>
            <w:r>
              <w:rPr>
                <w:w w:val="95"/>
                <w:sz w:val="23"/>
              </w:rPr>
              <w:t>practicó</w:t>
            </w:r>
            <w:r>
              <w:rPr>
                <w:spacing w:val="-31"/>
                <w:w w:val="95"/>
                <w:sz w:val="23"/>
              </w:rPr>
              <w:t> </w:t>
            </w:r>
            <w:r>
              <w:rPr>
                <w:w w:val="95"/>
                <w:sz w:val="23"/>
              </w:rPr>
              <w:t>directamente</w:t>
            </w:r>
            <w:r>
              <w:rPr>
                <w:spacing w:val="-32"/>
                <w:w w:val="95"/>
                <w:sz w:val="23"/>
              </w:rPr>
              <w:t> </w:t>
            </w:r>
            <w:r>
              <w:rPr>
                <w:w w:val="95"/>
                <w:sz w:val="23"/>
              </w:rPr>
              <w:t>la Auditoría</w:t>
            </w:r>
            <w:r>
              <w:rPr>
                <w:spacing w:val="-40"/>
                <w:w w:val="95"/>
                <w:sz w:val="23"/>
              </w:rPr>
              <w:t> </w:t>
            </w:r>
            <w:r>
              <w:rPr>
                <w:w w:val="95"/>
                <w:sz w:val="23"/>
              </w:rPr>
              <w:t>Superior</w:t>
            </w:r>
            <w:r>
              <w:rPr>
                <w:spacing w:val="-39"/>
                <w:w w:val="95"/>
                <w:sz w:val="23"/>
              </w:rPr>
              <w:t> </w:t>
            </w:r>
            <w:r>
              <w:rPr>
                <w:w w:val="95"/>
                <w:sz w:val="23"/>
              </w:rPr>
              <w:t>de</w:t>
            </w:r>
            <w:r>
              <w:rPr>
                <w:spacing w:val="-40"/>
                <w:w w:val="95"/>
                <w:sz w:val="23"/>
              </w:rPr>
              <w:t> </w:t>
            </w:r>
            <w:r>
              <w:rPr>
                <w:w w:val="95"/>
                <w:sz w:val="23"/>
              </w:rPr>
              <w:t>la</w:t>
            </w:r>
            <w:r>
              <w:rPr>
                <w:spacing w:val="-40"/>
                <w:w w:val="95"/>
                <w:sz w:val="23"/>
              </w:rPr>
              <w:t> </w:t>
            </w:r>
            <w:r>
              <w:rPr>
                <w:w w:val="95"/>
                <w:sz w:val="23"/>
              </w:rPr>
              <w:t>Federación.</w:t>
            </w:r>
          </w:p>
        </w:tc>
        <w:tc>
          <w:tcPr>
            <w:tcW w:w="3128" w:type="dxa"/>
            <w:tcBorders>
              <w:left w:val="single" w:sz="6" w:space="0" w:color="000000"/>
              <w:right w:val="single" w:sz="6" w:space="0" w:color="000000"/>
            </w:tcBorders>
          </w:tcPr>
          <w:p>
            <w:pPr/>
          </w:p>
        </w:tc>
      </w:tr>
    </w:tbl>
    <w:p>
      <w:pPr>
        <w:pStyle w:val="BodyText"/>
        <w:rPr>
          <w:b/>
          <w:sz w:val="20"/>
        </w:rPr>
      </w:pPr>
    </w:p>
    <w:p>
      <w:pPr>
        <w:pStyle w:val="BodyText"/>
        <w:rPr>
          <w:b/>
          <w:sz w:val="20"/>
        </w:rPr>
      </w:pPr>
    </w:p>
    <w:p>
      <w:pPr>
        <w:pStyle w:val="BodyText"/>
        <w:spacing w:before="5"/>
        <w:rPr>
          <w:b/>
          <w:sz w:val="15"/>
        </w:rPr>
      </w:pPr>
      <w:r>
        <w:rPr/>
        <w:pict>
          <v:group style="position:absolute;margin-left:214.919998pt;margin-top:10.870889pt;width:351pt;height:31.8pt;mso-position-horizontal-relative:page;mso-position-vertical-relative:paragraph;z-index:10936;mso-wrap-distance-left:0;mso-wrap-distance-right:0" coordorigin="4298,217" coordsize="7020,636">
            <v:shape style="position:absolute;left:4298;top:217;width:7020;height:636" type="#_x0000_t75" stroked="false">
              <v:imagedata r:id="rId323" o:title=""/>
            </v:shape>
            <v:shape style="position:absolute;left:4298;top:217;width:7020;height:636" type="#_x0000_t202" filled="false" stroked="false">
              <v:textbox inset="0,0,0,0">
                <w:txbxContent>
                  <w:p>
                    <w:pPr>
                      <w:spacing w:line="244" w:lineRule="auto" w:before="0"/>
                      <w:ind w:left="144" w:right="0" w:firstLine="0"/>
                      <w:jc w:val="left"/>
                      <w:rPr>
                        <w:sz w:val="20"/>
                      </w:rPr>
                    </w:pPr>
                    <w:r>
                      <w:rPr>
                        <w:b/>
                        <w:sz w:val="20"/>
                      </w:rPr>
                      <w:t>Fuente: </w:t>
                    </w:r>
                    <w:r>
                      <w:rPr>
                        <w:sz w:val="20"/>
                      </w:rPr>
                      <w:t>Elaboración propia con base en el Informe de Resultados de la Fiscalización Superior de las cuentas públicas 2008-2014.</w:t>
                    </w:r>
                  </w:p>
                </w:txbxContent>
              </v:textbox>
              <w10:wrap type="none"/>
            </v:shape>
            <w10:wrap type="topAndBottom"/>
          </v:group>
        </w:pict>
      </w:r>
    </w:p>
    <w:p>
      <w:pPr>
        <w:spacing w:after="0"/>
        <w:rPr>
          <w:sz w:val="15"/>
        </w:rPr>
        <w:sectPr>
          <w:footerReference w:type="default" r:id="rId321"/>
          <w:pgSz w:w="15840" w:h="12240" w:orient="landscape"/>
          <w:pgMar w:footer="992" w:header="0" w:top="1140" w:bottom="1180" w:left="2260" w:right="2260"/>
          <w:pgNumType w:start="281"/>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pgSz w:w="15840" w:h="12240" w:orient="landscape"/>
          <w:pgMar w:header="0" w:footer="992" w:top="1140" w:bottom="1180" w:left="2260" w:right="2260"/>
        </w:sectPr>
      </w:pPr>
    </w:p>
    <w:p>
      <w:pPr>
        <w:pStyle w:val="BodyText"/>
        <w:rPr>
          <w:b/>
        </w:rPr>
      </w:pPr>
    </w:p>
    <w:p>
      <w:pPr>
        <w:pStyle w:val="BodyText"/>
        <w:spacing w:before="11"/>
        <w:rPr>
          <w:b/>
          <w:sz w:val="31"/>
        </w:rPr>
      </w:pPr>
    </w:p>
    <w:p>
      <w:pPr>
        <w:pStyle w:val="BodyText"/>
        <w:jc w:val="right"/>
      </w:pPr>
      <w:r>
        <w:rPr/>
        <w:pict>
          <v:shape style="position:absolute;margin-left:247.060532pt;margin-top:2.047305pt;width:301.95pt;height:.1pt;mso-position-horizontal-relative:page;mso-position-vertical-relative:paragraph;z-index:-672040" coordorigin="4941,41" coordsize="6039,0" path="m4941,41l4941,41,10980,41e" filled="false" stroked="true" strokeweight=".418367pt" strokecolor="#000000">
            <v:path arrowok="t"/>
            <w10:wrap type="none"/>
          </v:shape>
        </w:pict>
      </w:r>
      <w:r>
        <w:rPr/>
        <w:t>Anexo 78.</w:t>
      </w:r>
    </w:p>
    <w:p>
      <w:pPr>
        <w:pStyle w:val="BodyText"/>
        <w:rPr>
          <w:sz w:val="10"/>
        </w:rPr>
      </w:pPr>
      <w:r>
        <w:rPr/>
        <w:br w:type="column"/>
      </w:r>
      <w:r>
        <w:rPr>
          <w:sz w:val="10"/>
        </w:rPr>
      </w:r>
    </w:p>
    <w:p>
      <w:pPr>
        <w:pStyle w:val="BodyText"/>
        <w:rPr>
          <w:sz w:val="13"/>
        </w:rPr>
      </w:pPr>
    </w:p>
    <w:p>
      <w:pPr>
        <w:spacing w:line="268" w:lineRule="auto" w:before="0"/>
        <w:ind w:left="51" w:right="3800" w:firstLine="2"/>
        <w:jc w:val="center"/>
        <w:rPr>
          <w:b/>
          <w:sz w:val="11"/>
        </w:rPr>
      </w:pPr>
      <w:r>
        <w:rPr>
          <w:b/>
          <w:w w:val="170"/>
          <w:sz w:val="11"/>
        </w:rPr>
        <w:t>Calidad de la Gestión Gubernamental Controles Internos (Manejo y</w:t>
      </w:r>
      <w:r>
        <w:rPr>
          <w:b/>
          <w:spacing w:val="-28"/>
          <w:w w:val="170"/>
          <w:sz w:val="11"/>
        </w:rPr>
        <w:t> </w:t>
      </w:r>
      <w:r>
        <w:rPr>
          <w:b/>
          <w:w w:val="170"/>
          <w:sz w:val="11"/>
        </w:rPr>
        <w:t>Aplicación) Tultitlán Ejercicio Fiscal</w:t>
      </w:r>
      <w:r>
        <w:rPr>
          <w:b/>
          <w:spacing w:val="-30"/>
          <w:w w:val="170"/>
          <w:sz w:val="11"/>
        </w:rPr>
        <w:t> </w:t>
      </w:r>
      <w:r>
        <w:rPr>
          <w:b/>
          <w:w w:val="170"/>
          <w:sz w:val="11"/>
        </w:rPr>
        <w:t>2013</w:t>
      </w:r>
    </w:p>
    <w:p>
      <w:pPr>
        <w:spacing w:after="0" w:line="268" w:lineRule="auto"/>
        <w:jc w:val="center"/>
        <w:rPr>
          <w:sz w:val="11"/>
        </w:rPr>
        <w:sectPr>
          <w:type w:val="continuous"/>
          <w:pgSz w:w="15840" w:h="12240" w:orient="landscape"/>
          <w:pgMar w:top="0" w:bottom="280" w:left="2260" w:right="2260"/>
          <w:cols w:num="2" w:equalWidth="0">
            <w:col w:w="3804" w:space="40"/>
            <w:col w:w="7476"/>
          </w:cols>
        </w:sectPr>
      </w:pPr>
    </w:p>
    <w:p>
      <w:pPr>
        <w:pStyle w:val="BodyText"/>
        <w:spacing w:before="9"/>
        <w:rPr>
          <w:b/>
          <w:sz w:val="3"/>
        </w:rPr>
      </w:pPr>
    </w:p>
    <w:tbl>
      <w:tblPr>
        <w:tblW w:w="0" w:type="auto"/>
        <w:jc w:val="left"/>
        <w:tblInd w:w="267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251"/>
        <w:gridCol w:w="2784"/>
      </w:tblGrid>
      <w:tr>
        <w:trPr>
          <w:trHeight w:val="141" w:hRule="exact"/>
        </w:trPr>
        <w:tc>
          <w:tcPr>
            <w:tcW w:w="3251" w:type="dxa"/>
            <w:tcBorders>
              <w:left w:val="single" w:sz="6" w:space="0" w:color="000000"/>
              <w:right w:val="nil"/>
            </w:tcBorders>
            <w:shd w:val="clear" w:color="auto" w:fill="E6B8B7"/>
          </w:tcPr>
          <w:p>
            <w:pPr>
              <w:pStyle w:val="TableParagraph"/>
              <w:spacing w:before="1"/>
              <w:jc w:val="right"/>
              <w:rPr>
                <w:b/>
                <w:sz w:val="11"/>
              </w:rPr>
            </w:pPr>
            <w:r>
              <w:rPr>
                <w:b/>
                <w:w w:val="170"/>
                <w:sz w:val="11"/>
              </w:rPr>
              <w:t>FISM</w:t>
            </w:r>
          </w:p>
        </w:tc>
        <w:tc>
          <w:tcPr>
            <w:tcW w:w="2784" w:type="dxa"/>
            <w:tcBorders>
              <w:left w:val="nil"/>
              <w:right w:val="single" w:sz="6" w:space="0" w:color="000000"/>
            </w:tcBorders>
            <w:shd w:val="clear" w:color="auto" w:fill="E6B8B7"/>
          </w:tcPr>
          <w:p>
            <w:pPr/>
          </w:p>
        </w:tc>
      </w:tr>
      <w:tr>
        <w:trPr>
          <w:trHeight w:val="142" w:hRule="exact"/>
        </w:trPr>
        <w:tc>
          <w:tcPr>
            <w:tcW w:w="3251" w:type="dxa"/>
            <w:tcBorders>
              <w:left w:val="single" w:sz="6" w:space="0" w:color="000000"/>
              <w:right w:val="single" w:sz="6" w:space="0" w:color="000000"/>
            </w:tcBorders>
            <w:shd w:val="clear" w:color="auto" w:fill="F1DCDB"/>
          </w:tcPr>
          <w:p>
            <w:pPr>
              <w:pStyle w:val="TableParagraph"/>
              <w:spacing w:before="1"/>
              <w:ind w:left="1140" w:right="1131"/>
              <w:jc w:val="center"/>
              <w:rPr>
                <w:b/>
                <w:sz w:val="11"/>
              </w:rPr>
            </w:pPr>
            <w:r>
              <w:rPr>
                <w:b/>
                <w:w w:val="170"/>
                <w:sz w:val="11"/>
              </w:rPr>
              <w:t>Fortalezas</w:t>
            </w:r>
          </w:p>
        </w:tc>
        <w:tc>
          <w:tcPr>
            <w:tcW w:w="2784" w:type="dxa"/>
            <w:tcBorders>
              <w:left w:val="single" w:sz="6" w:space="0" w:color="000000"/>
              <w:right w:val="single" w:sz="6" w:space="0" w:color="000000"/>
            </w:tcBorders>
            <w:shd w:val="clear" w:color="auto" w:fill="F1DCDB"/>
          </w:tcPr>
          <w:p>
            <w:pPr>
              <w:pStyle w:val="TableParagraph"/>
              <w:spacing w:before="1"/>
              <w:ind w:left="866" w:right="52"/>
              <w:rPr>
                <w:b/>
                <w:sz w:val="11"/>
              </w:rPr>
            </w:pPr>
            <w:r>
              <w:rPr>
                <w:b/>
                <w:w w:val="170"/>
                <w:sz w:val="11"/>
              </w:rPr>
              <w:t>Debilidades</w:t>
            </w:r>
          </w:p>
        </w:tc>
      </w:tr>
      <w:tr>
        <w:trPr>
          <w:trHeight w:val="850" w:hRule="exact"/>
        </w:trPr>
        <w:tc>
          <w:tcPr>
            <w:tcW w:w="3251" w:type="dxa"/>
            <w:tcBorders>
              <w:left w:val="single" w:sz="6" w:space="0" w:color="000000"/>
              <w:right w:val="single" w:sz="6" w:space="0" w:color="000000"/>
            </w:tcBorders>
          </w:tcPr>
          <w:p>
            <w:pPr>
              <w:pStyle w:val="TableParagraph"/>
              <w:spacing w:line="268" w:lineRule="auto"/>
              <w:ind w:left="26" w:right="19"/>
              <w:rPr>
                <w:sz w:val="11"/>
              </w:rPr>
            </w:pPr>
            <w:r>
              <w:rPr>
                <w:w w:val="170"/>
                <w:sz w:val="11"/>
              </w:rPr>
              <w:t>Existe un Código de Ética, que está debidamente formalizado y se difunde entre el personal y la ciudadanía a través de carteles, trípticos, folletos.</w:t>
            </w:r>
          </w:p>
        </w:tc>
        <w:tc>
          <w:tcPr>
            <w:tcW w:w="2784" w:type="dxa"/>
            <w:tcBorders>
              <w:left w:val="single" w:sz="6" w:space="0" w:color="000000"/>
              <w:right w:val="single" w:sz="6" w:space="0" w:color="000000"/>
            </w:tcBorders>
          </w:tcPr>
          <w:p>
            <w:pPr>
              <w:pStyle w:val="TableParagraph"/>
              <w:spacing w:line="268" w:lineRule="auto"/>
              <w:ind w:left="27" w:right="52" w:hanging="2"/>
              <w:rPr>
                <w:sz w:val="11"/>
              </w:rPr>
            </w:pPr>
            <w:r>
              <w:rPr>
                <w:w w:val="170"/>
                <w:sz w:val="11"/>
              </w:rPr>
              <w:t>El gobierno del municipio de Tultitlán no dispone de normativa en materia de Control Interno.</w:t>
            </w:r>
          </w:p>
        </w:tc>
      </w:tr>
      <w:tr>
        <w:trPr>
          <w:trHeight w:val="593" w:hRule="exact"/>
        </w:trPr>
        <w:tc>
          <w:tcPr>
            <w:tcW w:w="3251" w:type="dxa"/>
            <w:tcBorders>
              <w:left w:val="single" w:sz="6" w:space="0" w:color="000000"/>
              <w:right w:val="single" w:sz="6" w:space="0" w:color="000000"/>
            </w:tcBorders>
          </w:tcPr>
          <w:p>
            <w:pPr>
              <w:pStyle w:val="TableParagraph"/>
              <w:spacing w:line="254" w:lineRule="auto" w:before="1"/>
              <w:ind w:left="26" w:right="19"/>
              <w:rPr>
                <w:sz w:val="10"/>
              </w:rPr>
            </w:pPr>
            <w:r>
              <w:rPr>
                <w:w w:val="170"/>
                <w:sz w:val="10"/>
              </w:rPr>
              <w:t>Se tiene formalmente establecido un procedimiento para la investigación de posibles actos contrarios a la ética y conducta institucional.</w:t>
            </w:r>
          </w:p>
        </w:tc>
        <w:tc>
          <w:tcPr>
            <w:tcW w:w="2784" w:type="dxa"/>
            <w:tcBorders>
              <w:left w:val="single" w:sz="6" w:space="0" w:color="000000"/>
              <w:right w:val="single" w:sz="6" w:space="0" w:color="000000"/>
            </w:tcBorders>
          </w:tcPr>
          <w:p>
            <w:pPr>
              <w:pStyle w:val="TableParagraph"/>
              <w:spacing w:line="268" w:lineRule="auto" w:before="1"/>
              <w:ind w:left="25" w:right="52" w:firstLine="1"/>
              <w:rPr>
                <w:sz w:val="11"/>
              </w:rPr>
            </w:pPr>
            <w:r>
              <w:rPr>
                <w:w w:val="170"/>
                <w:sz w:val="11"/>
              </w:rPr>
              <w:t>La institución no tiene formalizado un Código de Conducta.</w:t>
            </w:r>
          </w:p>
        </w:tc>
      </w:tr>
      <w:tr>
        <w:trPr>
          <w:trHeight w:val="1275" w:hRule="exact"/>
        </w:trPr>
        <w:tc>
          <w:tcPr>
            <w:tcW w:w="3251" w:type="dxa"/>
            <w:tcBorders>
              <w:left w:val="single" w:sz="6" w:space="0" w:color="000000"/>
              <w:right w:val="single" w:sz="6" w:space="0" w:color="000000"/>
            </w:tcBorders>
          </w:tcPr>
          <w:p>
            <w:pPr>
              <w:pStyle w:val="TableParagraph"/>
              <w:spacing w:line="268" w:lineRule="auto" w:before="1"/>
              <w:ind w:left="25" w:right="19" w:firstLine="1"/>
              <w:rPr>
                <w:sz w:val="11"/>
              </w:rPr>
            </w:pPr>
            <w:r>
              <w:rPr>
                <w:w w:val="170"/>
                <w:sz w:val="11"/>
              </w:rPr>
              <w:t>Se encuentra en operación una línea ética u otros mecanismos de similar naturaleza para captar denuncias de posibles actos contrarios a la ética y conducta institucional, diferente a las establecidas por las instancias de control interno.</w:t>
            </w:r>
          </w:p>
        </w:tc>
        <w:tc>
          <w:tcPr>
            <w:tcW w:w="2784" w:type="dxa"/>
            <w:tcBorders>
              <w:left w:val="single" w:sz="6" w:space="0" w:color="000000"/>
              <w:right w:val="single" w:sz="6" w:space="0" w:color="000000"/>
            </w:tcBorders>
          </w:tcPr>
          <w:p>
            <w:pPr>
              <w:pStyle w:val="TableParagraph"/>
              <w:spacing w:line="268" w:lineRule="auto" w:before="1"/>
              <w:ind w:left="25" w:right="72" w:firstLine="1"/>
              <w:rPr>
                <w:sz w:val="11"/>
              </w:rPr>
            </w:pPr>
            <w:r>
              <w:rPr>
                <w:w w:val="170"/>
                <w:sz w:val="11"/>
              </w:rPr>
              <w:t>No se tiene formalmente instituido un documento por el cual se informe periódicamente, al Titular de la Institución u Órgano de Gobierno, la situación que guarda el funcionamiento general del sistema de control interno.</w:t>
            </w:r>
          </w:p>
        </w:tc>
      </w:tr>
      <w:tr>
        <w:trPr>
          <w:trHeight w:val="992" w:hRule="exact"/>
        </w:trPr>
        <w:tc>
          <w:tcPr>
            <w:tcW w:w="3251" w:type="dxa"/>
            <w:tcBorders>
              <w:left w:val="single" w:sz="6" w:space="0" w:color="000000"/>
              <w:right w:val="single" w:sz="6" w:space="0" w:color="000000"/>
            </w:tcBorders>
          </w:tcPr>
          <w:p>
            <w:pPr>
              <w:pStyle w:val="TableParagraph"/>
              <w:spacing w:line="268" w:lineRule="auto" w:before="1"/>
              <w:ind w:left="25" w:right="19" w:firstLine="1"/>
              <w:rPr>
                <w:sz w:val="11"/>
              </w:rPr>
            </w:pPr>
            <w:r>
              <w:rPr>
                <w:w w:val="170"/>
                <w:sz w:val="11"/>
              </w:rPr>
              <w:t>Existen Manuales de Procedimientos, que permiten precisar las actividades que deben realizarse para cumplir debidamente con las funciones que demandan los puestos desempeñados.</w:t>
            </w:r>
          </w:p>
        </w:tc>
        <w:tc>
          <w:tcPr>
            <w:tcW w:w="2784" w:type="dxa"/>
            <w:tcBorders>
              <w:left w:val="single" w:sz="6" w:space="0" w:color="000000"/>
              <w:right w:val="single" w:sz="6" w:space="0" w:color="000000"/>
            </w:tcBorders>
          </w:tcPr>
          <w:p>
            <w:pPr>
              <w:pStyle w:val="TableParagraph"/>
              <w:spacing w:line="268" w:lineRule="auto" w:before="1"/>
              <w:ind w:left="25" w:right="42" w:firstLine="1"/>
              <w:rPr>
                <w:sz w:val="11"/>
              </w:rPr>
            </w:pPr>
            <w:r>
              <w:rPr>
                <w:w w:val="170"/>
                <w:sz w:val="11"/>
              </w:rPr>
              <w:t>El municipio no cuenta con un Manual de Organización, la inexistencia de dicho Manual impide establecer la distribución de las funciones, entre los servidores públicos con nivel de mando medio y superior.</w:t>
            </w:r>
          </w:p>
        </w:tc>
      </w:tr>
      <w:tr>
        <w:trPr>
          <w:trHeight w:val="1615" w:hRule="exact"/>
        </w:trPr>
        <w:tc>
          <w:tcPr>
            <w:tcW w:w="3251" w:type="dxa"/>
            <w:tcBorders>
              <w:left w:val="single" w:sz="6" w:space="0" w:color="000000"/>
              <w:right w:val="single" w:sz="6" w:space="0" w:color="000000"/>
            </w:tcBorders>
          </w:tcPr>
          <w:p>
            <w:pPr>
              <w:pStyle w:val="TableParagraph"/>
              <w:spacing w:line="268" w:lineRule="auto"/>
              <w:ind w:left="25" w:right="-11" w:firstLine="1"/>
              <w:rPr>
                <w:sz w:val="11"/>
              </w:rPr>
            </w:pPr>
            <w:r>
              <w:rPr>
                <w:w w:val="170"/>
                <w:sz w:val="11"/>
              </w:rPr>
              <w:t>Existe una Planeación Estratégica que establece las acciones para la consecución de los objetivos y metas institucionales, el cual es del conocimiento de las áreas responsables de su ejecución.</w:t>
            </w:r>
          </w:p>
        </w:tc>
        <w:tc>
          <w:tcPr>
            <w:tcW w:w="2784" w:type="dxa"/>
            <w:tcBorders>
              <w:left w:val="single" w:sz="6" w:space="0" w:color="000000"/>
              <w:right w:val="single" w:sz="6" w:space="0" w:color="000000"/>
            </w:tcBorders>
          </w:tcPr>
          <w:p>
            <w:pPr>
              <w:pStyle w:val="TableParagraph"/>
              <w:spacing w:line="268" w:lineRule="auto"/>
              <w:ind w:left="25" w:right="42" w:firstLine="1"/>
              <w:rPr>
                <w:sz w:val="11"/>
              </w:rPr>
            </w:pPr>
            <w:r>
              <w:rPr>
                <w:w w:val="170"/>
                <w:sz w:val="11"/>
              </w:rPr>
              <w:t>No existe un programa, ni se ha impartido capacitación en temas como, ética e integridad, Control Interno y su evaluación, administración de riesgos y su evaluación y Prevención, disuasión, detección y corrección de posibles actos de corrupción y normativa específica de la operación del fondo.</w:t>
            </w:r>
          </w:p>
        </w:tc>
      </w:tr>
      <w:tr>
        <w:trPr>
          <w:trHeight w:val="850" w:hRule="exact"/>
        </w:trPr>
        <w:tc>
          <w:tcPr>
            <w:tcW w:w="3251" w:type="dxa"/>
            <w:tcBorders>
              <w:left w:val="single" w:sz="6" w:space="0" w:color="000000"/>
              <w:right w:val="single" w:sz="6" w:space="0" w:color="000000"/>
            </w:tcBorders>
          </w:tcPr>
          <w:p>
            <w:pPr>
              <w:pStyle w:val="TableParagraph"/>
              <w:spacing w:line="268" w:lineRule="auto" w:before="1"/>
              <w:ind w:left="25" w:right="71" w:firstLine="1"/>
              <w:rPr>
                <w:sz w:val="11"/>
              </w:rPr>
            </w:pPr>
            <w:r>
              <w:rPr>
                <w:w w:val="170"/>
                <w:sz w:val="11"/>
              </w:rPr>
              <w:t>Los objetivos y metas institucionales relevantes derivados del plan estratégico están específicamente comunicados y asignados a los encargados de las áreas responsables de su cumplimiento.</w:t>
            </w:r>
          </w:p>
        </w:tc>
        <w:tc>
          <w:tcPr>
            <w:tcW w:w="2784" w:type="dxa"/>
            <w:tcBorders>
              <w:left w:val="single" w:sz="6" w:space="0" w:color="000000"/>
              <w:right w:val="single" w:sz="6" w:space="0" w:color="000000"/>
            </w:tcBorders>
          </w:tcPr>
          <w:p>
            <w:pPr>
              <w:pStyle w:val="TableParagraph"/>
              <w:spacing w:line="268" w:lineRule="auto" w:before="1"/>
              <w:ind w:left="25" w:right="54" w:firstLine="1"/>
              <w:rPr>
                <w:sz w:val="11"/>
              </w:rPr>
            </w:pPr>
            <w:r>
              <w:rPr>
                <w:w w:val="170"/>
                <w:sz w:val="11"/>
              </w:rPr>
              <w:t>No se tiene formalmente establecido un procedimiento por el cual se informe a los mandos superiores la existencia o surgimiento de riesgos de fuentes internas o externas.</w:t>
            </w:r>
          </w:p>
        </w:tc>
      </w:tr>
    </w:tbl>
    <w:p>
      <w:pPr>
        <w:spacing w:after="0" w:line="268" w:lineRule="auto"/>
        <w:rPr>
          <w:sz w:val="11"/>
        </w:rPr>
        <w:sectPr>
          <w:type w:val="continuous"/>
          <w:pgSz w:w="15840" w:h="12240" w:orient="landscape"/>
          <w:pgMar w:top="0" w:bottom="280" w:left="2260" w:right="2260"/>
        </w:sectPr>
      </w:pPr>
    </w:p>
    <w:p>
      <w:pPr>
        <w:pStyle w:val="BodyText"/>
        <w:rPr>
          <w:b/>
          <w:sz w:val="20"/>
        </w:rPr>
      </w:pPr>
    </w:p>
    <w:p>
      <w:pPr>
        <w:pStyle w:val="BodyText"/>
        <w:rPr>
          <w:b/>
          <w:sz w:val="20"/>
        </w:rPr>
      </w:pPr>
    </w:p>
    <w:p>
      <w:pPr>
        <w:pStyle w:val="BodyText"/>
        <w:spacing w:before="8"/>
        <w:rPr>
          <w:b/>
          <w:sz w:val="23"/>
        </w:rPr>
      </w:pPr>
    </w:p>
    <w:p>
      <w:pPr>
        <w:spacing w:line="242" w:lineRule="auto" w:before="74"/>
        <w:ind w:left="2722" w:right="2588" w:firstLine="0"/>
        <w:jc w:val="left"/>
        <w:rPr>
          <w:sz w:val="20"/>
        </w:rPr>
      </w:pPr>
      <w:r>
        <w:rPr/>
        <w:drawing>
          <wp:anchor distT="0" distB="0" distL="0" distR="0" allowOverlap="1" layoutInCell="1" locked="0" behindDoc="1" simplePos="0" relativeHeight="267763439">
            <wp:simplePos x="0" y="0"/>
            <wp:positionH relativeFrom="page">
              <wp:posOffset>3072383</wp:posOffset>
            </wp:positionH>
            <wp:positionV relativeFrom="paragraph">
              <wp:posOffset>50036</wp:posOffset>
            </wp:positionV>
            <wp:extent cx="4000500" cy="402335"/>
            <wp:effectExtent l="0" t="0" r="0" b="0"/>
            <wp:wrapNone/>
            <wp:docPr id="99" name="image133.png" descr=""/>
            <wp:cNvGraphicFramePr>
              <a:graphicFrameLocks noChangeAspect="1"/>
            </wp:cNvGraphicFramePr>
            <a:graphic>
              <a:graphicData uri="http://schemas.openxmlformats.org/drawingml/2006/picture">
                <pic:pic>
                  <pic:nvPicPr>
                    <pic:cNvPr id="100" name="image133.png"/>
                    <pic:cNvPicPr/>
                  </pic:nvPicPr>
                  <pic:blipFill>
                    <a:blip r:embed="rId189" cstate="print"/>
                    <a:stretch>
                      <a:fillRect/>
                    </a:stretch>
                  </pic:blipFill>
                  <pic:spPr>
                    <a:xfrm>
                      <a:off x="0" y="0"/>
                      <a:ext cx="4000500" cy="402335"/>
                    </a:xfrm>
                    <a:prstGeom prst="rect">
                      <a:avLst/>
                    </a:prstGeom>
                  </pic:spPr>
                </pic:pic>
              </a:graphicData>
            </a:graphic>
          </wp:anchor>
        </w:drawing>
      </w:r>
      <w:r>
        <w:rPr>
          <w:b/>
          <w:sz w:val="20"/>
        </w:rPr>
        <w:t>Fuente</w:t>
      </w:r>
      <w:r>
        <w:rPr>
          <w:sz w:val="20"/>
        </w:rPr>
        <w:t>: Elaboración propia con base en el Informe de Resultados de la Fiscalización Superior de las cuentas públicas 2008-2014.</w:t>
      </w:r>
    </w:p>
    <w:p>
      <w:pPr>
        <w:spacing w:line="278" w:lineRule="auto" w:before="38"/>
        <w:ind w:left="3893" w:right="3740" w:firstLine="2"/>
        <w:jc w:val="center"/>
        <w:rPr>
          <w:b/>
          <w:sz w:val="10"/>
        </w:rPr>
      </w:pPr>
      <w:r>
        <w:rPr>
          <w:b/>
          <w:w w:val="190"/>
          <w:sz w:val="10"/>
        </w:rPr>
        <w:t>Calidad de la Gestión Gubernamental Controles Internos (Manejo y</w:t>
      </w:r>
      <w:r>
        <w:rPr>
          <w:b/>
          <w:spacing w:val="-26"/>
          <w:w w:val="190"/>
          <w:sz w:val="10"/>
        </w:rPr>
        <w:t> </w:t>
      </w:r>
      <w:r>
        <w:rPr>
          <w:b/>
          <w:w w:val="190"/>
          <w:sz w:val="10"/>
        </w:rPr>
        <w:t>Aplicación)</w:t>
      </w:r>
    </w:p>
    <w:p>
      <w:pPr>
        <w:spacing w:line="76" w:lineRule="exact" w:before="0"/>
        <w:ind w:left="148" w:right="0" w:firstLine="0"/>
        <w:jc w:val="center"/>
        <w:rPr>
          <w:b/>
          <w:sz w:val="10"/>
        </w:rPr>
      </w:pPr>
      <w:r>
        <w:rPr>
          <w:b/>
          <w:w w:val="190"/>
          <w:sz w:val="10"/>
        </w:rPr>
        <w:t>Valle de Chalco Solidaridad Ejercicio Fiscal 2013</w:t>
      </w:r>
    </w:p>
    <w:p>
      <w:pPr>
        <w:pStyle w:val="BodyText"/>
        <w:spacing w:line="238" w:lineRule="exact"/>
        <w:ind w:left="2542" w:right="1340"/>
      </w:pPr>
      <w:r>
        <w:rPr/>
        <w:pict>
          <v:group style="position:absolute;margin-left:245.9664pt;margin-top:15.496673pt;width:307.5pt;height:13.6pt;mso-position-horizontal-relative:page;mso-position-vertical-relative:paragraph;z-index:-671992" coordorigin="4919,310" coordsize="6150,272">
            <v:rect style="position:absolute;left:4919;top:314;width:6141;height:135" filled="true" fillcolor="#e6b8b7" stroked="false">
              <v:fill type="solid"/>
            </v:rect>
            <v:rect style="position:absolute;left:4919;top:446;width:6141;height:135" filled="true" fillcolor="#f1dcdb" stroked="false">
              <v:fill type="solid"/>
            </v:rect>
            <v:shape style="position:absolute;left:515;top:-6203;width:7774;height:302" coordorigin="515,-6203" coordsize="7774,302" path="m4926,314l4926,314,11065,314m4926,446l4926,446,11065,446e" filled="false" stroked="true" strokeweight=".548791pt" strokecolor="#000000">
              <v:path arrowok="t"/>
            </v:shape>
            <w10:wrap type="none"/>
          </v:group>
        </w:pict>
      </w:r>
      <w:r>
        <w:rPr/>
        <w:pict>
          <v:shape style="position:absolute;margin-left:245.9664pt;margin-top:2.438129pt;width:307.05pt;height:.1pt;mso-position-horizontal-relative:page;mso-position-vertical-relative:paragraph;z-index:-671968" coordorigin="4919,49" coordsize="6141,0" path="m4919,49l4919,49,11060,49e" filled="false" stroked="true" strokeweight=".391829pt" strokecolor="#000000">
            <v:path arrowok="t"/>
            <w10:wrap type="none"/>
          </v:shape>
        </w:pict>
      </w:r>
      <w:r>
        <w:rPr/>
        <w:t>Anexo 79.</w:t>
      </w:r>
    </w:p>
    <w:p>
      <w:pPr>
        <w:pStyle w:val="BodyText"/>
        <w:spacing w:before="2"/>
        <w:rPr>
          <w:sz w:val="6"/>
        </w:rPr>
      </w:pPr>
    </w:p>
    <w:tbl>
      <w:tblPr>
        <w:tblW w:w="0" w:type="auto"/>
        <w:jc w:val="left"/>
        <w:tblInd w:w="265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06"/>
        <w:gridCol w:w="2831"/>
      </w:tblGrid>
      <w:tr>
        <w:trPr>
          <w:trHeight w:val="270" w:hRule="exact"/>
        </w:trPr>
        <w:tc>
          <w:tcPr>
            <w:tcW w:w="6137" w:type="dxa"/>
            <w:gridSpan w:val="2"/>
            <w:tcBorders>
              <w:left w:val="single" w:sz="6" w:space="0" w:color="000000"/>
              <w:bottom w:val="single" w:sz="3" w:space="0" w:color="000000"/>
              <w:right w:val="single" w:sz="6" w:space="0" w:color="000000"/>
            </w:tcBorders>
          </w:tcPr>
          <w:p>
            <w:pPr>
              <w:pStyle w:val="TableParagraph"/>
              <w:spacing w:before="12"/>
              <w:ind w:left="2823" w:right="2806"/>
              <w:jc w:val="center"/>
              <w:rPr>
                <w:b/>
                <w:sz w:val="10"/>
              </w:rPr>
            </w:pPr>
            <w:r>
              <w:rPr>
                <w:b/>
                <w:w w:val="190"/>
                <w:sz w:val="10"/>
              </w:rPr>
              <w:t>FISM</w:t>
            </w:r>
          </w:p>
          <w:p>
            <w:pPr>
              <w:pStyle w:val="TableParagraph"/>
              <w:tabs>
                <w:tab w:pos="4187" w:val="left" w:leader="none"/>
              </w:tabs>
              <w:spacing w:before="18"/>
              <w:ind w:left="1181"/>
              <w:rPr>
                <w:b/>
                <w:sz w:val="10"/>
              </w:rPr>
            </w:pPr>
            <w:r>
              <w:rPr>
                <w:b/>
                <w:w w:val="190"/>
                <w:sz w:val="10"/>
              </w:rPr>
              <w:t>Fortalezas</w:t>
              <w:tab/>
              <w:t>Debilidades</w:t>
            </w:r>
          </w:p>
        </w:tc>
      </w:tr>
      <w:tr>
        <w:trPr>
          <w:trHeight w:val="929" w:hRule="exact"/>
        </w:trPr>
        <w:tc>
          <w:tcPr>
            <w:tcW w:w="3306"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6" w:right="24" w:firstLine="1"/>
              <w:rPr>
                <w:sz w:val="10"/>
              </w:rPr>
            </w:pPr>
            <w:r>
              <w:rPr>
                <w:w w:val="190"/>
                <w:sz w:val="10"/>
              </w:rPr>
              <w:t>El Órgano de Control Interno del Municipio tiene un buzón de denuncia de posibles actos contrarios a la ética.</w:t>
            </w:r>
          </w:p>
        </w:tc>
        <w:tc>
          <w:tcPr>
            <w:tcW w:w="283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5" w:right="47" w:firstLine="1"/>
              <w:rPr>
                <w:sz w:val="10"/>
              </w:rPr>
            </w:pPr>
            <w:r>
              <w:rPr>
                <w:w w:val="190"/>
                <w:sz w:val="10"/>
              </w:rPr>
              <w:t>No se cuenta con un Manual de Organización, que precise la distribución de funciones entre los servidores públicos con nivel de mando medio y superior.</w:t>
            </w:r>
          </w:p>
        </w:tc>
      </w:tr>
      <w:tr>
        <w:trPr>
          <w:trHeight w:val="531" w:hRule="exact"/>
        </w:trPr>
        <w:tc>
          <w:tcPr>
            <w:tcW w:w="3306" w:type="dxa"/>
            <w:tcBorders>
              <w:top w:val="single" w:sz="3" w:space="0" w:color="000000"/>
              <w:left w:val="single" w:sz="6" w:space="0" w:color="000000"/>
              <w:bottom w:val="single" w:sz="3" w:space="0" w:color="000000"/>
              <w:right w:val="single" w:sz="6" w:space="0" w:color="000000"/>
            </w:tcBorders>
          </w:tcPr>
          <w:p>
            <w:pPr/>
          </w:p>
        </w:tc>
        <w:tc>
          <w:tcPr>
            <w:tcW w:w="2831" w:type="dxa"/>
            <w:tcBorders>
              <w:top w:val="single" w:sz="3" w:space="0" w:color="000000"/>
              <w:left w:val="single" w:sz="6" w:space="0" w:color="000000"/>
              <w:bottom w:val="single" w:sz="3" w:space="0" w:color="000000"/>
              <w:right w:val="single" w:sz="6" w:space="0" w:color="000000"/>
            </w:tcBorders>
          </w:tcPr>
          <w:p>
            <w:pPr>
              <w:pStyle w:val="TableParagraph"/>
              <w:spacing w:line="278" w:lineRule="auto" w:before="3"/>
              <w:ind w:left="25" w:right="395" w:firstLine="1"/>
              <w:rPr>
                <w:sz w:val="10"/>
              </w:rPr>
            </w:pPr>
            <w:r>
              <w:rPr>
                <w:w w:val="190"/>
                <w:sz w:val="10"/>
              </w:rPr>
              <w:t>El municipio no tiene implementado un Código de Ética ni de Conducta.</w:t>
            </w:r>
          </w:p>
        </w:tc>
      </w:tr>
      <w:tr>
        <w:trPr>
          <w:trHeight w:val="1280" w:hRule="exact"/>
        </w:trPr>
        <w:tc>
          <w:tcPr>
            <w:tcW w:w="3306" w:type="dxa"/>
            <w:tcBorders>
              <w:top w:val="single" w:sz="3" w:space="0" w:color="000000"/>
              <w:left w:val="single" w:sz="6" w:space="0" w:color="000000"/>
              <w:bottom w:val="single" w:sz="3" w:space="0" w:color="000000"/>
              <w:right w:val="single" w:sz="6" w:space="0" w:color="000000"/>
            </w:tcBorders>
          </w:tcPr>
          <w:p>
            <w:pPr/>
          </w:p>
        </w:tc>
        <w:tc>
          <w:tcPr>
            <w:tcW w:w="283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5" w:right="-6" w:firstLine="1"/>
              <w:rPr>
                <w:sz w:val="10"/>
              </w:rPr>
            </w:pPr>
            <w:r>
              <w:rPr>
                <w:w w:val="190"/>
                <w:sz w:val="10"/>
              </w:rPr>
              <w:t>El gobierno del municipio no cuenta con manuales de procedimientos en todas sus áreas, que permitan precisar las actividades que deben realizarse para cumplir debidamente con las funciones que demandan los puestos a desempeñar.</w:t>
            </w:r>
          </w:p>
        </w:tc>
      </w:tr>
      <w:tr>
        <w:trPr>
          <w:trHeight w:val="929" w:hRule="exact"/>
        </w:trPr>
        <w:tc>
          <w:tcPr>
            <w:tcW w:w="3306" w:type="dxa"/>
            <w:tcBorders>
              <w:top w:val="single" w:sz="3" w:space="0" w:color="000000"/>
              <w:left w:val="single" w:sz="6" w:space="0" w:color="000000"/>
              <w:bottom w:val="single" w:sz="3" w:space="0" w:color="000000"/>
              <w:right w:val="single" w:sz="6" w:space="0" w:color="000000"/>
            </w:tcBorders>
          </w:tcPr>
          <w:p>
            <w:pPr/>
          </w:p>
        </w:tc>
        <w:tc>
          <w:tcPr>
            <w:tcW w:w="283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5" w:right="88" w:firstLine="1"/>
              <w:rPr>
                <w:sz w:val="10"/>
              </w:rPr>
            </w:pPr>
            <w:r>
              <w:rPr>
                <w:w w:val="190"/>
                <w:sz w:val="10"/>
              </w:rPr>
              <w:t>No se realizan evaluaciones del sistema de control interno, lo que impide determinar las causas de los problemas y, en consecuencia, no se ha establecido un programa de atención.</w:t>
            </w:r>
          </w:p>
        </w:tc>
      </w:tr>
      <w:tr>
        <w:trPr>
          <w:trHeight w:val="1990" w:hRule="exact"/>
        </w:trPr>
        <w:tc>
          <w:tcPr>
            <w:tcW w:w="3306" w:type="dxa"/>
            <w:tcBorders>
              <w:top w:val="single" w:sz="3" w:space="0" w:color="000000"/>
              <w:left w:val="single" w:sz="6" w:space="0" w:color="000000"/>
              <w:bottom w:val="single" w:sz="3" w:space="0" w:color="000000"/>
              <w:right w:val="single" w:sz="6" w:space="0" w:color="000000"/>
            </w:tcBorders>
          </w:tcPr>
          <w:p>
            <w:pPr/>
          </w:p>
        </w:tc>
        <w:tc>
          <w:tcPr>
            <w:tcW w:w="283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4"/>
              <w:ind w:left="25" w:right="15" w:firstLine="1"/>
              <w:rPr>
                <w:sz w:val="10"/>
              </w:rPr>
            </w:pPr>
            <w:r>
              <w:rPr>
                <w:w w:val="190"/>
                <w:sz w:val="10"/>
              </w:rPr>
              <w:t>No existe un programa de capacitación, ni se ha impartido capacitación en temas como ética e integridad, control interno y su evaluación; administración de riesgos y su evaluación; prevención, disuasión, detección y corrección de posibles y actos de corrupción, y normativa específica de la operación del programa o fondo; situación que dificulta la actualización profesional del personal.</w:t>
            </w:r>
          </w:p>
        </w:tc>
      </w:tr>
      <w:tr>
        <w:trPr>
          <w:trHeight w:val="797" w:hRule="exact"/>
        </w:trPr>
        <w:tc>
          <w:tcPr>
            <w:tcW w:w="3306" w:type="dxa"/>
            <w:tcBorders>
              <w:top w:val="single" w:sz="3" w:space="0" w:color="000000"/>
              <w:left w:val="single" w:sz="6" w:space="0" w:color="000000"/>
              <w:bottom w:val="single" w:sz="3" w:space="0" w:color="000000"/>
              <w:right w:val="single" w:sz="6" w:space="0" w:color="000000"/>
            </w:tcBorders>
          </w:tcPr>
          <w:p>
            <w:pPr/>
          </w:p>
        </w:tc>
        <w:tc>
          <w:tcPr>
            <w:tcW w:w="283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4"/>
              <w:ind w:left="25" w:right="205" w:firstLine="1"/>
              <w:rPr>
                <w:sz w:val="10"/>
              </w:rPr>
            </w:pPr>
            <w:r>
              <w:rPr>
                <w:w w:val="190"/>
                <w:sz w:val="10"/>
              </w:rPr>
              <w:t>No existe una planeación estratégica que establezca las acciones que permitan la consecución de los objetivos y metas institucionales.</w:t>
            </w:r>
          </w:p>
        </w:tc>
      </w:tr>
    </w:tbl>
    <w:p>
      <w:pPr>
        <w:spacing w:after="0" w:line="276" w:lineRule="auto"/>
        <w:rPr>
          <w:sz w:val="10"/>
        </w:rPr>
        <w:sectPr>
          <w:pgSz w:w="15840" w:h="12240" w:orient="landscape"/>
          <w:pgMar w:header="0" w:footer="992" w:top="1140" w:bottom="1180" w:left="2260" w:right="2260"/>
        </w:sectPr>
      </w:pPr>
    </w:p>
    <w:p>
      <w:pPr>
        <w:pStyle w:val="BodyText"/>
        <w:rPr>
          <w:sz w:val="20"/>
        </w:rPr>
      </w:pPr>
    </w:p>
    <w:p>
      <w:pPr>
        <w:pStyle w:val="BodyText"/>
        <w:spacing w:before="3"/>
        <w:rPr>
          <w:sz w:val="29"/>
        </w:rPr>
      </w:pPr>
    </w:p>
    <w:p>
      <w:pPr>
        <w:spacing w:line="244" w:lineRule="auto" w:before="74"/>
        <w:ind w:left="2722" w:right="3376" w:firstLine="0"/>
        <w:jc w:val="left"/>
        <w:rPr>
          <w:sz w:val="20"/>
        </w:rPr>
      </w:pPr>
      <w:r>
        <w:rPr/>
        <w:drawing>
          <wp:anchor distT="0" distB="0" distL="0" distR="0" allowOverlap="1" layoutInCell="1" locked="0" behindDoc="1" simplePos="0" relativeHeight="267763535">
            <wp:simplePos x="0" y="0"/>
            <wp:positionH relativeFrom="page">
              <wp:posOffset>3072383</wp:posOffset>
            </wp:positionH>
            <wp:positionV relativeFrom="paragraph">
              <wp:posOffset>50036</wp:posOffset>
            </wp:positionV>
            <wp:extent cx="4000500" cy="403860"/>
            <wp:effectExtent l="0" t="0" r="0" b="0"/>
            <wp:wrapNone/>
            <wp:docPr id="101" name="image133.png" descr=""/>
            <wp:cNvGraphicFramePr>
              <a:graphicFrameLocks noChangeAspect="1"/>
            </wp:cNvGraphicFramePr>
            <a:graphic>
              <a:graphicData uri="http://schemas.openxmlformats.org/drawingml/2006/picture">
                <pic:pic>
                  <pic:nvPicPr>
                    <pic:cNvPr id="102" name="image133.png"/>
                    <pic:cNvPicPr/>
                  </pic:nvPicPr>
                  <pic:blipFill>
                    <a:blip r:embed="rId189" cstate="print"/>
                    <a:stretch>
                      <a:fillRect/>
                    </a:stretch>
                  </pic:blipFill>
                  <pic:spPr>
                    <a:xfrm>
                      <a:off x="0" y="0"/>
                      <a:ext cx="4000500" cy="403860"/>
                    </a:xfrm>
                    <a:prstGeom prst="rect">
                      <a:avLst/>
                    </a:prstGeom>
                  </pic:spPr>
                </pic:pic>
              </a:graphicData>
            </a:graphic>
          </wp:anchor>
        </w:drawing>
      </w:r>
      <w:r>
        <w:rPr>
          <w:b/>
          <w:sz w:val="20"/>
        </w:rPr>
        <w:t>Fuente</w:t>
      </w:r>
      <w:r>
        <w:rPr>
          <w:sz w:val="20"/>
        </w:rPr>
        <w:t>: Elaboración propia con base en el Informe de Resultados de la Fiscalización Superior de las cuentas públicas 2008-2014.</w:t>
      </w:r>
    </w:p>
    <w:p>
      <w:pPr>
        <w:spacing w:after="0" w:line="244" w:lineRule="auto"/>
        <w:jc w:val="left"/>
        <w:rPr>
          <w:sz w:val="20"/>
        </w:rPr>
        <w:sectPr>
          <w:pgSz w:w="15840" w:h="12240" w:orient="landscape"/>
          <w:pgMar w:header="0" w:footer="992" w:top="1140" w:bottom="1180" w:left="2260" w:right="1420"/>
        </w:sectPr>
      </w:pPr>
    </w:p>
    <w:p>
      <w:pPr>
        <w:spacing w:line="228" w:lineRule="exact" w:before="0"/>
        <w:ind w:left="1837" w:right="0" w:firstLine="0"/>
        <w:jc w:val="center"/>
        <w:rPr>
          <w:b/>
          <w:sz w:val="10"/>
        </w:rPr>
      </w:pPr>
      <w:r>
        <w:rPr>
          <w:b/>
          <w:spacing w:val="-1"/>
          <w:w w:val="125"/>
          <w:position w:val="1"/>
          <w:sz w:val="10"/>
        </w:rPr>
        <w:t>C</w:t>
      </w:r>
      <w:r>
        <w:rPr>
          <w:b/>
          <w:w w:val="125"/>
          <w:position w:val="1"/>
          <w:sz w:val="10"/>
        </w:rPr>
        <w:t>a</w:t>
      </w:r>
      <w:r>
        <w:rPr>
          <w:b/>
          <w:w w:val="125"/>
          <w:position w:val="1"/>
          <w:sz w:val="10"/>
        </w:rPr>
        <w:t>l</w:t>
      </w:r>
      <w:r>
        <w:rPr>
          <w:b/>
          <w:spacing w:val="-1"/>
          <w:w w:val="125"/>
          <w:position w:val="1"/>
          <w:sz w:val="10"/>
        </w:rPr>
        <w:t>i</w:t>
      </w:r>
      <w:r>
        <w:rPr>
          <w:b/>
          <w:w w:val="125"/>
          <w:position w:val="1"/>
          <w:sz w:val="10"/>
        </w:rPr>
        <w:t>d</w:t>
      </w:r>
      <w:r>
        <w:rPr>
          <w:b/>
          <w:w w:val="125"/>
          <w:position w:val="1"/>
          <w:sz w:val="10"/>
        </w:rPr>
        <w:t>a</w:t>
      </w:r>
      <w:r>
        <w:rPr>
          <w:b/>
          <w:w w:val="125"/>
          <w:position w:val="1"/>
          <w:sz w:val="10"/>
        </w:rPr>
        <w:t>d</w:t>
      </w:r>
      <w:r>
        <w:rPr>
          <w:b/>
          <w:spacing w:val="7"/>
          <w:position w:val="1"/>
          <w:sz w:val="10"/>
        </w:rPr>
        <w:t> </w:t>
      </w:r>
      <w:r>
        <w:rPr>
          <w:b/>
          <w:w w:val="125"/>
          <w:position w:val="1"/>
          <w:sz w:val="10"/>
        </w:rPr>
        <w:t>d</w:t>
      </w:r>
      <w:r>
        <w:rPr>
          <w:b/>
          <w:spacing w:val="-36"/>
          <w:w w:val="125"/>
          <w:position w:val="1"/>
          <w:sz w:val="10"/>
        </w:rPr>
        <w:t>e</w:t>
      </w:r>
      <w:r>
        <w:rPr>
          <w:spacing w:val="-91"/>
          <w:w w:val="100"/>
          <w:sz w:val="24"/>
        </w:rPr>
        <w:t>A</w:t>
      </w:r>
      <w:r>
        <w:rPr>
          <w:b/>
          <w:w w:val="125"/>
          <w:position w:val="1"/>
          <w:sz w:val="10"/>
        </w:rPr>
        <w:t>l</w:t>
      </w:r>
      <w:r>
        <w:rPr>
          <w:b/>
          <w:spacing w:val="-15"/>
          <w:w w:val="125"/>
          <w:position w:val="1"/>
          <w:sz w:val="10"/>
        </w:rPr>
        <w:t>a</w:t>
      </w:r>
      <w:r>
        <w:rPr>
          <w:spacing w:val="-84"/>
          <w:w w:val="99"/>
          <w:sz w:val="24"/>
        </w:rPr>
        <w:t>n</w:t>
      </w:r>
      <w:r>
        <w:rPr>
          <w:b/>
          <w:spacing w:val="-14"/>
          <w:w w:val="125"/>
          <w:position w:val="1"/>
          <w:sz w:val="10"/>
        </w:rPr>
        <w:t>G</w:t>
      </w:r>
      <w:r>
        <w:rPr>
          <w:spacing w:val="-121"/>
          <w:w w:val="99"/>
          <w:sz w:val="24"/>
        </w:rPr>
        <w:t>e</w:t>
      </w:r>
      <w:r>
        <w:rPr>
          <w:b/>
          <w:w w:val="125"/>
          <w:position w:val="1"/>
          <w:sz w:val="10"/>
        </w:rPr>
        <w:t>e</w:t>
      </w:r>
      <w:r>
        <w:rPr>
          <w:b/>
          <w:spacing w:val="-19"/>
          <w:w w:val="125"/>
          <w:position w:val="1"/>
          <w:sz w:val="10"/>
        </w:rPr>
        <w:t>s</w:t>
      </w:r>
      <w:r>
        <w:rPr>
          <w:spacing w:val="-102"/>
          <w:sz w:val="24"/>
        </w:rPr>
        <w:t>x</w:t>
      </w:r>
      <w:r>
        <w:rPr>
          <w:b/>
          <w:spacing w:val="-1"/>
          <w:w w:val="125"/>
          <w:position w:val="1"/>
          <w:sz w:val="10"/>
        </w:rPr>
        <w:t>t</w:t>
      </w:r>
      <w:r>
        <w:rPr>
          <w:b/>
          <w:w w:val="125"/>
          <w:position w:val="1"/>
          <w:sz w:val="10"/>
        </w:rPr>
        <w:t>i</w:t>
      </w:r>
      <w:r>
        <w:rPr>
          <w:b/>
          <w:spacing w:val="-54"/>
          <w:w w:val="125"/>
          <w:position w:val="1"/>
          <w:sz w:val="10"/>
        </w:rPr>
        <w:t>ó</w:t>
      </w:r>
      <w:r>
        <w:rPr>
          <w:spacing w:val="-80"/>
          <w:w w:val="99"/>
          <w:sz w:val="24"/>
        </w:rPr>
        <w:t>o</w:t>
      </w:r>
      <w:r>
        <w:rPr>
          <w:b/>
          <w:w w:val="125"/>
          <w:position w:val="1"/>
          <w:sz w:val="10"/>
        </w:rPr>
        <w:t>n</w:t>
      </w:r>
      <w:r>
        <w:rPr>
          <w:b/>
          <w:spacing w:val="6"/>
          <w:position w:val="1"/>
          <w:sz w:val="10"/>
        </w:rPr>
        <w:t> </w:t>
      </w:r>
      <w:r>
        <w:rPr>
          <w:b/>
          <w:spacing w:val="-63"/>
          <w:w w:val="125"/>
          <w:position w:val="1"/>
          <w:sz w:val="10"/>
        </w:rPr>
        <w:t>G</w:t>
      </w:r>
      <w:r>
        <w:rPr>
          <w:spacing w:val="-70"/>
          <w:w w:val="99"/>
          <w:sz w:val="24"/>
        </w:rPr>
        <w:t>8</w:t>
      </w:r>
      <w:r>
        <w:rPr>
          <w:b/>
          <w:spacing w:val="-6"/>
          <w:w w:val="125"/>
          <w:position w:val="1"/>
          <w:sz w:val="10"/>
        </w:rPr>
        <w:t>u</w:t>
      </w:r>
      <w:r>
        <w:rPr>
          <w:spacing w:val="-129"/>
          <w:w w:val="99"/>
          <w:sz w:val="24"/>
        </w:rPr>
        <w:t>0</w:t>
      </w:r>
      <w:r>
        <w:rPr>
          <w:b/>
          <w:w w:val="125"/>
          <w:position w:val="1"/>
          <w:sz w:val="10"/>
        </w:rPr>
        <w:t>b</w:t>
      </w:r>
      <w:r>
        <w:rPr>
          <w:b/>
          <w:w w:val="125"/>
          <w:position w:val="1"/>
          <w:sz w:val="10"/>
        </w:rPr>
        <w:t>e</w:t>
      </w:r>
      <w:r>
        <w:rPr>
          <w:b/>
          <w:spacing w:val="-1"/>
          <w:w w:val="125"/>
          <w:position w:val="1"/>
          <w:sz w:val="10"/>
        </w:rPr>
        <w:t>r</w:t>
      </w:r>
      <w:r>
        <w:rPr>
          <w:b/>
          <w:w w:val="125"/>
          <w:position w:val="1"/>
          <w:sz w:val="10"/>
        </w:rPr>
        <w:t>n</w:t>
      </w:r>
      <w:r>
        <w:rPr>
          <w:b/>
          <w:w w:val="125"/>
          <w:position w:val="1"/>
          <w:sz w:val="10"/>
        </w:rPr>
        <w:t>a</w:t>
      </w:r>
      <w:r>
        <w:rPr>
          <w:b/>
          <w:spacing w:val="-1"/>
          <w:w w:val="125"/>
          <w:position w:val="1"/>
          <w:sz w:val="10"/>
        </w:rPr>
        <w:t>m</w:t>
      </w:r>
      <w:r>
        <w:rPr>
          <w:b/>
          <w:w w:val="125"/>
          <w:position w:val="1"/>
          <w:sz w:val="10"/>
        </w:rPr>
        <w:t>e</w:t>
      </w:r>
      <w:r>
        <w:rPr>
          <w:b/>
          <w:w w:val="125"/>
          <w:position w:val="1"/>
          <w:sz w:val="10"/>
        </w:rPr>
        <w:t>n</w:t>
      </w:r>
      <w:r>
        <w:rPr>
          <w:b/>
          <w:spacing w:val="-1"/>
          <w:w w:val="125"/>
          <w:position w:val="1"/>
          <w:sz w:val="10"/>
        </w:rPr>
        <w:t>t</w:t>
      </w:r>
      <w:r>
        <w:rPr>
          <w:b/>
          <w:w w:val="125"/>
          <w:position w:val="1"/>
          <w:sz w:val="10"/>
        </w:rPr>
        <w:t>a</w:t>
      </w:r>
      <w:r>
        <w:rPr>
          <w:b/>
          <w:w w:val="125"/>
          <w:position w:val="1"/>
          <w:sz w:val="10"/>
        </w:rPr>
        <w:t>l</w:t>
      </w:r>
    </w:p>
    <w:p>
      <w:pPr>
        <w:spacing w:line="104" w:lineRule="exact" w:before="0"/>
        <w:ind w:left="1837" w:right="0" w:firstLine="0"/>
        <w:jc w:val="center"/>
        <w:rPr>
          <w:b/>
          <w:sz w:val="10"/>
        </w:rPr>
      </w:pPr>
      <w:r>
        <w:rPr>
          <w:b/>
          <w:w w:val="125"/>
          <w:sz w:val="10"/>
        </w:rPr>
        <w:t>Controles Internos (Manejo y Aplicación)</w:t>
      </w:r>
    </w:p>
    <w:p>
      <w:pPr>
        <w:spacing w:before="20"/>
        <w:ind w:left="1834" w:right="0" w:firstLine="0"/>
        <w:jc w:val="center"/>
        <w:rPr>
          <w:b/>
          <w:sz w:val="10"/>
        </w:rPr>
      </w:pPr>
      <w:r>
        <w:rPr>
          <w:b/>
          <w:w w:val="125"/>
          <w:sz w:val="10"/>
        </w:rPr>
        <w:t>Villa  Victoria Ejercicio Fiscal 2013</w:t>
      </w:r>
    </w:p>
    <w:p>
      <w:pPr>
        <w:spacing w:line="259" w:lineRule="auto" w:before="0"/>
        <w:ind w:left="2687" w:right="951" w:firstLine="1"/>
        <w:jc w:val="center"/>
        <w:rPr>
          <w:b/>
          <w:sz w:val="11"/>
        </w:rPr>
      </w:pPr>
      <w:r>
        <w:rPr/>
        <w:br w:type="column"/>
      </w:r>
      <w:r>
        <w:rPr>
          <w:b/>
          <w:w w:val="120"/>
          <w:sz w:val="11"/>
        </w:rPr>
        <w:t>Calidad de la Gestión Gubernamental Controles</w:t>
      </w:r>
      <w:r>
        <w:rPr>
          <w:b/>
          <w:spacing w:val="-10"/>
          <w:w w:val="120"/>
          <w:sz w:val="11"/>
        </w:rPr>
        <w:t> </w:t>
      </w:r>
      <w:r>
        <w:rPr>
          <w:b/>
          <w:w w:val="120"/>
          <w:sz w:val="11"/>
        </w:rPr>
        <w:t>Internos</w:t>
      </w:r>
      <w:r>
        <w:rPr>
          <w:b/>
          <w:spacing w:val="-10"/>
          <w:w w:val="120"/>
          <w:sz w:val="11"/>
        </w:rPr>
        <w:t> </w:t>
      </w:r>
      <w:r>
        <w:rPr>
          <w:b/>
          <w:w w:val="120"/>
          <w:sz w:val="11"/>
        </w:rPr>
        <w:t>(Manejo</w:t>
      </w:r>
      <w:r>
        <w:rPr>
          <w:b/>
          <w:spacing w:val="-10"/>
          <w:w w:val="120"/>
          <w:sz w:val="11"/>
        </w:rPr>
        <w:t> </w:t>
      </w:r>
      <w:r>
        <w:rPr>
          <w:b/>
          <w:w w:val="120"/>
          <w:sz w:val="11"/>
        </w:rPr>
        <w:t>y</w:t>
      </w:r>
      <w:r>
        <w:rPr>
          <w:b/>
          <w:spacing w:val="-13"/>
          <w:w w:val="120"/>
          <w:sz w:val="11"/>
        </w:rPr>
        <w:t> </w:t>
      </w:r>
      <w:r>
        <w:rPr>
          <w:b/>
          <w:w w:val="120"/>
          <w:sz w:val="11"/>
        </w:rPr>
        <w:t>Aplicación)</w:t>
      </w:r>
    </w:p>
    <w:p>
      <w:pPr>
        <w:tabs>
          <w:tab w:pos="2778" w:val="left" w:leader="none"/>
          <w:tab w:pos="5958" w:val="left" w:leader="none"/>
        </w:tabs>
        <w:spacing w:line="126" w:lineRule="exact" w:before="0"/>
        <w:ind w:left="1726" w:right="0" w:firstLine="0"/>
        <w:jc w:val="center"/>
        <w:rPr>
          <w:b/>
          <w:sz w:val="11"/>
        </w:rPr>
      </w:pPr>
      <w:r>
        <w:rPr>
          <w:b/>
          <w:w w:val="118"/>
          <w:sz w:val="11"/>
          <w:u w:val="single"/>
        </w:rPr>
        <w:t> </w:t>
      </w:r>
      <w:r>
        <w:rPr>
          <w:b/>
          <w:sz w:val="11"/>
          <w:u w:val="single"/>
        </w:rPr>
        <w:tab/>
      </w:r>
      <w:r>
        <w:rPr>
          <w:b/>
          <w:w w:val="120"/>
          <w:sz w:val="11"/>
          <w:u w:val="single"/>
        </w:rPr>
        <w:t>Villa Victoria Ejercicio Fiscal</w:t>
      </w:r>
      <w:r>
        <w:rPr>
          <w:b/>
          <w:spacing w:val="-2"/>
          <w:w w:val="120"/>
          <w:sz w:val="11"/>
          <w:u w:val="single"/>
        </w:rPr>
        <w:t> </w:t>
      </w:r>
      <w:r>
        <w:rPr>
          <w:b/>
          <w:w w:val="120"/>
          <w:sz w:val="11"/>
          <w:u w:val="single"/>
        </w:rPr>
        <w:t>2013</w:t>
      </w:r>
      <w:r>
        <w:rPr>
          <w:b/>
          <w:sz w:val="11"/>
          <w:u w:val="single"/>
        </w:rPr>
        <w:tab/>
      </w:r>
    </w:p>
    <w:p>
      <w:pPr>
        <w:spacing w:after="0" w:line="126" w:lineRule="exact"/>
        <w:jc w:val="center"/>
        <w:rPr>
          <w:sz w:val="11"/>
        </w:rPr>
        <w:sectPr>
          <w:type w:val="continuous"/>
          <w:pgSz w:w="15840" w:h="12240" w:orient="landscape"/>
          <w:pgMar w:top="0" w:bottom="280" w:left="2260" w:right="1420"/>
          <w:cols w:num="2" w:equalWidth="0">
            <w:col w:w="4283" w:space="1697"/>
            <w:col w:w="6180"/>
          </w:cols>
        </w:sectPr>
      </w:pPr>
    </w:p>
    <w:p>
      <w:pPr>
        <w:pStyle w:val="BodyText"/>
        <w:spacing w:line="20" w:lineRule="exact"/>
        <w:ind w:left="1014"/>
        <w:rPr>
          <w:sz w:val="2"/>
        </w:rPr>
      </w:pPr>
      <w:r>
        <w:rPr>
          <w:sz w:val="2"/>
        </w:rPr>
        <w:pict>
          <v:group style="width:204.15pt;height:.4pt;mso-position-horizontal-relative:char;mso-position-vertical-relative:line" coordorigin="0,0" coordsize="4083,8">
            <v:shape style="position:absolute;left:4;top:4;width:4075;height:2" coordorigin="4,4" coordsize="4075,0" path="m4,4l4,4,4079,4e" filled="false" stroked="true" strokeweight=".400221pt" strokecolor="#000000">
              <v:path arrowok="t"/>
            </v:shape>
          </v:group>
        </w:pict>
      </w:r>
      <w:r>
        <w:rPr>
          <w:sz w:val="2"/>
        </w:rPr>
      </w:r>
    </w:p>
    <w:p>
      <w:pPr>
        <w:pStyle w:val="BodyText"/>
        <w:spacing w:before="1"/>
        <w:rPr>
          <w:b/>
          <w:sz w:val="13"/>
        </w:rPr>
      </w:pPr>
      <w:r>
        <w:rPr/>
        <w:pict>
          <v:shape style="position:absolute;margin-left:163.708893pt;margin-top:12.895025pt;width:204.35pt;height:345.9pt;mso-position-horizontal-relative:page;mso-position-vertical-relative:paragraph;z-index:0;mso-wrap-distance-left:0;mso-wrap-distance-right:0"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94"/>
                    <w:gridCol w:w="1879"/>
                  </w:tblGrid>
                  <w:tr>
                    <w:trPr>
                      <w:trHeight w:val="135" w:hRule="exact"/>
                    </w:trPr>
                    <w:tc>
                      <w:tcPr>
                        <w:tcW w:w="4072" w:type="dxa"/>
                        <w:gridSpan w:val="2"/>
                        <w:tcBorders>
                          <w:left w:val="single" w:sz="4" w:space="0" w:color="000000"/>
                          <w:right w:val="single" w:sz="4" w:space="0" w:color="000000"/>
                        </w:tcBorders>
                        <w:shd w:val="clear" w:color="auto" w:fill="E6B8B7"/>
                      </w:tcPr>
                      <w:p>
                        <w:pPr>
                          <w:pStyle w:val="TableParagraph"/>
                          <w:spacing w:before="6"/>
                          <w:ind w:left="1867" w:right="1856"/>
                          <w:jc w:val="center"/>
                          <w:rPr>
                            <w:b/>
                            <w:sz w:val="10"/>
                          </w:rPr>
                        </w:pPr>
                        <w:r>
                          <w:rPr>
                            <w:b/>
                            <w:w w:val="125"/>
                            <w:sz w:val="10"/>
                          </w:rPr>
                          <w:t>FISM</w:t>
                        </w:r>
                      </w:p>
                    </w:tc>
                  </w:tr>
                  <w:tr>
                    <w:trPr>
                      <w:trHeight w:val="136" w:hRule="exact"/>
                    </w:trPr>
                    <w:tc>
                      <w:tcPr>
                        <w:tcW w:w="2194" w:type="dxa"/>
                        <w:tcBorders>
                          <w:left w:val="single" w:sz="4" w:space="0" w:color="000000"/>
                          <w:right w:val="single" w:sz="4" w:space="0" w:color="000000"/>
                        </w:tcBorders>
                        <w:shd w:val="clear" w:color="auto" w:fill="F1DCDB"/>
                      </w:tcPr>
                      <w:p>
                        <w:pPr>
                          <w:pStyle w:val="TableParagraph"/>
                          <w:spacing w:before="6"/>
                          <w:ind w:left="766" w:right="760"/>
                          <w:jc w:val="center"/>
                          <w:rPr>
                            <w:b/>
                            <w:sz w:val="10"/>
                          </w:rPr>
                        </w:pPr>
                        <w:r>
                          <w:rPr>
                            <w:b/>
                            <w:w w:val="125"/>
                            <w:sz w:val="10"/>
                          </w:rPr>
                          <w:t>Fortalezas</w:t>
                        </w:r>
                      </w:p>
                    </w:tc>
                    <w:tc>
                      <w:tcPr>
                        <w:tcW w:w="1879" w:type="dxa"/>
                        <w:tcBorders>
                          <w:left w:val="single" w:sz="4" w:space="0" w:color="000000"/>
                          <w:right w:val="single" w:sz="4" w:space="0" w:color="000000"/>
                        </w:tcBorders>
                        <w:shd w:val="clear" w:color="auto" w:fill="F1DCDB"/>
                      </w:tcPr>
                      <w:p>
                        <w:pPr>
                          <w:pStyle w:val="TableParagraph"/>
                          <w:spacing w:before="6"/>
                          <w:ind w:left="584"/>
                          <w:rPr>
                            <w:b/>
                            <w:sz w:val="10"/>
                          </w:rPr>
                        </w:pPr>
                        <w:r>
                          <w:rPr>
                            <w:b/>
                            <w:w w:val="125"/>
                            <w:sz w:val="10"/>
                          </w:rPr>
                          <w:t>Debilidades</w:t>
                        </w:r>
                      </w:p>
                    </w:tc>
                  </w:tr>
                  <w:tr>
                    <w:trPr>
                      <w:trHeight w:val="2710" w:hRule="exact"/>
                    </w:trPr>
                    <w:tc>
                      <w:tcPr>
                        <w:tcW w:w="2194" w:type="dxa"/>
                        <w:tcBorders>
                          <w:left w:val="single" w:sz="4" w:space="0" w:color="000000"/>
                          <w:right w:val="single" w:sz="4" w:space="0" w:color="000000"/>
                        </w:tcBorders>
                      </w:tcPr>
                      <w:p>
                        <w:pPr>
                          <w:pStyle w:val="TableParagraph"/>
                          <w:spacing w:line="283" w:lineRule="auto" w:before="5"/>
                          <w:ind w:left="17" w:right="27"/>
                          <w:rPr>
                            <w:sz w:val="10"/>
                          </w:rPr>
                        </w:pPr>
                        <w:r>
                          <w:rPr>
                            <w:w w:val="125"/>
                            <w:sz w:val="10"/>
                          </w:rPr>
                          <w:t>Se tienen políticas congruentes requeridas en el desarrollo de las funciones y actividades de los servidores públicos para el fortalecimiento de la competencia profesional y compromiso profesional del personal; asimismo, están instituidos los medios para atraer, desarrollar y retener a personas competentes que demuestran compromiso con la integridad, los valores éticos, el cumplimiento de los objetivos estratégicos de la entidad, la transparencia y la rendición de cuentas. Se dispone de un Código de Ética que orienta la actuación de los servidores públicos que se ha difundido ampliamente entre el personal.</w:t>
                        </w:r>
                      </w:p>
                    </w:tc>
                    <w:tc>
                      <w:tcPr>
                        <w:tcW w:w="1879" w:type="dxa"/>
                        <w:tcBorders>
                          <w:left w:val="single" w:sz="4" w:space="0" w:color="000000"/>
                          <w:right w:val="single" w:sz="4" w:space="0" w:color="000000"/>
                        </w:tcBorders>
                      </w:tcPr>
                      <w:p>
                        <w:pPr/>
                      </w:p>
                    </w:tc>
                  </w:tr>
                  <w:tr>
                    <w:trPr>
                      <w:trHeight w:val="1882" w:hRule="exact"/>
                    </w:trPr>
                    <w:tc>
                      <w:tcPr>
                        <w:tcW w:w="2194" w:type="dxa"/>
                        <w:tcBorders>
                          <w:left w:val="single" w:sz="4" w:space="0" w:color="000000"/>
                          <w:right w:val="single" w:sz="4" w:space="0" w:color="000000"/>
                        </w:tcBorders>
                      </w:tcPr>
                      <w:p>
                        <w:pPr>
                          <w:pStyle w:val="TableParagraph"/>
                          <w:spacing w:line="242" w:lineRule="auto"/>
                          <w:ind w:left="17" w:right="18"/>
                          <w:rPr>
                            <w:sz w:val="10"/>
                          </w:rPr>
                        </w:pPr>
                        <w:r>
                          <w:rPr>
                            <w:w w:val="115"/>
                            <w:sz w:val="10"/>
                          </w:rPr>
                          <w:t>Existe un proceso sistematizado para la identificación, el análisis y la administración de los riesgos que pueden afectar la consecución de los objetivos de la entidad; además, se dispone de estudios sobre el riesgo potencial de fraude y de controles encaminados a mitigar riesgos de corrupción en aquellos procesos que tienen un impacto en la operación sustantiva. Asimismo, se  tienen definidos los objetivos institucionales y son del conocimiento de los responsables de su</w:t>
                        </w:r>
                        <w:r>
                          <w:rPr>
                            <w:spacing w:val="1"/>
                            <w:w w:val="115"/>
                            <w:sz w:val="10"/>
                          </w:rPr>
                          <w:t> </w:t>
                        </w:r>
                        <w:r>
                          <w:rPr>
                            <w:w w:val="115"/>
                            <w:sz w:val="10"/>
                          </w:rPr>
                          <w:t>cumplimiento.</w:t>
                        </w:r>
                      </w:p>
                    </w:tc>
                    <w:tc>
                      <w:tcPr>
                        <w:tcW w:w="1879" w:type="dxa"/>
                        <w:tcBorders>
                          <w:left w:val="single" w:sz="4" w:space="0" w:color="000000"/>
                          <w:right w:val="single" w:sz="4" w:space="0" w:color="000000"/>
                        </w:tcBorders>
                      </w:tcPr>
                      <w:p>
                        <w:pPr/>
                      </w:p>
                    </w:tc>
                  </w:tr>
                  <w:tr>
                    <w:trPr>
                      <w:trHeight w:val="2046" w:hRule="exact"/>
                    </w:trPr>
                    <w:tc>
                      <w:tcPr>
                        <w:tcW w:w="2194" w:type="dxa"/>
                        <w:tcBorders>
                          <w:left w:val="single" w:sz="4" w:space="0" w:color="000000"/>
                          <w:right w:val="single" w:sz="4" w:space="0" w:color="000000"/>
                        </w:tcBorders>
                      </w:tcPr>
                      <w:p>
                        <w:pPr>
                          <w:pStyle w:val="TableParagraph"/>
                          <w:spacing w:line="283" w:lineRule="auto" w:before="6"/>
                          <w:ind w:left="17" w:right="7"/>
                          <w:rPr>
                            <w:sz w:val="10"/>
                          </w:rPr>
                        </w:pPr>
                        <w:r>
                          <w:rPr>
                            <w:w w:val="125"/>
                            <w:sz w:val="10"/>
                          </w:rPr>
                          <w:t>Periódicamente se fortalecen los procedimientos que contribuyen a la mitigación de los riesgos que dificultan el logro de los objetivos  institucionales; asimismo, se mejora la calidad de los controles internos en procesos clave para el logro de los objetivos que apoyan su consecución. Se dispone de programas de actualización que impulsan la revisión constante de los controles internos  por parte de los servidores públicos  en sus respectivos ámbitos de responsabilidad.</w:t>
                        </w:r>
                      </w:p>
                    </w:tc>
                    <w:tc>
                      <w:tcPr>
                        <w:tcW w:w="1879" w:type="dxa"/>
                        <w:tcBorders>
                          <w:left w:val="single" w:sz="4" w:space="0" w:color="000000"/>
                          <w:right w:val="single" w:sz="4" w:space="0" w:color="000000"/>
                        </w:tcBorders>
                      </w:tcPr>
                      <w:p>
                        <w:pPr/>
                      </w:p>
                    </w:tc>
                  </w:tr>
                </w:tbl>
                <w:p>
                  <w:pPr>
                    <w:pStyle w:val="BodyText"/>
                  </w:pPr>
                </w:p>
              </w:txbxContent>
            </v:textbox>
            <w10:wrap type="topAndBottom"/>
          </v:shape>
        </w:pict>
      </w:r>
      <w:r>
        <w:rPr/>
        <w:pict>
          <v:shape style="position:absolute;margin-left:503.649506pt;margin-top:9.483027pt;width:212.2pt;height:354.9pt;mso-position-horizontal-relative:page;mso-position-vertical-relative:paragraph;z-index:0;mso-wrap-distance-left:0;mso-wrap-distance-right:0"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78"/>
                    <w:gridCol w:w="1951"/>
                  </w:tblGrid>
                  <w:tr>
                    <w:trPr>
                      <w:trHeight w:val="136" w:hRule="exact"/>
                    </w:trPr>
                    <w:tc>
                      <w:tcPr>
                        <w:tcW w:w="4229" w:type="dxa"/>
                        <w:gridSpan w:val="2"/>
                        <w:tcBorders>
                          <w:left w:val="single" w:sz="4" w:space="0" w:color="000000"/>
                          <w:right w:val="single" w:sz="4" w:space="0" w:color="000000"/>
                        </w:tcBorders>
                        <w:shd w:val="clear" w:color="auto" w:fill="E6B8B7"/>
                      </w:tcPr>
                      <w:p>
                        <w:pPr>
                          <w:pStyle w:val="TableParagraph"/>
                          <w:spacing w:line="124" w:lineRule="exact"/>
                          <w:ind w:left="1938" w:right="1926"/>
                          <w:jc w:val="center"/>
                          <w:rPr>
                            <w:b/>
                            <w:sz w:val="11"/>
                          </w:rPr>
                        </w:pPr>
                        <w:r>
                          <w:rPr>
                            <w:b/>
                            <w:w w:val="120"/>
                            <w:sz w:val="11"/>
                          </w:rPr>
                          <w:t>FISM</w:t>
                        </w:r>
                      </w:p>
                    </w:tc>
                  </w:tr>
                  <w:tr>
                    <w:trPr>
                      <w:trHeight w:val="137" w:hRule="exact"/>
                    </w:trPr>
                    <w:tc>
                      <w:tcPr>
                        <w:tcW w:w="2278" w:type="dxa"/>
                        <w:tcBorders>
                          <w:left w:val="single" w:sz="4" w:space="0" w:color="000000"/>
                          <w:right w:val="single" w:sz="4" w:space="0" w:color="000000"/>
                        </w:tcBorders>
                        <w:shd w:val="clear" w:color="auto" w:fill="F1DCDB"/>
                      </w:tcPr>
                      <w:p>
                        <w:pPr>
                          <w:pStyle w:val="TableParagraph"/>
                          <w:spacing w:line="124" w:lineRule="exact"/>
                          <w:ind w:left="790" w:right="784"/>
                          <w:jc w:val="center"/>
                          <w:rPr>
                            <w:b/>
                            <w:sz w:val="11"/>
                          </w:rPr>
                        </w:pPr>
                        <w:r>
                          <w:rPr>
                            <w:b/>
                            <w:w w:val="120"/>
                            <w:sz w:val="11"/>
                          </w:rPr>
                          <w:t>Fortalezas</w:t>
                        </w:r>
                      </w:p>
                    </w:tc>
                    <w:tc>
                      <w:tcPr>
                        <w:tcW w:w="1951" w:type="dxa"/>
                        <w:tcBorders>
                          <w:left w:val="single" w:sz="4" w:space="0" w:color="000000"/>
                          <w:right w:val="single" w:sz="4" w:space="0" w:color="000000"/>
                        </w:tcBorders>
                        <w:shd w:val="clear" w:color="auto" w:fill="F1DCDB"/>
                      </w:tcPr>
                      <w:p>
                        <w:pPr>
                          <w:pStyle w:val="TableParagraph"/>
                          <w:spacing w:line="124" w:lineRule="exact"/>
                          <w:ind w:left="607"/>
                          <w:rPr>
                            <w:b/>
                            <w:sz w:val="11"/>
                          </w:rPr>
                        </w:pPr>
                        <w:r>
                          <w:rPr>
                            <w:b/>
                            <w:w w:val="120"/>
                            <w:sz w:val="11"/>
                          </w:rPr>
                          <w:t>Debilidades</w:t>
                        </w:r>
                      </w:p>
                    </w:tc>
                  </w:tr>
                  <w:tr>
                    <w:trPr>
                      <w:trHeight w:val="3136" w:hRule="exact"/>
                    </w:trPr>
                    <w:tc>
                      <w:tcPr>
                        <w:tcW w:w="2278" w:type="dxa"/>
                        <w:tcBorders>
                          <w:left w:val="single" w:sz="4" w:space="0" w:color="000000"/>
                          <w:right w:val="single" w:sz="4" w:space="0" w:color="000000"/>
                        </w:tcBorders>
                      </w:tcPr>
                      <w:p>
                        <w:pPr>
                          <w:pStyle w:val="TableParagraph"/>
                          <w:spacing w:line="259" w:lineRule="auto"/>
                          <w:ind w:left="18" w:right="28"/>
                          <w:rPr>
                            <w:sz w:val="11"/>
                          </w:rPr>
                        </w:pPr>
                        <w:r>
                          <w:rPr>
                            <w:w w:val="120"/>
                            <w:sz w:val="11"/>
                          </w:rPr>
                          <w:t>Se</w:t>
                        </w:r>
                        <w:r>
                          <w:rPr>
                            <w:spacing w:val="-7"/>
                            <w:w w:val="120"/>
                            <w:sz w:val="11"/>
                          </w:rPr>
                          <w:t> </w:t>
                        </w:r>
                        <w:r>
                          <w:rPr>
                            <w:w w:val="120"/>
                            <w:sz w:val="11"/>
                          </w:rPr>
                          <w:t>tienen</w:t>
                        </w:r>
                        <w:r>
                          <w:rPr>
                            <w:spacing w:val="-7"/>
                            <w:w w:val="120"/>
                            <w:sz w:val="11"/>
                          </w:rPr>
                          <w:t> </w:t>
                        </w:r>
                        <w:r>
                          <w:rPr>
                            <w:w w:val="120"/>
                            <w:sz w:val="11"/>
                          </w:rPr>
                          <w:t>claramente</w:t>
                        </w:r>
                        <w:r>
                          <w:rPr>
                            <w:spacing w:val="-7"/>
                            <w:w w:val="120"/>
                            <w:sz w:val="11"/>
                          </w:rPr>
                          <w:t> </w:t>
                        </w:r>
                        <w:r>
                          <w:rPr>
                            <w:w w:val="120"/>
                            <w:sz w:val="11"/>
                          </w:rPr>
                          <w:t>establecidos</w:t>
                        </w:r>
                        <w:r>
                          <w:rPr>
                            <w:spacing w:val="-7"/>
                            <w:w w:val="120"/>
                            <w:sz w:val="11"/>
                          </w:rPr>
                          <w:t> </w:t>
                        </w:r>
                        <w:r>
                          <w:rPr>
                            <w:w w:val="120"/>
                            <w:sz w:val="11"/>
                          </w:rPr>
                          <w:t>los medios y mecanismos para la obtención, procesamiento, generación, clasificación, validación y comunicación de la información financiera, presupuestaria, administrativa</w:t>
                        </w:r>
                        <w:r>
                          <w:rPr>
                            <w:spacing w:val="-9"/>
                            <w:w w:val="120"/>
                            <w:sz w:val="11"/>
                          </w:rPr>
                          <w:t> </w:t>
                        </w:r>
                        <w:r>
                          <w:rPr>
                            <w:w w:val="120"/>
                            <w:sz w:val="11"/>
                          </w:rPr>
                          <w:t>y</w:t>
                        </w:r>
                        <w:r>
                          <w:rPr>
                            <w:spacing w:val="-10"/>
                            <w:w w:val="120"/>
                            <w:sz w:val="11"/>
                          </w:rPr>
                          <w:t> </w:t>
                        </w:r>
                        <w:r>
                          <w:rPr>
                            <w:w w:val="120"/>
                            <w:sz w:val="11"/>
                          </w:rPr>
                          <w:t>operacional</w:t>
                        </w:r>
                        <w:r>
                          <w:rPr>
                            <w:spacing w:val="-10"/>
                            <w:w w:val="120"/>
                            <w:sz w:val="11"/>
                          </w:rPr>
                          <w:t> </w:t>
                        </w:r>
                        <w:r>
                          <w:rPr>
                            <w:w w:val="120"/>
                            <w:sz w:val="11"/>
                          </w:rPr>
                          <w:t>requerida en el desarrollo de los procesos, transacciones y actividades de la entidad, lo que permite al personal continuar con sus funciones y responsabilidades</w:t>
                        </w:r>
                        <w:r>
                          <w:rPr>
                            <w:spacing w:val="-7"/>
                            <w:w w:val="120"/>
                            <w:sz w:val="11"/>
                          </w:rPr>
                          <w:t> </w:t>
                        </w:r>
                        <w:r>
                          <w:rPr>
                            <w:w w:val="120"/>
                            <w:sz w:val="11"/>
                          </w:rPr>
                          <w:t>para</w:t>
                        </w:r>
                        <w:r>
                          <w:rPr>
                            <w:spacing w:val="-6"/>
                            <w:w w:val="120"/>
                            <w:sz w:val="11"/>
                          </w:rPr>
                          <w:t> </w:t>
                        </w:r>
                        <w:r>
                          <w:rPr>
                            <w:w w:val="120"/>
                            <w:sz w:val="11"/>
                          </w:rPr>
                          <w:t>el</w:t>
                        </w:r>
                        <w:r>
                          <w:rPr>
                            <w:spacing w:val="-7"/>
                            <w:w w:val="120"/>
                            <w:sz w:val="11"/>
                          </w:rPr>
                          <w:t> </w:t>
                        </w:r>
                        <w:r>
                          <w:rPr>
                            <w:w w:val="120"/>
                            <w:sz w:val="11"/>
                          </w:rPr>
                          <w:t>logro</w:t>
                        </w:r>
                        <w:r>
                          <w:rPr>
                            <w:spacing w:val="-6"/>
                            <w:w w:val="120"/>
                            <w:sz w:val="11"/>
                          </w:rPr>
                          <w:t> </w:t>
                        </w:r>
                        <w:r>
                          <w:rPr>
                            <w:w w:val="120"/>
                            <w:sz w:val="11"/>
                          </w:rPr>
                          <w:t>de</w:t>
                        </w:r>
                        <w:r>
                          <w:rPr>
                            <w:spacing w:val="-6"/>
                            <w:w w:val="120"/>
                            <w:sz w:val="11"/>
                          </w:rPr>
                          <w:t> </w:t>
                        </w:r>
                        <w:r>
                          <w:rPr>
                            <w:w w:val="120"/>
                            <w:sz w:val="11"/>
                          </w:rPr>
                          <w:t>los objetivos institucionales de manera eficiente</w:t>
                        </w:r>
                        <w:r>
                          <w:rPr>
                            <w:spacing w:val="-8"/>
                            <w:w w:val="120"/>
                            <w:sz w:val="11"/>
                          </w:rPr>
                          <w:t> </w:t>
                        </w:r>
                        <w:r>
                          <w:rPr>
                            <w:w w:val="120"/>
                            <w:sz w:val="11"/>
                          </w:rPr>
                          <w:t>y</w:t>
                        </w:r>
                        <w:r>
                          <w:rPr>
                            <w:spacing w:val="-8"/>
                            <w:w w:val="120"/>
                            <w:sz w:val="11"/>
                          </w:rPr>
                          <w:t> </w:t>
                        </w:r>
                        <w:r>
                          <w:rPr>
                            <w:w w:val="120"/>
                            <w:sz w:val="11"/>
                          </w:rPr>
                          <w:t>eficaz.</w:t>
                        </w:r>
                        <w:r>
                          <w:rPr>
                            <w:spacing w:val="-13"/>
                            <w:w w:val="120"/>
                            <w:sz w:val="11"/>
                          </w:rPr>
                          <w:t> </w:t>
                        </w:r>
                        <w:r>
                          <w:rPr>
                            <w:w w:val="120"/>
                            <w:sz w:val="11"/>
                          </w:rPr>
                          <w:t>Además,</w:t>
                        </w:r>
                        <w:r>
                          <w:rPr>
                            <w:spacing w:val="-7"/>
                            <w:w w:val="120"/>
                            <w:sz w:val="11"/>
                          </w:rPr>
                          <w:t> </w:t>
                        </w:r>
                        <w:r>
                          <w:rPr>
                            <w:w w:val="120"/>
                            <w:sz w:val="11"/>
                          </w:rPr>
                          <w:t>se</w:t>
                        </w:r>
                        <w:r>
                          <w:rPr>
                            <w:spacing w:val="-7"/>
                            <w:w w:val="120"/>
                            <w:sz w:val="11"/>
                          </w:rPr>
                          <w:t> </w:t>
                        </w:r>
                        <w:r>
                          <w:rPr>
                            <w:w w:val="120"/>
                            <w:sz w:val="11"/>
                          </w:rPr>
                          <w:t>dispone de una estructura organizacional que asegura el correcto y continuo funcionamiento de los sistemas, su seguridad física y mantenimiento, así como la validación de su integridad, confiabilidad y precisión de la información</w:t>
                        </w:r>
                        <w:r>
                          <w:rPr>
                            <w:spacing w:val="-11"/>
                            <w:w w:val="120"/>
                            <w:sz w:val="11"/>
                          </w:rPr>
                          <w:t> </w:t>
                        </w:r>
                        <w:r>
                          <w:rPr>
                            <w:w w:val="120"/>
                            <w:sz w:val="11"/>
                          </w:rPr>
                          <w:t>procesada</w:t>
                        </w:r>
                        <w:r>
                          <w:rPr>
                            <w:spacing w:val="-11"/>
                            <w:w w:val="120"/>
                            <w:sz w:val="11"/>
                          </w:rPr>
                          <w:t> </w:t>
                        </w:r>
                        <w:r>
                          <w:rPr>
                            <w:w w:val="120"/>
                            <w:sz w:val="11"/>
                          </w:rPr>
                          <w:t>y</w:t>
                        </w:r>
                        <w:r>
                          <w:rPr>
                            <w:spacing w:val="-11"/>
                            <w:w w:val="120"/>
                            <w:sz w:val="11"/>
                          </w:rPr>
                          <w:t> </w:t>
                        </w:r>
                        <w:r>
                          <w:rPr>
                            <w:w w:val="120"/>
                            <w:sz w:val="11"/>
                          </w:rPr>
                          <w:t>almacenada.</w:t>
                        </w:r>
                      </w:p>
                    </w:tc>
                    <w:tc>
                      <w:tcPr>
                        <w:tcW w:w="1951" w:type="dxa"/>
                        <w:tcBorders>
                          <w:left w:val="single" w:sz="4" w:space="0" w:color="000000"/>
                          <w:right w:val="single" w:sz="4" w:space="0" w:color="000000"/>
                        </w:tcBorders>
                      </w:tcPr>
                      <w:p>
                        <w:pPr/>
                      </w:p>
                    </w:tc>
                  </w:tr>
                  <w:tr>
                    <w:trPr>
                      <w:trHeight w:val="3681" w:hRule="exact"/>
                    </w:trPr>
                    <w:tc>
                      <w:tcPr>
                        <w:tcW w:w="2278" w:type="dxa"/>
                        <w:tcBorders>
                          <w:left w:val="single" w:sz="4" w:space="0" w:color="000000"/>
                          <w:right w:val="single" w:sz="4" w:space="0" w:color="000000"/>
                        </w:tcBorders>
                      </w:tcPr>
                      <w:p>
                        <w:pPr>
                          <w:pStyle w:val="TableParagraph"/>
                          <w:spacing w:line="259" w:lineRule="auto"/>
                          <w:ind w:left="18" w:right="12"/>
                          <w:rPr>
                            <w:sz w:val="11"/>
                          </w:rPr>
                        </w:pPr>
                        <w:r>
                          <w:rPr>
                            <w:w w:val="120"/>
                            <w:sz w:val="11"/>
                          </w:rPr>
                          <w:t>La entidad dispone de políticas y procedimientos de supervisión del control interno, lo que consolida el proceso de atención de las deficiencias identificadas y las derivadas de los reportes emanados de los sistemas de información, por lo que</w:t>
                        </w:r>
                        <w:r>
                          <w:rPr>
                            <w:spacing w:val="-8"/>
                            <w:w w:val="120"/>
                            <w:sz w:val="11"/>
                          </w:rPr>
                          <w:t> </w:t>
                        </w:r>
                        <w:r>
                          <w:rPr>
                            <w:w w:val="120"/>
                            <w:sz w:val="11"/>
                          </w:rPr>
                          <w:t>son</w:t>
                        </w:r>
                        <w:r>
                          <w:rPr>
                            <w:spacing w:val="-7"/>
                            <w:w w:val="120"/>
                            <w:sz w:val="11"/>
                          </w:rPr>
                          <w:t> </w:t>
                        </w:r>
                        <w:r>
                          <w:rPr>
                            <w:w w:val="120"/>
                            <w:sz w:val="11"/>
                          </w:rPr>
                          <w:t>resueltas</w:t>
                        </w:r>
                        <w:r>
                          <w:rPr>
                            <w:spacing w:val="-8"/>
                            <w:w w:val="120"/>
                            <w:sz w:val="11"/>
                          </w:rPr>
                          <w:t> </w:t>
                        </w:r>
                        <w:r>
                          <w:rPr>
                            <w:w w:val="120"/>
                            <w:sz w:val="11"/>
                          </w:rPr>
                          <w:t>oportunamente.</w:t>
                        </w:r>
                        <w:r>
                          <w:rPr>
                            <w:spacing w:val="-7"/>
                            <w:w w:val="120"/>
                            <w:sz w:val="11"/>
                          </w:rPr>
                          <w:t> </w:t>
                        </w:r>
                        <w:r>
                          <w:rPr>
                            <w:w w:val="120"/>
                            <w:sz w:val="11"/>
                          </w:rPr>
                          <w:t>Los servidores públicos encargados de la supervisión y evaluación tienen la capacidad para entender la naturaleza, atributos, limitaciones, tipos y técnicas de control y riesgos inherentes, ya que se tienen identificadas las debilidades específicas del sistema de control ante los riesgos que puedan afectar su funcionamiento, fortalecimiento y mejora continua, así como los controles de naturaleza preventiva, detectiva y correctiva. La difusión y seguimiento de la evaluación y actualización del control interno en todos</w:t>
                        </w:r>
                        <w:r>
                          <w:rPr>
                            <w:spacing w:val="-5"/>
                            <w:w w:val="120"/>
                            <w:sz w:val="11"/>
                          </w:rPr>
                          <w:t> </w:t>
                        </w:r>
                        <w:r>
                          <w:rPr>
                            <w:w w:val="120"/>
                            <w:sz w:val="11"/>
                          </w:rPr>
                          <w:t>los</w:t>
                        </w:r>
                        <w:r>
                          <w:rPr>
                            <w:spacing w:val="-5"/>
                            <w:w w:val="120"/>
                            <w:sz w:val="11"/>
                          </w:rPr>
                          <w:t> </w:t>
                        </w:r>
                        <w:r>
                          <w:rPr>
                            <w:w w:val="120"/>
                            <w:sz w:val="11"/>
                          </w:rPr>
                          <w:t>ámbitos</w:t>
                        </w:r>
                        <w:r>
                          <w:rPr>
                            <w:spacing w:val="-4"/>
                            <w:w w:val="120"/>
                            <w:sz w:val="11"/>
                          </w:rPr>
                          <w:t> </w:t>
                        </w:r>
                        <w:r>
                          <w:rPr>
                            <w:w w:val="120"/>
                            <w:sz w:val="11"/>
                          </w:rPr>
                          <w:t>de</w:t>
                        </w:r>
                        <w:r>
                          <w:rPr>
                            <w:spacing w:val="-5"/>
                            <w:w w:val="120"/>
                            <w:sz w:val="11"/>
                          </w:rPr>
                          <w:t> </w:t>
                        </w:r>
                        <w:r>
                          <w:rPr>
                            <w:w w:val="120"/>
                            <w:sz w:val="11"/>
                          </w:rPr>
                          <w:t>la</w:t>
                        </w:r>
                        <w:r>
                          <w:rPr>
                            <w:spacing w:val="-5"/>
                            <w:w w:val="120"/>
                            <w:sz w:val="11"/>
                          </w:rPr>
                          <w:t> </w:t>
                        </w:r>
                        <w:r>
                          <w:rPr>
                            <w:w w:val="120"/>
                            <w:sz w:val="11"/>
                          </w:rPr>
                          <w:t>entidad</w:t>
                        </w:r>
                        <w:r>
                          <w:rPr>
                            <w:spacing w:val="-5"/>
                            <w:w w:val="120"/>
                            <w:sz w:val="11"/>
                          </w:rPr>
                          <w:t> </w:t>
                        </w:r>
                        <w:r>
                          <w:rPr>
                            <w:w w:val="120"/>
                            <w:sz w:val="11"/>
                          </w:rPr>
                          <w:t>son</w:t>
                        </w:r>
                        <w:r>
                          <w:rPr>
                            <w:spacing w:val="-4"/>
                            <w:w w:val="120"/>
                            <w:sz w:val="11"/>
                          </w:rPr>
                          <w:t> </w:t>
                        </w:r>
                        <w:r>
                          <w:rPr>
                            <w:w w:val="120"/>
                            <w:sz w:val="11"/>
                          </w:rPr>
                          <w:t>de manera oportuna, ya que se informa periódicamente del resultado de su cumplimiento.</w:t>
                        </w:r>
                      </w:p>
                    </w:tc>
                    <w:tc>
                      <w:tcPr>
                        <w:tcW w:w="1951" w:type="dxa"/>
                        <w:tcBorders>
                          <w:left w:val="single" w:sz="4" w:space="0" w:color="000000"/>
                          <w:right w:val="single" w:sz="4" w:space="0" w:color="000000"/>
                        </w:tcBorders>
                      </w:tcPr>
                      <w:p>
                        <w:pPr/>
                      </w:p>
                    </w:tc>
                  </w:tr>
                </w:tbl>
                <w:p>
                  <w:pPr>
                    <w:pStyle w:val="BodyText"/>
                  </w:pPr>
                </w:p>
              </w:txbxContent>
            </v:textbox>
            <w10:wrap type="topAndBottom"/>
          </v:shape>
        </w:pict>
      </w:r>
    </w:p>
    <w:p>
      <w:pPr>
        <w:spacing w:after="0"/>
        <w:rPr>
          <w:sz w:val="13"/>
        </w:rPr>
        <w:sectPr>
          <w:type w:val="continuous"/>
          <w:pgSz w:w="15840" w:h="12240" w:orient="landscape"/>
          <w:pgMar w:top="0" w:bottom="280" w:left="2260" w:right="1420"/>
        </w:sectPr>
      </w:pPr>
    </w:p>
    <w:p>
      <w:pPr>
        <w:pStyle w:val="BodyText"/>
        <w:rPr>
          <w:b/>
          <w:sz w:val="20"/>
        </w:rPr>
      </w:pPr>
    </w:p>
    <w:p>
      <w:pPr>
        <w:pStyle w:val="BodyText"/>
        <w:rPr>
          <w:b/>
          <w:sz w:val="20"/>
        </w:rPr>
      </w:pPr>
    </w:p>
    <w:p>
      <w:pPr>
        <w:pStyle w:val="BodyText"/>
        <w:rPr>
          <w:b/>
          <w:sz w:val="20"/>
        </w:rPr>
      </w:pPr>
    </w:p>
    <w:p>
      <w:pPr>
        <w:pStyle w:val="BodyText"/>
        <w:spacing w:before="8"/>
        <w:rPr>
          <w:b/>
          <w:sz w:val="27"/>
        </w:rPr>
      </w:pPr>
    </w:p>
    <w:p>
      <w:pPr>
        <w:spacing w:line="280" w:lineRule="atLeast" w:before="24"/>
        <w:ind w:left="1102" w:right="7022" w:firstLine="0"/>
        <w:jc w:val="left"/>
        <w:rPr>
          <w:sz w:val="20"/>
        </w:rPr>
      </w:pPr>
      <w:r>
        <w:rPr/>
        <w:drawing>
          <wp:anchor distT="0" distB="0" distL="0" distR="0" allowOverlap="1" layoutInCell="1" locked="0" behindDoc="1" simplePos="0" relativeHeight="267763559">
            <wp:simplePos x="0" y="0"/>
            <wp:positionH relativeFrom="page">
              <wp:posOffset>2043683</wp:posOffset>
            </wp:positionH>
            <wp:positionV relativeFrom="paragraph">
              <wp:posOffset>50048</wp:posOffset>
            </wp:positionV>
            <wp:extent cx="2628899" cy="632460"/>
            <wp:effectExtent l="0" t="0" r="0" b="0"/>
            <wp:wrapNone/>
            <wp:docPr id="103" name="image264.png" descr=""/>
            <wp:cNvGraphicFramePr>
              <a:graphicFrameLocks noChangeAspect="1"/>
            </wp:cNvGraphicFramePr>
            <a:graphic>
              <a:graphicData uri="http://schemas.openxmlformats.org/drawingml/2006/picture">
                <pic:pic>
                  <pic:nvPicPr>
                    <pic:cNvPr id="104" name="image264.png"/>
                    <pic:cNvPicPr/>
                  </pic:nvPicPr>
                  <pic:blipFill>
                    <a:blip r:embed="rId324" cstate="print"/>
                    <a:stretch>
                      <a:fillRect/>
                    </a:stretch>
                  </pic:blipFill>
                  <pic:spPr>
                    <a:xfrm>
                      <a:off x="0" y="0"/>
                      <a:ext cx="2628899" cy="632460"/>
                    </a:xfrm>
                    <a:prstGeom prst="rect">
                      <a:avLst/>
                    </a:prstGeom>
                  </pic:spPr>
                </pic:pic>
              </a:graphicData>
            </a:graphic>
          </wp:anchor>
        </w:drawing>
      </w:r>
      <w:r>
        <w:rPr/>
        <w:pict>
          <v:group style="position:absolute;margin-left:502.920013pt;margin-top:6.940859pt;width:207pt;height:46.8pt;mso-position-horizontal-relative:page;mso-position-vertical-relative:paragraph;z-index:11392" coordorigin="10058,139" coordsize="4140,936">
            <v:shape style="position:absolute;left:10058;top:139;width:4140;height:936" type="#_x0000_t75" stroked="false">
              <v:imagedata r:id="rId325" o:title=""/>
            </v:shape>
            <v:shape style="position:absolute;left:10058;top:139;width:4140;height:936" type="#_x0000_t202" filled="false" stroked="false">
              <v:textbox inset="0,0,0,0">
                <w:txbxContent>
                  <w:p>
                    <w:pPr>
                      <w:spacing w:line="225" w:lineRule="exact" w:before="0"/>
                      <w:ind w:left="145" w:right="72" w:firstLine="0"/>
                      <w:jc w:val="left"/>
                      <w:rPr>
                        <w:sz w:val="20"/>
                      </w:rPr>
                    </w:pPr>
                    <w:r>
                      <w:rPr>
                        <w:b/>
                        <w:sz w:val="20"/>
                      </w:rPr>
                      <w:t>Fuente</w:t>
                    </w:r>
                    <w:r>
                      <w:rPr>
                        <w:sz w:val="20"/>
                      </w:rPr>
                      <w:t>: Elaboración propia con base en el</w:t>
                    </w:r>
                  </w:p>
                  <w:p>
                    <w:pPr>
                      <w:spacing w:before="3"/>
                      <w:ind w:left="145" w:right="72" w:firstLine="0"/>
                      <w:jc w:val="left"/>
                      <w:rPr>
                        <w:sz w:val="20"/>
                      </w:rPr>
                    </w:pPr>
                    <w:r>
                      <w:rPr>
                        <w:sz w:val="20"/>
                      </w:rPr>
                      <w:t>Informe de Resultados de la Fiscalización Superior de las cuentas públicas 2008-2014</w:t>
                    </w:r>
                  </w:p>
                  <w:p>
                    <w:pPr>
                      <w:spacing w:line="78" w:lineRule="exact" w:before="0"/>
                      <w:ind w:left="-920" w:right="72" w:firstLine="0"/>
                      <w:jc w:val="left"/>
                      <w:rPr>
                        <w:b/>
                        <w:sz w:val="10"/>
                      </w:rPr>
                    </w:pPr>
                    <w:r>
                      <w:rPr>
                        <w:b/>
                        <w:w w:val="185"/>
                        <w:sz w:val="10"/>
                        <w:u w:val="single"/>
                      </w:rPr>
                      <w:t>3</w:t>
                    </w:r>
                    <w:r>
                      <w:rPr>
                        <w:b/>
                        <w:sz w:val="10"/>
                        <w:u w:val="single"/>
                      </w:rPr>
                      <w:t>                                                          </w:t>
                    </w:r>
                  </w:p>
                </w:txbxContent>
              </v:textbox>
              <w10:wrap type="none"/>
            </v:shape>
            <w10:wrap type="none"/>
          </v:group>
        </w:pict>
      </w:r>
      <w:r>
        <w:rPr/>
        <w:pict>
          <v:shape style="position:absolute;margin-left:168.139999pt;margin-top:28.170126pt;width:191.75pt;height:10pt;mso-position-horizontal-relative:page;mso-position-vertical-relative:paragraph;z-index:-671800" type="#_x0000_t202" filled="false" stroked="false">
            <v:textbox inset="0,0,0,0">
              <w:txbxContent>
                <w:p>
                  <w:pPr>
                    <w:spacing w:line="199" w:lineRule="exact" w:before="0"/>
                    <w:ind w:left="0" w:right="-12" w:firstLine="0"/>
                    <w:jc w:val="left"/>
                    <w:rPr>
                      <w:sz w:val="20"/>
                    </w:rPr>
                  </w:pPr>
                  <w:r>
                    <w:rPr>
                      <w:sz w:val="20"/>
                    </w:rPr>
                    <w:t>Superior  de  las  cuentas  públicas  </w:t>
                  </w:r>
                  <w:r>
                    <w:rPr>
                      <w:spacing w:val="50"/>
                      <w:sz w:val="20"/>
                    </w:rPr>
                    <w:t> </w:t>
                  </w:r>
                  <w:r>
                    <w:rPr>
                      <w:spacing w:val="-3"/>
                      <w:sz w:val="20"/>
                    </w:rPr>
                    <w:t>2008-</w:t>
                  </w:r>
                </w:p>
              </w:txbxContent>
            </v:textbox>
            <w10:wrap type="none"/>
          </v:shape>
        </w:pict>
      </w:r>
      <w:r>
        <w:rPr>
          <w:b/>
          <w:sz w:val="20"/>
        </w:rPr>
        <w:t>Fuente</w:t>
      </w:r>
      <w:r>
        <w:rPr>
          <w:sz w:val="20"/>
        </w:rPr>
        <w:t>: Elaboración propia con base en el </w:t>
      </w:r>
      <w:r>
        <w:rPr>
          <w:w w:val="99"/>
          <w:sz w:val="20"/>
        </w:rPr>
        <w:t>In</w:t>
      </w:r>
      <w:r>
        <w:rPr>
          <w:spacing w:val="1"/>
          <w:w w:val="99"/>
          <w:sz w:val="20"/>
        </w:rPr>
        <w:t>f</w:t>
      </w:r>
      <w:r>
        <w:rPr>
          <w:w w:val="99"/>
          <w:sz w:val="20"/>
        </w:rPr>
        <w:t>o</w:t>
      </w:r>
      <w:r>
        <w:rPr>
          <w:spacing w:val="-2"/>
          <w:w w:val="99"/>
          <w:sz w:val="20"/>
        </w:rPr>
        <w:t>r</w:t>
      </w:r>
      <w:r>
        <w:rPr>
          <w:spacing w:val="4"/>
          <w:w w:val="99"/>
          <w:sz w:val="20"/>
        </w:rPr>
        <w:t>m</w:t>
      </w:r>
      <w:r>
        <w:rPr>
          <w:w w:val="99"/>
          <w:sz w:val="20"/>
        </w:rPr>
        <w:t>e</w:t>
      </w:r>
      <w:r>
        <w:rPr>
          <w:sz w:val="20"/>
        </w:rPr>
        <w:t>  </w:t>
      </w:r>
      <w:r>
        <w:rPr>
          <w:w w:val="99"/>
          <w:sz w:val="20"/>
        </w:rPr>
        <w:t>de</w:t>
      </w:r>
      <w:r>
        <w:rPr>
          <w:sz w:val="20"/>
        </w:rPr>
        <w:t>  </w:t>
      </w:r>
      <w:r>
        <w:rPr>
          <w:w w:val="99"/>
          <w:sz w:val="20"/>
        </w:rPr>
        <w:t>Res</w:t>
      </w:r>
      <w:r>
        <w:rPr>
          <w:w w:val="99"/>
          <w:sz w:val="20"/>
        </w:rPr>
        <w:t>u</w:t>
      </w:r>
      <w:r>
        <w:rPr>
          <w:spacing w:val="-2"/>
          <w:w w:val="99"/>
          <w:sz w:val="20"/>
        </w:rPr>
        <w:t>l</w:t>
      </w:r>
      <w:r>
        <w:rPr>
          <w:w w:val="99"/>
          <w:sz w:val="20"/>
        </w:rPr>
        <w:t>t</w:t>
      </w:r>
      <w:r>
        <w:rPr>
          <w:spacing w:val="-67"/>
          <w:w w:val="99"/>
          <w:sz w:val="20"/>
        </w:rPr>
        <w:t>a</w:t>
      </w:r>
      <w:r>
        <w:rPr>
          <w:spacing w:val="-94"/>
          <w:w w:val="100"/>
          <w:position w:val="-3"/>
          <w:sz w:val="24"/>
        </w:rPr>
        <w:t>A</w:t>
      </w:r>
      <w:r>
        <w:rPr>
          <w:spacing w:val="-17"/>
          <w:w w:val="99"/>
          <w:sz w:val="20"/>
        </w:rPr>
        <w:t>d</w:t>
      </w:r>
      <w:r>
        <w:rPr>
          <w:spacing w:val="-116"/>
          <w:w w:val="99"/>
          <w:position w:val="-3"/>
          <w:sz w:val="24"/>
        </w:rPr>
        <w:t>n</w:t>
      </w:r>
      <w:r>
        <w:rPr>
          <w:w w:val="99"/>
          <w:sz w:val="20"/>
        </w:rPr>
        <w:t>o</w:t>
      </w:r>
      <w:r>
        <w:rPr>
          <w:spacing w:val="-95"/>
          <w:w w:val="99"/>
          <w:sz w:val="20"/>
        </w:rPr>
        <w:t>s</w:t>
      </w:r>
      <w:r>
        <w:rPr>
          <w:w w:val="99"/>
          <w:position w:val="-3"/>
          <w:sz w:val="24"/>
        </w:rPr>
        <w:t>e</w:t>
      </w:r>
      <w:r>
        <w:rPr>
          <w:spacing w:val="-73"/>
          <w:position w:val="-3"/>
          <w:sz w:val="24"/>
        </w:rPr>
        <w:t>x</w:t>
      </w:r>
      <w:r>
        <w:rPr>
          <w:spacing w:val="-41"/>
          <w:w w:val="99"/>
          <w:sz w:val="20"/>
        </w:rPr>
        <w:t>d</w:t>
      </w:r>
      <w:r>
        <w:rPr>
          <w:spacing w:val="-94"/>
          <w:w w:val="99"/>
          <w:position w:val="-3"/>
          <w:sz w:val="24"/>
        </w:rPr>
        <w:t>o</w:t>
      </w:r>
      <w:r>
        <w:rPr>
          <w:w w:val="99"/>
          <w:sz w:val="20"/>
        </w:rPr>
        <w:t>e</w:t>
      </w:r>
      <w:r>
        <w:rPr>
          <w:sz w:val="20"/>
        </w:rPr>
        <w:t> </w:t>
      </w:r>
      <w:r>
        <w:rPr>
          <w:spacing w:val="-96"/>
          <w:w w:val="99"/>
          <w:position w:val="-3"/>
          <w:sz w:val="24"/>
        </w:rPr>
        <w:t>8</w:t>
      </w:r>
      <w:r>
        <w:rPr>
          <w:spacing w:val="-1"/>
          <w:w w:val="99"/>
          <w:sz w:val="20"/>
        </w:rPr>
        <w:t>l</w:t>
      </w:r>
      <w:r>
        <w:rPr>
          <w:spacing w:val="-58"/>
          <w:w w:val="99"/>
          <w:sz w:val="20"/>
        </w:rPr>
        <w:t>a</w:t>
      </w:r>
      <w:r>
        <w:rPr>
          <w:spacing w:val="9"/>
          <w:w w:val="99"/>
          <w:position w:val="-3"/>
          <w:sz w:val="24"/>
        </w:rPr>
        <w:t>1</w:t>
      </w:r>
      <w:r>
        <w:rPr>
          <w:w w:val="99"/>
          <w:sz w:val="20"/>
        </w:rPr>
        <w:t>F</w:t>
      </w:r>
      <w:r>
        <w:rPr>
          <w:spacing w:val="-1"/>
          <w:w w:val="99"/>
          <w:sz w:val="20"/>
        </w:rPr>
        <w:t>i</w:t>
      </w:r>
      <w:r>
        <w:rPr>
          <w:spacing w:val="1"/>
          <w:w w:val="99"/>
          <w:sz w:val="20"/>
        </w:rPr>
        <w:t>sc</w:t>
      </w:r>
      <w:r>
        <w:rPr>
          <w:w w:val="99"/>
          <w:sz w:val="20"/>
        </w:rPr>
        <w:t>a</w:t>
      </w:r>
      <w:r>
        <w:rPr>
          <w:spacing w:val="-2"/>
          <w:w w:val="99"/>
          <w:sz w:val="20"/>
        </w:rPr>
        <w:t>l</w:t>
      </w:r>
      <w:r>
        <w:rPr>
          <w:spacing w:val="4"/>
          <w:w w:val="99"/>
          <w:sz w:val="20"/>
        </w:rPr>
        <w:t>i</w:t>
      </w:r>
      <w:r>
        <w:rPr>
          <w:spacing w:val="-2"/>
          <w:w w:val="99"/>
          <w:sz w:val="20"/>
        </w:rPr>
        <w:t>z</w:t>
      </w:r>
      <w:r>
        <w:rPr>
          <w:w w:val="99"/>
          <w:sz w:val="20"/>
        </w:rPr>
        <w:t>a</w:t>
      </w:r>
      <w:r>
        <w:rPr>
          <w:spacing w:val="3"/>
          <w:w w:val="99"/>
          <w:sz w:val="20"/>
        </w:rPr>
        <w:t>c</w:t>
      </w:r>
      <w:r>
        <w:rPr>
          <w:spacing w:val="-1"/>
          <w:w w:val="99"/>
          <w:sz w:val="20"/>
        </w:rPr>
        <w:t>i</w:t>
      </w:r>
      <w:r>
        <w:rPr>
          <w:w w:val="99"/>
          <w:sz w:val="20"/>
        </w:rPr>
        <w:t>ón</w:t>
      </w:r>
    </w:p>
    <w:p>
      <w:pPr>
        <w:spacing w:line="55" w:lineRule="exact" w:before="0"/>
        <w:ind w:left="3948" w:right="0" w:firstLine="0"/>
        <w:jc w:val="left"/>
        <w:rPr>
          <w:b/>
          <w:sz w:val="10"/>
        </w:rPr>
      </w:pPr>
      <w:r>
        <w:rPr>
          <w:b/>
          <w:w w:val="185"/>
          <w:sz w:val="10"/>
        </w:rPr>
        <w:t>Calidad de la Gestión Gubernamental</w:t>
      </w:r>
    </w:p>
    <w:p>
      <w:pPr>
        <w:spacing w:before="17"/>
        <w:ind w:left="3796" w:right="0" w:firstLine="0"/>
        <w:jc w:val="left"/>
        <w:rPr>
          <w:b/>
          <w:sz w:val="10"/>
        </w:rPr>
      </w:pPr>
      <w:r>
        <w:rPr>
          <w:b/>
          <w:w w:val="185"/>
          <w:sz w:val="10"/>
        </w:rPr>
        <w:t>Controles Internos (Manejo y Aplicación)</w:t>
      </w:r>
    </w:p>
    <w:p>
      <w:pPr>
        <w:spacing w:after="0"/>
        <w:jc w:val="left"/>
        <w:rPr>
          <w:sz w:val="10"/>
        </w:rPr>
        <w:sectPr>
          <w:pgSz w:w="15840" w:h="12240" w:orient="landscape"/>
          <w:pgMar w:header="0" w:footer="992" w:top="1140" w:bottom="1180" w:left="2260" w:right="1540"/>
        </w:sectPr>
      </w:pPr>
    </w:p>
    <w:p>
      <w:pPr>
        <w:spacing w:line="225" w:lineRule="exact" w:before="0"/>
        <w:ind w:left="0" w:right="0" w:firstLine="0"/>
        <w:jc w:val="right"/>
        <w:rPr>
          <w:sz w:val="20"/>
        </w:rPr>
      </w:pPr>
      <w:r>
        <w:rPr/>
        <w:pict>
          <v:group style="position:absolute;margin-left:242.650772pt;margin-top:20.147238pt;width:299.9pt;height:13.55pt;mso-position-horizontal-relative:page;mso-position-vertical-relative:paragraph;z-index:-671824" coordorigin="4853,403" coordsize="5998,271">
            <v:rect style="position:absolute;left:4853;top:407;width:5989;height:135" filled="true" fillcolor="#e6b8b7" stroked="false">
              <v:fill type="solid"/>
            </v:rect>
            <v:rect style="position:absolute;left:4853;top:539;width:5989;height:135" filled="true" fillcolor="#f1dcdb" stroked="false">
              <v:fill type="solid"/>
            </v:rect>
            <v:shape style="position:absolute;left:369;top:-5419;width:7774;height:302" coordorigin="369,-5419" coordsize="7774,302" path="m4860,407l4860,407,10846,407m4860,539l4860,539,10846,539e" filled="false" stroked="true" strokeweight=".539635pt" strokecolor="#000000">
              <v:path arrowok="t"/>
            </v:shape>
            <w10:wrap type="none"/>
          </v:group>
        </w:pict>
      </w:r>
      <w:r>
        <w:rPr>
          <w:sz w:val="20"/>
        </w:rPr>
        <w:t>2014.</w:t>
      </w:r>
    </w:p>
    <w:p>
      <w:pPr>
        <w:tabs>
          <w:tab w:pos="2561" w:val="left" w:leader="none"/>
        </w:tabs>
        <w:spacing w:before="17"/>
        <w:ind w:left="950" w:right="0" w:firstLine="0"/>
        <w:jc w:val="left"/>
        <w:rPr>
          <w:b/>
          <w:sz w:val="10"/>
        </w:rPr>
      </w:pPr>
      <w:r>
        <w:rPr/>
        <w:br w:type="column"/>
      </w:r>
      <w:r>
        <w:rPr>
          <w:b/>
          <w:w w:val="185"/>
          <w:sz w:val="10"/>
          <w:u w:val="single"/>
        </w:rPr>
        <w:t> </w:t>
      </w:r>
      <w:r>
        <w:rPr>
          <w:b/>
          <w:sz w:val="10"/>
          <w:u w:val="single"/>
        </w:rPr>
        <w:tab/>
      </w:r>
      <w:r>
        <w:rPr>
          <w:b/>
          <w:w w:val="185"/>
          <w:sz w:val="10"/>
          <w:u w:val="single"/>
        </w:rPr>
        <w:t>Zacualpan Ejercicio Fiscal</w:t>
      </w:r>
      <w:r>
        <w:rPr>
          <w:b/>
          <w:spacing w:val="-9"/>
          <w:w w:val="185"/>
          <w:sz w:val="10"/>
          <w:u w:val="single"/>
        </w:rPr>
        <w:t> </w:t>
      </w:r>
      <w:r>
        <w:rPr>
          <w:b/>
          <w:w w:val="185"/>
          <w:sz w:val="10"/>
          <w:u w:val="single"/>
        </w:rPr>
        <w:t>201</w:t>
      </w:r>
    </w:p>
    <w:p>
      <w:pPr>
        <w:spacing w:after="0"/>
        <w:jc w:val="left"/>
        <w:rPr>
          <w:sz w:val="10"/>
        </w:rPr>
        <w:sectPr>
          <w:type w:val="continuous"/>
          <w:pgSz w:w="15840" w:h="12240" w:orient="landscape"/>
          <w:pgMar w:top="0" w:bottom="280" w:left="2260" w:right="1540"/>
          <w:cols w:num="2" w:equalWidth="0">
            <w:col w:w="1603" w:space="40"/>
            <w:col w:w="10397"/>
          </w:cols>
        </w:sectPr>
      </w:pPr>
    </w:p>
    <w:p>
      <w:pPr>
        <w:pStyle w:val="BodyText"/>
        <w:spacing w:before="5"/>
        <w:rPr>
          <w:b/>
          <w:sz w:val="15"/>
        </w:rPr>
      </w:pPr>
    </w:p>
    <w:tbl>
      <w:tblPr>
        <w:tblW w:w="0" w:type="auto"/>
        <w:jc w:val="left"/>
        <w:tblInd w:w="25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24"/>
        <w:gridCol w:w="2761"/>
      </w:tblGrid>
      <w:tr>
        <w:trPr>
          <w:trHeight w:val="269" w:hRule="exact"/>
        </w:trPr>
        <w:tc>
          <w:tcPr>
            <w:tcW w:w="5985" w:type="dxa"/>
            <w:gridSpan w:val="2"/>
            <w:tcBorders>
              <w:left w:val="single" w:sz="6" w:space="0" w:color="000000"/>
              <w:bottom w:val="single" w:sz="3" w:space="0" w:color="000000"/>
              <w:right w:val="single" w:sz="6" w:space="0" w:color="000000"/>
            </w:tcBorders>
          </w:tcPr>
          <w:p>
            <w:pPr>
              <w:pStyle w:val="TableParagraph"/>
              <w:spacing w:before="12"/>
              <w:ind w:left="2753" w:right="2736"/>
              <w:jc w:val="center"/>
              <w:rPr>
                <w:b/>
                <w:sz w:val="10"/>
              </w:rPr>
            </w:pPr>
            <w:r>
              <w:rPr>
                <w:b/>
                <w:w w:val="185"/>
                <w:sz w:val="10"/>
              </w:rPr>
              <w:t>FISM</w:t>
            </w:r>
          </w:p>
          <w:p>
            <w:pPr>
              <w:pStyle w:val="TableParagraph"/>
              <w:tabs>
                <w:tab w:pos="4083" w:val="left" w:leader="none"/>
              </w:tabs>
              <w:spacing w:before="17"/>
              <w:ind w:left="1152"/>
              <w:rPr>
                <w:b/>
                <w:sz w:val="10"/>
              </w:rPr>
            </w:pPr>
            <w:r>
              <w:rPr>
                <w:b/>
                <w:w w:val="185"/>
                <w:sz w:val="10"/>
              </w:rPr>
              <w:t>Fortalezas</w:t>
              <w:tab/>
              <w:t>Debilidades</w:t>
            </w:r>
          </w:p>
        </w:tc>
      </w:tr>
      <w:tr>
        <w:trPr>
          <w:trHeight w:val="1105" w:hRule="exact"/>
        </w:trPr>
        <w:tc>
          <w:tcPr>
            <w:tcW w:w="3224"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6" w:right="-4"/>
              <w:rPr>
                <w:sz w:val="10"/>
              </w:rPr>
            </w:pPr>
            <w:r>
              <w:rPr>
                <w:w w:val="185"/>
                <w:sz w:val="10"/>
              </w:rPr>
              <w:t>Existe una Planeación Estratégica que establece las acciones por seguir para la consecución de los objetivos y metas institucionales, la cual se difunde entre las áreas responsables de su ejecución.</w:t>
            </w:r>
          </w:p>
        </w:tc>
        <w:tc>
          <w:tcPr>
            <w:tcW w:w="27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6" w:right="69"/>
              <w:rPr>
                <w:sz w:val="10"/>
              </w:rPr>
            </w:pPr>
            <w:r>
              <w:rPr>
                <w:w w:val="185"/>
                <w:sz w:val="10"/>
              </w:rPr>
              <w:t>El municipio no dispone de un Manual de Organización, lo que impide establecer la distribución de las funciones entre los servidores públicos con nivel de mando medio y superior.</w:t>
            </w:r>
          </w:p>
        </w:tc>
      </w:tr>
      <w:tr>
        <w:trPr>
          <w:trHeight w:val="1137" w:hRule="exact"/>
        </w:trPr>
        <w:tc>
          <w:tcPr>
            <w:tcW w:w="3224" w:type="dxa"/>
            <w:tcBorders>
              <w:top w:val="single" w:sz="3" w:space="0" w:color="000000"/>
              <w:left w:val="single" w:sz="6" w:space="0" w:color="000000"/>
              <w:bottom w:val="single" w:sz="3" w:space="0" w:color="000000"/>
              <w:right w:val="single" w:sz="6" w:space="0" w:color="000000"/>
            </w:tcBorders>
          </w:tcPr>
          <w:p>
            <w:pPr/>
          </w:p>
        </w:tc>
        <w:tc>
          <w:tcPr>
            <w:tcW w:w="27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5" w:right="-3" w:firstLine="1"/>
              <w:rPr>
                <w:sz w:val="10"/>
              </w:rPr>
            </w:pPr>
            <w:r>
              <w:rPr>
                <w:w w:val="185"/>
                <w:sz w:val="10"/>
              </w:rPr>
              <w:t>El municipio no cuenta con Manuales de Procedimientos, lo que impide precisar las actividades que deben realizarse para cumplir debidamente con cada una de las funciones que demandan los puestos por desempeñar.</w:t>
            </w:r>
          </w:p>
        </w:tc>
      </w:tr>
      <w:tr>
        <w:trPr>
          <w:trHeight w:val="794" w:hRule="exact"/>
        </w:trPr>
        <w:tc>
          <w:tcPr>
            <w:tcW w:w="3224" w:type="dxa"/>
            <w:tcBorders>
              <w:top w:val="single" w:sz="3" w:space="0" w:color="000000"/>
              <w:left w:val="single" w:sz="6" w:space="0" w:color="000000"/>
              <w:bottom w:val="single" w:sz="3" w:space="0" w:color="000000"/>
              <w:right w:val="single" w:sz="6" w:space="0" w:color="000000"/>
            </w:tcBorders>
          </w:tcPr>
          <w:p>
            <w:pPr/>
          </w:p>
        </w:tc>
        <w:tc>
          <w:tcPr>
            <w:tcW w:w="27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4"/>
              <w:ind w:left="25" w:right="120" w:firstLine="1"/>
              <w:rPr>
                <w:sz w:val="10"/>
              </w:rPr>
            </w:pPr>
            <w:r>
              <w:rPr>
                <w:w w:val="185"/>
                <w:sz w:val="10"/>
              </w:rPr>
              <w:t>No existe un Código de Ética ni uno de Conducta, que orienten el comportamiento de los servidores públicos en el desarrollo de sus actividades.</w:t>
            </w:r>
          </w:p>
        </w:tc>
      </w:tr>
      <w:tr>
        <w:trPr>
          <w:trHeight w:val="927" w:hRule="exact"/>
        </w:trPr>
        <w:tc>
          <w:tcPr>
            <w:tcW w:w="3224" w:type="dxa"/>
            <w:tcBorders>
              <w:top w:val="single" w:sz="3" w:space="0" w:color="000000"/>
              <w:left w:val="single" w:sz="6" w:space="0" w:color="000000"/>
              <w:bottom w:val="single" w:sz="3" w:space="0" w:color="000000"/>
              <w:right w:val="single" w:sz="6" w:space="0" w:color="000000"/>
            </w:tcBorders>
          </w:tcPr>
          <w:p>
            <w:pPr/>
          </w:p>
        </w:tc>
        <w:tc>
          <w:tcPr>
            <w:tcW w:w="27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5" w:right="89" w:firstLine="1"/>
              <w:rPr>
                <w:sz w:val="10"/>
              </w:rPr>
            </w:pPr>
            <w:r>
              <w:rPr>
                <w:w w:val="185"/>
                <w:sz w:val="10"/>
              </w:rPr>
              <w:t>No se realizan evaluaciones del sistema de control interno, lo que impide determinar las causas de los problemas y, en consecuencia, no se ha establecido un programa de atención.</w:t>
            </w:r>
          </w:p>
        </w:tc>
      </w:tr>
      <w:tr>
        <w:trPr>
          <w:trHeight w:val="795" w:hRule="exact"/>
        </w:trPr>
        <w:tc>
          <w:tcPr>
            <w:tcW w:w="3224" w:type="dxa"/>
            <w:tcBorders>
              <w:top w:val="single" w:sz="3" w:space="0" w:color="000000"/>
              <w:left w:val="single" w:sz="6" w:space="0" w:color="000000"/>
              <w:bottom w:val="single" w:sz="3" w:space="0" w:color="000000"/>
              <w:right w:val="single" w:sz="6" w:space="0" w:color="000000"/>
            </w:tcBorders>
          </w:tcPr>
          <w:p>
            <w:pPr/>
          </w:p>
        </w:tc>
        <w:tc>
          <w:tcPr>
            <w:tcW w:w="27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5" w:right="151" w:firstLine="1"/>
              <w:rPr>
                <w:sz w:val="10"/>
              </w:rPr>
            </w:pPr>
            <w:r>
              <w:rPr>
                <w:w w:val="185"/>
                <w:sz w:val="10"/>
              </w:rPr>
              <w:t>No tiene un programa de capacitación en temas relacionados con el manejo del fondo, situación que dificulta la actualización profesional del personal.</w:t>
            </w:r>
          </w:p>
        </w:tc>
      </w:tr>
      <w:tr>
        <w:trPr>
          <w:trHeight w:val="1191" w:hRule="exact"/>
        </w:trPr>
        <w:tc>
          <w:tcPr>
            <w:tcW w:w="3224" w:type="dxa"/>
            <w:tcBorders>
              <w:top w:val="single" w:sz="3" w:space="0" w:color="000000"/>
              <w:left w:val="single" w:sz="6" w:space="0" w:color="000000"/>
              <w:bottom w:val="single" w:sz="3" w:space="0" w:color="000000"/>
              <w:right w:val="single" w:sz="6" w:space="0" w:color="000000"/>
            </w:tcBorders>
          </w:tcPr>
          <w:p>
            <w:pPr/>
          </w:p>
        </w:tc>
        <w:tc>
          <w:tcPr>
            <w:tcW w:w="2761" w:type="dxa"/>
            <w:tcBorders>
              <w:top w:val="single" w:sz="3" w:space="0" w:color="000000"/>
              <w:left w:val="single" w:sz="6" w:space="0" w:color="000000"/>
              <w:bottom w:val="single" w:sz="3" w:space="0" w:color="000000"/>
              <w:right w:val="single" w:sz="6" w:space="0" w:color="000000"/>
            </w:tcBorders>
          </w:tcPr>
          <w:p>
            <w:pPr>
              <w:pStyle w:val="TableParagraph"/>
              <w:spacing w:line="276" w:lineRule="auto" w:before="3"/>
              <w:ind w:left="25" w:right="111" w:firstLine="1"/>
              <w:rPr>
                <w:sz w:val="10"/>
              </w:rPr>
            </w:pPr>
            <w:r>
              <w:rPr>
                <w:w w:val="185"/>
                <w:sz w:val="10"/>
              </w:rPr>
              <w:t>No se han implementado mecanismos para identificar los riesgos que pueden impedir la consecución de cada objetivo y meta institucional, lo que imposibilita la realización de acciones que permitan mitigar, administrar o minimizar dichos riesgos.</w:t>
            </w:r>
          </w:p>
        </w:tc>
      </w:tr>
    </w:tbl>
    <w:p>
      <w:pPr>
        <w:spacing w:after="0" w:line="276" w:lineRule="auto"/>
        <w:rPr>
          <w:sz w:val="10"/>
        </w:rPr>
        <w:sectPr>
          <w:type w:val="continuous"/>
          <w:pgSz w:w="15840" w:h="12240" w:orient="landscape"/>
          <w:pgMar w:top="0" w:bottom="280" w:left="2260" w:right="15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4"/>
        </w:rPr>
      </w:pPr>
    </w:p>
    <w:p>
      <w:pPr>
        <w:pStyle w:val="BodyText"/>
        <w:ind w:left="2458"/>
        <w:rPr>
          <w:sz w:val="20"/>
        </w:rPr>
      </w:pPr>
      <w:r>
        <w:rPr>
          <w:sz w:val="20"/>
        </w:rPr>
        <w:pict>
          <v:group style="width:303pt;height:37.8pt;mso-position-horizontal-relative:char;mso-position-vertical-relative:line" coordorigin="0,0" coordsize="6060,756">
            <v:shape style="position:absolute;left:0;top:0;width:6060;height:756" type="#_x0000_t75" stroked="false">
              <v:imagedata r:id="rId190" o:title=""/>
            </v:shape>
            <v:shape style="position:absolute;left:0;top:0;width:6060;height:756" type="#_x0000_t202" filled="false" stroked="false">
              <v:textbox inset="0,0,0,0">
                <w:txbxContent>
                  <w:p>
                    <w:pPr>
                      <w:spacing w:line="242" w:lineRule="auto" w:before="0"/>
                      <w:ind w:left="144" w:right="146" w:firstLine="0"/>
                      <w:jc w:val="left"/>
                      <w:rPr>
                        <w:sz w:val="20"/>
                      </w:rPr>
                    </w:pPr>
                    <w:r>
                      <w:rPr>
                        <w:b/>
                        <w:sz w:val="20"/>
                      </w:rPr>
                      <w:t>Fuente:</w:t>
                    </w:r>
                    <w:r>
                      <w:rPr>
                        <w:b/>
                        <w:spacing w:val="-13"/>
                        <w:sz w:val="20"/>
                      </w:rPr>
                      <w:t> </w:t>
                    </w:r>
                    <w:r>
                      <w:rPr>
                        <w:sz w:val="20"/>
                      </w:rPr>
                      <w:t>Elaboración</w:t>
                    </w:r>
                    <w:r>
                      <w:rPr>
                        <w:spacing w:val="-13"/>
                        <w:sz w:val="20"/>
                      </w:rPr>
                      <w:t> </w:t>
                    </w:r>
                    <w:r>
                      <w:rPr>
                        <w:sz w:val="20"/>
                      </w:rPr>
                      <w:t>propia</w:t>
                    </w:r>
                    <w:r>
                      <w:rPr>
                        <w:spacing w:val="-13"/>
                        <w:sz w:val="20"/>
                      </w:rPr>
                      <w:t> </w:t>
                    </w:r>
                    <w:r>
                      <w:rPr>
                        <w:sz w:val="20"/>
                      </w:rPr>
                      <w:t>con</w:t>
                    </w:r>
                    <w:r>
                      <w:rPr>
                        <w:spacing w:val="-13"/>
                        <w:sz w:val="20"/>
                      </w:rPr>
                      <w:t> </w:t>
                    </w:r>
                    <w:r>
                      <w:rPr>
                        <w:sz w:val="20"/>
                      </w:rPr>
                      <w:t>base</w:t>
                    </w:r>
                    <w:r>
                      <w:rPr>
                        <w:spacing w:val="-13"/>
                        <w:sz w:val="20"/>
                      </w:rPr>
                      <w:t> </w:t>
                    </w:r>
                    <w:r>
                      <w:rPr>
                        <w:sz w:val="20"/>
                      </w:rPr>
                      <w:t>en</w:t>
                    </w:r>
                    <w:r>
                      <w:rPr>
                        <w:spacing w:val="-13"/>
                        <w:sz w:val="20"/>
                      </w:rPr>
                      <w:t> </w:t>
                    </w:r>
                    <w:r>
                      <w:rPr>
                        <w:sz w:val="20"/>
                      </w:rPr>
                      <w:t>el</w:t>
                    </w:r>
                    <w:r>
                      <w:rPr>
                        <w:spacing w:val="-14"/>
                        <w:sz w:val="20"/>
                      </w:rPr>
                      <w:t> </w:t>
                    </w:r>
                    <w:r>
                      <w:rPr>
                        <w:sz w:val="20"/>
                      </w:rPr>
                      <w:t>Informe</w:t>
                    </w:r>
                    <w:r>
                      <w:rPr>
                        <w:spacing w:val="-15"/>
                        <w:sz w:val="20"/>
                      </w:rPr>
                      <w:t> </w:t>
                    </w:r>
                    <w:r>
                      <w:rPr>
                        <w:sz w:val="20"/>
                      </w:rPr>
                      <w:t>de</w:t>
                    </w:r>
                    <w:r>
                      <w:rPr>
                        <w:spacing w:val="-13"/>
                        <w:sz w:val="20"/>
                      </w:rPr>
                      <w:t> </w:t>
                    </w:r>
                    <w:r>
                      <w:rPr>
                        <w:sz w:val="20"/>
                      </w:rPr>
                      <w:t>Resultados de la Fiscalización Superior de las cuentas públicas</w:t>
                    </w:r>
                    <w:r>
                      <w:rPr>
                        <w:spacing w:val="-15"/>
                        <w:sz w:val="20"/>
                      </w:rPr>
                      <w:t> </w:t>
                    </w:r>
                    <w:r>
                      <w:rPr>
                        <w:sz w:val="20"/>
                      </w:rPr>
                      <w:t>2008-2014.</w:t>
                    </w:r>
                  </w:p>
                </w:txbxContent>
              </v:textbox>
              <w10:wrap type="none"/>
            </v:shape>
          </v:group>
        </w:pict>
      </w:r>
      <w:r>
        <w:rPr>
          <w:sz w:val="20"/>
        </w:rPr>
      </w:r>
    </w:p>
    <w:p>
      <w:pPr>
        <w:spacing w:before="7" w:after="9"/>
        <w:ind w:left="2406" w:right="1340" w:firstLine="0"/>
        <w:jc w:val="left"/>
        <w:rPr>
          <w:b/>
          <w:sz w:val="17"/>
        </w:rPr>
      </w:pPr>
      <w:r>
        <w:rPr>
          <w:b/>
          <w:w w:val="90"/>
          <w:sz w:val="17"/>
        </w:rPr>
        <w:t>Observaciones Generados del FISM y FORTAMUNDF en el Ejercicio 2008 (miles de pesos)</w:t>
      </w:r>
    </w:p>
    <w:p>
      <w:pPr>
        <w:pStyle w:val="BodyText"/>
        <w:spacing w:line="20" w:lineRule="exact"/>
        <w:ind w:left="978"/>
        <w:rPr>
          <w:sz w:val="2"/>
        </w:rPr>
      </w:pPr>
      <w:r>
        <w:rPr>
          <w:sz w:val="2"/>
        </w:rPr>
        <w:pict>
          <v:group style="width:467.2pt;height:.7pt;mso-position-horizontal-relative:char;mso-position-vertical-relative:line" coordorigin="0,0" coordsize="9344,14">
            <v:shape style="position:absolute;left:7;top:7;width:9330;height:2" coordorigin="7,7" coordsize="9330,0" path="m7,7l7,7,9337,7e" filled="false" stroked="true" strokeweight=".664437pt" strokecolor="#000000">
              <v:path arrowok="t"/>
            </v:shape>
          </v:group>
        </w:pict>
      </w:r>
      <w:r>
        <w:rPr>
          <w:sz w:val="2"/>
        </w:rPr>
      </w:r>
    </w:p>
    <w:p>
      <w:pPr>
        <w:spacing w:before="91" w:after="10"/>
        <w:ind w:left="3022" w:right="1340" w:firstLine="0"/>
        <w:jc w:val="left"/>
        <w:rPr>
          <w:b/>
          <w:sz w:val="17"/>
        </w:rPr>
      </w:pPr>
      <w:r>
        <w:rPr>
          <w:w w:val="100"/>
          <w:position w:val="6"/>
          <w:sz w:val="24"/>
        </w:rPr>
        <w:t>A</w:t>
      </w:r>
      <w:r>
        <w:rPr>
          <w:w w:val="99"/>
          <w:position w:val="6"/>
          <w:sz w:val="24"/>
        </w:rPr>
        <w:t>ne</w:t>
      </w:r>
      <w:r>
        <w:rPr>
          <w:spacing w:val="-3"/>
          <w:position w:val="6"/>
          <w:sz w:val="24"/>
        </w:rPr>
        <w:t>x</w:t>
      </w:r>
      <w:r>
        <w:rPr>
          <w:w w:val="99"/>
          <w:position w:val="6"/>
          <w:sz w:val="24"/>
        </w:rPr>
        <w:t>o</w:t>
      </w:r>
      <w:r>
        <w:rPr>
          <w:position w:val="6"/>
          <w:sz w:val="24"/>
        </w:rPr>
        <w:t> </w:t>
      </w:r>
      <w:r>
        <w:rPr>
          <w:spacing w:val="1"/>
          <w:w w:val="99"/>
          <w:position w:val="6"/>
          <w:sz w:val="24"/>
        </w:rPr>
        <w:t>8</w:t>
      </w:r>
      <w:r>
        <w:rPr>
          <w:spacing w:val="-76"/>
          <w:w w:val="99"/>
          <w:position w:val="6"/>
          <w:sz w:val="24"/>
        </w:rPr>
        <w:t>2</w:t>
      </w:r>
      <w:r>
        <w:rPr>
          <w:b/>
          <w:spacing w:val="-19"/>
          <w:w w:val="89"/>
          <w:sz w:val="17"/>
        </w:rPr>
        <w:t>F</w:t>
      </w:r>
      <w:r>
        <w:rPr>
          <w:spacing w:val="-48"/>
          <w:w w:val="100"/>
          <w:position w:val="6"/>
          <w:sz w:val="24"/>
        </w:rPr>
        <w:t>.</w:t>
      </w:r>
      <w:r>
        <w:rPr>
          <w:b/>
          <w:w w:val="89"/>
          <w:sz w:val="17"/>
        </w:rPr>
        <w:t>o</w:t>
      </w:r>
      <w:r>
        <w:rPr>
          <w:b/>
          <w:spacing w:val="-1"/>
          <w:w w:val="89"/>
          <w:sz w:val="17"/>
        </w:rPr>
        <w:t>nd</w:t>
      </w:r>
      <w:r>
        <w:rPr>
          <w:b/>
          <w:w w:val="89"/>
          <w:sz w:val="17"/>
        </w:rPr>
        <w:t>o</w:t>
      </w:r>
      <w:r>
        <w:rPr>
          <w:b/>
          <w:spacing w:val="-5"/>
          <w:sz w:val="17"/>
        </w:rPr>
        <w:t> </w:t>
      </w:r>
      <w:r>
        <w:rPr>
          <w:b/>
          <w:w w:val="89"/>
          <w:sz w:val="17"/>
        </w:rPr>
        <w:t>p</w:t>
      </w:r>
      <w:r>
        <w:rPr>
          <w:b/>
          <w:w w:val="89"/>
          <w:sz w:val="17"/>
        </w:rPr>
        <w:t>a</w:t>
      </w:r>
      <w:r>
        <w:rPr>
          <w:b/>
          <w:spacing w:val="-1"/>
          <w:w w:val="89"/>
          <w:sz w:val="17"/>
        </w:rPr>
        <w:t>r</w:t>
      </w:r>
      <w:r>
        <w:rPr>
          <w:b/>
          <w:w w:val="89"/>
          <w:sz w:val="17"/>
        </w:rPr>
        <w:t>a</w:t>
      </w:r>
      <w:r>
        <w:rPr>
          <w:b/>
          <w:spacing w:val="-6"/>
          <w:sz w:val="17"/>
        </w:rPr>
        <w:t> </w:t>
      </w:r>
      <w:r>
        <w:rPr>
          <w:b/>
          <w:w w:val="89"/>
          <w:sz w:val="17"/>
        </w:rPr>
        <w:t>l</w:t>
      </w:r>
      <w:r>
        <w:rPr>
          <w:b/>
          <w:w w:val="89"/>
          <w:sz w:val="17"/>
        </w:rPr>
        <w:t>a</w:t>
      </w:r>
      <w:r>
        <w:rPr>
          <w:b/>
          <w:sz w:val="17"/>
        </w:rPr>
        <w:t> </w:t>
      </w:r>
      <w:r>
        <w:rPr>
          <w:b/>
          <w:spacing w:val="-10"/>
          <w:sz w:val="17"/>
        </w:rPr>
        <w:t> </w:t>
      </w:r>
      <w:r>
        <w:rPr>
          <w:b/>
          <w:spacing w:val="-1"/>
          <w:w w:val="89"/>
          <w:sz w:val="17"/>
        </w:rPr>
        <w:t>In</w:t>
      </w:r>
      <w:r>
        <w:rPr>
          <w:b/>
          <w:spacing w:val="-1"/>
          <w:w w:val="89"/>
          <w:sz w:val="17"/>
        </w:rPr>
        <w:t>f</w:t>
      </w:r>
      <w:r>
        <w:rPr>
          <w:b/>
          <w:spacing w:val="1"/>
          <w:w w:val="89"/>
          <w:sz w:val="17"/>
        </w:rPr>
        <w:t>r</w:t>
      </w:r>
      <w:r>
        <w:rPr>
          <w:b/>
          <w:w w:val="89"/>
          <w:sz w:val="17"/>
        </w:rPr>
        <w:t>aes</w:t>
      </w:r>
      <w:r>
        <w:rPr>
          <w:b/>
          <w:spacing w:val="-1"/>
          <w:w w:val="89"/>
          <w:sz w:val="17"/>
        </w:rPr>
        <w:t>t</w:t>
      </w:r>
      <w:r>
        <w:rPr>
          <w:b/>
          <w:spacing w:val="1"/>
          <w:w w:val="89"/>
          <w:sz w:val="17"/>
        </w:rPr>
        <w:t>r</w:t>
      </w:r>
      <w:r>
        <w:rPr>
          <w:b/>
          <w:w w:val="89"/>
          <w:sz w:val="17"/>
        </w:rPr>
        <w:t>u</w:t>
      </w:r>
      <w:r>
        <w:rPr>
          <w:b/>
          <w:w w:val="89"/>
          <w:sz w:val="17"/>
        </w:rPr>
        <w:t>c</w:t>
      </w:r>
      <w:r>
        <w:rPr>
          <w:b/>
          <w:spacing w:val="-1"/>
          <w:w w:val="89"/>
          <w:sz w:val="17"/>
        </w:rPr>
        <w:t>t</w:t>
      </w:r>
      <w:r>
        <w:rPr>
          <w:b/>
          <w:spacing w:val="1"/>
          <w:w w:val="89"/>
          <w:sz w:val="17"/>
        </w:rPr>
        <w:t>u</w:t>
      </w:r>
      <w:r>
        <w:rPr>
          <w:b/>
          <w:w w:val="89"/>
          <w:sz w:val="17"/>
        </w:rPr>
        <w:t>r</w:t>
      </w:r>
      <w:r>
        <w:rPr>
          <w:b/>
          <w:w w:val="89"/>
          <w:sz w:val="17"/>
        </w:rPr>
        <w:t>a</w:t>
      </w:r>
      <w:r>
        <w:rPr>
          <w:b/>
          <w:spacing w:val="-6"/>
          <w:sz w:val="17"/>
        </w:rPr>
        <w:t> </w:t>
      </w:r>
      <w:r>
        <w:rPr>
          <w:b/>
          <w:spacing w:val="-1"/>
          <w:w w:val="89"/>
          <w:sz w:val="17"/>
        </w:rPr>
        <w:t>S</w:t>
      </w:r>
      <w:r>
        <w:rPr>
          <w:b/>
          <w:spacing w:val="1"/>
          <w:w w:val="89"/>
          <w:sz w:val="17"/>
        </w:rPr>
        <w:t>o</w:t>
      </w:r>
      <w:r>
        <w:rPr>
          <w:b/>
          <w:spacing w:val="-1"/>
          <w:w w:val="89"/>
          <w:sz w:val="17"/>
        </w:rPr>
        <w:t>c</w:t>
      </w:r>
      <w:r>
        <w:rPr>
          <w:b/>
          <w:spacing w:val="-1"/>
          <w:w w:val="89"/>
          <w:sz w:val="17"/>
        </w:rPr>
        <w:t>i</w:t>
      </w:r>
      <w:r>
        <w:rPr>
          <w:b/>
          <w:w w:val="89"/>
          <w:sz w:val="17"/>
        </w:rPr>
        <w:t>a</w:t>
      </w:r>
      <w:r>
        <w:rPr>
          <w:b/>
          <w:w w:val="89"/>
          <w:sz w:val="17"/>
        </w:rPr>
        <w:t>l</w:t>
      </w:r>
      <w:r>
        <w:rPr>
          <w:b/>
          <w:spacing w:val="-5"/>
          <w:sz w:val="17"/>
        </w:rPr>
        <w:t> </w:t>
      </w:r>
      <w:r>
        <w:rPr>
          <w:b/>
          <w:w w:val="89"/>
          <w:sz w:val="17"/>
        </w:rPr>
        <w:t>M</w:t>
      </w:r>
      <w:r>
        <w:rPr>
          <w:b/>
          <w:spacing w:val="-1"/>
          <w:w w:val="89"/>
          <w:sz w:val="17"/>
        </w:rPr>
        <w:t>u</w:t>
      </w:r>
      <w:r>
        <w:rPr>
          <w:b/>
          <w:spacing w:val="1"/>
          <w:w w:val="89"/>
          <w:sz w:val="17"/>
        </w:rPr>
        <w:t>n</w:t>
      </w:r>
      <w:r>
        <w:rPr>
          <w:b/>
          <w:spacing w:val="-1"/>
          <w:w w:val="89"/>
          <w:sz w:val="17"/>
        </w:rPr>
        <w:t>i</w:t>
      </w:r>
      <w:r>
        <w:rPr>
          <w:b/>
          <w:w w:val="89"/>
          <w:sz w:val="17"/>
        </w:rPr>
        <w:t>c</w:t>
      </w:r>
      <w:r>
        <w:rPr>
          <w:b/>
          <w:spacing w:val="-1"/>
          <w:w w:val="89"/>
          <w:sz w:val="17"/>
        </w:rPr>
        <w:t>i</w:t>
      </w:r>
      <w:r>
        <w:rPr>
          <w:b/>
          <w:spacing w:val="1"/>
          <w:w w:val="89"/>
          <w:sz w:val="17"/>
        </w:rPr>
        <w:t>p</w:t>
      </w:r>
      <w:r>
        <w:rPr>
          <w:b/>
          <w:w w:val="89"/>
          <w:sz w:val="17"/>
        </w:rPr>
        <w:t>a</w:t>
      </w:r>
      <w:r>
        <w:rPr>
          <w:b/>
          <w:w w:val="89"/>
          <w:sz w:val="17"/>
        </w:rPr>
        <w:t>l</w:t>
      </w:r>
    </w:p>
    <w:tbl>
      <w:tblPr>
        <w:tblW w:w="0" w:type="auto"/>
        <w:jc w:val="left"/>
        <w:tblInd w:w="97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138"/>
        <w:gridCol w:w="1519"/>
        <w:gridCol w:w="1051"/>
        <w:gridCol w:w="4620"/>
      </w:tblGrid>
      <w:tr>
        <w:trPr>
          <w:trHeight w:val="664" w:hRule="exact"/>
        </w:trPr>
        <w:tc>
          <w:tcPr>
            <w:tcW w:w="2138" w:type="dxa"/>
            <w:tcBorders>
              <w:left w:val="single" w:sz="5" w:space="0" w:color="000000"/>
              <w:right w:val="single" w:sz="5" w:space="0" w:color="000000"/>
            </w:tcBorders>
            <w:shd w:val="clear" w:color="auto" w:fill="E6B8B7"/>
          </w:tcPr>
          <w:p>
            <w:pPr>
              <w:pStyle w:val="TableParagraph"/>
              <w:rPr>
                <w:b/>
                <w:sz w:val="18"/>
              </w:rPr>
            </w:pPr>
          </w:p>
          <w:p>
            <w:pPr>
              <w:pStyle w:val="TableParagraph"/>
              <w:spacing w:before="9"/>
              <w:rPr>
                <w:b/>
                <w:sz w:val="20"/>
              </w:rPr>
            </w:pPr>
          </w:p>
          <w:p>
            <w:pPr>
              <w:pStyle w:val="TableParagraph"/>
              <w:ind w:left="418"/>
              <w:rPr>
                <w:b/>
                <w:sz w:val="17"/>
              </w:rPr>
            </w:pPr>
            <w:r>
              <w:rPr>
                <w:b/>
                <w:w w:val="90"/>
                <w:sz w:val="17"/>
              </w:rPr>
              <w:t>Entidad Municipal</w:t>
            </w:r>
          </w:p>
        </w:tc>
        <w:tc>
          <w:tcPr>
            <w:tcW w:w="1519" w:type="dxa"/>
            <w:tcBorders>
              <w:left w:val="single" w:sz="5" w:space="0" w:color="000000"/>
              <w:right w:val="single" w:sz="5" w:space="0" w:color="000000"/>
            </w:tcBorders>
            <w:shd w:val="clear" w:color="auto" w:fill="E6B8B7"/>
          </w:tcPr>
          <w:p>
            <w:pPr>
              <w:pStyle w:val="TableParagraph"/>
              <w:spacing w:line="271" w:lineRule="auto" w:before="4"/>
              <w:ind w:left="163" w:right="152" w:hanging="2"/>
              <w:jc w:val="center"/>
              <w:rPr>
                <w:b/>
                <w:sz w:val="17"/>
              </w:rPr>
            </w:pPr>
            <w:r>
              <w:rPr>
                <w:b/>
                <w:w w:val="90"/>
                <w:sz w:val="17"/>
              </w:rPr>
              <w:t>Cuantificación Monetaria de</w:t>
            </w:r>
            <w:r>
              <w:rPr>
                <w:b/>
                <w:spacing w:val="-16"/>
                <w:w w:val="90"/>
                <w:sz w:val="17"/>
              </w:rPr>
              <w:t> </w:t>
            </w:r>
            <w:r>
              <w:rPr>
                <w:b/>
                <w:w w:val="90"/>
                <w:sz w:val="17"/>
              </w:rPr>
              <w:t>las Observaciones</w:t>
            </w:r>
          </w:p>
        </w:tc>
        <w:tc>
          <w:tcPr>
            <w:tcW w:w="1051" w:type="dxa"/>
            <w:tcBorders>
              <w:left w:val="single" w:sz="5" w:space="0" w:color="000000"/>
              <w:right w:val="single" w:sz="5" w:space="0" w:color="000000"/>
            </w:tcBorders>
            <w:shd w:val="clear" w:color="auto" w:fill="E6B8B7"/>
          </w:tcPr>
          <w:p>
            <w:pPr/>
          </w:p>
        </w:tc>
        <w:tc>
          <w:tcPr>
            <w:tcW w:w="4620" w:type="dxa"/>
            <w:tcBorders>
              <w:left w:val="single" w:sz="5" w:space="0" w:color="000000"/>
              <w:right w:val="single" w:sz="5" w:space="0" w:color="000000"/>
            </w:tcBorders>
            <w:shd w:val="clear" w:color="auto" w:fill="E6B8B7"/>
          </w:tcPr>
          <w:p>
            <w:pPr>
              <w:pStyle w:val="TableParagraph"/>
              <w:rPr>
                <w:b/>
                <w:sz w:val="18"/>
              </w:rPr>
            </w:pPr>
          </w:p>
          <w:p>
            <w:pPr>
              <w:pStyle w:val="TableParagraph"/>
              <w:spacing w:before="9"/>
              <w:rPr>
                <w:b/>
                <w:sz w:val="20"/>
              </w:rPr>
            </w:pPr>
          </w:p>
          <w:p>
            <w:pPr>
              <w:pStyle w:val="TableParagraph"/>
              <w:ind w:left="1897" w:right="1887"/>
              <w:jc w:val="center"/>
              <w:rPr>
                <w:b/>
                <w:sz w:val="17"/>
              </w:rPr>
            </w:pPr>
            <w:r>
              <w:rPr>
                <w:b/>
                <w:sz w:val="17"/>
              </w:rPr>
              <w:t>Concepto</w:t>
            </w:r>
          </w:p>
        </w:tc>
      </w:tr>
      <w:tr>
        <w:trPr>
          <w:trHeight w:val="223" w:hRule="exact"/>
        </w:trPr>
        <w:tc>
          <w:tcPr>
            <w:tcW w:w="2138" w:type="dxa"/>
            <w:vMerge w:val="restart"/>
            <w:tcBorders>
              <w:left w:val="single" w:sz="5" w:space="0" w:color="000000"/>
              <w:right w:val="single" w:sz="5" w:space="0" w:color="000000"/>
            </w:tcBorders>
          </w:tcPr>
          <w:p>
            <w:pPr>
              <w:pStyle w:val="TableParagraph"/>
              <w:rPr>
                <w:b/>
                <w:sz w:val="18"/>
              </w:rPr>
            </w:pPr>
          </w:p>
          <w:p>
            <w:pPr>
              <w:pStyle w:val="TableParagraph"/>
              <w:spacing w:before="9"/>
              <w:rPr>
                <w:b/>
                <w:sz w:val="20"/>
              </w:rPr>
            </w:pPr>
          </w:p>
          <w:p>
            <w:pPr>
              <w:pStyle w:val="TableParagraph"/>
              <w:ind w:left="401"/>
              <w:rPr>
                <w:sz w:val="17"/>
              </w:rPr>
            </w:pPr>
            <w:r>
              <w:rPr>
                <w:w w:val="90"/>
                <w:sz w:val="17"/>
              </w:rPr>
              <w:t>Almoloya de Juárez</w:t>
            </w:r>
          </w:p>
        </w:tc>
        <w:tc>
          <w:tcPr>
            <w:tcW w:w="1519" w:type="dxa"/>
            <w:vMerge w:val="restart"/>
            <w:tcBorders>
              <w:left w:val="single" w:sz="5" w:space="0" w:color="000000"/>
              <w:right w:val="single" w:sz="5" w:space="0" w:color="000000"/>
            </w:tcBorders>
          </w:tcPr>
          <w:p>
            <w:pPr>
              <w:pStyle w:val="TableParagraph"/>
              <w:rPr>
                <w:b/>
                <w:sz w:val="18"/>
              </w:rPr>
            </w:pPr>
          </w:p>
          <w:p>
            <w:pPr>
              <w:pStyle w:val="TableParagraph"/>
              <w:spacing w:before="9"/>
              <w:rPr>
                <w:b/>
                <w:sz w:val="20"/>
              </w:rPr>
            </w:pPr>
          </w:p>
          <w:p>
            <w:pPr>
              <w:pStyle w:val="TableParagraph"/>
              <w:ind w:left="979" w:right="-3"/>
              <w:rPr>
                <w:sz w:val="17"/>
              </w:rPr>
            </w:pPr>
            <w:r>
              <w:rPr>
                <w:w w:val="90"/>
                <w:sz w:val="17"/>
              </w:rPr>
              <w:t>7,853.4</w:t>
            </w:r>
          </w:p>
        </w:tc>
        <w:tc>
          <w:tcPr>
            <w:tcW w:w="1051" w:type="dxa"/>
            <w:tcBorders>
              <w:left w:val="single" w:sz="5" w:space="0" w:color="000000"/>
              <w:right w:val="single" w:sz="5" w:space="0" w:color="000000"/>
            </w:tcBorders>
          </w:tcPr>
          <w:p>
            <w:pPr>
              <w:pStyle w:val="TableParagraph"/>
              <w:spacing w:before="4"/>
              <w:ind w:right="24"/>
              <w:jc w:val="right"/>
              <w:rPr>
                <w:sz w:val="17"/>
              </w:rPr>
            </w:pPr>
            <w:r>
              <w:rPr>
                <w:w w:val="85"/>
                <w:sz w:val="17"/>
              </w:rPr>
              <w:t>3,700.7</w:t>
            </w:r>
          </w:p>
        </w:tc>
        <w:tc>
          <w:tcPr>
            <w:tcW w:w="4620" w:type="dxa"/>
            <w:tcBorders>
              <w:left w:val="single" w:sz="5" w:space="0" w:color="000000"/>
              <w:right w:val="single" w:sz="5" w:space="0" w:color="000000"/>
            </w:tcBorders>
          </w:tcPr>
          <w:p>
            <w:pPr>
              <w:pStyle w:val="TableParagraph"/>
              <w:spacing w:before="4"/>
              <w:ind w:left="21" w:right="149"/>
              <w:rPr>
                <w:sz w:val="17"/>
              </w:rPr>
            </w:pPr>
            <w:r>
              <w:rPr>
                <w:w w:val="90"/>
                <w:sz w:val="17"/>
              </w:rPr>
              <w:t>Intereses generados por la disposicion indebida de recursos</w:t>
            </w:r>
          </w:p>
        </w:tc>
      </w:tr>
      <w:tr>
        <w:trPr>
          <w:trHeight w:val="442" w:hRule="exact"/>
        </w:trPr>
        <w:tc>
          <w:tcPr>
            <w:tcW w:w="2138" w:type="dxa"/>
            <w:vMerge/>
            <w:tcBorders>
              <w:left w:val="single" w:sz="5" w:space="0" w:color="000000"/>
              <w:right w:val="single" w:sz="5" w:space="0" w:color="000000"/>
            </w:tcBorders>
          </w:tcPr>
          <w:p>
            <w:pPr/>
          </w:p>
        </w:tc>
        <w:tc>
          <w:tcPr>
            <w:tcW w:w="1519" w:type="dxa"/>
            <w:vMerge/>
            <w:tcBorders>
              <w:left w:val="single" w:sz="5" w:space="0" w:color="000000"/>
              <w:right w:val="single" w:sz="5" w:space="0" w:color="000000"/>
            </w:tcBorders>
          </w:tcPr>
          <w:p>
            <w:pPr/>
          </w:p>
        </w:tc>
        <w:tc>
          <w:tcPr>
            <w:tcW w:w="1051" w:type="dxa"/>
            <w:tcBorders>
              <w:left w:val="single" w:sz="5" w:space="0" w:color="000000"/>
              <w:right w:val="single" w:sz="5" w:space="0" w:color="000000"/>
            </w:tcBorders>
          </w:tcPr>
          <w:p>
            <w:pPr>
              <w:pStyle w:val="TableParagraph"/>
              <w:spacing w:before="5"/>
              <w:rPr>
                <w:b/>
                <w:sz w:val="19"/>
              </w:rPr>
            </w:pPr>
          </w:p>
          <w:p>
            <w:pPr>
              <w:pStyle w:val="TableParagraph"/>
              <w:ind w:right="24"/>
              <w:jc w:val="right"/>
              <w:rPr>
                <w:sz w:val="17"/>
              </w:rPr>
            </w:pPr>
            <w:r>
              <w:rPr>
                <w:w w:val="85"/>
                <w:sz w:val="17"/>
              </w:rPr>
              <w:t>1,500.0</w:t>
            </w:r>
          </w:p>
        </w:tc>
        <w:tc>
          <w:tcPr>
            <w:tcW w:w="4620" w:type="dxa"/>
            <w:tcBorders>
              <w:left w:val="single" w:sz="5" w:space="0" w:color="000000"/>
              <w:right w:val="single" w:sz="5" w:space="0" w:color="000000"/>
            </w:tcBorders>
          </w:tcPr>
          <w:p>
            <w:pPr>
              <w:pStyle w:val="TableParagraph"/>
              <w:spacing w:line="271" w:lineRule="auto" w:before="2"/>
              <w:ind w:left="22" w:right="149" w:hanging="2"/>
              <w:rPr>
                <w:sz w:val="17"/>
              </w:rPr>
            </w:pPr>
            <w:r>
              <w:rPr>
                <w:w w:val="95"/>
                <w:sz w:val="17"/>
              </w:rPr>
              <w:t>Una obra ubicada en sitio que no beneficia directamente a </w:t>
            </w:r>
            <w:r>
              <w:rPr>
                <w:w w:val="90"/>
                <w:sz w:val="17"/>
              </w:rPr>
              <w:t>poblacion en condiciones de rezago social y pobreza extrema</w:t>
            </w:r>
          </w:p>
        </w:tc>
      </w:tr>
      <w:tr>
        <w:trPr>
          <w:trHeight w:val="443" w:hRule="exact"/>
        </w:trPr>
        <w:tc>
          <w:tcPr>
            <w:tcW w:w="2138" w:type="dxa"/>
            <w:vMerge/>
            <w:tcBorders>
              <w:left w:val="single" w:sz="5" w:space="0" w:color="000000"/>
              <w:right w:val="single" w:sz="5" w:space="0" w:color="000000"/>
            </w:tcBorders>
          </w:tcPr>
          <w:p>
            <w:pPr/>
          </w:p>
        </w:tc>
        <w:tc>
          <w:tcPr>
            <w:tcW w:w="1519" w:type="dxa"/>
            <w:vMerge/>
            <w:tcBorders>
              <w:left w:val="single" w:sz="5" w:space="0" w:color="000000"/>
              <w:right w:val="single" w:sz="5" w:space="0" w:color="000000"/>
            </w:tcBorders>
          </w:tcPr>
          <w:p>
            <w:pPr/>
          </w:p>
        </w:tc>
        <w:tc>
          <w:tcPr>
            <w:tcW w:w="1051" w:type="dxa"/>
            <w:tcBorders>
              <w:left w:val="single" w:sz="5" w:space="0" w:color="000000"/>
              <w:right w:val="single" w:sz="5" w:space="0" w:color="000000"/>
            </w:tcBorders>
          </w:tcPr>
          <w:p>
            <w:pPr>
              <w:pStyle w:val="TableParagraph"/>
              <w:spacing w:before="6"/>
              <w:rPr>
                <w:b/>
                <w:sz w:val="19"/>
              </w:rPr>
            </w:pPr>
          </w:p>
          <w:p>
            <w:pPr>
              <w:pStyle w:val="TableParagraph"/>
              <w:ind w:right="24"/>
              <w:jc w:val="right"/>
              <w:rPr>
                <w:sz w:val="17"/>
              </w:rPr>
            </w:pPr>
            <w:r>
              <w:rPr>
                <w:w w:val="85"/>
                <w:sz w:val="17"/>
              </w:rPr>
              <w:t>2,619.3</w:t>
            </w:r>
          </w:p>
        </w:tc>
        <w:tc>
          <w:tcPr>
            <w:tcW w:w="4620" w:type="dxa"/>
            <w:tcBorders>
              <w:left w:val="single" w:sz="5" w:space="0" w:color="000000"/>
              <w:right w:val="single" w:sz="5" w:space="0" w:color="000000"/>
            </w:tcBorders>
          </w:tcPr>
          <w:p>
            <w:pPr>
              <w:pStyle w:val="TableParagraph"/>
              <w:spacing w:line="271" w:lineRule="auto" w:before="4"/>
              <w:ind w:left="21" w:right="149"/>
              <w:rPr>
                <w:sz w:val="17"/>
              </w:rPr>
            </w:pPr>
            <w:r>
              <w:rPr>
                <w:w w:val="95"/>
                <w:sz w:val="17"/>
              </w:rPr>
              <w:t>3</w:t>
            </w:r>
            <w:r>
              <w:rPr>
                <w:spacing w:val="-27"/>
                <w:w w:val="95"/>
                <w:sz w:val="17"/>
              </w:rPr>
              <w:t> </w:t>
            </w:r>
            <w:r>
              <w:rPr>
                <w:w w:val="95"/>
                <w:sz w:val="17"/>
              </w:rPr>
              <w:t>obras</w:t>
            </w:r>
            <w:r>
              <w:rPr>
                <w:spacing w:val="-27"/>
                <w:w w:val="95"/>
                <w:sz w:val="17"/>
              </w:rPr>
              <w:t> </w:t>
            </w:r>
            <w:r>
              <w:rPr>
                <w:w w:val="95"/>
                <w:sz w:val="17"/>
              </w:rPr>
              <w:t>no</w:t>
            </w:r>
            <w:r>
              <w:rPr>
                <w:spacing w:val="-27"/>
                <w:w w:val="95"/>
                <w:sz w:val="17"/>
              </w:rPr>
              <w:t> </w:t>
            </w:r>
            <w:r>
              <w:rPr>
                <w:w w:val="95"/>
                <w:sz w:val="17"/>
              </w:rPr>
              <w:t>contempladas</w:t>
            </w:r>
            <w:r>
              <w:rPr>
                <w:spacing w:val="-27"/>
                <w:w w:val="95"/>
                <w:sz w:val="17"/>
              </w:rPr>
              <w:t> </w:t>
            </w:r>
            <w:r>
              <w:rPr>
                <w:w w:val="95"/>
                <w:sz w:val="17"/>
              </w:rPr>
              <w:t>en</w:t>
            </w:r>
            <w:r>
              <w:rPr>
                <w:spacing w:val="-27"/>
                <w:w w:val="95"/>
                <w:sz w:val="17"/>
              </w:rPr>
              <w:t> </w:t>
            </w:r>
            <w:r>
              <w:rPr>
                <w:w w:val="95"/>
                <w:sz w:val="17"/>
              </w:rPr>
              <w:t>los</w:t>
            </w:r>
            <w:r>
              <w:rPr>
                <w:spacing w:val="-27"/>
                <w:w w:val="95"/>
                <w:sz w:val="17"/>
              </w:rPr>
              <w:t> </w:t>
            </w:r>
            <w:r>
              <w:rPr>
                <w:w w:val="95"/>
                <w:sz w:val="17"/>
              </w:rPr>
              <w:t>rubros</w:t>
            </w:r>
            <w:r>
              <w:rPr>
                <w:spacing w:val="-27"/>
                <w:w w:val="95"/>
                <w:sz w:val="17"/>
              </w:rPr>
              <w:t> </w:t>
            </w:r>
            <w:r>
              <w:rPr>
                <w:w w:val="95"/>
                <w:sz w:val="17"/>
              </w:rPr>
              <w:t>de</w:t>
            </w:r>
            <w:r>
              <w:rPr>
                <w:spacing w:val="-27"/>
                <w:w w:val="95"/>
                <w:sz w:val="17"/>
              </w:rPr>
              <w:t> </w:t>
            </w:r>
            <w:r>
              <w:rPr>
                <w:w w:val="95"/>
                <w:sz w:val="17"/>
              </w:rPr>
              <w:t>la</w:t>
            </w:r>
            <w:r>
              <w:rPr>
                <w:spacing w:val="-26"/>
                <w:w w:val="95"/>
                <w:sz w:val="17"/>
              </w:rPr>
              <w:t> </w:t>
            </w:r>
            <w:r>
              <w:rPr>
                <w:w w:val="95"/>
                <w:sz w:val="17"/>
              </w:rPr>
              <w:t>Ley</w:t>
            </w:r>
            <w:r>
              <w:rPr>
                <w:spacing w:val="-27"/>
                <w:w w:val="95"/>
                <w:sz w:val="17"/>
              </w:rPr>
              <w:t> </w:t>
            </w:r>
            <w:r>
              <w:rPr>
                <w:w w:val="95"/>
                <w:sz w:val="17"/>
              </w:rPr>
              <w:t>de</w:t>
            </w:r>
            <w:r>
              <w:rPr>
                <w:spacing w:val="-27"/>
                <w:w w:val="95"/>
                <w:sz w:val="17"/>
              </w:rPr>
              <w:t> </w:t>
            </w:r>
            <w:r>
              <w:rPr>
                <w:w w:val="95"/>
                <w:sz w:val="17"/>
              </w:rPr>
              <w:t>Coordinacion </w:t>
            </w:r>
            <w:r>
              <w:rPr>
                <w:sz w:val="17"/>
              </w:rPr>
              <w:t>Fiscal</w:t>
            </w:r>
          </w:p>
        </w:tc>
      </w:tr>
      <w:tr>
        <w:trPr>
          <w:trHeight w:val="443" w:hRule="exact"/>
        </w:trPr>
        <w:tc>
          <w:tcPr>
            <w:tcW w:w="2138" w:type="dxa"/>
            <w:vMerge w:val="restart"/>
            <w:tcBorders>
              <w:left w:val="single" w:sz="5" w:space="0" w:color="000000"/>
              <w:right w:val="single" w:sz="5" w:space="0" w:color="000000"/>
            </w:tcBorders>
          </w:tcPr>
          <w:p>
            <w:pPr>
              <w:pStyle w:val="TableParagraph"/>
              <w:rPr>
                <w:b/>
                <w:sz w:val="18"/>
              </w:rPr>
            </w:pPr>
          </w:p>
          <w:p>
            <w:pPr>
              <w:pStyle w:val="TableParagraph"/>
              <w:spacing w:before="127"/>
              <w:ind w:left="583"/>
              <w:rPr>
                <w:sz w:val="17"/>
              </w:rPr>
            </w:pPr>
            <w:r>
              <w:rPr>
                <w:sz w:val="17"/>
              </w:rPr>
              <w:t>Chimalhuacán</w:t>
            </w:r>
          </w:p>
        </w:tc>
        <w:tc>
          <w:tcPr>
            <w:tcW w:w="1519" w:type="dxa"/>
            <w:vMerge w:val="restart"/>
            <w:tcBorders>
              <w:left w:val="single" w:sz="5" w:space="0" w:color="000000"/>
              <w:right w:val="single" w:sz="5" w:space="0" w:color="000000"/>
            </w:tcBorders>
          </w:tcPr>
          <w:p>
            <w:pPr>
              <w:pStyle w:val="TableParagraph"/>
              <w:rPr>
                <w:b/>
                <w:sz w:val="18"/>
              </w:rPr>
            </w:pPr>
          </w:p>
          <w:p>
            <w:pPr>
              <w:pStyle w:val="TableParagraph"/>
              <w:spacing w:before="127"/>
              <w:ind w:left="893" w:right="-2"/>
              <w:rPr>
                <w:sz w:val="17"/>
              </w:rPr>
            </w:pPr>
            <w:r>
              <w:rPr>
                <w:w w:val="90"/>
                <w:sz w:val="17"/>
              </w:rPr>
              <w:t>10,714.0</w:t>
            </w:r>
          </w:p>
        </w:tc>
        <w:tc>
          <w:tcPr>
            <w:tcW w:w="1051" w:type="dxa"/>
            <w:tcBorders>
              <w:left w:val="single" w:sz="5" w:space="0" w:color="000000"/>
              <w:right w:val="single" w:sz="5" w:space="0" w:color="000000"/>
            </w:tcBorders>
          </w:tcPr>
          <w:p>
            <w:pPr>
              <w:pStyle w:val="TableParagraph"/>
              <w:spacing w:before="7"/>
              <w:rPr>
                <w:b/>
                <w:sz w:val="19"/>
              </w:rPr>
            </w:pPr>
          </w:p>
          <w:p>
            <w:pPr>
              <w:pStyle w:val="TableParagraph"/>
              <w:ind w:right="26"/>
              <w:jc w:val="right"/>
              <w:rPr>
                <w:sz w:val="17"/>
              </w:rPr>
            </w:pPr>
            <w:r>
              <w:rPr>
                <w:w w:val="85"/>
                <w:sz w:val="17"/>
              </w:rPr>
              <w:t>6,674.30</w:t>
            </w:r>
          </w:p>
        </w:tc>
        <w:tc>
          <w:tcPr>
            <w:tcW w:w="4620" w:type="dxa"/>
            <w:tcBorders>
              <w:left w:val="single" w:sz="5" w:space="0" w:color="000000"/>
              <w:right w:val="single" w:sz="5" w:space="0" w:color="000000"/>
            </w:tcBorders>
          </w:tcPr>
          <w:p>
            <w:pPr>
              <w:pStyle w:val="TableParagraph"/>
              <w:spacing w:line="273" w:lineRule="auto" w:before="2"/>
              <w:ind w:left="21" w:right="294"/>
              <w:rPr>
                <w:sz w:val="17"/>
              </w:rPr>
            </w:pPr>
            <w:r>
              <w:rPr>
                <w:w w:val="95"/>
                <w:sz w:val="17"/>
              </w:rPr>
              <w:t>Obras</w:t>
            </w:r>
            <w:r>
              <w:rPr>
                <w:spacing w:val="-31"/>
                <w:w w:val="95"/>
                <w:sz w:val="17"/>
              </w:rPr>
              <w:t> </w:t>
            </w:r>
            <w:r>
              <w:rPr>
                <w:w w:val="95"/>
                <w:sz w:val="17"/>
              </w:rPr>
              <w:t>y</w:t>
            </w:r>
            <w:r>
              <w:rPr>
                <w:spacing w:val="-31"/>
                <w:w w:val="95"/>
                <w:sz w:val="17"/>
              </w:rPr>
              <w:t> </w:t>
            </w:r>
            <w:r>
              <w:rPr>
                <w:w w:val="95"/>
                <w:sz w:val="17"/>
              </w:rPr>
              <w:t>acciones</w:t>
            </w:r>
            <w:r>
              <w:rPr>
                <w:spacing w:val="-31"/>
                <w:w w:val="95"/>
                <w:sz w:val="17"/>
              </w:rPr>
              <w:t> </w:t>
            </w:r>
            <w:r>
              <w:rPr>
                <w:w w:val="95"/>
                <w:sz w:val="17"/>
              </w:rPr>
              <w:t>ejecutadas</w:t>
            </w:r>
            <w:r>
              <w:rPr>
                <w:spacing w:val="-31"/>
                <w:w w:val="95"/>
                <w:sz w:val="17"/>
              </w:rPr>
              <w:t> </w:t>
            </w:r>
            <w:r>
              <w:rPr>
                <w:w w:val="95"/>
                <w:sz w:val="17"/>
              </w:rPr>
              <w:t>que</w:t>
            </w:r>
            <w:r>
              <w:rPr>
                <w:spacing w:val="-31"/>
                <w:w w:val="95"/>
                <w:sz w:val="17"/>
              </w:rPr>
              <w:t> </w:t>
            </w:r>
            <w:r>
              <w:rPr>
                <w:w w:val="95"/>
                <w:sz w:val="17"/>
              </w:rPr>
              <w:t>no</w:t>
            </w:r>
            <w:r>
              <w:rPr>
                <w:spacing w:val="-31"/>
                <w:w w:val="95"/>
                <w:sz w:val="17"/>
              </w:rPr>
              <w:t> </w:t>
            </w:r>
            <w:r>
              <w:rPr>
                <w:w w:val="95"/>
                <w:sz w:val="17"/>
              </w:rPr>
              <w:t>beneficiaron</w:t>
            </w:r>
            <w:r>
              <w:rPr>
                <w:spacing w:val="-31"/>
                <w:w w:val="95"/>
                <w:sz w:val="17"/>
              </w:rPr>
              <w:t> </w:t>
            </w:r>
            <w:r>
              <w:rPr>
                <w:w w:val="95"/>
                <w:sz w:val="17"/>
              </w:rPr>
              <w:t>a</w:t>
            </w:r>
            <w:r>
              <w:rPr>
                <w:spacing w:val="-31"/>
                <w:w w:val="95"/>
                <w:sz w:val="17"/>
              </w:rPr>
              <w:t> </w:t>
            </w:r>
            <w:r>
              <w:rPr>
                <w:w w:val="95"/>
                <w:sz w:val="17"/>
              </w:rPr>
              <w:t>sectores</w:t>
            </w:r>
            <w:r>
              <w:rPr>
                <w:spacing w:val="-31"/>
                <w:w w:val="95"/>
                <w:sz w:val="17"/>
              </w:rPr>
              <w:t> </w:t>
            </w:r>
            <w:r>
              <w:rPr>
                <w:w w:val="95"/>
                <w:sz w:val="17"/>
              </w:rPr>
              <w:t>en </w:t>
            </w:r>
            <w:r>
              <w:rPr>
                <w:w w:val="90"/>
                <w:sz w:val="17"/>
              </w:rPr>
              <w:t>condiciones</w:t>
            </w:r>
            <w:r>
              <w:rPr>
                <w:spacing w:val="-7"/>
                <w:w w:val="90"/>
                <w:sz w:val="17"/>
              </w:rPr>
              <w:t> </w:t>
            </w:r>
            <w:r>
              <w:rPr>
                <w:w w:val="90"/>
                <w:sz w:val="17"/>
              </w:rPr>
              <w:t>de</w:t>
            </w:r>
            <w:r>
              <w:rPr>
                <w:spacing w:val="-7"/>
                <w:w w:val="90"/>
                <w:sz w:val="17"/>
              </w:rPr>
              <w:t> </w:t>
            </w:r>
            <w:r>
              <w:rPr>
                <w:w w:val="90"/>
                <w:sz w:val="17"/>
              </w:rPr>
              <w:t>rezago</w:t>
            </w:r>
            <w:r>
              <w:rPr>
                <w:spacing w:val="-7"/>
                <w:w w:val="90"/>
                <w:sz w:val="17"/>
              </w:rPr>
              <w:t> </w:t>
            </w:r>
            <w:r>
              <w:rPr>
                <w:w w:val="90"/>
                <w:sz w:val="17"/>
              </w:rPr>
              <w:t>social</w:t>
            </w:r>
            <w:r>
              <w:rPr>
                <w:spacing w:val="-8"/>
                <w:w w:val="90"/>
                <w:sz w:val="17"/>
              </w:rPr>
              <w:t> </w:t>
            </w:r>
            <w:r>
              <w:rPr>
                <w:w w:val="90"/>
                <w:sz w:val="17"/>
              </w:rPr>
              <w:t>y</w:t>
            </w:r>
            <w:r>
              <w:rPr>
                <w:spacing w:val="-8"/>
                <w:w w:val="90"/>
                <w:sz w:val="17"/>
              </w:rPr>
              <w:t> </w:t>
            </w:r>
            <w:r>
              <w:rPr>
                <w:w w:val="90"/>
                <w:sz w:val="17"/>
              </w:rPr>
              <w:t>pobreza</w:t>
            </w:r>
            <w:r>
              <w:rPr>
                <w:spacing w:val="-8"/>
                <w:w w:val="90"/>
                <w:sz w:val="17"/>
              </w:rPr>
              <w:t> </w:t>
            </w:r>
            <w:r>
              <w:rPr>
                <w:w w:val="90"/>
                <w:sz w:val="17"/>
              </w:rPr>
              <w:t>extrema</w:t>
            </w:r>
          </w:p>
        </w:tc>
      </w:tr>
      <w:tr>
        <w:trPr>
          <w:trHeight w:val="443" w:hRule="exact"/>
        </w:trPr>
        <w:tc>
          <w:tcPr>
            <w:tcW w:w="2138" w:type="dxa"/>
            <w:vMerge/>
            <w:tcBorders>
              <w:left w:val="single" w:sz="5" w:space="0" w:color="000000"/>
              <w:right w:val="single" w:sz="5" w:space="0" w:color="000000"/>
            </w:tcBorders>
          </w:tcPr>
          <w:p>
            <w:pPr/>
          </w:p>
        </w:tc>
        <w:tc>
          <w:tcPr>
            <w:tcW w:w="1519" w:type="dxa"/>
            <w:vMerge/>
            <w:tcBorders>
              <w:left w:val="single" w:sz="5" w:space="0" w:color="000000"/>
              <w:right w:val="single" w:sz="5" w:space="0" w:color="000000"/>
            </w:tcBorders>
          </w:tcPr>
          <w:p>
            <w:pPr/>
          </w:p>
        </w:tc>
        <w:tc>
          <w:tcPr>
            <w:tcW w:w="1051" w:type="dxa"/>
            <w:tcBorders>
              <w:left w:val="single" w:sz="5" w:space="0" w:color="000000"/>
              <w:right w:val="single" w:sz="5" w:space="0" w:color="000000"/>
            </w:tcBorders>
          </w:tcPr>
          <w:p>
            <w:pPr>
              <w:pStyle w:val="TableParagraph"/>
              <w:spacing w:before="6"/>
              <w:rPr>
                <w:b/>
                <w:sz w:val="19"/>
              </w:rPr>
            </w:pPr>
          </w:p>
          <w:p>
            <w:pPr>
              <w:pStyle w:val="TableParagraph"/>
              <w:ind w:right="26"/>
              <w:jc w:val="right"/>
              <w:rPr>
                <w:sz w:val="17"/>
              </w:rPr>
            </w:pPr>
            <w:r>
              <w:rPr>
                <w:w w:val="85"/>
                <w:sz w:val="17"/>
              </w:rPr>
              <w:t>4,010.70</w:t>
            </w:r>
          </w:p>
        </w:tc>
        <w:tc>
          <w:tcPr>
            <w:tcW w:w="4620" w:type="dxa"/>
            <w:tcBorders>
              <w:left w:val="single" w:sz="5" w:space="0" w:color="000000"/>
              <w:right w:val="single" w:sz="5" w:space="0" w:color="000000"/>
            </w:tcBorders>
          </w:tcPr>
          <w:p>
            <w:pPr>
              <w:pStyle w:val="TableParagraph"/>
              <w:spacing w:line="271" w:lineRule="auto" w:before="4"/>
              <w:ind w:left="21" w:right="149"/>
              <w:rPr>
                <w:sz w:val="17"/>
              </w:rPr>
            </w:pPr>
            <w:r>
              <w:rPr>
                <w:w w:val="90"/>
                <w:sz w:val="17"/>
              </w:rPr>
              <w:t>Recursos federales aplicados en rubros o programas no contemplados en a Ley de Coordinación Fiscal</w:t>
            </w:r>
          </w:p>
        </w:tc>
      </w:tr>
      <w:tr>
        <w:trPr>
          <w:trHeight w:val="443" w:hRule="exact"/>
        </w:trPr>
        <w:tc>
          <w:tcPr>
            <w:tcW w:w="2138" w:type="dxa"/>
            <w:vMerge w:val="restart"/>
            <w:tcBorders>
              <w:left w:val="single" w:sz="5" w:space="0" w:color="000000"/>
              <w:right w:val="single" w:sz="5" w:space="0" w:color="000000"/>
            </w:tcBorders>
          </w:tcPr>
          <w:p>
            <w:pPr>
              <w:pStyle w:val="TableParagraph"/>
              <w:rPr>
                <w:b/>
                <w:sz w:val="18"/>
              </w:rPr>
            </w:pPr>
          </w:p>
          <w:p>
            <w:pPr>
              <w:pStyle w:val="TableParagraph"/>
              <w:spacing w:before="126"/>
              <w:ind w:left="547"/>
              <w:rPr>
                <w:sz w:val="17"/>
              </w:rPr>
            </w:pPr>
            <w:r>
              <w:rPr>
                <w:sz w:val="17"/>
              </w:rPr>
              <w:t>Nezahualcóyotl</w:t>
            </w:r>
          </w:p>
        </w:tc>
        <w:tc>
          <w:tcPr>
            <w:tcW w:w="1519" w:type="dxa"/>
            <w:vMerge w:val="restart"/>
            <w:tcBorders>
              <w:left w:val="single" w:sz="5" w:space="0" w:color="000000"/>
              <w:right w:val="single" w:sz="5" w:space="0" w:color="000000"/>
            </w:tcBorders>
          </w:tcPr>
          <w:p>
            <w:pPr>
              <w:pStyle w:val="TableParagraph"/>
              <w:rPr>
                <w:b/>
                <w:sz w:val="18"/>
              </w:rPr>
            </w:pPr>
          </w:p>
          <w:p>
            <w:pPr>
              <w:pStyle w:val="TableParagraph"/>
              <w:spacing w:before="126"/>
              <w:ind w:left="893" w:right="-2"/>
              <w:rPr>
                <w:sz w:val="17"/>
              </w:rPr>
            </w:pPr>
            <w:r>
              <w:rPr>
                <w:w w:val="90"/>
                <w:sz w:val="17"/>
              </w:rPr>
              <w:t>44,673.5</w:t>
            </w:r>
          </w:p>
        </w:tc>
        <w:tc>
          <w:tcPr>
            <w:tcW w:w="1051" w:type="dxa"/>
            <w:tcBorders>
              <w:left w:val="single" w:sz="5" w:space="0" w:color="000000"/>
              <w:right w:val="single" w:sz="5" w:space="0" w:color="000000"/>
            </w:tcBorders>
          </w:tcPr>
          <w:p>
            <w:pPr>
              <w:pStyle w:val="TableParagraph"/>
              <w:spacing w:before="6"/>
              <w:rPr>
                <w:b/>
                <w:sz w:val="19"/>
              </w:rPr>
            </w:pPr>
          </w:p>
          <w:p>
            <w:pPr>
              <w:pStyle w:val="TableParagraph"/>
              <w:ind w:right="25"/>
              <w:jc w:val="right"/>
              <w:rPr>
                <w:sz w:val="17"/>
              </w:rPr>
            </w:pPr>
            <w:r>
              <w:rPr>
                <w:w w:val="85"/>
                <w:sz w:val="17"/>
              </w:rPr>
              <w:t>32,475.4</w:t>
            </w:r>
          </w:p>
        </w:tc>
        <w:tc>
          <w:tcPr>
            <w:tcW w:w="4620" w:type="dxa"/>
            <w:tcBorders>
              <w:left w:val="single" w:sz="5" w:space="0" w:color="000000"/>
              <w:right w:val="single" w:sz="5" w:space="0" w:color="000000"/>
            </w:tcBorders>
          </w:tcPr>
          <w:p>
            <w:pPr>
              <w:pStyle w:val="TableParagraph"/>
              <w:spacing w:line="273" w:lineRule="auto" w:before="2"/>
              <w:ind w:left="21" w:right="149"/>
              <w:rPr>
                <w:sz w:val="17"/>
              </w:rPr>
            </w:pPr>
            <w:r>
              <w:rPr>
                <w:w w:val="90"/>
                <w:sz w:val="17"/>
              </w:rPr>
              <w:t>Recursos federales aplicados en rubros o programas no contemplados en a Ley de Coordinación Fiscal</w:t>
            </w:r>
          </w:p>
        </w:tc>
      </w:tr>
      <w:tr>
        <w:trPr>
          <w:trHeight w:val="443" w:hRule="exact"/>
        </w:trPr>
        <w:tc>
          <w:tcPr>
            <w:tcW w:w="2138" w:type="dxa"/>
            <w:vMerge/>
            <w:tcBorders>
              <w:left w:val="single" w:sz="5" w:space="0" w:color="000000"/>
              <w:right w:val="single" w:sz="5" w:space="0" w:color="000000"/>
            </w:tcBorders>
          </w:tcPr>
          <w:p>
            <w:pPr/>
          </w:p>
        </w:tc>
        <w:tc>
          <w:tcPr>
            <w:tcW w:w="1519" w:type="dxa"/>
            <w:vMerge/>
            <w:tcBorders>
              <w:left w:val="single" w:sz="5" w:space="0" w:color="000000"/>
              <w:right w:val="single" w:sz="5" w:space="0" w:color="000000"/>
            </w:tcBorders>
          </w:tcPr>
          <w:p>
            <w:pPr/>
          </w:p>
        </w:tc>
        <w:tc>
          <w:tcPr>
            <w:tcW w:w="1051" w:type="dxa"/>
            <w:tcBorders>
              <w:left w:val="single" w:sz="5" w:space="0" w:color="000000"/>
              <w:right w:val="single" w:sz="5" w:space="0" w:color="000000"/>
            </w:tcBorders>
          </w:tcPr>
          <w:p>
            <w:pPr>
              <w:pStyle w:val="TableParagraph"/>
              <w:spacing w:before="5"/>
              <w:rPr>
                <w:b/>
                <w:sz w:val="19"/>
              </w:rPr>
            </w:pPr>
          </w:p>
          <w:p>
            <w:pPr>
              <w:pStyle w:val="TableParagraph"/>
              <w:ind w:right="25"/>
              <w:jc w:val="right"/>
              <w:rPr>
                <w:sz w:val="17"/>
              </w:rPr>
            </w:pPr>
            <w:r>
              <w:rPr>
                <w:w w:val="85"/>
                <w:sz w:val="17"/>
              </w:rPr>
              <w:t>12,166.2</w:t>
            </w:r>
          </w:p>
        </w:tc>
        <w:tc>
          <w:tcPr>
            <w:tcW w:w="4620" w:type="dxa"/>
            <w:tcBorders>
              <w:left w:val="single" w:sz="5" w:space="0" w:color="000000"/>
              <w:right w:val="single" w:sz="5" w:space="0" w:color="000000"/>
            </w:tcBorders>
          </w:tcPr>
          <w:p>
            <w:pPr>
              <w:pStyle w:val="TableParagraph"/>
              <w:spacing w:line="271" w:lineRule="auto" w:before="3"/>
              <w:ind w:left="22" w:right="838" w:hanging="2"/>
              <w:rPr>
                <w:sz w:val="17"/>
              </w:rPr>
            </w:pPr>
            <w:r>
              <w:rPr>
                <w:w w:val="95"/>
                <w:sz w:val="17"/>
              </w:rPr>
              <w:t>13</w:t>
            </w:r>
            <w:r>
              <w:rPr>
                <w:spacing w:val="-28"/>
                <w:w w:val="95"/>
                <w:sz w:val="17"/>
              </w:rPr>
              <w:t> </w:t>
            </w:r>
            <w:r>
              <w:rPr>
                <w:w w:val="95"/>
                <w:sz w:val="17"/>
              </w:rPr>
              <w:t>obras</w:t>
            </w:r>
            <w:r>
              <w:rPr>
                <w:spacing w:val="-10"/>
                <w:w w:val="95"/>
                <w:sz w:val="17"/>
              </w:rPr>
              <w:t> </w:t>
            </w:r>
            <w:r>
              <w:rPr>
                <w:w w:val="95"/>
                <w:sz w:val="17"/>
              </w:rPr>
              <w:t>ejecutadas</w:t>
            </w:r>
            <w:r>
              <w:rPr>
                <w:spacing w:val="-27"/>
                <w:w w:val="95"/>
                <w:sz w:val="17"/>
              </w:rPr>
              <w:t> </w:t>
            </w:r>
            <w:r>
              <w:rPr>
                <w:w w:val="95"/>
                <w:sz w:val="17"/>
              </w:rPr>
              <w:t>que</w:t>
            </w:r>
            <w:r>
              <w:rPr>
                <w:spacing w:val="-27"/>
                <w:w w:val="95"/>
                <w:sz w:val="17"/>
              </w:rPr>
              <w:t> </w:t>
            </w:r>
            <w:r>
              <w:rPr>
                <w:w w:val="95"/>
                <w:sz w:val="17"/>
              </w:rPr>
              <w:t>no</w:t>
            </w:r>
            <w:r>
              <w:rPr>
                <w:spacing w:val="-28"/>
                <w:w w:val="95"/>
                <w:sz w:val="17"/>
              </w:rPr>
              <w:t> </w:t>
            </w:r>
            <w:r>
              <w:rPr>
                <w:w w:val="95"/>
                <w:sz w:val="17"/>
              </w:rPr>
              <w:t>beneficiaron</w:t>
            </w:r>
            <w:r>
              <w:rPr>
                <w:spacing w:val="-27"/>
                <w:w w:val="95"/>
                <w:sz w:val="17"/>
              </w:rPr>
              <w:t> </w:t>
            </w:r>
            <w:r>
              <w:rPr>
                <w:w w:val="95"/>
                <w:sz w:val="17"/>
              </w:rPr>
              <w:t>a</w:t>
            </w:r>
            <w:r>
              <w:rPr>
                <w:spacing w:val="-28"/>
                <w:w w:val="95"/>
                <w:sz w:val="17"/>
              </w:rPr>
              <w:t> </w:t>
            </w:r>
            <w:r>
              <w:rPr>
                <w:w w:val="95"/>
                <w:sz w:val="17"/>
              </w:rPr>
              <w:t>sectores</w:t>
            </w:r>
            <w:r>
              <w:rPr>
                <w:spacing w:val="-28"/>
                <w:w w:val="95"/>
                <w:sz w:val="17"/>
              </w:rPr>
              <w:t> </w:t>
            </w:r>
            <w:r>
              <w:rPr>
                <w:w w:val="95"/>
                <w:sz w:val="17"/>
              </w:rPr>
              <w:t>en </w:t>
            </w:r>
            <w:r>
              <w:rPr>
                <w:w w:val="90"/>
                <w:sz w:val="17"/>
              </w:rPr>
              <w:t>condiciones</w:t>
            </w:r>
            <w:r>
              <w:rPr>
                <w:spacing w:val="-8"/>
                <w:w w:val="90"/>
                <w:sz w:val="17"/>
              </w:rPr>
              <w:t> </w:t>
            </w:r>
            <w:r>
              <w:rPr>
                <w:w w:val="90"/>
                <w:sz w:val="17"/>
              </w:rPr>
              <w:t>de</w:t>
            </w:r>
            <w:r>
              <w:rPr>
                <w:spacing w:val="-8"/>
                <w:w w:val="90"/>
                <w:sz w:val="17"/>
              </w:rPr>
              <w:t> </w:t>
            </w:r>
            <w:r>
              <w:rPr>
                <w:w w:val="90"/>
                <w:sz w:val="17"/>
              </w:rPr>
              <w:t>rezago</w:t>
            </w:r>
            <w:r>
              <w:rPr>
                <w:spacing w:val="-8"/>
                <w:w w:val="90"/>
                <w:sz w:val="17"/>
              </w:rPr>
              <w:t> </w:t>
            </w:r>
            <w:r>
              <w:rPr>
                <w:w w:val="90"/>
                <w:sz w:val="17"/>
              </w:rPr>
              <w:t>social</w:t>
            </w:r>
            <w:r>
              <w:rPr>
                <w:spacing w:val="-7"/>
                <w:w w:val="90"/>
                <w:sz w:val="17"/>
              </w:rPr>
              <w:t> </w:t>
            </w:r>
            <w:r>
              <w:rPr>
                <w:w w:val="90"/>
                <w:sz w:val="17"/>
              </w:rPr>
              <w:t>y</w:t>
            </w:r>
            <w:r>
              <w:rPr>
                <w:spacing w:val="-7"/>
                <w:w w:val="90"/>
                <w:sz w:val="17"/>
              </w:rPr>
              <w:t> </w:t>
            </w:r>
            <w:r>
              <w:rPr>
                <w:w w:val="90"/>
                <w:sz w:val="17"/>
              </w:rPr>
              <w:t>pobreza</w:t>
            </w:r>
            <w:r>
              <w:rPr>
                <w:spacing w:val="-7"/>
                <w:w w:val="90"/>
                <w:sz w:val="17"/>
              </w:rPr>
              <w:t> </w:t>
            </w:r>
            <w:r>
              <w:rPr>
                <w:w w:val="90"/>
                <w:sz w:val="17"/>
              </w:rPr>
              <w:t>extrema</w:t>
            </w:r>
          </w:p>
        </w:tc>
      </w:tr>
      <w:tr>
        <w:trPr>
          <w:trHeight w:val="443" w:hRule="exact"/>
        </w:trPr>
        <w:tc>
          <w:tcPr>
            <w:tcW w:w="2138" w:type="dxa"/>
            <w:vMerge w:val="restart"/>
            <w:tcBorders>
              <w:left w:val="single" w:sz="5" w:space="0" w:color="000000"/>
              <w:right w:val="single" w:sz="5" w:space="0" w:color="000000"/>
            </w:tcBorders>
          </w:tcPr>
          <w:p>
            <w:pPr>
              <w:pStyle w:val="TableParagraph"/>
              <w:rPr>
                <w:b/>
                <w:sz w:val="18"/>
              </w:rPr>
            </w:pPr>
          </w:p>
          <w:p>
            <w:pPr>
              <w:pStyle w:val="TableParagraph"/>
              <w:spacing w:before="9"/>
              <w:rPr>
                <w:b/>
                <w:sz w:val="20"/>
              </w:rPr>
            </w:pPr>
          </w:p>
          <w:p>
            <w:pPr>
              <w:pStyle w:val="TableParagraph"/>
              <w:ind w:left="252"/>
              <w:rPr>
                <w:sz w:val="17"/>
              </w:rPr>
            </w:pPr>
            <w:r>
              <w:rPr>
                <w:w w:val="90"/>
                <w:sz w:val="17"/>
              </w:rPr>
              <w:t>San Felipe del Progreso</w:t>
            </w:r>
          </w:p>
        </w:tc>
        <w:tc>
          <w:tcPr>
            <w:tcW w:w="1519" w:type="dxa"/>
            <w:vMerge w:val="restart"/>
            <w:tcBorders>
              <w:left w:val="single" w:sz="5" w:space="0" w:color="000000"/>
              <w:right w:val="single" w:sz="5" w:space="0" w:color="000000"/>
            </w:tcBorders>
          </w:tcPr>
          <w:p>
            <w:pPr>
              <w:pStyle w:val="TableParagraph"/>
              <w:rPr>
                <w:b/>
                <w:sz w:val="18"/>
              </w:rPr>
            </w:pPr>
          </w:p>
          <w:p>
            <w:pPr>
              <w:pStyle w:val="TableParagraph"/>
              <w:spacing w:before="9"/>
              <w:rPr>
                <w:b/>
                <w:sz w:val="20"/>
              </w:rPr>
            </w:pPr>
          </w:p>
          <w:p>
            <w:pPr>
              <w:pStyle w:val="TableParagraph"/>
              <w:ind w:left="979" w:right="-3"/>
              <w:rPr>
                <w:sz w:val="17"/>
              </w:rPr>
            </w:pPr>
            <w:r>
              <w:rPr>
                <w:w w:val="90"/>
                <w:sz w:val="17"/>
              </w:rPr>
              <w:t>5,543.6</w:t>
            </w:r>
          </w:p>
        </w:tc>
        <w:tc>
          <w:tcPr>
            <w:tcW w:w="1051" w:type="dxa"/>
            <w:tcBorders>
              <w:left w:val="single" w:sz="5" w:space="0" w:color="000000"/>
              <w:right w:val="single" w:sz="5" w:space="0" w:color="000000"/>
            </w:tcBorders>
          </w:tcPr>
          <w:p>
            <w:pPr>
              <w:pStyle w:val="TableParagraph"/>
              <w:spacing w:before="6"/>
              <w:rPr>
                <w:b/>
                <w:sz w:val="19"/>
              </w:rPr>
            </w:pPr>
          </w:p>
          <w:p>
            <w:pPr>
              <w:pStyle w:val="TableParagraph"/>
              <w:ind w:right="24"/>
              <w:jc w:val="right"/>
              <w:rPr>
                <w:sz w:val="17"/>
              </w:rPr>
            </w:pPr>
            <w:r>
              <w:rPr>
                <w:w w:val="85"/>
                <w:sz w:val="17"/>
              </w:rPr>
              <w:t>2,739.0</w:t>
            </w:r>
          </w:p>
        </w:tc>
        <w:tc>
          <w:tcPr>
            <w:tcW w:w="4620" w:type="dxa"/>
            <w:tcBorders>
              <w:left w:val="single" w:sz="5" w:space="0" w:color="000000"/>
              <w:right w:val="single" w:sz="5" w:space="0" w:color="000000"/>
            </w:tcBorders>
          </w:tcPr>
          <w:p>
            <w:pPr>
              <w:pStyle w:val="TableParagraph"/>
              <w:spacing w:line="271" w:lineRule="auto" w:before="4"/>
              <w:ind w:left="21" w:right="294"/>
              <w:rPr>
                <w:sz w:val="17"/>
              </w:rPr>
            </w:pPr>
            <w:r>
              <w:rPr>
                <w:w w:val="95"/>
                <w:sz w:val="17"/>
              </w:rPr>
              <w:t>Obras</w:t>
            </w:r>
            <w:r>
              <w:rPr>
                <w:spacing w:val="-31"/>
                <w:w w:val="95"/>
                <w:sz w:val="17"/>
              </w:rPr>
              <w:t> </w:t>
            </w:r>
            <w:r>
              <w:rPr>
                <w:w w:val="95"/>
                <w:sz w:val="17"/>
              </w:rPr>
              <w:t>y</w:t>
            </w:r>
            <w:r>
              <w:rPr>
                <w:spacing w:val="-31"/>
                <w:w w:val="95"/>
                <w:sz w:val="17"/>
              </w:rPr>
              <w:t> </w:t>
            </w:r>
            <w:r>
              <w:rPr>
                <w:w w:val="95"/>
                <w:sz w:val="17"/>
              </w:rPr>
              <w:t>acciones</w:t>
            </w:r>
            <w:r>
              <w:rPr>
                <w:spacing w:val="-31"/>
                <w:w w:val="95"/>
                <w:sz w:val="17"/>
              </w:rPr>
              <w:t> </w:t>
            </w:r>
            <w:r>
              <w:rPr>
                <w:w w:val="95"/>
                <w:sz w:val="17"/>
              </w:rPr>
              <w:t>ejecutadas</w:t>
            </w:r>
            <w:r>
              <w:rPr>
                <w:spacing w:val="-31"/>
                <w:w w:val="95"/>
                <w:sz w:val="17"/>
              </w:rPr>
              <w:t> </w:t>
            </w:r>
            <w:r>
              <w:rPr>
                <w:w w:val="95"/>
                <w:sz w:val="17"/>
              </w:rPr>
              <w:t>que</w:t>
            </w:r>
            <w:r>
              <w:rPr>
                <w:spacing w:val="-31"/>
                <w:w w:val="95"/>
                <w:sz w:val="17"/>
              </w:rPr>
              <w:t> </w:t>
            </w:r>
            <w:r>
              <w:rPr>
                <w:w w:val="95"/>
                <w:sz w:val="17"/>
              </w:rPr>
              <w:t>no</w:t>
            </w:r>
            <w:r>
              <w:rPr>
                <w:spacing w:val="-31"/>
                <w:w w:val="95"/>
                <w:sz w:val="17"/>
              </w:rPr>
              <w:t> </w:t>
            </w:r>
            <w:r>
              <w:rPr>
                <w:w w:val="95"/>
                <w:sz w:val="17"/>
              </w:rPr>
              <w:t>beneficiaron</w:t>
            </w:r>
            <w:r>
              <w:rPr>
                <w:spacing w:val="-31"/>
                <w:w w:val="95"/>
                <w:sz w:val="17"/>
              </w:rPr>
              <w:t> </w:t>
            </w:r>
            <w:r>
              <w:rPr>
                <w:w w:val="95"/>
                <w:sz w:val="17"/>
              </w:rPr>
              <w:t>a</w:t>
            </w:r>
            <w:r>
              <w:rPr>
                <w:spacing w:val="-31"/>
                <w:w w:val="95"/>
                <w:sz w:val="17"/>
              </w:rPr>
              <w:t> </w:t>
            </w:r>
            <w:r>
              <w:rPr>
                <w:w w:val="95"/>
                <w:sz w:val="17"/>
              </w:rPr>
              <w:t>sectores</w:t>
            </w:r>
            <w:r>
              <w:rPr>
                <w:spacing w:val="-31"/>
                <w:w w:val="95"/>
                <w:sz w:val="17"/>
              </w:rPr>
              <w:t> </w:t>
            </w:r>
            <w:r>
              <w:rPr>
                <w:w w:val="95"/>
                <w:sz w:val="17"/>
              </w:rPr>
              <w:t>en </w:t>
            </w:r>
            <w:r>
              <w:rPr>
                <w:w w:val="90"/>
                <w:sz w:val="17"/>
              </w:rPr>
              <w:t>condiciones</w:t>
            </w:r>
            <w:r>
              <w:rPr>
                <w:spacing w:val="-7"/>
                <w:w w:val="90"/>
                <w:sz w:val="17"/>
              </w:rPr>
              <w:t> </w:t>
            </w:r>
            <w:r>
              <w:rPr>
                <w:w w:val="90"/>
                <w:sz w:val="17"/>
              </w:rPr>
              <w:t>de</w:t>
            </w:r>
            <w:r>
              <w:rPr>
                <w:spacing w:val="-7"/>
                <w:w w:val="90"/>
                <w:sz w:val="17"/>
              </w:rPr>
              <w:t> </w:t>
            </w:r>
            <w:r>
              <w:rPr>
                <w:w w:val="90"/>
                <w:sz w:val="17"/>
              </w:rPr>
              <w:t>rezago</w:t>
            </w:r>
            <w:r>
              <w:rPr>
                <w:spacing w:val="-7"/>
                <w:w w:val="90"/>
                <w:sz w:val="17"/>
              </w:rPr>
              <w:t> </w:t>
            </w:r>
            <w:r>
              <w:rPr>
                <w:w w:val="90"/>
                <w:sz w:val="17"/>
              </w:rPr>
              <w:t>social</w:t>
            </w:r>
            <w:r>
              <w:rPr>
                <w:spacing w:val="-8"/>
                <w:w w:val="90"/>
                <w:sz w:val="17"/>
              </w:rPr>
              <w:t> </w:t>
            </w:r>
            <w:r>
              <w:rPr>
                <w:w w:val="90"/>
                <w:sz w:val="17"/>
              </w:rPr>
              <w:t>y</w:t>
            </w:r>
            <w:r>
              <w:rPr>
                <w:spacing w:val="-8"/>
                <w:w w:val="90"/>
                <w:sz w:val="17"/>
              </w:rPr>
              <w:t> </w:t>
            </w:r>
            <w:r>
              <w:rPr>
                <w:w w:val="90"/>
                <w:sz w:val="17"/>
              </w:rPr>
              <w:t>pobreza</w:t>
            </w:r>
            <w:r>
              <w:rPr>
                <w:spacing w:val="-8"/>
                <w:w w:val="90"/>
                <w:sz w:val="17"/>
              </w:rPr>
              <w:t> </w:t>
            </w:r>
            <w:r>
              <w:rPr>
                <w:w w:val="90"/>
                <w:sz w:val="17"/>
              </w:rPr>
              <w:t>extrema</w:t>
            </w:r>
          </w:p>
        </w:tc>
      </w:tr>
      <w:tr>
        <w:trPr>
          <w:trHeight w:val="443" w:hRule="exact"/>
        </w:trPr>
        <w:tc>
          <w:tcPr>
            <w:tcW w:w="2138" w:type="dxa"/>
            <w:vMerge/>
            <w:tcBorders>
              <w:left w:val="single" w:sz="5" w:space="0" w:color="000000"/>
              <w:right w:val="single" w:sz="5" w:space="0" w:color="000000"/>
            </w:tcBorders>
          </w:tcPr>
          <w:p>
            <w:pPr/>
          </w:p>
        </w:tc>
        <w:tc>
          <w:tcPr>
            <w:tcW w:w="1519" w:type="dxa"/>
            <w:vMerge/>
            <w:tcBorders>
              <w:left w:val="single" w:sz="5" w:space="0" w:color="000000"/>
              <w:right w:val="single" w:sz="5" w:space="0" w:color="000000"/>
            </w:tcBorders>
          </w:tcPr>
          <w:p>
            <w:pPr/>
          </w:p>
        </w:tc>
        <w:tc>
          <w:tcPr>
            <w:tcW w:w="1051" w:type="dxa"/>
            <w:tcBorders>
              <w:left w:val="single" w:sz="5" w:space="0" w:color="000000"/>
              <w:right w:val="single" w:sz="5" w:space="0" w:color="000000"/>
            </w:tcBorders>
          </w:tcPr>
          <w:p>
            <w:pPr>
              <w:pStyle w:val="TableParagraph"/>
              <w:spacing w:before="6"/>
              <w:rPr>
                <w:b/>
                <w:sz w:val="19"/>
              </w:rPr>
            </w:pPr>
          </w:p>
          <w:p>
            <w:pPr>
              <w:pStyle w:val="TableParagraph"/>
              <w:ind w:right="24"/>
              <w:jc w:val="right"/>
              <w:rPr>
                <w:sz w:val="17"/>
              </w:rPr>
            </w:pPr>
            <w:r>
              <w:rPr>
                <w:w w:val="85"/>
                <w:sz w:val="17"/>
              </w:rPr>
              <w:t>2,229.2</w:t>
            </w:r>
          </w:p>
        </w:tc>
        <w:tc>
          <w:tcPr>
            <w:tcW w:w="4620" w:type="dxa"/>
            <w:tcBorders>
              <w:left w:val="single" w:sz="5" w:space="0" w:color="000000"/>
              <w:right w:val="single" w:sz="5" w:space="0" w:color="000000"/>
            </w:tcBorders>
          </w:tcPr>
          <w:p>
            <w:pPr>
              <w:pStyle w:val="TableParagraph"/>
              <w:spacing w:line="273" w:lineRule="auto" w:before="2"/>
              <w:ind w:left="21" w:right="149"/>
              <w:rPr>
                <w:sz w:val="17"/>
              </w:rPr>
            </w:pPr>
            <w:r>
              <w:rPr>
                <w:w w:val="90"/>
                <w:sz w:val="17"/>
              </w:rPr>
              <w:t>Recursos federales aplicados en rubros o programas no contemplados en a Ley de Coordinación Fiscal</w:t>
            </w:r>
          </w:p>
        </w:tc>
      </w:tr>
      <w:tr>
        <w:trPr>
          <w:trHeight w:val="221" w:hRule="exact"/>
        </w:trPr>
        <w:tc>
          <w:tcPr>
            <w:tcW w:w="2138" w:type="dxa"/>
            <w:vMerge/>
            <w:tcBorders>
              <w:left w:val="single" w:sz="5" w:space="0" w:color="000000"/>
              <w:right w:val="single" w:sz="5" w:space="0" w:color="000000"/>
            </w:tcBorders>
          </w:tcPr>
          <w:p>
            <w:pPr/>
          </w:p>
        </w:tc>
        <w:tc>
          <w:tcPr>
            <w:tcW w:w="1519" w:type="dxa"/>
            <w:vMerge/>
            <w:tcBorders>
              <w:left w:val="single" w:sz="5" w:space="0" w:color="000000"/>
              <w:right w:val="single" w:sz="5" w:space="0" w:color="000000"/>
            </w:tcBorders>
          </w:tcPr>
          <w:p>
            <w:pPr/>
          </w:p>
        </w:tc>
        <w:tc>
          <w:tcPr>
            <w:tcW w:w="1051" w:type="dxa"/>
            <w:tcBorders>
              <w:left w:val="single" w:sz="5" w:space="0" w:color="000000"/>
              <w:right w:val="single" w:sz="5" w:space="0" w:color="000000"/>
            </w:tcBorders>
          </w:tcPr>
          <w:p>
            <w:pPr>
              <w:pStyle w:val="TableParagraph"/>
              <w:spacing w:before="3"/>
              <w:ind w:right="21"/>
              <w:jc w:val="right"/>
              <w:rPr>
                <w:sz w:val="17"/>
              </w:rPr>
            </w:pPr>
            <w:r>
              <w:rPr>
                <w:w w:val="85"/>
                <w:sz w:val="17"/>
              </w:rPr>
              <w:t>339.5</w:t>
            </w:r>
          </w:p>
        </w:tc>
        <w:tc>
          <w:tcPr>
            <w:tcW w:w="4620" w:type="dxa"/>
            <w:tcBorders>
              <w:left w:val="single" w:sz="5" w:space="0" w:color="000000"/>
              <w:right w:val="single" w:sz="5" w:space="0" w:color="000000"/>
            </w:tcBorders>
          </w:tcPr>
          <w:p>
            <w:pPr>
              <w:pStyle w:val="TableParagraph"/>
              <w:spacing w:before="3"/>
              <w:ind w:left="21" w:right="149"/>
              <w:rPr>
                <w:sz w:val="17"/>
              </w:rPr>
            </w:pPr>
            <w:r>
              <w:rPr>
                <w:w w:val="90"/>
                <w:sz w:val="17"/>
              </w:rPr>
              <w:t>Penalizaciones no apliacadas a proveerdores</w:t>
            </w:r>
          </w:p>
        </w:tc>
      </w:tr>
    </w:tbl>
    <w:p>
      <w:pPr>
        <w:spacing w:before="119" w:after="10"/>
        <w:ind w:left="1252" w:right="338" w:firstLine="0"/>
        <w:jc w:val="left"/>
        <w:rPr>
          <w:b/>
          <w:sz w:val="17"/>
        </w:rPr>
      </w:pPr>
      <w:r>
        <w:rPr>
          <w:b/>
          <w:w w:val="90"/>
          <w:sz w:val="17"/>
        </w:rPr>
        <w:t>Fondo de Aportaciones para el Fortalecimiento de los Municipios y de las Demarcaciones Territoriales del Distrito Federal</w:t>
      </w:r>
    </w:p>
    <w:tbl>
      <w:tblPr>
        <w:tblW w:w="0" w:type="auto"/>
        <w:jc w:val="left"/>
        <w:tblInd w:w="97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138"/>
        <w:gridCol w:w="1519"/>
        <w:gridCol w:w="1051"/>
        <w:gridCol w:w="4620"/>
      </w:tblGrid>
      <w:tr>
        <w:trPr>
          <w:trHeight w:val="221" w:hRule="exact"/>
        </w:trPr>
        <w:tc>
          <w:tcPr>
            <w:tcW w:w="2138" w:type="dxa"/>
            <w:vMerge w:val="restart"/>
            <w:tcBorders>
              <w:left w:val="single" w:sz="5" w:space="0" w:color="000000"/>
              <w:right w:val="single" w:sz="5" w:space="0" w:color="000000"/>
            </w:tcBorders>
          </w:tcPr>
          <w:p>
            <w:pPr>
              <w:pStyle w:val="TableParagraph"/>
              <w:rPr>
                <w:b/>
                <w:sz w:val="18"/>
              </w:rPr>
            </w:pPr>
          </w:p>
          <w:p>
            <w:pPr>
              <w:pStyle w:val="TableParagraph"/>
              <w:spacing w:before="9"/>
              <w:rPr>
                <w:b/>
                <w:sz w:val="20"/>
              </w:rPr>
            </w:pPr>
          </w:p>
          <w:p>
            <w:pPr>
              <w:pStyle w:val="TableParagraph"/>
              <w:ind w:left="583"/>
              <w:rPr>
                <w:sz w:val="17"/>
              </w:rPr>
            </w:pPr>
            <w:r>
              <w:rPr>
                <w:sz w:val="17"/>
              </w:rPr>
              <w:t>Chimalhuacán</w:t>
            </w:r>
          </w:p>
        </w:tc>
        <w:tc>
          <w:tcPr>
            <w:tcW w:w="1519" w:type="dxa"/>
            <w:vMerge w:val="restart"/>
            <w:tcBorders>
              <w:left w:val="single" w:sz="5" w:space="0" w:color="000000"/>
              <w:right w:val="single" w:sz="5" w:space="0" w:color="000000"/>
            </w:tcBorders>
          </w:tcPr>
          <w:p>
            <w:pPr>
              <w:pStyle w:val="TableParagraph"/>
              <w:rPr>
                <w:b/>
                <w:sz w:val="18"/>
              </w:rPr>
            </w:pPr>
          </w:p>
          <w:p>
            <w:pPr>
              <w:pStyle w:val="TableParagraph"/>
              <w:spacing w:before="9"/>
              <w:rPr>
                <w:b/>
                <w:sz w:val="20"/>
              </w:rPr>
            </w:pPr>
          </w:p>
          <w:p>
            <w:pPr>
              <w:pStyle w:val="TableParagraph"/>
              <w:ind w:left="523" w:right="517"/>
              <w:jc w:val="center"/>
              <w:rPr>
                <w:sz w:val="17"/>
              </w:rPr>
            </w:pPr>
            <w:r>
              <w:rPr>
                <w:sz w:val="17"/>
              </w:rPr>
              <w:t>287.7</w:t>
            </w:r>
          </w:p>
        </w:tc>
        <w:tc>
          <w:tcPr>
            <w:tcW w:w="1051" w:type="dxa"/>
            <w:tcBorders>
              <w:left w:val="single" w:sz="5" w:space="0" w:color="000000"/>
              <w:right w:val="single" w:sz="5" w:space="0" w:color="000000"/>
            </w:tcBorders>
          </w:tcPr>
          <w:p>
            <w:pPr>
              <w:pStyle w:val="TableParagraph"/>
              <w:spacing w:before="2"/>
              <w:ind w:right="21"/>
              <w:jc w:val="right"/>
              <w:rPr>
                <w:sz w:val="17"/>
              </w:rPr>
            </w:pPr>
            <w:r>
              <w:rPr>
                <w:w w:val="85"/>
                <w:sz w:val="17"/>
              </w:rPr>
              <w:t>184.3</w:t>
            </w:r>
          </w:p>
        </w:tc>
        <w:tc>
          <w:tcPr>
            <w:tcW w:w="4620" w:type="dxa"/>
            <w:tcBorders>
              <w:left w:val="single" w:sz="5" w:space="0" w:color="000000"/>
              <w:right w:val="single" w:sz="5" w:space="0" w:color="000000"/>
            </w:tcBorders>
          </w:tcPr>
          <w:p>
            <w:pPr>
              <w:pStyle w:val="TableParagraph"/>
              <w:spacing w:before="2"/>
              <w:ind w:left="21" w:right="149"/>
              <w:rPr>
                <w:sz w:val="17"/>
              </w:rPr>
            </w:pPr>
            <w:r>
              <w:rPr>
                <w:w w:val="90"/>
                <w:sz w:val="17"/>
              </w:rPr>
              <w:t>Penas convencionales no aplicadas a los contratistas</w:t>
            </w:r>
          </w:p>
        </w:tc>
      </w:tr>
      <w:tr>
        <w:trPr>
          <w:trHeight w:val="221" w:hRule="exact"/>
        </w:trPr>
        <w:tc>
          <w:tcPr>
            <w:tcW w:w="2138" w:type="dxa"/>
            <w:vMerge/>
            <w:tcBorders>
              <w:left w:val="single" w:sz="5" w:space="0" w:color="000000"/>
              <w:right w:val="single" w:sz="5" w:space="0" w:color="000000"/>
            </w:tcBorders>
          </w:tcPr>
          <w:p>
            <w:pPr/>
          </w:p>
        </w:tc>
        <w:tc>
          <w:tcPr>
            <w:tcW w:w="1519" w:type="dxa"/>
            <w:vMerge/>
            <w:tcBorders>
              <w:left w:val="single" w:sz="5" w:space="0" w:color="000000"/>
              <w:right w:val="single" w:sz="5" w:space="0" w:color="000000"/>
            </w:tcBorders>
          </w:tcPr>
          <w:p>
            <w:pPr/>
          </w:p>
        </w:tc>
        <w:tc>
          <w:tcPr>
            <w:tcW w:w="1051" w:type="dxa"/>
            <w:tcBorders>
              <w:left w:val="single" w:sz="5" w:space="0" w:color="000000"/>
              <w:right w:val="single" w:sz="5" w:space="0" w:color="000000"/>
            </w:tcBorders>
          </w:tcPr>
          <w:p>
            <w:pPr>
              <w:pStyle w:val="TableParagraph"/>
              <w:spacing w:before="4"/>
              <w:ind w:right="24"/>
              <w:jc w:val="right"/>
              <w:rPr>
                <w:sz w:val="17"/>
              </w:rPr>
            </w:pPr>
            <w:r>
              <w:rPr>
                <w:w w:val="85"/>
                <w:sz w:val="17"/>
              </w:rPr>
              <w:t>25.5</w:t>
            </w:r>
          </w:p>
        </w:tc>
        <w:tc>
          <w:tcPr>
            <w:tcW w:w="4620" w:type="dxa"/>
            <w:tcBorders>
              <w:left w:val="single" w:sz="5" w:space="0" w:color="000000"/>
              <w:right w:val="single" w:sz="5" w:space="0" w:color="000000"/>
            </w:tcBorders>
          </w:tcPr>
          <w:p>
            <w:pPr>
              <w:pStyle w:val="TableParagraph"/>
              <w:spacing w:before="4"/>
              <w:ind w:left="21" w:right="149"/>
              <w:rPr>
                <w:sz w:val="17"/>
              </w:rPr>
            </w:pPr>
            <w:r>
              <w:rPr>
                <w:w w:val="90"/>
                <w:sz w:val="17"/>
              </w:rPr>
              <w:t>Intereses no reitegrados por el ODAPAS</w:t>
            </w:r>
          </w:p>
        </w:tc>
      </w:tr>
      <w:tr>
        <w:trPr>
          <w:trHeight w:val="222" w:hRule="exact"/>
        </w:trPr>
        <w:tc>
          <w:tcPr>
            <w:tcW w:w="2138" w:type="dxa"/>
            <w:vMerge/>
            <w:tcBorders>
              <w:left w:val="single" w:sz="5" w:space="0" w:color="000000"/>
              <w:right w:val="single" w:sz="5" w:space="0" w:color="000000"/>
            </w:tcBorders>
          </w:tcPr>
          <w:p>
            <w:pPr/>
          </w:p>
        </w:tc>
        <w:tc>
          <w:tcPr>
            <w:tcW w:w="1519" w:type="dxa"/>
            <w:vMerge/>
            <w:tcBorders>
              <w:left w:val="single" w:sz="5" w:space="0" w:color="000000"/>
              <w:right w:val="single" w:sz="5" w:space="0" w:color="000000"/>
            </w:tcBorders>
          </w:tcPr>
          <w:p>
            <w:pPr/>
          </w:p>
        </w:tc>
        <w:tc>
          <w:tcPr>
            <w:tcW w:w="1051" w:type="dxa"/>
            <w:tcBorders>
              <w:left w:val="single" w:sz="5" w:space="0" w:color="000000"/>
              <w:right w:val="single" w:sz="5" w:space="0" w:color="000000"/>
            </w:tcBorders>
          </w:tcPr>
          <w:p>
            <w:pPr>
              <w:pStyle w:val="TableParagraph"/>
              <w:spacing w:before="4"/>
              <w:ind w:right="24"/>
              <w:jc w:val="right"/>
              <w:rPr>
                <w:sz w:val="17"/>
              </w:rPr>
            </w:pPr>
            <w:r>
              <w:rPr>
                <w:w w:val="85"/>
                <w:sz w:val="17"/>
              </w:rPr>
              <w:t>22.6</w:t>
            </w:r>
          </w:p>
        </w:tc>
        <w:tc>
          <w:tcPr>
            <w:tcW w:w="4620" w:type="dxa"/>
            <w:tcBorders>
              <w:left w:val="single" w:sz="5" w:space="0" w:color="000000"/>
              <w:right w:val="single" w:sz="5" w:space="0" w:color="000000"/>
            </w:tcBorders>
          </w:tcPr>
          <w:p>
            <w:pPr>
              <w:pStyle w:val="TableParagraph"/>
              <w:spacing w:before="4"/>
              <w:ind w:left="21" w:right="149"/>
              <w:rPr>
                <w:sz w:val="17"/>
              </w:rPr>
            </w:pPr>
            <w:r>
              <w:rPr>
                <w:w w:val="90"/>
                <w:sz w:val="17"/>
              </w:rPr>
              <w:t>Intereses no reintegrados al Municipio</w:t>
            </w:r>
          </w:p>
        </w:tc>
      </w:tr>
    </w:tbl>
    <w:p>
      <w:pPr>
        <w:pStyle w:val="BodyText"/>
        <w:spacing w:before="3"/>
        <w:rPr>
          <w:b/>
          <w:sz w:val="29"/>
        </w:rPr>
      </w:pPr>
      <w:r>
        <w:rPr/>
        <w:pict>
          <v:group style="position:absolute;margin-left:160.919998pt;margin-top:18.786604pt;width:468pt;height:37.8pt;mso-position-horizontal-relative:page;mso-position-vertical-relative:paragraph;z-index:11560;mso-wrap-distance-left:0;mso-wrap-distance-right:0" coordorigin="3218,376" coordsize="9360,756">
            <v:shape style="position:absolute;left:3218;top:376;width:9360;height:756" type="#_x0000_t75" stroked="false">
              <v:imagedata r:id="rId326" o:title=""/>
            </v:shape>
            <v:shape style="position:absolute;left:3218;top:376;width:9360;height:756" type="#_x0000_t202" filled="false" stroked="false">
              <v:textbox inset="0,0,0,0">
                <w:txbxContent>
                  <w:p>
                    <w:pPr>
                      <w:spacing w:line="242" w:lineRule="auto" w:before="0"/>
                      <w:ind w:left="144" w:right="0" w:firstLine="0"/>
                      <w:jc w:val="left"/>
                      <w:rPr>
                        <w:sz w:val="20"/>
                      </w:rPr>
                    </w:pPr>
                    <w:r>
                      <w:rPr>
                        <w:b/>
                        <w:sz w:val="20"/>
                      </w:rPr>
                      <w:t>Fuente</w:t>
                    </w:r>
                    <w:r>
                      <w:rPr>
                        <w:sz w:val="20"/>
                      </w:rPr>
                      <w:t>: Elaboración propia con base en el Informe de Resultados de la Fiscalización Superior de las cuentas públicas 2008-2014.</w:t>
                    </w:r>
                  </w:p>
                </w:txbxContent>
              </v:textbox>
              <w10:wrap type="none"/>
            </v:shape>
            <w10:wrap type="topAndBottom"/>
          </v:group>
        </w:pict>
      </w:r>
    </w:p>
    <w:p>
      <w:pPr>
        <w:spacing w:after="0"/>
        <w:rPr>
          <w:sz w:val="29"/>
        </w:rPr>
        <w:sectPr>
          <w:pgSz w:w="15840" w:h="12240" w:orient="landscape"/>
          <w:pgMar w:header="0" w:footer="992" w:top="1140" w:bottom="1180" w:left="2260" w:right="2260"/>
        </w:sectPr>
      </w:pPr>
    </w:p>
    <w:p>
      <w:pPr>
        <w:pStyle w:val="BodyText"/>
        <w:rPr>
          <w:b/>
          <w:sz w:val="20"/>
        </w:rPr>
      </w:pPr>
    </w:p>
    <w:p>
      <w:pPr>
        <w:pStyle w:val="BodyText"/>
        <w:rPr>
          <w:b/>
          <w:sz w:val="20"/>
        </w:rPr>
      </w:pPr>
    </w:p>
    <w:p>
      <w:pPr>
        <w:pStyle w:val="BodyText"/>
        <w:rPr>
          <w:b/>
          <w:sz w:val="20"/>
        </w:rPr>
      </w:pPr>
    </w:p>
    <w:p>
      <w:pPr>
        <w:pStyle w:val="BodyText"/>
        <w:spacing w:before="9"/>
        <w:rPr>
          <w:b/>
          <w:sz w:val="16"/>
        </w:rPr>
      </w:pPr>
    </w:p>
    <w:p>
      <w:pPr>
        <w:spacing w:line="552" w:lineRule="auto" w:before="84"/>
        <w:ind w:left="3201" w:right="3909" w:hanging="1569"/>
        <w:jc w:val="left"/>
        <w:rPr>
          <w:b/>
          <w:sz w:val="14"/>
        </w:rPr>
      </w:pPr>
      <w:r>
        <w:rPr/>
        <w:pict>
          <v:shape style="position:absolute;margin-left:76.956543pt;margin-top:12.90705pt;width:478.1pt;height:.1pt;mso-position-horizontal-relative:page;mso-position-vertical-relative:paragraph;z-index:-671656" coordorigin="1539,258" coordsize="9562,0" path="m1539,258l1539,258,11101,258e" filled="false" stroked="true" strokeweight=".529754pt" strokecolor="#000000">
            <v:path arrowok="t"/>
            <w10:wrap type="none"/>
          </v:shape>
        </w:pict>
      </w:r>
      <w:r>
        <w:rPr/>
        <w:pict>
          <v:shape style="position:absolute;margin-left:76.674408pt;margin-top:31.108488pt;width:478.85pt;height:262.9pt;mso-position-horizontal-relative:page;mso-position-vertical-relative:paragraph;z-index:1160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7"/>
                    <w:gridCol w:w="1428"/>
                    <w:gridCol w:w="828"/>
                    <w:gridCol w:w="5416"/>
                  </w:tblGrid>
                  <w:tr>
                    <w:trPr>
                      <w:trHeight w:val="543" w:hRule="exact"/>
                    </w:trPr>
                    <w:tc>
                      <w:tcPr>
                        <w:tcW w:w="1887" w:type="dxa"/>
                        <w:tcBorders>
                          <w:left w:val="single" w:sz="5" w:space="0" w:color="000000"/>
                          <w:right w:val="single" w:sz="5" w:space="0" w:color="000000"/>
                        </w:tcBorders>
                        <w:shd w:val="clear" w:color="auto" w:fill="E6B8B7"/>
                      </w:tcPr>
                      <w:p>
                        <w:pPr>
                          <w:pStyle w:val="TableParagraph"/>
                          <w:rPr>
                            <w:b/>
                            <w:sz w:val="14"/>
                          </w:rPr>
                        </w:pPr>
                      </w:p>
                      <w:p>
                        <w:pPr>
                          <w:pStyle w:val="TableParagraph"/>
                          <w:spacing w:before="8"/>
                          <w:rPr>
                            <w:b/>
                            <w:sz w:val="17"/>
                          </w:rPr>
                        </w:pPr>
                      </w:p>
                      <w:p>
                        <w:pPr>
                          <w:pStyle w:val="TableParagraph"/>
                          <w:ind w:left="263" w:right="254"/>
                          <w:jc w:val="center"/>
                          <w:rPr>
                            <w:b/>
                            <w:sz w:val="14"/>
                          </w:rPr>
                        </w:pPr>
                        <w:r>
                          <w:rPr>
                            <w:b/>
                            <w:w w:val="110"/>
                            <w:sz w:val="14"/>
                          </w:rPr>
                          <w:t>Entidad Municipal</w:t>
                        </w:r>
                      </w:p>
                    </w:tc>
                    <w:tc>
                      <w:tcPr>
                        <w:tcW w:w="1428" w:type="dxa"/>
                        <w:tcBorders>
                          <w:left w:val="single" w:sz="5" w:space="0" w:color="000000"/>
                          <w:right w:val="single" w:sz="5" w:space="0" w:color="000000"/>
                        </w:tcBorders>
                        <w:shd w:val="clear" w:color="auto" w:fill="E6B8B7"/>
                      </w:tcPr>
                      <w:p>
                        <w:pPr>
                          <w:pStyle w:val="TableParagraph"/>
                          <w:spacing w:line="268" w:lineRule="auto" w:before="2"/>
                          <w:ind w:left="114" w:right="102" w:hanging="1"/>
                          <w:jc w:val="center"/>
                          <w:rPr>
                            <w:b/>
                            <w:sz w:val="14"/>
                          </w:rPr>
                        </w:pPr>
                        <w:r>
                          <w:rPr>
                            <w:b/>
                            <w:w w:val="110"/>
                            <w:sz w:val="14"/>
                          </w:rPr>
                          <w:t>Cuantificación Monetaria de</w:t>
                        </w:r>
                        <w:r>
                          <w:rPr>
                            <w:b/>
                            <w:spacing w:val="-16"/>
                            <w:w w:val="110"/>
                            <w:sz w:val="14"/>
                          </w:rPr>
                          <w:t> </w:t>
                        </w:r>
                        <w:r>
                          <w:rPr>
                            <w:b/>
                            <w:w w:val="110"/>
                            <w:sz w:val="14"/>
                          </w:rPr>
                          <w:t>las Observaciones</w:t>
                        </w:r>
                      </w:p>
                    </w:tc>
                    <w:tc>
                      <w:tcPr>
                        <w:tcW w:w="828" w:type="dxa"/>
                        <w:tcBorders>
                          <w:left w:val="single" w:sz="5" w:space="0" w:color="000000"/>
                          <w:right w:val="single" w:sz="5" w:space="0" w:color="000000"/>
                        </w:tcBorders>
                        <w:shd w:val="clear" w:color="auto" w:fill="E6B8B7"/>
                      </w:tcPr>
                      <w:p>
                        <w:pPr/>
                      </w:p>
                    </w:tc>
                    <w:tc>
                      <w:tcPr>
                        <w:tcW w:w="5416" w:type="dxa"/>
                        <w:tcBorders>
                          <w:left w:val="single" w:sz="5" w:space="0" w:color="000000"/>
                          <w:right w:val="single" w:sz="5" w:space="0" w:color="000000"/>
                        </w:tcBorders>
                        <w:shd w:val="clear" w:color="auto" w:fill="E6B8B7"/>
                      </w:tcPr>
                      <w:p>
                        <w:pPr>
                          <w:pStyle w:val="TableParagraph"/>
                          <w:rPr>
                            <w:b/>
                            <w:sz w:val="14"/>
                          </w:rPr>
                        </w:pPr>
                      </w:p>
                      <w:p>
                        <w:pPr>
                          <w:pStyle w:val="TableParagraph"/>
                          <w:spacing w:before="8"/>
                          <w:rPr>
                            <w:b/>
                            <w:sz w:val="17"/>
                          </w:rPr>
                        </w:pPr>
                      </w:p>
                      <w:p>
                        <w:pPr>
                          <w:pStyle w:val="TableParagraph"/>
                          <w:ind w:left="2332" w:right="2322"/>
                          <w:jc w:val="center"/>
                          <w:rPr>
                            <w:b/>
                            <w:sz w:val="14"/>
                          </w:rPr>
                        </w:pPr>
                        <w:r>
                          <w:rPr>
                            <w:b/>
                            <w:w w:val="110"/>
                            <w:sz w:val="14"/>
                          </w:rPr>
                          <w:t>Concepto</w:t>
                        </w:r>
                      </w:p>
                    </w:tc>
                  </w:tr>
                  <w:tr>
                    <w:trPr>
                      <w:trHeight w:val="182" w:hRule="exact"/>
                    </w:trPr>
                    <w:tc>
                      <w:tcPr>
                        <w:tcW w:w="1887" w:type="dxa"/>
                        <w:vMerge w:val="restart"/>
                        <w:tcBorders>
                          <w:left w:val="single" w:sz="5" w:space="0" w:color="000000"/>
                          <w:right w:val="single" w:sz="5"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left="223"/>
                          <w:rPr>
                            <w:sz w:val="14"/>
                          </w:rPr>
                        </w:pPr>
                        <w:r>
                          <w:rPr>
                            <w:w w:val="110"/>
                            <w:sz w:val="14"/>
                          </w:rPr>
                          <w:t>Ecatepec de Morelos</w:t>
                        </w:r>
                      </w:p>
                    </w:tc>
                    <w:tc>
                      <w:tcPr>
                        <w:tcW w:w="1428" w:type="dxa"/>
                        <w:vMerge w:val="restart"/>
                        <w:tcBorders>
                          <w:left w:val="single" w:sz="5" w:space="0" w:color="000000"/>
                          <w:right w:val="single" w:sz="5" w:space="0" w:color="000000"/>
                        </w:tcBorders>
                      </w:tcPr>
                      <w:p>
                        <w:pPr>
                          <w:pStyle w:val="TableParagraph"/>
                          <w:rPr>
                            <w:b/>
                            <w:sz w:val="14"/>
                          </w:rPr>
                        </w:pPr>
                      </w:p>
                      <w:p>
                        <w:pPr>
                          <w:pStyle w:val="TableParagraph"/>
                          <w:rPr>
                            <w:b/>
                            <w:sz w:val="14"/>
                          </w:rPr>
                        </w:pPr>
                      </w:p>
                      <w:p>
                        <w:pPr>
                          <w:pStyle w:val="TableParagraph"/>
                          <w:spacing w:before="4"/>
                          <w:rPr>
                            <w:b/>
                            <w:sz w:val="19"/>
                          </w:rPr>
                        </w:pPr>
                      </w:p>
                      <w:p>
                        <w:pPr>
                          <w:pStyle w:val="TableParagraph"/>
                          <w:ind w:left="822" w:right="-2"/>
                          <w:rPr>
                            <w:sz w:val="14"/>
                          </w:rPr>
                        </w:pPr>
                        <w:r>
                          <w:rPr>
                            <w:spacing w:val="-3"/>
                            <w:w w:val="110"/>
                            <w:sz w:val="14"/>
                          </w:rPr>
                          <w:t>94,111.7</w:t>
                        </w:r>
                      </w:p>
                    </w:tc>
                    <w:tc>
                      <w:tcPr>
                        <w:tcW w:w="828" w:type="dxa"/>
                        <w:tcBorders>
                          <w:left w:val="single" w:sz="5" w:space="0" w:color="000000"/>
                          <w:right w:val="single" w:sz="5" w:space="0" w:color="000000"/>
                        </w:tcBorders>
                      </w:tcPr>
                      <w:p>
                        <w:pPr>
                          <w:pStyle w:val="TableParagraph"/>
                          <w:spacing w:before="2"/>
                          <w:ind w:right="25"/>
                          <w:jc w:val="right"/>
                          <w:rPr>
                            <w:sz w:val="14"/>
                          </w:rPr>
                        </w:pPr>
                        <w:r>
                          <w:rPr>
                            <w:w w:val="105"/>
                            <w:sz w:val="14"/>
                          </w:rPr>
                          <w:t>92,000.0</w:t>
                        </w: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Transferencia de la cuenta a otras cuentas del Municipio</w:t>
                        </w:r>
                      </w:p>
                    </w:tc>
                  </w:tr>
                  <w:tr>
                    <w:trPr>
                      <w:trHeight w:val="361"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10"/>
                          <w:rPr>
                            <w:b/>
                            <w:sz w:val="15"/>
                          </w:rPr>
                        </w:pPr>
                      </w:p>
                      <w:p>
                        <w:pPr>
                          <w:pStyle w:val="TableParagraph"/>
                          <w:ind w:right="21"/>
                          <w:jc w:val="right"/>
                          <w:rPr>
                            <w:sz w:val="14"/>
                          </w:rPr>
                        </w:pPr>
                        <w:r>
                          <w:rPr>
                            <w:w w:val="105"/>
                            <w:sz w:val="14"/>
                          </w:rPr>
                          <w:t>423.4</w:t>
                        </w:r>
                      </w:p>
                    </w:tc>
                    <w:tc>
                      <w:tcPr>
                        <w:tcW w:w="5416" w:type="dxa"/>
                        <w:tcBorders>
                          <w:left w:val="single" w:sz="5" w:space="0" w:color="000000"/>
                          <w:right w:val="single" w:sz="5" w:space="0" w:color="000000"/>
                        </w:tcBorders>
                      </w:tcPr>
                      <w:p>
                        <w:pPr>
                          <w:pStyle w:val="TableParagraph"/>
                          <w:spacing w:line="271" w:lineRule="auto" w:before="1"/>
                          <w:ind w:left="23" w:right="-13" w:hanging="2"/>
                          <w:rPr>
                            <w:sz w:val="14"/>
                          </w:rPr>
                        </w:pPr>
                        <w:r>
                          <w:rPr>
                            <w:w w:val="110"/>
                            <w:sz w:val="14"/>
                          </w:rPr>
                          <w:t>Una obra que no se encuentra dentro de los rubros contemplados en la Ley de Coordinacion Fiscal</w:t>
                        </w:r>
                      </w:p>
                    </w:tc>
                  </w:tr>
                  <w:tr>
                    <w:trPr>
                      <w:trHeight w:val="182"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2"/>
                          <w:ind w:right="23"/>
                          <w:jc w:val="right"/>
                          <w:rPr>
                            <w:sz w:val="14"/>
                          </w:rPr>
                        </w:pPr>
                        <w:r>
                          <w:rPr>
                            <w:w w:val="105"/>
                            <w:sz w:val="14"/>
                          </w:rPr>
                          <w:t>1,570.5</w:t>
                        </w: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2 obras pendientes de amortizar el anticipo</w:t>
                        </w:r>
                      </w:p>
                    </w:tc>
                  </w:tr>
                  <w:tr>
                    <w:trPr>
                      <w:trHeight w:val="181" w:hRule="exact"/>
                    </w:trPr>
                    <w:tc>
                      <w:tcPr>
                        <w:tcW w:w="1887" w:type="dxa"/>
                        <w:vMerge w:val="restart"/>
                        <w:tcBorders>
                          <w:left w:val="single" w:sz="5" w:space="0" w:color="000000"/>
                          <w:right w:val="single" w:sz="5" w:space="0" w:color="000000"/>
                        </w:tcBorders>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1"/>
                          <w:ind w:left="593"/>
                          <w:rPr>
                            <w:sz w:val="14"/>
                          </w:rPr>
                        </w:pPr>
                        <w:r>
                          <w:rPr>
                            <w:w w:val="110"/>
                            <w:sz w:val="14"/>
                          </w:rPr>
                          <w:t>Ixtlahuaca</w:t>
                        </w:r>
                      </w:p>
                    </w:tc>
                    <w:tc>
                      <w:tcPr>
                        <w:tcW w:w="1428" w:type="dxa"/>
                        <w:vMerge w:val="restart"/>
                        <w:tcBorders>
                          <w:left w:val="single" w:sz="5" w:space="0" w:color="000000"/>
                          <w:right w:val="single" w:sz="5" w:space="0" w:color="000000"/>
                        </w:tcBorders>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1"/>
                          <w:ind w:left="810" w:right="-2"/>
                          <w:rPr>
                            <w:sz w:val="14"/>
                          </w:rPr>
                        </w:pPr>
                        <w:r>
                          <w:rPr>
                            <w:w w:val="105"/>
                            <w:sz w:val="14"/>
                          </w:rPr>
                          <w:t>11,274.1</w:t>
                        </w:r>
                      </w:p>
                    </w:tc>
                    <w:tc>
                      <w:tcPr>
                        <w:tcW w:w="828" w:type="dxa"/>
                        <w:tcBorders>
                          <w:left w:val="single" w:sz="5" w:space="0" w:color="000000"/>
                          <w:right w:val="single" w:sz="5" w:space="0" w:color="000000"/>
                        </w:tcBorders>
                      </w:tcPr>
                      <w:p>
                        <w:pPr>
                          <w:pStyle w:val="TableParagraph"/>
                          <w:spacing w:before="1"/>
                          <w:ind w:right="23"/>
                          <w:jc w:val="right"/>
                          <w:rPr>
                            <w:sz w:val="14"/>
                          </w:rPr>
                        </w:pPr>
                        <w:r>
                          <w:rPr>
                            <w:w w:val="105"/>
                            <w:sz w:val="14"/>
                          </w:rPr>
                          <w:t>52.7</w:t>
                        </w:r>
                      </w:p>
                    </w:tc>
                    <w:tc>
                      <w:tcPr>
                        <w:tcW w:w="5416" w:type="dxa"/>
                        <w:tcBorders>
                          <w:left w:val="single" w:sz="5" w:space="0" w:color="000000"/>
                          <w:right w:val="single" w:sz="5" w:space="0" w:color="000000"/>
                        </w:tcBorders>
                      </w:tcPr>
                      <w:p>
                        <w:pPr>
                          <w:pStyle w:val="TableParagraph"/>
                          <w:spacing w:before="1"/>
                          <w:ind w:left="22" w:right="-13"/>
                          <w:rPr>
                            <w:sz w:val="14"/>
                          </w:rPr>
                        </w:pPr>
                        <w:r>
                          <w:rPr>
                            <w:w w:val="110"/>
                            <w:sz w:val="14"/>
                          </w:rPr>
                          <w:t>Pago duplicado de facturas</w:t>
                        </w:r>
                      </w:p>
                    </w:tc>
                  </w:tr>
                  <w:tr>
                    <w:trPr>
                      <w:trHeight w:val="362"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10"/>
                          <w:rPr>
                            <w:b/>
                            <w:sz w:val="15"/>
                          </w:rPr>
                        </w:pPr>
                      </w:p>
                      <w:p>
                        <w:pPr>
                          <w:pStyle w:val="TableParagraph"/>
                          <w:ind w:right="23"/>
                          <w:jc w:val="right"/>
                          <w:rPr>
                            <w:sz w:val="14"/>
                          </w:rPr>
                        </w:pPr>
                        <w:r>
                          <w:rPr>
                            <w:w w:val="105"/>
                            <w:sz w:val="14"/>
                          </w:rPr>
                          <w:t>1,564.5</w:t>
                        </w:r>
                      </w:p>
                    </w:tc>
                    <w:tc>
                      <w:tcPr>
                        <w:tcW w:w="5416" w:type="dxa"/>
                        <w:tcBorders>
                          <w:left w:val="single" w:sz="5" w:space="0" w:color="000000"/>
                          <w:right w:val="single" w:sz="5" w:space="0" w:color="000000"/>
                        </w:tcBorders>
                      </w:tcPr>
                      <w:p>
                        <w:pPr>
                          <w:pStyle w:val="TableParagraph"/>
                          <w:spacing w:line="268" w:lineRule="auto" w:before="2"/>
                          <w:ind w:left="23" w:right="-13" w:hanging="2"/>
                          <w:rPr>
                            <w:sz w:val="14"/>
                          </w:rPr>
                        </w:pPr>
                        <w:r>
                          <w:rPr>
                            <w:w w:val="110"/>
                            <w:sz w:val="14"/>
                          </w:rPr>
                          <w:t>Recursos federales aplicados en rubros o programas no contemplados en a Ley de Coordinación Fiscal</w:t>
                        </w:r>
                      </w:p>
                    </w:tc>
                  </w:tr>
                  <w:tr>
                    <w:trPr>
                      <w:trHeight w:val="361"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10"/>
                          <w:rPr>
                            <w:b/>
                            <w:sz w:val="15"/>
                          </w:rPr>
                        </w:pPr>
                      </w:p>
                      <w:p>
                        <w:pPr>
                          <w:pStyle w:val="TableParagraph"/>
                          <w:ind w:right="23"/>
                          <w:jc w:val="right"/>
                          <w:rPr>
                            <w:sz w:val="14"/>
                          </w:rPr>
                        </w:pPr>
                        <w:r>
                          <w:rPr>
                            <w:w w:val="105"/>
                            <w:sz w:val="14"/>
                          </w:rPr>
                          <w:t>6,075.9</w:t>
                        </w:r>
                      </w:p>
                    </w:tc>
                    <w:tc>
                      <w:tcPr>
                        <w:tcW w:w="5416" w:type="dxa"/>
                        <w:tcBorders>
                          <w:left w:val="single" w:sz="5" w:space="0" w:color="000000"/>
                          <w:right w:val="single" w:sz="5" w:space="0" w:color="000000"/>
                        </w:tcBorders>
                      </w:tcPr>
                      <w:p>
                        <w:pPr>
                          <w:pStyle w:val="TableParagraph"/>
                          <w:spacing w:line="271" w:lineRule="auto" w:before="1"/>
                          <w:ind w:left="22" w:right="35"/>
                          <w:rPr>
                            <w:sz w:val="14"/>
                          </w:rPr>
                        </w:pPr>
                        <w:r>
                          <w:rPr>
                            <w:w w:val="110"/>
                            <w:sz w:val="14"/>
                          </w:rPr>
                          <w:t>Obras y acciones ejecutadas que no beneficiaron a sectores en condiciones de rezago social y pobreza extrema</w:t>
                        </w:r>
                      </w:p>
                    </w:tc>
                  </w:tr>
                  <w:tr>
                    <w:trPr>
                      <w:trHeight w:val="182"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2"/>
                          <w:ind w:right="22"/>
                          <w:jc w:val="right"/>
                          <w:rPr>
                            <w:sz w:val="14"/>
                          </w:rPr>
                        </w:pPr>
                        <w:r>
                          <w:rPr>
                            <w:w w:val="105"/>
                            <w:sz w:val="14"/>
                          </w:rPr>
                          <w:t>7.8</w:t>
                        </w: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Anticipos no amortizados</w:t>
                        </w:r>
                      </w:p>
                    </w:tc>
                  </w:tr>
                  <w:tr>
                    <w:trPr>
                      <w:trHeight w:val="181"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1"/>
                          <w:ind w:right="21"/>
                          <w:jc w:val="right"/>
                          <w:rPr>
                            <w:sz w:val="14"/>
                          </w:rPr>
                        </w:pPr>
                        <w:r>
                          <w:rPr>
                            <w:w w:val="105"/>
                            <w:sz w:val="14"/>
                          </w:rPr>
                          <w:t>347.8</w:t>
                        </w:r>
                      </w:p>
                    </w:tc>
                    <w:tc>
                      <w:tcPr>
                        <w:tcW w:w="5416" w:type="dxa"/>
                        <w:tcBorders>
                          <w:left w:val="single" w:sz="5" w:space="0" w:color="000000"/>
                          <w:right w:val="single" w:sz="5" w:space="0" w:color="000000"/>
                        </w:tcBorders>
                      </w:tcPr>
                      <w:p>
                        <w:pPr>
                          <w:pStyle w:val="TableParagraph"/>
                          <w:spacing w:before="1"/>
                          <w:ind w:left="22" w:right="-13"/>
                          <w:rPr>
                            <w:sz w:val="14"/>
                          </w:rPr>
                        </w:pPr>
                        <w:r>
                          <w:rPr>
                            <w:w w:val="110"/>
                            <w:sz w:val="14"/>
                          </w:rPr>
                          <w:t>Incremento de preciso unitarios</w:t>
                        </w:r>
                      </w:p>
                    </w:tc>
                  </w:tr>
                  <w:tr>
                    <w:trPr>
                      <w:trHeight w:val="182"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2"/>
                          <w:ind w:right="21"/>
                          <w:jc w:val="right"/>
                          <w:rPr>
                            <w:sz w:val="14"/>
                          </w:rPr>
                        </w:pPr>
                        <w:r>
                          <w:rPr>
                            <w:w w:val="105"/>
                            <w:sz w:val="14"/>
                          </w:rPr>
                          <w:t>800.3</w:t>
                        </w: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Conceptos de obras pagados y no ejecutados</w:t>
                        </w:r>
                      </w:p>
                    </w:tc>
                  </w:tr>
                  <w:tr>
                    <w:trPr>
                      <w:trHeight w:val="181"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1"/>
                          <w:ind w:right="21"/>
                          <w:jc w:val="right"/>
                          <w:rPr>
                            <w:sz w:val="14"/>
                          </w:rPr>
                        </w:pPr>
                        <w:r>
                          <w:rPr>
                            <w:w w:val="105"/>
                            <w:sz w:val="14"/>
                          </w:rPr>
                          <w:t>192.5</w:t>
                        </w:r>
                      </w:p>
                    </w:tc>
                    <w:tc>
                      <w:tcPr>
                        <w:tcW w:w="5416" w:type="dxa"/>
                        <w:tcBorders>
                          <w:left w:val="single" w:sz="5" w:space="0" w:color="000000"/>
                          <w:right w:val="single" w:sz="5" w:space="0" w:color="000000"/>
                        </w:tcBorders>
                      </w:tcPr>
                      <w:p>
                        <w:pPr>
                          <w:pStyle w:val="TableParagraph"/>
                          <w:spacing w:before="1"/>
                          <w:ind w:left="22" w:right="-13"/>
                          <w:rPr>
                            <w:sz w:val="14"/>
                          </w:rPr>
                        </w:pPr>
                        <w:r>
                          <w:rPr>
                            <w:w w:val="110"/>
                            <w:sz w:val="14"/>
                          </w:rPr>
                          <w:t>Pagos de lista de raya que no corresponden con trabajos presupuestados</w:t>
                        </w:r>
                      </w:p>
                    </w:tc>
                  </w:tr>
                  <w:tr>
                    <w:trPr>
                      <w:trHeight w:val="180"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1"/>
                          <w:ind w:right="21"/>
                          <w:jc w:val="right"/>
                          <w:rPr>
                            <w:sz w:val="14"/>
                          </w:rPr>
                        </w:pPr>
                        <w:r>
                          <w:rPr>
                            <w:w w:val="105"/>
                            <w:sz w:val="14"/>
                          </w:rPr>
                          <w:t>156.6</w:t>
                        </w:r>
                      </w:p>
                    </w:tc>
                    <w:tc>
                      <w:tcPr>
                        <w:tcW w:w="5416" w:type="dxa"/>
                        <w:tcBorders>
                          <w:left w:val="single" w:sz="5" w:space="0" w:color="000000"/>
                          <w:right w:val="single" w:sz="5" w:space="0" w:color="000000"/>
                        </w:tcBorders>
                      </w:tcPr>
                      <w:p>
                        <w:pPr>
                          <w:pStyle w:val="TableParagraph"/>
                          <w:spacing w:before="1"/>
                          <w:ind w:left="22" w:right="-13"/>
                          <w:rPr>
                            <w:sz w:val="14"/>
                          </w:rPr>
                        </w:pPr>
                        <w:r>
                          <w:rPr>
                            <w:w w:val="110"/>
                            <w:sz w:val="14"/>
                          </w:rPr>
                          <w:t>Pago de materiales no aplicados en la obra</w:t>
                        </w:r>
                      </w:p>
                    </w:tc>
                  </w:tr>
                  <w:tr>
                    <w:trPr>
                      <w:trHeight w:val="182"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2"/>
                          <w:ind w:right="21"/>
                          <w:jc w:val="right"/>
                          <w:rPr>
                            <w:sz w:val="14"/>
                          </w:rPr>
                        </w:pPr>
                        <w:r>
                          <w:rPr>
                            <w:w w:val="105"/>
                            <w:sz w:val="14"/>
                          </w:rPr>
                          <w:t>390.1</w:t>
                        </w: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Pago en exceso en adquisiciones</w:t>
                        </w:r>
                      </w:p>
                    </w:tc>
                  </w:tr>
                  <w:tr>
                    <w:trPr>
                      <w:trHeight w:val="361"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9"/>
                          <w:rPr>
                            <w:b/>
                            <w:sz w:val="15"/>
                          </w:rPr>
                        </w:pPr>
                      </w:p>
                      <w:p>
                        <w:pPr>
                          <w:pStyle w:val="TableParagraph"/>
                          <w:ind w:right="23"/>
                          <w:jc w:val="right"/>
                          <w:rPr>
                            <w:sz w:val="14"/>
                          </w:rPr>
                        </w:pPr>
                        <w:r>
                          <w:rPr>
                            <w:w w:val="105"/>
                            <w:sz w:val="14"/>
                          </w:rPr>
                          <w:t>1,685.9</w:t>
                        </w:r>
                      </w:p>
                    </w:tc>
                    <w:tc>
                      <w:tcPr>
                        <w:tcW w:w="5416" w:type="dxa"/>
                        <w:tcBorders>
                          <w:left w:val="single" w:sz="5" w:space="0" w:color="000000"/>
                          <w:right w:val="single" w:sz="5" w:space="0" w:color="000000"/>
                        </w:tcBorders>
                      </w:tcPr>
                      <w:p>
                        <w:pPr>
                          <w:pStyle w:val="TableParagraph"/>
                          <w:spacing w:line="268" w:lineRule="auto" w:before="1"/>
                          <w:ind w:left="21" w:right="-13" w:firstLine="1"/>
                          <w:rPr>
                            <w:sz w:val="14"/>
                          </w:rPr>
                        </w:pPr>
                        <w:r>
                          <w:rPr>
                            <w:w w:val="110"/>
                            <w:sz w:val="14"/>
                          </w:rPr>
                          <w:t>Servicios relacionados con la obra publica que no corresponden con la supervision</w:t>
                        </w:r>
                      </w:p>
                    </w:tc>
                  </w:tr>
                  <w:tr>
                    <w:trPr>
                      <w:trHeight w:val="182" w:hRule="exact"/>
                    </w:trPr>
                    <w:tc>
                      <w:tcPr>
                        <w:tcW w:w="1887" w:type="dxa"/>
                        <w:vMerge w:val="restart"/>
                        <w:tcBorders>
                          <w:left w:val="single" w:sz="5" w:space="0" w:color="000000"/>
                          <w:right w:val="single" w:sz="5" w:space="0" w:color="000000"/>
                        </w:tcBorders>
                      </w:tcPr>
                      <w:p>
                        <w:pPr>
                          <w:pStyle w:val="TableParagraph"/>
                          <w:rPr>
                            <w:b/>
                            <w:sz w:val="14"/>
                          </w:rPr>
                        </w:pPr>
                      </w:p>
                      <w:p>
                        <w:pPr>
                          <w:pStyle w:val="TableParagraph"/>
                          <w:spacing w:before="110"/>
                          <w:ind w:left="122"/>
                          <w:rPr>
                            <w:sz w:val="14"/>
                          </w:rPr>
                        </w:pPr>
                        <w:r>
                          <w:rPr>
                            <w:w w:val="110"/>
                            <w:sz w:val="14"/>
                          </w:rPr>
                          <w:t>San Felipe del Progreso</w:t>
                        </w:r>
                      </w:p>
                    </w:tc>
                    <w:tc>
                      <w:tcPr>
                        <w:tcW w:w="1428" w:type="dxa"/>
                        <w:vMerge w:val="restart"/>
                        <w:tcBorders>
                          <w:left w:val="single" w:sz="5" w:space="0" w:color="000000"/>
                          <w:right w:val="single" w:sz="5" w:space="0" w:color="000000"/>
                        </w:tcBorders>
                      </w:tcPr>
                      <w:p>
                        <w:pPr>
                          <w:pStyle w:val="TableParagraph"/>
                          <w:rPr>
                            <w:b/>
                            <w:sz w:val="14"/>
                          </w:rPr>
                        </w:pPr>
                      </w:p>
                      <w:p>
                        <w:pPr>
                          <w:pStyle w:val="TableParagraph"/>
                          <w:spacing w:before="110"/>
                          <w:ind w:left="798" w:right="-2"/>
                          <w:rPr>
                            <w:sz w:val="14"/>
                          </w:rPr>
                        </w:pPr>
                        <w:r>
                          <w:rPr>
                            <w:w w:val="110"/>
                            <w:sz w:val="14"/>
                          </w:rPr>
                          <w:t>25,870.6</w:t>
                        </w:r>
                      </w:p>
                    </w:tc>
                    <w:tc>
                      <w:tcPr>
                        <w:tcW w:w="828" w:type="dxa"/>
                        <w:tcBorders>
                          <w:left w:val="single" w:sz="5" w:space="0" w:color="000000"/>
                          <w:right w:val="single" w:sz="5" w:space="0" w:color="000000"/>
                        </w:tcBorders>
                      </w:tcPr>
                      <w:p>
                        <w:pPr>
                          <w:pStyle w:val="TableParagraph"/>
                          <w:spacing w:before="2"/>
                          <w:ind w:right="25"/>
                          <w:jc w:val="right"/>
                          <w:rPr>
                            <w:sz w:val="14"/>
                          </w:rPr>
                        </w:pPr>
                        <w:r>
                          <w:rPr>
                            <w:w w:val="105"/>
                            <w:sz w:val="14"/>
                          </w:rPr>
                          <w:t>22,981.3</w:t>
                        </w: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Falta de documentacion que acredite la entrega de bienes a los beneficiarios</w:t>
                        </w:r>
                      </w:p>
                    </w:tc>
                  </w:tr>
                  <w:tr>
                    <w:trPr>
                      <w:trHeight w:val="180"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1"/>
                          <w:ind w:right="23"/>
                          <w:jc w:val="right"/>
                          <w:rPr>
                            <w:sz w:val="14"/>
                          </w:rPr>
                        </w:pPr>
                        <w:r>
                          <w:rPr>
                            <w:w w:val="105"/>
                            <w:sz w:val="14"/>
                          </w:rPr>
                          <w:t>1,740.0</w:t>
                        </w:r>
                      </w:p>
                    </w:tc>
                    <w:tc>
                      <w:tcPr>
                        <w:tcW w:w="5416" w:type="dxa"/>
                        <w:tcBorders>
                          <w:left w:val="single" w:sz="5" w:space="0" w:color="000000"/>
                          <w:right w:val="single" w:sz="5" w:space="0" w:color="000000"/>
                        </w:tcBorders>
                      </w:tcPr>
                      <w:p>
                        <w:pPr>
                          <w:pStyle w:val="TableParagraph"/>
                          <w:spacing w:before="1"/>
                          <w:ind w:left="22" w:right="-13"/>
                          <w:rPr>
                            <w:sz w:val="14"/>
                          </w:rPr>
                        </w:pPr>
                        <w:r>
                          <w:rPr>
                            <w:w w:val="110"/>
                            <w:sz w:val="14"/>
                          </w:rPr>
                          <w:t>Pago de arrendamiento de maquinarias con gastos indirectos</w:t>
                        </w:r>
                      </w:p>
                    </w:tc>
                  </w:tr>
                  <w:tr>
                    <w:trPr>
                      <w:trHeight w:val="181"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1"/>
                          <w:ind w:right="21"/>
                          <w:jc w:val="right"/>
                          <w:rPr>
                            <w:sz w:val="14"/>
                          </w:rPr>
                        </w:pPr>
                        <w:r>
                          <w:rPr>
                            <w:w w:val="105"/>
                            <w:sz w:val="14"/>
                          </w:rPr>
                          <w:t>863.9</w:t>
                        </w:r>
                      </w:p>
                    </w:tc>
                    <w:tc>
                      <w:tcPr>
                        <w:tcW w:w="5416" w:type="dxa"/>
                        <w:tcBorders>
                          <w:left w:val="single" w:sz="5" w:space="0" w:color="000000"/>
                          <w:right w:val="single" w:sz="5" w:space="0" w:color="000000"/>
                        </w:tcBorders>
                      </w:tcPr>
                      <w:p>
                        <w:pPr>
                          <w:pStyle w:val="TableParagraph"/>
                          <w:spacing w:before="1"/>
                          <w:ind w:left="22" w:right="-13"/>
                          <w:rPr>
                            <w:sz w:val="14"/>
                          </w:rPr>
                        </w:pPr>
                        <w:r>
                          <w:rPr>
                            <w:w w:val="110"/>
                            <w:sz w:val="14"/>
                          </w:rPr>
                          <w:t>Pagos improcendentes o en exceso de obras</w:t>
                        </w:r>
                      </w:p>
                    </w:tc>
                  </w:tr>
                  <w:tr>
                    <w:trPr>
                      <w:trHeight w:val="181"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2"/>
                          <w:ind w:right="22"/>
                          <w:jc w:val="right"/>
                          <w:rPr>
                            <w:sz w:val="14"/>
                          </w:rPr>
                        </w:pPr>
                        <w:r>
                          <w:rPr>
                            <w:w w:val="105"/>
                            <w:sz w:val="14"/>
                          </w:rPr>
                          <w:t>9.8</w:t>
                        </w: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Retenciones que no corresponden al fondo</w:t>
                        </w:r>
                      </w:p>
                    </w:tc>
                  </w:tr>
                  <w:tr>
                    <w:trPr>
                      <w:trHeight w:val="361" w:hRule="exact"/>
                    </w:trPr>
                    <w:tc>
                      <w:tcPr>
                        <w:tcW w:w="1887" w:type="dxa"/>
                        <w:vMerge w:val="restart"/>
                        <w:tcBorders>
                          <w:left w:val="single" w:sz="5" w:space="0" w:color="000000"/>
                          <w:right w:val="single" w:sz="5" w:space="0" w:color="000000"/>
                        </w:tcBorders>
                      </w:tcPr>
                      <w:p>
                        <w:pPr>
                          <w:pStyle w:val="TableParagraph"/>
                          <w:spacing w:before="9"/>
                          <w:rPr>
                            <w:b/>
                            <w:sz w:val="15"/>
                          </w:rPr>
                        </w:pPr>
                      </w:p>
                      <w:p>
                        <w:pPr>
                          <w:pStyle w:val="TableParagraph"/>
                          <w:ind w:left="242"/>
                          <w:rPr>
                            <w:sz w:val="14"/>
                          </w:rPr>
                        </w:pPr>
                        <w:r>
                          <w:rPr>
                            <w:w w:val="110"/>
                            <w:sz w:val="14"/>
                          </w:rPr>
                          <w:t>San José del Rincón</w:t>
                        </w:r>
                      </w:p>
                    </w:tc>
                    <w:tc>
                      <w:tcPr>
                        <w:tcW w:w="1428" w:type="dxa"/>
                        <w:vMerge w:val="restart"/>
                        <w:tcBorders>
                          <w:left w:val="single" w:sz="5" w:space="0" w:color="000000"/>
                          <w:right w:val="single" w:sz="5" w:space="0" w:color="000000"/>
                        </w:tcBorders>
                      </w:tcPr>
                      <w:p>
                        <w:pPr>
                          <w:pStyle w:val="TableParagraph"/>
                          <w:spacing w:before="9"/>
                          <w:rPr>
                            <w:b/>
                            <w:sz w:val="15"/>
                          </w:rPr>
                        </w:pPr>
                      </w:p>
                      <w:p>
                        <w:pPr>
                          <w:pStyle w:val="TableParagraph"/>
                          <w:ind w:left="884" w:right="-2"/>
                          <w:rPr>
                            <w:sz w:val="14"/>
                          </w:rPr>
                        </w:pPr>
                        <w:r>
                          <w:rPr>
                            <w:w w:val="110"/>
                            <w:sz w:val="14"/>
                          </w:rPr>
                          <w:t>6,207.7</w:t>
                        </w:r>
                      </w:p>
                    </w:tc>
                    <w:tc>
                      <w:tcPr>
                        <w:tcW w:w="828" w:type="dxa"/>
                        <w:tcBorders>
                          <w:left w:val="single" w:sz="5" w:space="0" w:color="000000"/>
                          <w:right w:val="single" w:sz="5" w:space="0" w:color="000000"/>
                        </w:tcBorders>
                      </w:tcPr>
                      <w:p>
                        <w:pPr>
                          <w:pStyle w:val="TableParagraph"/>
                          <w:spacing w:before="9"/>
                          <w:rPr>
                            <w:b/>
                            <w:sz w:val="15"/>
                          </w:rPr>
                        </w:pPr>
                      </w:p>
                      <w:p>
                        <w:pPr>
                          <w:pStyle w:val="TableParagraph"/>
                          <w:ind w:right="23"/>
                          <w:jc w:val="right"/>
                          <w:rPr>
                            <w:sz w:val="14"/>
                          </w:rPr>
                        </w:pPr>
                        <w:r>
                          <w:rPr>
                            <w:w w:val="105"/>
                            <w:sz w:val="14"/>
                          </w:rPr>
                          <w:t>6,093.1</w:t>
                        </w:r>
                      </w:p>
                    </w:tc>
                    <w:tc>
                      <w:tcPr>
                        <w:tcW w:w="5416" w:type="dxa"/>
                        <w:tcBorders>
                          <w:left w:val="single" w:sz="5" w:space="0" w:color="000000"/>
                          <w:right w:val="single" w:sz="5" w:space="0" w:color="000000"/>
                        </w:tcBorders>
                      </w:tcPr>
                      <w:p>
                        <w:pPr>
                          <w:pStyle w:val="TableParagraph"/>
                          <w:spacing w:line="268" w:lineRule="auto" w:before="1"/>
                          <w:ind w:left="23" w:right="-13" w:hanging="2"/>
                          <w:rPr>
                            <w:sz w:val="14"/>
                          </w:rPr>
                        </w:pPr>
                        <w:r>
                          <w:rPr>
                            <w:w w:val="110"/>
                            <w:sz w:val="14"/>
                          </w:rPr>
                          <w:t>Recursos federales aplicados en rubros o programas no contemplados en a Ley de Coordinación Fiscal</w:t>
                        </w:r>
                      </w:p>
                    </w:tc>
                  </w:tr>
                  <w:tr>
                    <w:trPr>
                      <w:trHeight w:val="182"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2"/>
                          <w:ind w:right="23"/>
                          <w:jc w:val="right"/>
                          <w:rPr>
                            <w:sz w:val="14"/>
                          </w:rPr>
                        </w:pPr>
                        <w:r>
                          <w:rPr>
                            <w:w w:val="105"/>
                            <w:sz w:val="14"/>
                          </w:rPr>
                          <w:t>93.0</w:t>
                        </w: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Traspaso temporal de recursos a otra cuenta</w:t>
                        </w:r>
                      </w:p>
                    </w:tc>
                  </w:tr>
                  <w:tr>
                    <w:trPr>
                      <w:trHeight w:val="361" w:hRule="exact"/>
                    </w:trPr>
                    <w:tc>
                      <w:tcPr>
                        <w:tcW w:w="1887" w:type="dxa"/>
                        <w:tcBorders>
                          <w:left w:val="single" w:sz="5" w:space="0" w:color="000000"/>
                          <w:right w:val="single" w:sz="5" w:space="0" w:color="000000"/>
                        </w:tcBorders>
                      </w:tcPr>
                      <w:p>
                        <w:pPr>
                          <w:pStyle w:val="TableParagraph"/>
                          <w:spacing w:before="89"/>
                          <w:ind w:left="263" w:right="253"/>
                          <w:jc w:val="center"/>
                          <w:rPr>
                            <w:sz w:val="14"/>
                          </w:rPr>
                        </w:pPr>
                        <w:r>
                          <w:rPr>
                            <w:w w:val="110"/>
                            <w:sz w:val="14"/>
                          </w:rPr>
                          <w:t>Toluca</w:t>
                        </w:r>
                      </w:p>
                    </w:tc>
                    <w:tc>
                      <w:tcPr>
                        <w:tcW w:w="1428" w:type="dxa"/>
                        <w:tcBorders>
                          <w:left w:val="single" w:sz="5" w:space="0" w:color="000000"/>
                          <w:right w:val="single" w:sz="5" w:space="0" w:color="000000"/>
                        </w:tcBorders>
                      </w:tcPr>
                      <w:p>
                        <w:pPr>
                          <w:pStyle w:val="TableParagraph"/>
                          <w:spacing w:before="89"/>
                          <w:ind w:right="22"/>
                          <w:jc w:val="right"/>
                          <w:rPr>
                            <w:sz w:val="14"/>
                          </w:rPr>
                        </w:pPr>
                        <w:r>
                          <w:rPr>
                            <w:w w:val="105"/>
                            <w:sz w:val="14"/>
                          </w:rPr>
                          <w:t>533.7</w:t>
                        </w:r>
                      </w:p>
                    </w:tc>
                    <w:tc>
                      <w:tcPr>
                        <w:tcW w:w="828" w:type="dxa"/>
                        <w:tcBorders>
                          <w:left w:val="single" w:sz="5" w:space="0" w:color="000000"/>
                          <w:right w:val="single" w:sz="5" w:space="0" w:color="000000"/>
                        </w:tcBorders>
                      </w:tcPr>
                      <w:p>
                        <w:pPr/>
                      </w:p>
                    </w:tc>
                    <w:tc>
                      <w:tcPr>
                        <w:tcW w:w="5416" w:type="dxa"/>
                        <w:tcBorders>
                          <w:left w:val="single" w:sz="5" w:space="0" w:color="000000"/>
                          <w:right w:val="single" w:sz="5" w:space="0" w:color="000000"/>
                        </w:tcBorders>
                      </w:tcPr>
                      <w:p>
                        <w:pPr>
                          <w:pStyle w:val="TableParagraph"/>
                          <w:spacing w:line="271" w:lineRule="auto" w:before="1"/>
                          <w:ind w:left="22" w:right="-13"/>
                          <w:rPr>
                            <w:sz w:val="14"/>
                          </w:rPr>
                        </w:pPr>
                        <w:r>
                          <w:rPr>
                            <w:w w:val="110"/>
                            <w:sz w:val="14"/>
                          </w:rPr>
                          <w:t>Presupuesto ejercido en obras en detrimento de la atencion a servicios prioritarios (agua,drenaje)</w:t>
                        </w:r>
                      </w:p>
                    </w:tc>
                  </w:tr>
                </w:tbl>
                <w:p>
                  <w:pPr>
                    <w:pStyle w:val="BodyText"/>
                  </w:pPr>
                </w:p>
              </w:txbxContent>
            </v:textbox>
            <w10:wrap type="none"/>
          </v:shape>
        </w:pict>
      </w:r>
      <w:r>
        <w:rPr>
          <w:b/>
          <w:w w:val="110"/>
          <w:sz w:val="14"/>
        </w:rPr>
        <w:t>Observaciones Generados del FISM y FORTAMUNDF en el Ejercicio 2009 (miles de pesos) Fondo para la Infraestructura Social Municipal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4"/>
        </w:rPr>
      </w:pPr>
    </w:p>
    <w:p>
      <w:pPr>
        <w:spacing w:before="81" w:after="8"/>
        <w:ind w:left="471" w:right="0" w:firstLine="0"/>
        <w:jc w:val="left"/>
        <w:rPr>
          <w:b/>
          <w:sz w:val="14"/>
        </w:rPr>
      </w:pPr>
      <w:r>
        <w:rPr>
          <w:b/>
          <w:w w:val="110"/>
          <w:sz w:val="14"/>
        </w:rPr>
        <w:t>Fondo de Aportaciones para el Fortalecimiento de los Municipios y de las Demarcaciones Territoriales del Distrito Federal</w: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7"/>
        <w:gridCol w:w="1428"/>
        <w:gridCol w:w="828"/>
        <w:gridCol w:w="5416"/>
      </w:tblGrid>
      <w:tr>
        <w:trPr>
          <w:trHeight w:val="180" w:hRule="exact"/>
        </w:trPr>
        <w:tc>
          <w:tcPr>
            <w:tcW w:w="1887" w:type="dxa"/>
            <w:vMerge w:val="restart"/>
            <w:tcBorders>
              <w:left w:val="single" w:sz="5" w:space="0" w:color="000000"/>
              <w:right w:val="single" w:sz="5" w:space="0" w:color="000000"/>
            </w:tcBorders>
          </w:tcPr>
          <w:p>
            <w:pPr>
              <w:pStyle w:val="TableParagraph"/>
              <w:spacing w:before="91"/>
              <w:ind w:left="223"/>
              <w:rPr>
                <w:sz w:val="14"/>
              </w:rPr>
            </w:pPr>
            <w:r>
              <w:rPr>
                <w:w w:val="110"/>
                <w:sz w:val="14"/>
              </w:rPr>
              <w:t>Ecatepec de Morelos</w:t>
            </w:r>
          </w:p>
        </w:tc>
        <w:tc>
          <w:tcPr>
            <w:tcW w:w="1428" w:type="dxa"/>
            <w:vMerge w:val="restart"/>
            <w:tcBorders>
              <w:left w:val="single" w:sz="5" w:space="0" w:color="000000"/>
              <w:right w:val="single" w:sz="5" w:space="0" w:color="000000"/>
            </w:tcBorders>
          </w:tcPr>
          <w:p>
            <w:pPr>
              <w:pStyle w:val="TableParagraph"/>
              <w:spacing w:before="91"/>
              <w:ind w:left="798" w:right="-2"/>
              <w:rPr>
                <w:sz w:val="14"/>
              </w:rPr>
            </w:pPr>
            <w:r>
              <w:rPr>
                <w:w w:val="110"/>
                <w:sz w:val="14"/>
              </w:rPr>
              <w:t>72,801.8</w:t>
            </w:r>
          </w:p>
        </w:tc>
        <w:tc>
          <w:tcPr>
            <w:tcW w:w="828" w:type="dxa"/>
            <w:tcBorders>
              <w:left w:val="single" w:sz="5" w:space="0" w:color="000000"/>
              <w:right w:val="single" w:sz="5" w:space="0" w:color="000000"/>
            </w:tcBorders>
          </w:tcPr>
          <w:p>
            <w:pPr>
              <w:pStyle w:val="TableParagraph"/>
              <w:spacing w:before="1"/>
              <w:ind w:right="25"/>
              <w:jc w:val="right"/>
              <w:rPr>
                <w:sz w:val="14"/>
              </w:rPr>
            </w:pPr>
            <w:r>
              <w:rPr>
                <w:w w:val="105"/>
                <w:sz w:val="14"/>
              </w:rPr>
              <w:t>71,504.0</w:t>
            </w:r>
          </w:p>
        </w:tc>
        <w:tc>
          <w:tcPr>
            <w:tcW w:w="5416" w:type="dxa"/>
            <w:tcBorders>
              <w:left w:val="single" w:sz="5" w:space="0" w:color="000000"/>
              <w:right w:val="single" w:sz="5" w:space="0" w:color="000000"/>
            </w:tcBorders>
          </w:tcPr>
          <w:p>
            <w:pPr>
              <w:pStyle w:val="TableParagraph"/>
              <w:spacing w:before="1"/>
              <w:ind w:left="22" w:right="-13"/>
              <w:rPr>
                <w:sz w:val="14"/>
              </w:rPr>
            </w:pPr>
            <w:r>
              <w:rPr>
                <w:w w:val="110"/>
                <w:sz w:val="14"/>
              </w:rPr>
              <w:t>Trasnferencias de la cuenta a otras cuentas del Municipio</w:t>
            </w:r>
          </w:p>
        </w:tc>
      </w:tr>
      <w:tr>
        <w:trPr>
          <w:trHeight w:val="180" w:hRule="exact"/>
        </w:trPr>
        <w:tc>
          <w:tcPr>
            <w:tcW w:w="1887" w:type="dxa"/>
            <w:vMerge/>
            <w:tcBorders>
              <w:left w:val="single" w:sz="5" w:space="0" w:color="000000"/>
              <w:right w:val="single" w:sz="5" w:space="0" w:color="000000"/>
            </w:tcBorders>
          </w:tcPr>
          <w:p>
            <w:pPr/>
          </w:p>
        </w:tc>
        <w:tc>
          <w:tcPr>
            <w:tcW w:w="1428" w:type="dxa"/>
            <w:vMerge/>
            <w:tcBorders>
              <w:left w:val="single" w:sz="5" w:space="0" w:color="000000"/>
              <w:right w:val="single" w:sz="5" w:space="0" w:color="000000"/>
            </w:tcBorders>
          </w:tcPr>
          <w:p>
            <w:pPr/>
          </w:p>
        </w:tc>
        <w:tc>
          <w:tcPr>
            <w:tcW w:w="828" w:type="dxa"/>
            <w:tcBorders>
              <w:left w:val="single" w:sz="5" w:space="0" w:color="000000"/>
              <w:right w:val="single" w:sz="5" w:space="0" w:color="000000"/>
            </w:tcBorders>
          </w:tcPr>
          <w:p>
            <w:pPr>
              <w:pStyle w:val="TableParagraph"/>
              <w:spacing w:before="2"/>
              <w:ind w:right="23"/>
              <w:jc w:val="right"/>
              <w:rPr>
                <w:sz w:val="14"/>
              </w:rPr>
            </w:pPr>
            <w:r>
              <w:rPr>
                <w:w w:val="105"/>
                <w:sz w:val="14"/>
              </w:rPr>
              <w:t>1,297.7</w:t>
            </w: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Falta de amortizacion de anticipos de obras</w:t>
            </w:r>
          </w:p>
        </w:tc>
      </w:tr>
      <w:tr>
        <w:trPr>
          <w:trHeight w:val="182" w:hRule="exact"/>
        </w:trPr>
        <w:tc>
          <w:tcPr>
            <w:tcW w:w="1887" w:type="dxa"/>
            <w:tcBorders>
              <w:left w:val="single" w:sz="5" w:space="0" w:color="000000"/>
              <w:right w:val="single" w:sz="5" w:space="0" w:color="000000"/>
            </w:tcBorders>
          </w:tcPr>
          <w:p>
            <w:pPr>
              <w:pStyle w:val="TableParagraph"/>
              <w:spacing w:before="2"/>
              <w:ind w:left="419"/>
              <w:rPr>
                <w:sz w:val="14"/>
              </w:rPr>
            </w:pPr>
            <w:r>
              <w:rPr>
                <w:w w:val="110"/>
                <w:sz w:val="14"/>
              </w:rPr>
              <w:t>Nezahualcóyotl</w:t>
            </w:r>
          </w:p>
        </w:tc>
        <w:tc>
          <w:tcPr>
            <w:tcW w:w="1428" w:type="dxa"/>
            <w:tcBorders>
              <w:left w:val="single" w:sz="5" w:space="0" w:color="000000"/>
              <w:right w:val="single" w:sz="5" w:space="0" w:color="000000"/>
            </w:tcBorders>
          </w:tcPr>
          <w:p>
            <w:pPr>
              <w:pStyle w:val="TableParagraph"/>
              <w:spacing w:before="2"/>
              <w:ind w:left="798" w:right="-2"/>
              <w:rPr>
                <w:sz w:val="14"/>
              </w:rPr>
            </w:pPr>
            <w:r>
              <w:rPr>
                <w:w w:val="110"/>
                <w:sz w:val="14"/>
              </w:rPr>
              <w:t>41,222.3</w:t>
            </w:r>
          </w:p>
        </w:tc>
        <w:tc>
          <w:tcPr>
            <w:tcW w:w="828" w:type="dxa"/>
            <w:tcBorders>
              <w:left w:val="single" w:sz="5" w:space="0" w:color="000000"/>
              <w:right w:val="single" w:sz="5" w:space="0" w:color="000000"/>
            </w:tcBorders>
          </w:tcPr>
          <w:p>
            <w:pPr/>
          </w:p>
        </w:tc>
        <w:tc>
          <w:tcPr>
            <w:tcW w:w="5416" w:type="dxa"/>
            <w:tcBorders>
              <w:left w:val="single" w:sz="5" w:space="0" w:color="000000"/>
              <w:right w:val="single" w:sz="5" w:space="0" w:color="000000"/>
            </w:tcBorders>
          </w:tcPr>
          <w:p>
            <w:pPr>
              <w:pStyle w:val="TableParagraph"/>
              <w:spacing w:before="2"/>
              <w:ind w:left="22" w:right="-13"/>
              <w:rPr>
                <w:sz w:val="14"/>
              </w:rPr>
            </w:pPr>
            <w:r>
              <w:rPr>
                <w:w w:val="110"/>
                <w:sz w:val="14"/>
              </w:rPr>
              <w:t>Trasnferencias de la cuenta a otras cuentas del Municipio</w:t>
            </w:r>
          </w:p>
        </w:tc>
      </w:tr>
    </w:tbl>
    <w:p>
      <w:pPr>
        <w:spacing w:after="0"/>
        <w:rPr>
          <w:sz w:val="14"/>
        </w:rPr>
        <w:sectPr>
          <w:pgSz w:w="15840" w:h="12240" w:orient="landscape"/>
          <w:pgMar w:header="0" w:footer="992" w:top="1140" w:bottom="1180" w:left="142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0"/>
        </w:rPr>
      </w:pPr>
    </w:p>
    <w:p>
      <w:pPr>
        <w:spacing w:line="525" w:lineRule="auto" w:before="0"/>
        <w:ind w:left="2824" w:right="3154" w:hanging="1742"/>
        <w:jc w:val="left"/>
        <w:rPr>
          <w:b/>
          <w:sz w:val="17"/>
        </w:rPr>
      </w:pPr>
      <w:r>
        <w:rPr/>
        <w:pict>
          <v:shape style="position:absolute;margin-left:83.428131pt;margin-top:10.514538pt;width:460.65pt;height:.1pt;mso-position-horizontal-relative:page;mso-position-vertical-relative:paragraph;z-index:-671584" coordorigin="1669,210" coordsize="9213,0" path="m1669,210l1669,210,10881,210e" filled="false" stroked="true" strokeweight=".645287pt" strokecolor="#000000">
            <v:path arrowok="t"/>
            <w10:wrap type="none"/>
          </v:shape>
        </w:pict>
      </w:r>
      <w:r>
        <w:rPr/>
        <w:pict>
          <v:shape style="position:absolute;margin-left:83.105515pt;margin-top:31.615305pt;width:461.45pt;height:225.65pt;mso-position-horizontal-relative:page;mso-position-vertical-relative:paragraph;z-index:11680"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012"/>
                    <w:gridCol w:w="1418"/>
                    <w:gridCol w:w="993"/>
                    <w:gridCol w:w="4786"/>
                  </w:tblGrid>
                  <w:tr>
                    <w:trPr>
                      <w:trHeight w:val="857" w:hRule="exact"/>
                    </w:trPr>
                    <w:tc>
                      <w:tcPr>
                        <w:tcW w:w="2012" w:type="dxa"/>
                        <w:shd w:val="clear" w:color="auto" w:fill="E6B8B7"/>
                      </w:tcPr>
                      <w:p>
                        <w:pPr>
                          <w:pStyle w:val="TableParagraph"/>
                          <w:rPr>
                            <w:b/>
                            <w:sz w:val="16"/>
                          </w:rPr>
                        </w:pPr>
                      </w:p>
                      <w:p>
                        <w:pPr>
                          <w:pStyle w:val="TableParagraph"/>
                          <w:rPr>
                            <w:b/>
                            <w:sz w:val="16"/>
                          </w:rPr>
                        </w:pPr>
                      </w:p>
                      <w:p>
                        <w:pPr>
                          <w:pStyle w:val="TableParagraph"/>
                          <w:spacing w:before="7"/>
                          <w:rPr>
                            <w:b/>
                            <w:sz w:val="23"/>
                          </w:rPr>
                        </w:pPr>
                      </w:p>
                      <w:p>
                        <w:pPr>
                          <w:pStyle w:val="TableParagraph"/>
                          <w:ind w:left="186" w:right="172"/>
                          <w:jc w:val="center"/>
                          <w:rPr>
                            <w:b/>
                            <w:sz w:val="17"/>
                          </w:rPr>
                        </w:pPr>
                        <w:r>
                          <w:rPr>
                            <w:b/>
                            <w:sz w:val="17"/>
                          </w:rPr>
                          <w:t>Entidad Municipal</w:t>
                        </w:r>
                      </w:p>
                    </w:tc>
                    <w:tc>
                      <w:tcPr>
                        <w:tcW w:w="1418" w:type="dxa"/>
                        <w:shd w:val="clear" w:color="auto" w:fill="E6B8B7"/>
                      </w:tcPr>
                      <w:p>
                        <w:pPr>
                          <w:pStyle w:val="TableParagraph"/>
                          <w:spacing w:before="4"/>
                          <w:rPr>
                            <w:b/>
                            <w:sz w:val="18"/>
                          </w:rPr>
                        </w:pPr>
                      </w:p>
                      <w:p>
                        <w:pPr>
                          <w:pStyle w:val="TableParagraph"/>
                          <w:spacing w:line="264" w:lineRule="auto"/>
                          <w:ind w:left="43" w:right="28" w:hanging="1"/>
                          <w:jc w:val="center"/>
                          <w:rPr>
                            <w:b/>
                            <w:sz w:val="17"/>
                          </w:rPr>
                        </w:pPr>
                        <w:r>
                          <w:rPr>
                            <w:b/>
                            <w:sz w:val="17"/>
                          </w:rPr>
                          <w:t>Cuantificación Monetaria de las Observaciones</w:t>
                        </w:r>
                      </w:p>
                    </w:tc>
                    <w:tc>
                      <w:tcPr>
                        <w:tcW w:w="993" w:type="dxa"/>
                        <w:shd w:val="clear" w:color="auto" w:fill="E6B8B7"/>
                      </w:tcPr>
                      <w:p>
                        <w:pPr/>
                      </w:p>
                    </w:tc>
                    <w:tc>
                      <w:tcPr>
                        <w:tcW w:w="4786" w:type="dxa"/>
                        <w:shd w:val="clear" w:color="auto" w:fill="E6B8B7"/>
                      </w:tcPr>
                      <w:p>
                        <w:pPr>
                          <w:pStyle w:val="TableParagraph"/>
                          <w:rPr>
                            <w:b/>
                            <w:sz w:val="16"/>
                          </w:rPr>
                        </w:pPr>
                      </w:p>
                      <w:p>
                        <w:pPr>
                          <w:pStyle w:val="TableParagraph"/>
                          <w:rPr>
                            <w:b/>
                            <w:sz w:val="16"/>
                          </w:rPr>
                        </w:pPr>
                      </w:p>
                      <w:p>
                        <w:pPr>
                          <w:pStyle w:val="TableParagraph"/>
                          <w:spacing w:before="7"/>
                          <w:rPr>
                            <w:b/>
                            <w:sz w:val="23"/>
                          </w:rPr>
                        </w:pPr>
                      </w:p>
                      <w:p>
                        <w:pPr>
                          <w:pStyle w:val="TableParagraph"/>
                          <w:ind w:left="1978" w:right="1971"/>
                          <w:jc w:val="center"/>
                          <w:rPr>
                            <w:b/>
                            <w:sz w:val="17"/>
                          </w:rPr>
                        </w:pPr>
                        <w:r>
                          <w:rPr>
                            <w:b/>
                            <w:sz w:val="17"/>
                          </w:rPr>
                          <w:t>Concepto</w:t>
                        </w:r>
                      </w:p>
                    </w:tc>
                  </w:tr>
                  <w:tr>
                    <w:trPr>
                      <w:trHeight w:val="215" w:hRule="exact"/>
                    </w:trPr>
                    <w:tc>
                      <w:tcPr>
                        <w:tcW w:w="2012" w:type="dxa"/>
                      </w:tcPr>
                      <w:p>
                        <w:pPr>
                          <w:pStyle w:val="TableParagraph"/>
                          <w:spacing w:line="193" w:lineRule="exact"/>
                          <w:ind w:left="186" w:right="174"/>
                          <w:jc w:val="center"/>
                          <w:rPr>
                            <w:sz w:val="17"/>
                          </w:rPr>
                        </w:pPr>
                        <w:r>
                          <w:rPr>
                            <w:sz w:val="17"/>
                          </w:rPr>
                          <w:t>Almoloya de Juárez</w:t>
                        </w:r>
                      </w:p>
                    </w:tc>
                    <w:tc>
                      <w:tcPr>
                        <w:tcW w:w="1418" w:type="dxa"/>
                      </w:tcPr>
                      <w:p>
                        <w:pPr>
                          <w:pStyle w:val="TableParagraph"/>
                          <w:spacing w:line="193" w:lineRule="exact"/>
                          <w:ind w:right="24"/>
                          <w:jc w:val="right"/>
                          <w:rPr>
                            <w:sz w:val="17"/>
                          </w:rPr>
                        </w:pPr>
                        <w:r>
                          <w:rPr>
                            <w:w w:val="95"/>
                            <w:sz w:val="17"/>
                          </w:rPr>
                          <w:t>0.0</w:t>
                        </w:r>
                      </w:p>
                    </w:tc>
                    <w:tc>
                      <w:tcPr>
                        <w:tcW w:w="993" w:type="dxa"/>
                      </w:tcPr>
                      <w:p>
                        <w:pPr>
                          <w:pStyle w:val="TableParagraph"/>
                          <w:spacing w:line="193" w:lineRule="exact"/>
                          <w:ind w:right="25"/>
                          <w:jc w:val="right"/>
                          <w:rPr>
                            <w:sz w:val="17"/>
                          </w:rPr>
                        </w:pPr>
                        <w:r>
                          <w:rPr>
                            <w:w w:val="95"/>
                            <w:sz w:val="17"/>
                          </w:rPr>
                          <w:t>0.0</w:t>
                        </w:r>
                      </w:p>
                    </w:tc>
                    <w:tc>
                      <w:tcPr>
                        <w:tcW w:w="4786" w:type="dxa"/>
                      </w:tcPr>
                      <w:p>
                        <w:pPr>
                          <w:pStyle w:val="TableParagraph"/>
                          <w:spacing w:line="193" w:lineRule="exact"/>
                          <w:ind w:left="24" w:right="175"/>
                          <w:rPr>
                            <w:sz w:val="17"/>
                          </w:rPr>
                        </w:pPr>
                        <w:r>
                          <w:rPr>
                            <w:sz w:val="17"/>
                          </w:rPr>
                          <w:t>Auditoria limpia</w:t>
                        </w:r>
                      </w:p>
                    </w:tc>
                  </w:tr>
                  <w:tr>
                    <w:trPr>
                      <w:trHeight w:val="428" w:hRule="exact"/>
                    </w:trPr>
                    <w:tc>
                      <w:tcPr>
                        <w:tcW w:w="2012"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
                          <w:rPr>
                            <w:b/>
                            <w:sz w:val="12"/>
                          </w:rPr>
                        </w:pPr>
                      </w:p>
                      <w:p>
                        <w:pPr>
                          <w:pStyle w:val="TableParagraph"/>
                          <w:ind w:left="173"/>
                          <w:rPr>
                            <w:sz w:val="17"/>
                          </w:rPr>
                        </w:pPr>
                        <w:r>
                          <w:rPr>
                            <w:sz w:val="17"/>
                          </w:rPr>
                          <w:t>Atizapán de Zaragoza</w:t>
                        </w:r>
                      </w:p>
                    </w:tc>
                    <w:tc>
                      <w:tcPr>
                        <w:tcW w:w="1418"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
                          <w:rPr>
                            <w:b/>
                            <w:sz w:val="12"/>
                          </w:rPr>
                        </w:pPr>
                      </w:p>
                      <w:p>
                        <w:pPr>
                          <w:pStyle w:val="TableParagraph"/>
                          <w:ind w:left="378"/>
                          <w:rPr>
                            <w:sz w:val="17"/>
                          </w:rPr>
                        </w:pPr>
                        <w:r>
                          <w:rPr>
                            <w:sz w:val="17"/>
                          </w:rPr>
                          <w:t>26,639.0</w:t>
                        </w:r>
                      </w:p>
                    </w:tc>
                    <w:tc>
                      <w:tcPr>
                        <w:tcW w:w="993" w:type="dxa"/>
                      </w:tcPr>
                      <w:p>
                        <w:pPr>
                          <w:pStyle w:val="TableParagraph"/>
                          <w:spacing w:before="4"/>
                          <w:rPr>
                            <w:b/>
                            <w:sz w:val="18"/>
                          </w:rPr>
                        </w:pPr>
                      </w:p>
                      <w:p>
                        <w:pPr>
                          <w:pStyle w:val="TableParagraph"/>
                          <w:ind w:right="26"/>
                          <w:jc w:val="right"/>
                          <w:rPr>
                            <w:sz w:val="17"/>
                          </w:rPr>
                        </w:pPr>
                        <w:r>
                          <w:rPr>
                            <w:w w:val="95"/>
                            <w:sz w:val="17"/>
                          </w:rPr>
                          <w:t>13,945.1</w:t>
                        </w:r>
                      </w:p>
                    </w:tc>
                    <w:tc>
                      <w:tcPr>
                        <w:tcW w:w="4786" w:type="dxa"/>
                      </w:tcPr>
                      <w:p>
                        <w:pPr>
                          <w:pStyle w:val="TableParagraph"/>
                          <w:spacing w:line="261" w:lineRule="auto"/>
                          <w:ind w:left="22" w:right="175" w:firstLine="1"/>
                          <w:rPr>
                            <w:sz w:val="17"/>
                          </w:rPr>
                        </w:pPr>
                        <w:r>
                          <w:rPr>
                            <w:sz w:val="17"/>
                          </w:rPr>
                          <w:t>Obras y acciones ejecutadas que no beneficiaron a sectores en condiciones de rezago social y pobreza extrema</w:t>
                        </w:r>
                      </w:p>
                    </w:tc>
                  </w:tr>
                  <w:tr>
                    <w:trPr>
                      <w:trHeight w:val="214" w:hRule="exact"/>
                    </w:trPr>
                    <w:tc>
                      <w:tcPr>
                        <w:tcW w:w="2012" w:type="dxa"/>
                        <w:vMerge/>
                      </w:tcPr>
                      <w:p>
                        <w:pPr/>
                      </w:p>
                    </w:tc>
                    <w:tc>
                      <w:tcPr>
                        <w:tcW w:w="1418" w:type="dxa"/>
                        <w:vMerge/>
                      </w:tcPr>
                      <w:p>
                        <w:pPr/>
                      </w:p>
                    </w:tc>
                    <w:tc>
                      <w:tcPr>
                        <w:tcW w:w="993" w:type="dxa"/>
                      </w:tcPr>
                      <w:p>
                        <w:pPr>
                          <w:pStyle w:val="TableParagraph"/>
                          <w:spacing w:line="193" w:lineRule="exact"/>
                          <w:ind w:right="23"/>
                          <w:jc w:val="right"/>
                          <w:rPr>
                            <w:sz w:val="17"/>
                          </w:rPr>
                        </w:pPr>
                        <w:r>
                          <w:rPr>
                            <w:w w:val="95"/>
                            <w:sz w:val="17"/>
                          </w:rPr>
                          <w:t>11,841.8</w:t>
                        </w:r>
                      </w:p>
                    </w:tc>
                    <w:tc>
                      <w:tcPr>
                        <w:tcW w:w="4786" w:type="dxa"/>
                      </w:tcPr>
                      <w:p>
                        <w:pPr>
                          <w:pStyle w:val="TableParagraph"/>
                          <w:spacing w:line="193" w:lineRule="exact"/>
                          <w:ind w:left="24" w:right="175"/>
                          <w:rPr>
                            <w:sz w:val="17"/>
                          </w:rPr>
                        </w:pPr>
                        <w:r>
                          <w:rPr>
                            <w:sz w:val="17"/>
                          </w:rPr>
                          <w:t>Prestamos entre fondos</w:t>
                        </w:r>
                      </w:p>
                    </w:tc>
                  </w:tr>
                  <w:tr>
                    <w:trPr>
                      <w:trHeight w:val="428" w:hRule="exact"/>
                    </w:trPr>
                    <w:tc>
                      <w:tcPr>
                        <w:tcW w:w="2012" w:type="dxa"/>
                        <w:vMerge/>
                      </w:tcPr>
                      <w:p>
                        <w:pPr/>
                      </w:p>
                    </w:tc>
                    <w:tc>
                      <w:tcPr>
                        <w:tcW w:w="1418" w:type="dxa"/>
                        <w:vMerge/>
                      </w:tcPr>
                      <w:p>
                        <w:pPr/>
                      </w:p>
                    </w:tc>
                    <w:tc>
                      <w:tcPr>
                        <w:tcW w:w="993" w:type="dxa"/>
                      </w:tcPr>
                      <w:p>
                        <w:pPr>
                          <w:pStyle w:val="TableParagraph"/>
                          <w:spacing w:before="5"/>
                          <w:rPr>
                            <w:b/>
                            <w:sz w:val="18"/>
                          </w:rPr>
                        </w:pPr>
                      </w:p>
                      <w:p>
                        <w:pPr>
                          <w:pStyle w:val="TableParagraph"/>
                          <w:ind w:right="23"/>
                          <w:jc w:val="right"/>
                          <w:rPr>
                            <w:sz w:val="17"/>
                          </w:rPr>
                        </w:pPr>
                        <w:r>
                          <w:rPr>
                            <w:w w:val="95"/>
                            <w:sz w:val="17"/>
                          </w:rPr>
                          <w:t>847.2</w:t>
                        </w:r>
                      </w:p>
                    </w:tc>
                    <w:tc>
                      <w:tcPr>
                        <w:tcW w:w="4786" w:type="dxa"/>
                      </w:tcPr>
                      <w:p>
                        <w:pPr>
                          <w:pStyle w:val="TableParagraph"/>
                          <w:spacing w:line="264" w:lineRule="auto"/>
                          <w:ind w:left="24" w:right="495"/>
                          <w:rPr>
                            <w:sz w:val="17"/>
                          </w:rPr>
                        </w:pPr>
                        <w:r>
                          <w:rPr>
                            <w:sz w:val="17"/>
                          </w:rPr>
                          <w:t>Recursos federales aplicados en rubros o programas no contemplados en a Ley de Coordinación Fiscal</w:t>
                        </w:r>
                      </w:p>
                    </w:tc>
                  </w:tr>
                  <w:tr>
                    <w:trPr>
                      <w:trHeight w:val="215" w:hRule="exact"/>
                    </w:trPr>
                    <w:tc>
                      <w:tcPr>
                        <w:tcW w:w="2012" w:type="dxa"/>
                        <w:vMerge/>
                      </w:tcPr>
                      <w:p>
                        <w:pPr/>
                      </w:p>
                    </w:tc>
                    <w:tc>
                      <w:tcPr>
                        <w:tcW w:w="1418" w:type="dxa"/>
                        <w:vMerge/>
                      </w:tcPr>
                      <w:p>
                        <w:pPr/>
                      </w:p>
                    </w:tc>
                    <w:tc>
                      <w:tcPr>
                        <w:tcW w:w="993" w:type="dxa"/>
                      </w:tcPr>
                      <w:p>
                        <w:pPr>
                          <w:pStyle w:val="TableParagraph"/>
                          <w:spacing w:line="193" w:lineRule="exact"/>
                          <w:ind w:right="25"/>
                          <w:jc w:val="right"/>
                          <w:rPr>
                            <w:sz w:val="17"/>
                          </w:rPr>
                        </w:pPr>
                        <w:r>
                          <w:rPr>
                            <w:w w:val="95"/>
                            <w:sz w:val="17"/>
                          </w:rPr>
                          <w:t>4.9</w:t>
                        </w:r>
                      </w:p>
                    </w:tc>
                    <w:tc>
                      <w:tcPr>
                        <w:tcW w:w="4786" w:type="dxa"/>
                      </w:tcPr>
                      <w:p>
                        <w:pPr>
                          <w:pStyle w:val="TableParagraph"/>
                          <w:spacing w:line="193" w:lineRule="exact"/>
                          <w:ind w:left="24" w:right="175"/>
                          <w:rPr>
                            <w:sz w:val="17"/>
                          </w:rPr>
                        </w:pPr>
                        <w:r>
                          <w:rPr>
                            <w:sz w:val="17"/>
                          </w:rPr>
                          <w:t>Pagos en exceso a contratistas</w:t>
                        </w:r>
                      </w:p>
                    </w:tc>
                  </w:tr>
                  <w:tr>
                    <w:trPr>
                      <w:trHeight w:val="215" w:hRule="exact"/>
                    </w:trPr>
                    <w:tc>
                      <w:tcPr>
                        <w:tcW w:w="2012" w:type="dxa"/>
                      </w:tcPr>
                      <w:p>
                        <w:pPr>
                          <w:pStyle w:val="TableParagraph"/>
                          <w:spacing w:line="193" w:lineRule="exact"/>
                          <w:ind w:left="186" w:right="174"/>
                          <w:jc w:val="center"/>
                          <w:rPr>
                            <w:sz w:val="17"/>
                          </w:rPr>
                        </w:pPr>
                        <w:r>
                          <w:rPr>
                            <w:sz w:val="17"/>
                          </w:rPr>
                          <w:t>Ecatepec de Morelos</w:t>
                        </w:r>
                      </w:p>
                    </w:tc>
                    <w:tc>
                      <w:tcPr>
                        <w:tcW w:w="1418" w:type="dxa"/>
                      </w:tcPr>
                      <w:p>
                        <w:pPr>
                          <w:pStyle w:val="TableParagraph"/>
                          <w:spacing w:line="193" w:lineRule="exact"/>
                          <w:ind w:right="24"/>
                          <w:jc w:val="right"/>
                          <w:rPr>
                            <w:sz w:val="17"/>
                          </w:rPr>
                        </w:pPr>
                        <w:r>
                          <w:rPr>
                            <w:w w:val="95"/>
                            <w:sz w:val="17"/>
                          </w:rPr>
                          <w:t>0.0</w:t>
                        </w:r>
                      </w:p>
                    </w:tc>
                    <w:tc>
                      <w:tcPr>
                        <w:tcW w:w="993" w:type="dxa"/>
                      </w:tcPr>
                      <w:p>
                        <w:pPr>
                          <w:pStyle w:val="TableParagraph"/>
                          <w:spacing w:line="193" w:lineRule="exact"/>
                          <w:ind w:right="25"/>
                          <w:jc w:val="right"/>
                          <w:rPr>
                            <w:sz w:val="17"/>
                          </w:rPr>
                        </w:pPr>
                        <w:r>
                          <w:rPr>
                            <w:w w:val="95"/>
                            <w:sz w:val="17"/>
                          </w:rPr>
                          <w:t>0.0</w:t>
                        </w:r>
                      </w:p>
                    </w:tc>
                    <w:tc>
                      <w:tcPr>
                        <w:tcW w:w="4786" w:type="dxa"/>
                      </w:tcPr>
                      <w:p>
                        <w:pPr>
                          <w:pStyle w:val="TableParagraph"/>
                          <w:spacing w:line="193" w:lineRule="exact"/>
                          <w:ind w:left="24" w:right="175"/>
                          <w:rPr>
                            <w:sz w:val="17"/>
                          </w:rPr>
                        </w:pPr>
                        <w:r>
                          <w:rPr>
                            <w:sz w:val="17"/>
                          </w:rPr>
                          <w:t>Auditoria limpia</w:t>
                        </w:r>
                      </w:p>
                    </w:tc>
                  </w:tr>
                  <w:tr>
                    <w:trPr>
                      <w:trHeight w:val="214" w:hRule="exact"/>
                    </w:trPr>
                    <w:tc>
                      <w:tcPr>
                        <w:tcW w:w="2012" w:type="dxa"/>
                      </w:tcPr>
                      <w:p>
                        <w:pPr>
                          <w:pStyle w:val="TableParagraph"/>
                          <w:spacing w:line="193" w:lineRule="exact"/>
                          <w:ind w:left="186" w:right="174"/>
                          <w:jc w:val="center"/>
                          <w:rPr>
                            <w:sz w:val="17"/>
                          </w:rPr>
                        </w:pPr>
                        <w:r>
                          <w:rPr>
                            <w:sz w:val="17"/>
                          </w:rPr>
                          <w:t>Jiquipilco</w:t>
                        </w:r>
                      </w:p>
                    </w:tc>
                    <w:tc>
                      <w:tcPr>
                        <w:tcW w:w="1418" w:type="dxa"/>
                      </w:tcPr>
                      <w:p>
                        <w:pPr>
                          <w:pStyle w:val="TableParagraph"/>
                          <w:spacing w:line="193" w:lineRule="exact"/>
                          <w:ind w:right="24"/>
                          <w:jc w:val="right"/>
                          <w:rPr>
                            <w:sz w:val="17"/>
                          </w:rPr>
                        </w:pPr>
                        <w:r>
                          <w:rPr>
                            <w:w w:val="95"/>
                            <w:sz w:val="17"/>
                          </w:rPr>
                          <w:t>0.0</w:t>
                        </w:r>
                      </w:p>
                    </w:tc>
                    <w:tc>
                      <w:tcPr>
                        <w:tcW w:w="993" w:type="dxa"/>
                      </w:tcPr>
                      <w:p>
                        <w:pPr>
                          <w:pStyle w:val="TableParagraph"/>
                          <w:spacing w:line="193" w:lineRule="exact"/>
                          <w:ind w:right="25"/>
                          <w:jc w:val="right"/>
                          <w:rPr>
                            <w:sz w:val="17"/>
                          </w:rPr>
                        </w:pPr>
                        <w:r>
                          <w:rPr>
                            <w:w w:val="95"/>
                            <w:sz w:val="17"/>
                          </w:rPr>
                          <w:t>0.0</w:t>
                        </w:r>
                      </w:p>
                    </w:tc>
                    <w:tc>
                      <w:tcPr>
                        <w:tcW w:w="4786" w:type="dxa"/>
                      </w:tcPr>
                      <w:p>
                        <w:pPr>
                          <w:pStyle w:val="TableParagraph"/>
                          <w:spacing w:line="193" w:lineRule="exact"/>
                          <w:ind w:left="24" w:right="175"/>
                          <w:rPr>
                            <w:sz w:val="17"/>
                          </w:rPr>
                        </w:pPr>
                        <w:r>
                          <w:rPr>
                            <w:sz w:val="17"/>
                          </w:rPr>
                          <w:t>Auditoria limpia</w:t>
                        </w:r>
                      </w:p>
                    </w:tc>
                  </w:tr>
                  <w:tr>
                    <w:trPr>
                      <w:trHeight w:val="215" w:hRule="exact"/>
                    </w:trPr>
                    <w:tc>
                      <w:tcPr>
                        <w:tcW w:w="2012" w:type="dxa"/>
                      </w:tcPr>
                      <w:p>
                        <w:pPr>
                          <w:pStyle w:val="TableParagraph"/>
                          <w:spacing w:line="193" w:lineRule="exact"/>
                          <w:ind w:left="181" w:right="174"/>
                          <w:jc w:val="center"/>
                          <w:rPr>
                            <w:sz w:val="17"/>
                          </w:rPr>
                        </w:pPr>
                        <w:r>
                          <w:rPr>
                            <w:sz w:val="17"/>
                          </w:rPr>
                          <w:t>Nezahualcóyotl</w:t>
                        </w:r>
                      </w:p>
                    </w:tc>
                    <w:tc>
                      <w:tcPr>
                        <w:tcW w:w="1418" w:type="dxa"/>
                      </w:tcPr>
                      <w:p>
                        <w:pPr>
                          <w:pStyle w:val="TableParagraph"/>
                          <w:spacing w:line="193" w:lineRule="exact"/>
                          <w:ind w:right="24"/>
                          <w:jc w:val="right"/>
                          <w:rPr>
                            <w:sz w:val="17"/>
                          </w:rPr>
                        </w:pPr>
                        <w:r>
                          <w:rPr>
                            <w:w w:val="95"/>
                            <w:sz w:val="17"/>
                          </w:rPr>
                          <w:t>0.0</w:t>
                        </w:r>
                      </w:p>
                    </w:tc>
                    <w:tc>
                      <w:tcPr>
                        <w:tcW w:w="993" w:type="dxa"/>
                      </w:tcPr>
                      <w:p>
                        <w:pPr>
                          <w:pStyle w:val="TableParagraph"/>
                          <w:spacing w:line="193" w:lineRule="exact"/>
                          <w:ind w:right="25"/>
                          <w:jc w:val="right"/>
                          <w:rPr>
                            <w:sz w:val="17"/>
                          </w:rPr>
                        </w:pPr>
                        <w:r>
                          <w:rPr>
                            <w:w w:val="95"/>
                            <w:sz w:val="17"/>
                          </w:rPr>
                          <w:t>0.0</w:t>
                        </w:r>
                      </w:p>
                    </w:tc>
                    <w:tc>
                      <w:tcPr>
                        <w:tcW w:w="4786" w:type="dxa"/>
                      </w:tcPr>
                      <w:p>
                        <w:pPr>
                          <w:pStyle w:val="TableParagraph"/>
                          <w:spacing w:line="193" w:lineRule="exact"/>
                          <w:ind w:left="24" w:right="175"/>
                          <w:rPr>
                            <w:sz w:val="17"/>
                          </w:rPr>
                        </w:pPr>
                        <w:r>
                          <w:rPr>
                            <w:sz w:val="17"/>
                          </w:rPr>
                          <w:t>Subejercicios</w:t>
                        </w:r>
                      </w:p>
                    </w:tc>
                  </w:tr>
                  <w:tr>
                    <w:trPr>
                      <w:trHeight w:val="428" w:hRule="exact"/>
                    </w:trPr>
                    <w:tc>
                      <w:tcPr>
                        <w:tcW w:w="2012" w:type="dxa"/>
                        <w:vMerge w:val="restart"/>
                      </w:tcPr>
                      <w:p>
                        <w:pPr>
                          <w:pStyle w:val="TableParagraph"/>
                          <w:rPr>
                            <w:b/>
                            <w:sz w:val="16"/>
                          </w:rPr>
                        </w:pPr>
                      </w:p>
                      <w:p>
                        <w:pPr>
                          <w:pStyle w:val="TableParagraph"/>
                          <w:rPr>
                            <w:b/>
                            <w:sz w:val="16"/>
                          </w:rPr>
                        </w:pPr>
                      </w:p>
                      <w:p>
                        <w:pPr>
                          <w:pStyle w:val="TableParagraph"/>
                          <w:spacing w:before="7"/>
                          <w:rPr>
                            <w:b/>
                            <w:sz w:val="23"/>
                          </w:rPr>
                        </w:pPr>
                      </w:p>
                      <w:p>
                        <w:pPr>
                          <w:pStyle w:val="TableParagraph"/>
                          <w:ind w:left="182" w:right="174"/>
                          <w:jc w:val="center"/>
                          <w:rPr>
                            <w:sz w:val="17"/>
                          </w:rPr>
                        </w:pPr>
                        <w:r>
                          <w:rPr>
                            <w:sz w:val="17"/>
                          </w:rPr>
                          <w:t>Toluca</w:t>
                        </w:r>
                      </w:p>
                    </w:tc>
                    <w:tc>
                      <w:tcPr>
                        <w:tcW w:w="1418" w:type="dxa"/>
                        <w:vMerge w:val="restart"/>
                      </w:tcPr>
                      <w:p>
                        <w:pPr>
                          <w:pStyle w:val="TableParagraph"/>
                          <w:rPr>
                            <w:b/>
                            <w:sz w:val="16"/>
                          </w:rPr>
                        </w:pPr>
                      </w:p>
                      <w:p>
                        <w:pPr>
                          <w:pStyle w:val="TableParagraph"/>
                          <w:rPr>
                            <w:b/>
                            <w:sz w:val="16"/>
                          </w:rPr>
                        </w:pPr>
                      </w:p>
                      <w:p>
                        <w:pPr>
                          <w:pStyle w:val="TableParagraph"/>
                          <w:spacing w:before="7"/>
                          <w:rPr>
                            <w:b/>
                            <w:sz w:val="23"/>
                          </w:rPr>
                        </w:pPr>
                      </w:p>
                      <w:p>
                        <w:pPr>
                          <w:pStyle w:val="TableParagraph"/>
                          <w:ind w:left="814"/>
                          <w:rPr>
                            <w:sz w:val="17"/>
                          </w:rPr>
                        </w:pPr>
                        <w:r>
                          <w:rPr>
                            <w:sz w:val="17"/>
                          </w:rPr>
                          <w:t>6,365.1</w:t>
                        </w:r>
                      </w:p>
                    </w:tc>
                    <w:tc>
                      <w:tcPr>
                        <w:tcW w:w="993" w:type="dxa"/>
                      </w:tcPr>
                      <w:p>
                        <w:pPr>
                          <w:pStyle w:val="TableParagraph"/>
                          <w:spacing w:before="4"/>
                          <w:rPr>
                            <w:b/>
                            <w:sz w:val="18"/>
                          </w:rPr>
                        </w:pPr>
                      </w:p>
                      <w:p>
                        <w:pPr>
                          <w:pStyle w:val="TableParagraph"/>
                          <w:ind w:right="25"/>
                          <w:jc w:val="right"/>
                          <w:rPr>
                            <w:sz w:val="17"/>
                          </w:rPr>
                        </w:pPr>
                        <w:r>
                          <w:rPr>
                            <w:w w:val="95"/>
                            <w:sz w:val="17"/>
                          </w:rPr>
                          <w:t>2,906.1</w:t>
                        </w:r>
                      </w:p>
                    </w:tc>
                    <w:tc>
                      <w:tcPr>
                        <w:tcW w:w="4786" w:type="dxa"/>
                      </w:tcPr>
                      <w:p>
                        <w:pPr>
                          <w:pStyle w:val="TableParagraph"/>
                          <w:spacing w:line="261" w:lineRule="auto"/>
                          <w:ind w:left="24" w:right="495"/>
                          <w:rPr>
                            <w:sz w:val="17"/>
                          </w:rPr>
                        </w:pPr>
                        <w:r>
                          <w:rPr>
                            <w:sz w:val="17"/>
                          </w:rPr>
                          <w:t>Recursos federales aplicados en rubros o programas no contemplados en a Ley de Coordinación Fiscal</w:t>
                        </w:r>
                      </w:p>
                    </w:tc>
                  </w:tr>
                  <w:tr>
                    <w:trPr>
                      <w:trHeight w:val="428" w:hRule="exact"/>
                    </w:trPr>
                    <w:tc>
                      <w:tcPr>
                        <w:tcW w:w="2012" w:type="dxa"/>
                        <w:vMerge/>
                      </w:tcPr>
                      <w:p>
                        <w:pPr/>
                      </w:p>
                    </w:tc>
                    <w:tc>
                      <w:tcPr>
                        <w:tcW w:w="1418" w:type="dxa"/>
                        <w:vMerge/>
                      </w:tcPr>
                      <w:p>
                        <w:pPr/>
                      </w:p>
                    </w:tc>
                    <w:tc>
                      <w:tcPr>
                        <w:tcW w:w="993" w:type="dxa"/>
                      </w:tcPr>
                      <w:p>
                        <w:pPr>
                          <w:pStyle w:val="TableParagraph"/>
                          <w:spacing w:before="4"/>
                          <w:rPr>
                            <w:b/>
                            <w:sz w:val="18"/>
                          </w:rPr>
                        </w:pPr>
                      </w:p>
                      <w:p>
                        <w:pPr>
                          <w:pStyle w:val="TableParagraph"/>
                          <w:ind w:right="25"/>
                          <w:jc w:val="right"/>
                          <w:rPr>
                            <w:sz w:val="17"/>
                          </w:rPr>
                        </w:pPr>
                        <w:r>
                          <w:rPr>
                            <w:w w:val="95"/>
                            <w:sz w:val="17"/>
                          </w:rPr>
                          <w:t>2,692.5</w:t>
                        </w:r>
                      </w:p>
                    </w:tc>
                    <w:tc>
                      <w:tcPr>
                        <w:tcW w:w="4786" w:type="dxa"/>
                      </w:tcPr>
                      <w:p>
                        <w:pPr>
                          <w:pStyle w:val="TableParagraph"/>
                          <w:spacing w:line="261" w:lineRule="auto"/>
                          <w:ind w:left="22" w:right="175" w:firstLine="1"/>
                          <w:rPr>
                            <w:sz w:val="17"/>
                          </w:rPr>
                        </w:pPr>
                        <w:r>
                          <w:rPr>
                            <w:sz w:val="17"/>
                          </w:rPr>
                          <w:t>Obras y acciones ejecutadas que no beneficiaron a sectores en condiciones de rezago social y pobreza extrema</w:t>
                        </w:r>
                      </w:p>
                    </w:tc>
                  </w:tr>
                  <w:tr>
                    <w:trPr>
                      <w:trHeight w:val="428" w:hRule="exact"/>
                    </w:trPr>
                    <w:tc>
                      <w:tcPr>
                        <w:tcW w:w="2012" w:type="dxa"/>
                        <w:vMerge/>
                      </w:tcPr>
                      <w:p>
                        <w:pPr/>
                      </w:p>
                    </w:tc>
                    <w:tc>
                      <w:tcPr>
                        <w:tcW w:w="1418" w:type="dxa"/>
                        <w:vMerge/>
                      </w:tcPr>
                      <w:p>
                        <w:pPr/>
                      </w:p>
                    </w:tc>
                    <w:tc>
                      <w:tcPr>
                        <w:tcW w:w="993" w:type="dxa"/>
                      </w:tcPr>
                      <w:p>
                        <w:pPr>
                          <w:pStyle w:val="TableParagraph"/>
                          <w:spacing w:before="5"/>
                          <w:rPr>
                            <w:b/>
                            <w:sz w:val="18"/>
                          </w:rPr>
                        </w:pPr>
                      </w:p>
                      <w:p>
                        <w:pPr>
                          <w:pStyle w:val="TableParagraph"/>
                          <w:ind w:right="23"/>
                          <w:jc w:val="right"/>
                          <w:rPr>
                            <w:sz w:val="17"/>
                          </w:rPr>
                        </w:pPr>
                        <w:r>
                          <w:rPr>
                            <w:w w:val="95"/>
                            <w:sz w:val="17"/>
                          </w:rPr>
                          <w:t>169.2</w:t>
                        </w:r>
                      </w:p>
                    </w:tc>
                    <w:tc>
                      <w:tcPr>
                        <w:tcW w:w="4786" w:type="dxa"/>
                      </w:tcPr>
                      <w:p>
                        <w:pPr>
                          <w:pStyle w:val="TableParagraph"/>
                          <w:spacing w:line="264" w:lineRule="auto"/>
                          <w:ind w:left="26" w:right="638" w:hanging="3"/>
                          <w:rPr>
                            <w:sz w:val="17"/>
                          </w:rPr>
                        </w:pPr>
                        <w:r>
                          <w:rPr>
                            <w:sz w:val="17"/>
                          </w:rPr>
                          <w:t>No hacer efectivas penas convencionales y fianzas de cumplimiento x obras no terminadas</w:t>
                        </w:r>
                      </w:p>
                    </w:tc>
                  </w:tr>
                  <w:tr>
                    <w:trPr>
                      <w:trHeight w:val="215" w:hRule="exact"/>
                    </w:trPr>
                    <w:tc>
                      <w:tcPr>
                        <w:tcW w:w="2012" w:type="dxa"/>
                        <w:vMerge/>
                      </w:tcPr>
                      <w:p>
                        <w:pPr/>
                      </w:p>
                    </w:tc>
                    <w:tc>
                      <w:tcPr>
                        <w:tcW w:w="1418" w:type="dxa"/>
                        <w:vMerge/>
                      </w:tcPr>
                      <w:p>
                        <w:pPr/>
                      </w:p>
                    </w:tc>
                    <w:tc>
                      <w:tcPr>
                        <w:tcW w:w="993" w:type="dxa"/>
                      </w:tcPr>
                      <w:p>
                        <w:pPr>
                          <w:pStyle w:val="TableParagraph"/>
                          <w:spacing w:line="193" w:lineRule="exact"/>
                          <w:ind w:right="23"/>
                          <w:jc w:val="right"/>
                          <w:rPr>
                            <w:sz w:val="17"/>
                          </w:rPr>
                        </w:pPr>
                        <w:r>
                          <w:rPr>
                            <w:w w:val="95"/>
                            <w:sz w:val="17"/>
                          </w:rPr>
                          <w:t>597.1</w:t>
                        </w:r>
                      </w:p>
                    </w:tc>
                    <w:tc>
                      <w:tcPr>
                        <w:tcW w:w="4786" w:type="dxa"/>
                      </w:tcPr>
                      <w:p>
                        <w:pPr>
                          <w:pStyle w:val="TableParagraph"/>
                          <w:spacing w:line="193" w:lineRule="exact"/>
                          <w:ind w:left="24" w:right="175"/>
                          <w:rPr>
                            <w:sz w:val="17"/>
                          </w:rPr>
                        </w:pPr>
                        <w:r>
                          <w:rPr>
                            <w:sz w:val="17"/>
                          </w:rPr>
                          <w:t>Obras mala operación y mala calidad</w:t>
                        </w:r>
                      </w:p>
                    </w:tc>
                  </w:tr>
                </w:tbl>
                <w:p>
                  <w:pPr>
                    <w:pStyle w:val="BodyText"/>
                  </w:pPr>
                </w:p>
              </w:txbxContent>
            </v:textbox>
            <w10:wrap type="none"/>
          </v:shape>
        </w:pict>
      </w:r>
      <w:r>
        <w:rPr>
          <w:b/>
          <w:sz w:val="17"/>
        </w:rPr>
        <w:t>Observaciones Generados del FISM y FORTAMUNDF en el Ejercicio 2010 (miles de pesos) Fondo para la  Infraestructura Social Municipal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7"/>
        </w:rPr>
      </w:pPr>
      <w:r>
        <w:rPr/>
        <w:pict>
          <v:shape style="position:absolute;margin-left:83.428139pt;margin-top:18.137493pt;width:460.65pt;height:.1pt;mso-position-horizontal-relative:page;mso-position-vertical-relative:paragraph;z-index:11632;mso-wrap-distance-left:0;mso-wrap-distance-right:0" coordorigin="1669,363" coordsize="9213,0" path="m1669,363l1669,363,10881,363e" filled="false" stroked="true" strokeweight=".645287pt" strokecolor="#000000">
            <v:path arrowok="t"/>
            <w10:wrap type="topAndBottom"/>
          </v:shape>
        </w:pict>
      </w:r>
    </w:p>
    <w:p>
      <w:pPr>
        <w:spacing w:line="164" w:lineRule="exact" w:before="0"/>
        <w:ind w:left="409" w:right="2993" w:firstLine="0"/>
        <w:jc w:val="center"/>
        <w:rPr>
          <w:b/>
          <w:sz w:val="17"/>
        </w:rPr>
      </w:pPr>
      <w:r>
        <w:rPr>
          <w:b/>
          <w:sz w:val="17"/>
        </w:rPr>
        <w:t>Fondo de Aportaciones para el Fortalecimiento de los Municipios y de las Demarcaciones Territoriales del</w:t>
      </w:r>
    </w:p>
    <w:p>
      <w:pPr>
        <w:spacing w:before="19"/>
        <w:ind w:left="409" w:right="2993" w:firstLine="0"/>
        <w:jc w:val="center"/>
        <w:rPr>
          <w:b/>
          <w:sz w:val="17"/>
        </w:rPr>
      </w:pPr>
      <w:r>
        <w:rPr>
          <w:b/>
          <w:sz w:val="17"/>
        </w:rPr>
        <w:t>Distrito Federal</w:t>
      </w:r>
    </w:p>
    <w:tbl>
      <w:tblPr>
        <w:tblW w:w="0" w:type="auto"/>
        <w:jc w:val="left"/>
        <w:tblInd w:w="10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012"/>
        <w:gridCol w:w="1418"/>
        <w:gridCol w:w="993"/>
        <w:gridCol w:w="4786"/>
      </w:tblGrid>
      <w:tr>
        <w:trPr>
          <w:trHeight w:val="214" w:hRule="exact"/>
        </w:trPr>
        <w:tc>
          <w:tcPr>
            <w:tcW w:w="2012" w:type="dxa"/>
          </w:tcPr>
          <w:p>
            <w:pPr>
              <w:pStyle w:val="TableParagraph"/>
              <w:spacing w:line="185" w:lineRule="exact"/>
              <w:ind w:left="23"/>
              <w:rPr>
                <w:sz w:val="17"/>
              </w:rPr>
            </w:pPr>
            <w:r>
              <w:rPr>
                <w:sz w:val="17"/>
              </w:rPr>
              <w:t>Naucalpan de Juárez</w:t>
            </w:r>
          </w:p>
        </w:tc>
        <w:tc>
          <w:tcPr>
            <w:tcW w:w="1418" w:type="dxa"/>
          </w:tcPr>
          <w:p>
            <w:pPr>
              <w:pStyle w:val="TableParagraph"/>
              <w:spacing w:line="185" w:lineRule="exact"/>
              <w:ind w:right="24"/>
              <w:jc w:val="right"/>
              <w:rPr>
                <w:sz w:val="17"/>
              </w:rPr>
            </w:pPr>
            <w:r>
              <w:rPr>
                <w:w w:val="95"/>
                <w:sz w:val="17"/>
              </w:rPr>
              <w:t>0.0</w:t>
            </w:r>
          </w:p>
        </w:tc>
        <w:tc>
          <w:tcPr>
            <w:tcW w:w="993" w:type="dxa"/>
          </w:tcPr>
          <w:p>
            <w:pPr>
              <w:pStyle w:val="TableParagraph"/>
              <w:spacing w:line="185" w:lineRule="exact"/>
              <w:ind w:right="25"/>
              <w:jc w:val="right"/>
              <w:rPr>
                <w:sz w:val="17"/>
              </w:rPr>
            </w:pPr>
            <w:r>
              <w:rPr>
                <w:w w:val="95"/>
                <w:sz w:val="17"/>
              </w:rPr>
              <w:t>0.0</w:t>
            </w:r>
          </w:p>
        </w:tc>
        <w:tc>
          <w:tcPr>
            <w:tcW w:w="4786" w:type="dxa"/>
          </w:tcPr>
          <w:p>
            <w:pPr>
              <w:pStyle w:val="TableParagraph"/>
              <w:spacing w:line="185" w:lineRule="exact"/>
              <w:ind w:left="24" w:right="175"/>
              <w:rPr>
                <w:sz w:val="17"/>
              </w:rPr>
            </w:pPr>
            <w:r>
              <w:rPr>
                <w:sz w:val="17"/>
              </w:rPr>
              <w:t>Auditoria a salvedad faltaron indicadores</w:t>
            </w:r>
          </w:p>
        </w:tc>
      </w:tr>
    </w:tbl>
    <w:p>
      <w:pPr>
        <w:spacing w:after="0" w:line="185" w:lineRule="exact"/>
        <w:rPr>
          <w:sz w:val="17"/>
        </w:rPr>
        <w:sectPr>
          <w:pgSz w:w="15840" w:h="12240" w:orient="landscape"/>
          <w:pgMar w:header="0" w:footer="992" w:top="1140" w:bottom="1180" w:left="156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0"/>
        </w:rPr>
      </w:pPr>
    </w:p>
    <w:p>
      <w:pPr>
        <w:spacing w:line="568" w:lineRule="auto" w:before="0"/>
        <w:ind w:left="3373" w:right="3316" w:hanging="1508"/>
        <w:jc w:val="left"/>
        <w:rPr>
          <w:b/>
          <w:sz w:val="14"/>
        </w:rPr>
      </w:pPr>
      <w:r>
        <w:rPr/>
        <w:pict>
          <v:shape style="position:absolute;margin-left:110.26696pt;margin-top:8.732508pt;width:488.7pt;height:.1pt;mso-position-horizontal-relative:page;mso-position-vertical-relative:paragraph;z-index:-671512" coordorigin="2205,175" coordsize="9774,0" path="m2205,175l2205,175,11979,175e" filled="false" stroked="true" strokeweight=".537844pt" strokecolor="#000000">
            <v:path arrowok="t"/>
            <w10:wrap type="none"/>
          </v:shape>
        </w:pict>
      </w:r>
      <w:r>
        <w:rPr/>
        <w:pict>
          <v:shape style="position:absolute;margin-left:109.99807pt;margin-top:27.500767pt;width:489.4pt;height:130.65pt;mso-position-horizontal-relative:page;mso-position-vertical-relative:paragraph;z-index:1175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2"/>
                    <w:gridCol w:w="1401"/>
                    <w:gridCol w:w="799"/>
                    <w:gridCol w:w="5530"/>
                  </w:tblGrid>
                  <w:tr>
                    <w:trPr>
                      <w:trHeight w:val="558" w:hRule="exact"/>
                    </w:trPr>
                    <w:tc>
                      <w:tcPr>
                        <w:tcW w:w="2042" w:type="dxa"/>
                        <w:shd w:val="clear" w:color="auto" w:fill="E6B8B7"/>
                      </w:tcPr>
                      <w:p>
                        <w:pPr>
                          <w:pStyle w:val="TableParagraph"/>
                          <w:rPr>
                            <w:b/>
                            <w:sz w:val="14"/>
                          </w:rPr>
                        </w:pPr>
                      </w:p>
                      <w:p>
                        <w:pPr>
                          <w:pStyle w:val="TableParagraph"/>
                          <w:spacing w:before="9"/>
                          <w:rPr>
                            <w:b/>
                            <w:sz w:val="18"/>
                          </w:rPr>
                        </w:pPr>
                      </w:p>
                      <w:p>
                        <w:pPr>
                          <w:pStyle w:val="TableParagraph"/>
                          <w:ind w:left="390"/>
                          <w:rPr>
                            <w:b/>
                            <w:sz w:val="14"/>
                          </w:rPr>
                        </w:pPr>
                        <w:r>
                          <w:rPr>
                            <w:b/>
                            <w:w w:val="105"/>
                            <w:sz w:val="14"/>
                          </w:rPr>
                          <w:t>Entidad Municipal</w:t>
                        </w:r>
                      </w:p>
                    </w:tc>
                    <w:tc>
                      <w:tcPr>
                        <w:tcW w:w="1401" w:type="dxa"/>
                        <w:shd w:val="clear" w:color="auto" w:fill="E6B8B7"/>
                      </w:tcPr>
                      <w:p>
                        <w:pPr>
                          <w:pStyle w:val="TableParagraph"/>
                          <w:spacing w:line="278" w:lineRule="auto" w:before="5"/>
                          <w:ind w:left="122" w:right="111" w:hanging="1"/>
                          <w:jc w:val="center"/>
                          <w:rPr>
                            <w:b/>
                            <w:sz w:val="14"/>
                          </w:rPr>
                        </w:pPr>
                        <w:r>
                          <w:rPr>
                            <w:b/>
                            <w:w w:val="105"/>
                            <w:sz w:val="14"/>
                          </w:rPr>
                          <w:t>Cuantificación Monetaria de las Observaciones</w:t>
                        </w:r>
                      </w:p>
                    </w:tc>
                    <w:tc>
                      <w:tcPr>
                        <w:tcW w:w="799" w:type="dxa"/>
                        <w:shd w:val="clear" w:color="auto" w:fill="E6B8B7"/>
                      </w:tcPr>
                      <w:p>
                        <w:pPr/>
                      </w:p>
                    </w:tc>
                    <w:tc>
                      <w:tcPr>
                        <w:tcW w:w="5530" w:type="dxa"/>
                        <w:shd w:val="clear" w:color="auto" w:fill="E6B8B7"/>
                      </w:tcPr>
                      <w:p>
                        <w:pPr>
                          <w:pStyle w:val="TableParagraph"/>
                          <w:rPr>
                            <w:b/>
                            <w:sz w:val="14"/>
                          </w:rPr>
                        </w:pPr>
                      </w:p>
                      <w:p>
                        <w:pPr>
                          <w:pStyle w:val="TableParagraph"/>
                          <w:spacing w:before="9"/>
                          <w:rPr>
                            <w:b/>
                            <w:sz w:val="18"/>
                          </w:rPr>
                        </w:pPr>
                      </w:p>
                      <w:p>
                        <w:pPr>
                          <w:pStyle w:val="TableParagraph"/>
                          <w:ind w:left="2405" w:right="2395"/>
                          <w:jc w:val="center"/>
                          <w:rPr>
                            <w:b/>
                            <w:sz w:val="14"/>
                          </w:rPr>
                        </w:pPr>
                        <w:r>
                          <w:rPr>
                            <w:b/>
                            <w:w w:val="105"/>
                            <w:sz w:val="14"/>
                          </w:rPr>
                          <w:t>Concepto</w:t>
                        </w:r>
                      </w:p>
                    </w:tc>
                  </w:tr>
                  <w:tr>
                    <w:trPr>
                      <w:trHeight w:val="185" w:hRule="exact"/>
                    </w:trPr>
                    <w:tc>
                      <w:tcPr>
                        <w:tcW w:w="2042" w:type="dxa"/>
                      </w:tcPr>
                      <w:p>
                        <w:pPr>
                          <w:pStyle w:val="TableParagraph"/>
                          <w:spacing w:before="5"/>
                          <w:ind w:left="21"/>
                          <w:rPr>
                            <w:sz w:val="14"/>
                          </w:rPr>
                        </w:pPr>
                        <w:r>
                          <w:rPr>
                            <w:w w:val="105"/>
                            <w:sz w:val="14"/>
                          </w:rPr>
                          <w:t>Almoloya de Alquisiras</w:t>
                        </w:r>
                      </w:p>
                    </w:tc>
                    <w:tc>
                      <w:tcPr>
                        <w:tcW w:w="1401" w:type="dxa"/>
                      </w:tcPr>
                      <w:p>
                        <w:pPr>
                          <w:pStyle w:val="TableParagraph"/>
                          <w:spacing w:before="5"/>
                          <w:ind w:right="23"/>
                          <w:jc w:val="right"/>
                          <w:rPr>
                            <w:sz w:val="14"/>
                          </w:rPr>
                        </w:pPr>
                        <w:r>
                          <w:rPr>
                            <w:w w:val="105"/>
                            <w:sz w:val="14"/>
                          </w:rPr>
                          <w:t>29.6</w:t>
                        </w:r>
                      </w:p>
                    </w:tc>
                    <w:tc>
                      <w:tcPr>
                        <w:tcW w:w="799" w:type="dxa"/>
                      </w:tcPr>
                      <w:p>
                        <w:pPr>
                          <w:pStyle w:val="TableParagraph"/>
                          <w:spacing w:before="5"/>
                          <w:ind w:right="22"/>
                          <w:jc w:val="right"/>
                          <w:rPr>
                            <w:sz w:val="14"/>
                          </w:rPr>
                        </w:pPr>
                        <w:r>
                          <w:rPr>
                            <w:w w:val="105"/>
                            <w:sz w:val="14"/>
                          </w:rPr>
                          <w:t>0.0</w:t>
                        </w:r>
                      </w:p>
                    </w:tc>
                    <w:tc>
                      <w:tcPr>
                        <w:tcW w:w="5530" w:type="dxa"/>
                      </w:tcPr>
                      <w:p>
                        <w:pPr>
                          <w:pStyle w:val="TableParagraph"/>
                          <w:spacing w:before="5"/>
                          <w:ind w:left="21"/>
                          <w:rPr>
                            <w:sz w:val="14"/>
                          </w:rPr>
                        </w:pPr>
                        <w:r>
                          <w:rPr>
                            <w:w w:val="105"/>
                            <w:sz w:val="14"/>
                          </w:rPr>
                          <w:t>Conceptos de obras pagadas y no ejecutadas</w:t>
                        </w:r>
                      </w:p>
                    </w:tc>
                  </w:tr>
                  <w:tr>
                    <w:trPr>
                      <w:trHeight w:val="372" w:hRule="exact"/>
                    </w:trPr>
                    <w:tc>
                      <w:tcPr>
                        <w:tcW w:w="2042" w:type="dxa"/>
                        <w:vMerge w:val="restart"/>
                      </w:tcPr>
                      <w:p>
                        <w:pPr>
                          <w:pStyle w:val="TableParagraph"/>
                          <w:rPr>
                            <w:b/>
                            <w:sz w:val="14"/>
                          </w:rPr>
                        </w:pPr>
                      </w:p>
                      <w:p>
                        <w:pPr>
                          <w:pStyle w:val="TableParagraph"/>
                          <w:spacing w:before="9"/>
                          <w:rPr>
                            <w:b/>
                            <w:sz w:val="18"/>
                          </w:rPr>
                        </w:pPr>
                      </w:p>
                      <w:p>
                        <w:pPr>
                          <w:pStyle w:val="TableParagraph"/>
                          <w:ind w:left="21"/>
                          <w:rPr>
                            <w:sz w:val="14"/>
                          </w:rPr>
                        </w:pPr>
                        <w:r>
                          <w:rPr>
                            <w:w w:val="105"/>
                            <w:sz w:val="14"/>
                          </w:rPr>
                          <w:t>Chimalhuacán</w:t>
                        </w:r>
                      </w:p>
                    </w:tc>
                    <w:tc>
                      <w:tcPr>
                        <w:tcW w:w="1401" w:type="dxa"/>
                        <w:vMerge w:val="restart"/>
                      </w:tcPr>
                      <w:p>
                        <w:pPr>
                          <w:pStyle w:val="TableParagraph"/>
                          <w:rPr>
                            <w:b/>
                            <w:sz w:val="14"/>
                          </w:rPr>
                        </w:pPr>
                      </w:p>
                      <w:p>
                        <w:pPr>
                          <w:pStyle w:val="TableParagraph"/>
                          <w:spacing w:before="9"/>
                          <w:rPr>
                            <w:b/>
                            <w:sz w:val="18"/>
                          </w:rPr>
                        </w:pPr>
                      </w:p>
                      <w:p>
                        <w:pPr>
                          <w:pStyle w:val="TableParagraph"/>
                          <w:ind w:left="805" w:right="-8"/>
                          <w:rPr>
                            <w:sz w:val="14"/>
                          </w:rPr>
                        </w:pPr>
                        <w:r>
                          <w:rPr>
                            <w:w w:val="105"/>
                            <w:sz w:val="14"/>
                          </w:rPr>
                          <w:t>11,512.4</w:t>
                        </w:r>
                      </w:p>
                    </w:tc>
                    <w:tc>
                      <w:tcPr>
                        <w:tcW w:w="799" w:type="dxa"/>
                      </w:tcPr>
                      <w:p>
                        <w:pPr>
                          <w:pStyle w:val="TableParagraph"/>
                          <w:spacing w:before="7"/>
                          <w:rPr>
                            <w:b/>
                            <w:sz w:val="16"/>
                          </w:rPr>
                        </w:pPr>
                      </w:p>
                      <w:p>
                        <w:pPr>
                          <w:pStyle w:val="TableParagraph"/>
                          <w:ind w:right="22"/>
                          <w:jc w:val="right"/>
                          <w:rPr>
                            <w:sz w:val="14"/>
                          </w:rPr>
                        </w:pPr>
                        <w:r>
                          <w:rPr>
                            <w:w w:val="105"/>
                            <w:sz w:val="14"/>
                          </w:rPr>
                          <w:t>9,973.7</w:t>
                        </w:r>
                      </w:p>
                    </w:tc>
                    <w:tc>
                      <w:tcPr>
                        <w:tcW w:w="5530" w:type="dxa"/>
                      </w:tcPr>
                      <w:p>
                        <w:pPr>
                          <w:pStyle w:val="TableParagraph"/>
                          <w:spacing w:line="278" w:lineRule="auto" w:before="5"/>
                          <w:ind w:left="22" w:hanging="2"/>
                          <w:rPr>
                            <w:sz w:val="14"/>
                          </w:rPr>
                        </w:pPr>
                        <w:r>
                          <w:rPr>
                            <w:w w:val="105"/>
                            <w:sz w:val="14"/>
                          </w:rPr>
                          <w:t>Recursos federales aplicados en rubros o programas no contemplados en a Ley de Coordinación Fiscal</w:t>
                        </w:r>
                      </w:p>
                    </w:tc>
                  </w:tr>
                  <w:tr>
                    <w:trPr>
                      <w:trHeight w:val="185" w:hRule="exact"/>
                    </w:trPr>
                    <w:tc>
                      <w:tcPr>
                        <w:tcW w:w="2042" w:type="dxa"/>
                        <w:vMerge/>
                      </w:tcPr>
                      <w:p>
                        <w:pPr/>
                      </w:p>
                    </w:tc>
                    <w:tc>
                      <w:tcPr>
                        <w:tcW w:w="1401" w:type="dxa"/>
                        <w:vMerge/>
                      </w:tcPr>
                      <w:p>
                        <w:pPr/>
                      </w:p>
                    </w:tc>
                    <w:tc>
                      <w:tcPr>
                        <w:tcW w:w="799" w:type="dxa"/>
                      </w:tcPr>
                      <w:p>
                        <w:pPr>
                          <w:pStyle w:val="TableParagraph"/>
                          <w:spacing w:before="5"/>
                          <w:ind w:right="22"/>
                          <w:jc w:val="right"/>
                          <w:rPr>
                            <w:sz w:val="14"/>
                          </w:rPr>
                        </w:pPr>
                        <w:r>
                          <w:rPr>
                            <w:w w:val="105"/>
                            <w:sz w:val="14"/>
                          </w:rPr>
                          <w:t>1,538.7</w:t>
                        </w:r>
                      </w:p>
                    </w:tc>
                    <w:tc>
                      <w:tcPr>
                        <w:tcW w:w="5530" w:type="dxa"/>
                      </w:tcPr>
                      <w:p>
                        <w:pPr>
                          <w:pStyle w:val="TableParagraph"/>
                          <w:spacing w:before="5"/>
                          <w:ind w:left="21"/>
                          <w:rPr>
                            <w:sz w:val="14"/>
                          </w:rPr>
                        </w:pPr>
                        <w:r>
                          <w:rPr>
                            <w:w w:val="105"/>
                            <w:sz w:val="14"/>
                          </w:rPr>
                          <w:t>Gastos distintos a los gastos indirectos</w:t>
                        </w:r>
                      </w:p>
                    </w:tc>
                  </w:tr>
                  <w:tr>
                    <w:trPr>
                      <w:trHeight w:val="186" w:hRule="exact"/>
                    </w:trPr>
                    <w:tc>
                      <w:tcPr>
                        <w:tcW w:w="2042" w:type="dxa"/>
                      </w:tcPr>
                      <w:p>
                        <w:pPr>
                          <w:pStyle w:val="TableParagraph"/>
                          <w:spacing w:before="6"/>
                          <w:ind w:left="21"/>
                          <w:rPr>
                            <w:sz w:val="14"/>
                          </w:rPr>
                        </w:pPr>
                        <w:r>
                          <w:rPr>
                            <w:w w:val="105"/>
                            <w:sz w:val="14"/>
                          </w:rPr>
                          <w:t>Ixtlahuaca</w:t>
                        </w:r>
                      </w:p>
                    </w:tc>
                    <w:tc>
                      <w:tcPr>
                        <w:tcW w:w="1401" w:type="dxa"/>
                      </w:tcPr>
                      <w:p>
                        <w:pPr>
                          <w:pStyle w:val="TableParagraph"/>
                          <w:spacing w:before="6"/>
                          <w:ind w:right="22"/>
                          <w:jc w:val="right"/>
                          <w:rPr>
                            <w:sz w:val="14"/>
                          </w:rPr>
                        </w:pPr>
                        <w:r>
                          <w:rPr>
                            <w:w w:val="105"/>
                            <w:sz w:val="14"/>
                          </w:rPr>
                          <w:t>0.0</w:t>
                        </w:r>
                      </w:p>
                    </w:tc>
                    <w:tc>
                      <w:tcPr>
                        <w:tcW w:w="799" w:type="dxa"/>
                      </w:tcPr>
                      <w:p>
                        <w:pPr>
                          <w:pStyle w:val="TableParagraph"/>
                          <w:spacing w:before="6"/>
                          <w:ind w:right="22"/>
                          <w:jc w:val="right"/>
                          <w:rPr>
                            <w:sz w:val="14"/>
                          </w:rPr>
                        </w:pPr>
                        <w:r>
                          <w:rPr>
                            <w:w w:val="105"/>
                            <w:sz w:val="14"/>
                          </w:rPr>
                          <w:t>0.0</w:t>
                        </w:r>
                      </w:p>
                    </w:tc>
                    <w:tc>
                      <w:tcPr>
                        <w:tcW w:w="5530" w:type="dxa"/>
                      </w:tcPr>
                      <w:p>
                        <w:pPr>
                          <w:pStyle w:val="TableParagraph"/>
                          <w:spacing w:before="6"/>
                          <w:ind w:left="21"/>
                          <w:rPr>
                            <w:sz w:val="14"/>
                          </w:rPr>
                        </w:pPr>
                        <w:r>
                          <w:rPr>
                            <w:w w:val="105"/>
                            <w:sz w:val="14"/>
                          </w:rPr>
                          <w:t>Auditoria limpia</w:t>
                        </w:r>
                      </w:p>
                    </w:tc>
                  </w:tr>
                  <w:tr>
                    <w:trPr>
                      <w:trHeight w:val="372" w:hRule="exact"/>
                    </w:trPr>
                    <w:tc>
                      <w:tcPr>
                        <w:tcW w:w="2042" w:type="dxa"/>
                      </w:tcPr>
                      <w:p>
                        <w:pPr>
                          <w:pStyle w:val="TableParagraph"/>
                          <w:spacing w:before="96"/>
                          <w:ind w:left="21"/>
                          <w:rPr>
                            <w:sz w:val="14"/>
                          </w:rPr>
                        </w:pPr>
                        <w:r>
                          <w:rPr>
                            <w:w w:val="105"/>
                            <w:sz w:val="14"/>
                          </w:rPr>
                          <w:t>Naucalpan de Juárez</w:t>
                        </w:r>
                      </w:p>
                    </w:tc>
                    <w:tc>
                      <w:tcPr>
                        <w:tcW w:w="1401" w:type="dxa"/>
                      </w:tcPr>
                      <w:p>
                        <w:pPr>
                          <w:pStyle w:val="TableParagraph"/>
                          <w:spacing w:before="96"/>
                          <w:ind w:right="23"/>
                          <w:jc w:val="right"/>
                          <w:rPr>
                            <w:sz w:val="14"/>
                          </w:rPr>
                        </w:pPr>
                        <w:r>
                          <w:rPr>
                            <w:w w:val="105"/>
                            <w:sz w:val="14"/>
                          </w:rPr>
                          <w:t>3,852.3</w:t>
                        </w:r>
                      </w:p>
                    </w:tc>
                    <w:tc>
                      <w:tcPr>
                        <w:tcW w:w="799" w:type="dxa"/>
                      </w:tcPr>
                      <w:p>
                        <w:pPr>
                          <w:pStyle w:val="TableParagraph"/>
                          <w:spacing w:before="7"/>
                          <w:rPr>
                            <w:b/>
                            <w:sz w:val="16"/>
                          </w:rPr>
                        </w:pPr>
                      </w:p>
                      <w:p>
                        <w:pPr>
                          <w:pStyle w:val="TableParagraph"/>
                          <w:ind w:right="22"/>
                          <w:jc w:val="right"/>
                          <w:rPr>
                            <w:sz w:val="14"/>
                          </w:rPr>
                        </w:pPr>
                        <w:r>
                          <w:rPr>
                            <w:w w:val="105"/>
                            <w:sz w:val="14"/>
                          </w:rPr>
                          <w:t>0.0</w:t>
                        </w:r>
                      </w:p>
                    </w:tc>
                    <w:tc>
                      <w:tcPr>
                        <w:tcW w:w="5530" w:type="dxa"/>
                      </w:tcPr>
                      <w:p>
                        <w:pPr>
                          <w:pStyle w:val="TableParagraph"/>
                          <w:spacing w:line="276" w:lineRule="auto" w:before="5"/>
                          <w:ind w:left="22" w:hanging="2"/>
                          <w:rPr>
                            <w:sz w:val="14"/>
                          </w:rPr>
                        </w:pPr>
                        <w:r>
                          <w:rPr>
                            <w:w w:val="105"/>
                            <w:sz w:val="14"/>
                          </w:rPr>
                          <w:t>Recursos federales aplicados en rubros o programas no contemplados en a Ley de Coordinación Fiscal</w:t>
                        </w:r>
                      </w:p>
                    </w:tc>
                  </w:tr>
                  <w:tr>
                    <w:trPr>
                      <w:trHeight w:val="371" w:hRule="exact"/>
                    </w:trPr>
                    <w:tc>
                      <w:tcPr>
                        <w:tcW w:w="2042" w:type="dxa"/>
                      </w:tcPr>
                      <w:p>
                        <w:pPr>
                          <w:pStyle w:val="TableParagraph"/>
                          <w:spacing w:before="6"/>
                          <w:rPr>
                            <w:b/>
                            <w:sz w:val="16"/>
                          </w:rPr>
                        </w:pPr>
                      </w:p>
                      <w:p>
                        <w:pPr>
                          <w:pStyle w:val="TableParagraph"/>
                          <w:ind w:left="21"/>
                          <w:rPr>
                            <w:sz w:val="14"/>
                          </w:rPr>
                        </w:pPr>
                        <w:r>
                          <w:rPr>
                            <w:w w:val="105"/>
                            <w:sz w:val="14"/>
                          </w:rPr>
                          <w:t>Sultepec</w:t>
                        </w:r>
                      </w:p>
                    </w:tc>
                    <w:tc>
                      <w:tcPr>
                        <w:tcW w:w="1401" w:type="dxa"/>
                      </w:tcPr>
                      <w:p>
                        <w:pPr>
                          <w:pStyle w:val="TableParagraph"/>
                          <w:spacing w:before="6"/>
                          <w:rPr>
                            <w:b/>
                            <w:sz w:val="16"/>
                          </w:rPr>
                        </w:pPr>
                      </w:p>
                      <w:p>
                        <w:pPr>
                          <w:pStyle w:val="TableParagraph"/>
                          <w:ind w:right="23"/>
                          <w:jc w:val="right"/>
                          <w:rPr>
                            <w:sz w:val="14"/>
                          </w:rPr>
                        </w:pPr>
                        <w:r>
                          <w:rPr>
                            <w:w w:val="105"/>
                            <w:sz w:val="14"/>
                          </w:rPr>
                          <w:t>8,027.0</w:t>
                        </w:r>
                      </w:p>
                    </w:tc>
                    <w:tc>
                      <w:tcPr>
                        <w:tcW w:w="799" w:type="dxa"/>
                      </w:tcPr>
                      <w:p>
                        <w:pPr/>
                      </w:p>
                    </w:tc>
                    <w:tc>
                      <w:tcPr>
                        <w:tcW w:w="5530" w:type="dxa"/>
                      </w:tcPr>
                      <w:p>
                        <w:pPr>
                          <w:pStyle w:val="TableParagraph"/>
                          <w:spacing w:line="276" w:lineRule="auto" w:before="5"/>
                          <w:ind w:left="22" w:hanging="2"/>
                          <w:rPr>
                            <w:sz w:val="14"/>
                          </w:rPr>
                        </w:pPr>
                        <w:r>
                          <w:rPr>
                            <w:w w:val="105"/>
                            <w:sz w:val="14"/>
                          </w:rPr>
                          <w:t>Recursos federales aplicados en rubros o programas no contemplados en a Ley de Coordinación Fiscal</w:t>
                        </w:r>
                      </w:p>
                    </w:tc>
                  </w:tr>
                  <w:tr>
                    <w:trPr>
                      <w:trHeight w:val="372" w:hRule="exact"/>
                    </w:trPr>
                    <w:tc>
                      <w:tcPr>
                        <w:tcW w:w="2042" w:type="dxa"/>
                      </w:tcPr>
                      <w:p>
                        <w:pPr>
                          <w:pStyle w:val="TableParagraph"/>
                          <w:spacing w:before="8"/>
                          <w:rPr>
                            <w:b/>
                            <w:sz w:val="16"/>
                          </w:rPr>
                        </w:pPr>
                      </w:p>
                      <w:p>
                        <w:pPr>
                          <w:pStyle w:val="TableParagraph"/>
                          <w:ind w:left="21"/>
                          <w:rPr>
                            <w:sz w:val="14"/>
                          </w:rPr>
                        </w:pPr>
                        <w:r>
                          <w:rPr>
                            <w:w w:val="105"/>
                            <w:sz w:val="14"/>
                          </w:rPr>
                          <w:t>Zacualpan</w:t>
                        </w:r>
                      </w:p>
                    </w:tc>
                    <w:tc>
                      <w:tcPr>
                        <w:tcW w:w="1401" w:type="dxa"/>
                      </w:tcPr>
                      <w:p>
                        <w:pPr>
                          <w:pStyle w:val="TableParagraph"/>
                          <w:spacing w:before="8"/>
                          <w:rPr>
                            <w:b/>
                            <w:sz w:val="16"/>
                          </w:rPr>
                        </w:pPr>
                      </w:p>
                      <w:p>
                        <w:pPr>
                          <w:pStyle w:val="TableParagraph"/>
                          <w:ind w:right="23"/>
                          <w:jc w:val="right"/>
                          <w:rPr>
                            <w:sz w:val="14"/>
                          </w:rPr>
                        </w:pPr>
                        <w:r>
                          <w:rPr>
                            <w:w w:val="105"/>
                            <w:sz w:val="14"/>
                          </w:rPr>
                          <w:t>1,461.7</w:t>
                        </w:r>
                      </w:p>
                    </w:tc>
                    <w:tc>
                      <w:tcPr>
                        <w:tcW w:w="799" w:type="dxa"/>
                      </w:tcPr>
                      <w:p>
                        <w:pPr/>
                      </w:p>
                    </w:tc>
                    <w:tc>
                      <w:tcPr>
                        <w:tcW w:w="5530" w:type="dxa"/>
                      </w:tcPr>
                      <w:p>
                        <w:pPr>
                          <w:pStyle w:val="TableParagraph"/>
                          <w:spacing w:line="278" w:lineRule="auto" w:before="5"/>
                          <w:ind w:left="22" w:hanging="2"/>
                          <w:rPr>
                            <w:sz w:val="14"/>
                          </w:rPr>
                        </w:pPr>
                        <w:r>
                          <w:rPr>
                            <w:w w:val="105"/>
                            <w:sz w:val="14"/>
                          </w:rPr>
                          <w:t>Recursos federales aplicados en rubros o programas no contemplados en a Ley de Coordinación Fiscal</w:t>
                        </w:r>
                      </w:p>
                    </w:tc>
                  </w:tr>
                </w:tbl>
                <w:p>
                  <w:pPr>
                    <w:pStyle w:val="BodyText"/>
                  </w:pPr>
                </w:p>
              </w:txbxContent>
            </v:textbox>
            <w10:wrap type="none"/>
          </v:shape>
        </w:pict>
      </w:r>
      <w:r>
        <w:rPr>
          <w:b/>
          <w:w w:val="105"/>
          <w:sz w:val="14"/>
        </w:rPr>
        <w:t>Observaciones Generados del FISM y FORTAMUNDF en el Ejercicio 2011 (miles de pesos) Fondo para la  Infraestructura Social Municipal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1"/>
        </w:rPr>
      </w:pPr>
      <w:r>
        <w:rPr/>
        <w:pict>
          <v:shape style="position:absolute;margin-left:110.266968pt;margin-top:14.356444pt;width:488.7pt;height:.1pt;mso-position-horizontal-relative:page;mso-position-vertical-relative:paragraph;z-index:11704;mso-wrap-distance-left:0;mso-wrap-distance-right:0" coordorigin="2205,287" coordsize="9774,0" path="m2205,287l2205,287,11979,287e" filled="false" stroked="true" strokeweight=".537844pt" strokecolor="#000000">
            <v:path arrowok="t"/>
            <w10:wrap type="topAndBottom"/>
          </v:shape>
        </w:pict>
      </w:r>
    </w:p>
    <w:p>
      <w:pPr>
        <w:spacing w:line="147" w:lineRule="exact" w:before="0" w:after="8"/>
        <w:ind w:left="742" w:right="0" w:firstLine="0"/>
        <w:jc w:val="left"/>
        <w:rPr>
          <w:b/>
          <w:sz w:val="14"/>
        </w:rPr>
      </w:pPr>
      <w:r>
        <w:rPr>
          <w:b/>
          <w:w w:val="105"/>
          <w:sz w:val="14"/>
        </w:rPr>
        <w:t>Fondo de Aportaciones para el Fortalecimiento de los Municipios y de las Demarcaciones Territoriales del Distrito Federal</w:t>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2"/>
        <w:gridCol w:w="1401"/>
        <w:gridCol w:w="799"/>
        <w:gridCol w:w="5530"/>
      </w:tblGrid>
      <w:tr>
        <w:trPr>
          <w:trHeight w:val="185" w:hRule="exact"/>
        </w:trPr>
        <w:tc>
          <w:tcPr>
            <w:tcW w:w="2042" w:type="dxa"/>
          </w:tcPr>
          <w:p>
            <w:pPr>
              <w:pStyle w:val="TableParagraph"/>
              <w:spacing w:before="5"/>
              <w:ind w:left="21"/>
              <w:rPr>
                <w:sz w:val="14"/>
              </w:rPr>
            </w:pPr>
            <w:r>
              <w:rPr>
                <w:w w:val="105"/>
                <w:sz w:val="14"/>
              </w:rPr>
              <w:t>Nezahuacóyotl</w:t>
            </w:r>
          </w:p>
        </w:tc>
        <w:tc>
          <w:tcPr>
            <w:tcW w:w="1401" w:type="dxa"/>
          </w:tcPr>
          <w:p>
            <w:pPr>
              <w:pStyle w:val="TableParagraph"/>
              <w:spacing w:before="5"/>
              <w:ind w:right="22"/>
              <w:jc w:val="right"/>
              <w:rPr>
                <w:sz w:val="14"/>
              </w:rPr>
            </w:pPr>
            <w:r>
              <w:rPr>
                <w:w w:val="105"/>
                <w:sz w:val="14"/>
              </w:rPr>
              <w:t>0.0</w:t>
            </w:r>
          </w:p>
        </w:tc>
        <w:tc>
          <w:tcPr>
            <w:tcW w:w="799" w:type="dxa"/>
          </w:tcPr>
          <w:p>
            <w:pPr>
              <w:pStyle w:val="TableParagraph"/>
              <w:spacing w:before="5"/>
              <w:ind w:right="22"/>
              <w:jc w:val="right"/>
              <w:rPr>
                <w:sz w:val="14"/>
              </w:rPr>
            </w:pPr>
            <w:r>
              <w:rPr>
                <w:w w:val="105"/>
                <w:sz w:val="14"/>
              </w:rPr>
              <w:t>0.0</w:t>
            </w:r>
          </w:p>
        </w:tc>
        <w:tc>
          <w:tcPr>
            <w:tcW w:w="5530" w:type="dxa"/>
          </w:tcPr>
          <w:p>
            <w:pPr/>
          </w:p>
        </w:tc>
      </w:tr>
      <w:tr>
        <w:trPr>
          <w:trHeight w:val="187" w:hRule="exact"/>
        </w:trPr>
        <w:tc>
          <w:tcPr>
            <w:tcW w:w="2042" w:type="dxa"/>
          </w:tcPr>
          <w:p>
            <w:pPr>
              <w:pStyle w:val="TableParagraph"/>
              <w:spacing w:before="5"/>
              <w:ind w:left="21"/>
              <w:rPr>
                <w:sz w:val="14"/>
              </w:rPr>
            </w:pPr>
            <w:r>
              <w:rPr>
                <w:w w:val="105"/>
                <w:sz w:val="14"/>
              </w:rPr>
              <w:t>Naucalpan de Juárez</w:t>
            </w:r>
          </w:p>
        </w:tc>
        <w:tc>
          <w:tcPr>
            <w:tcW w:w="1401" w:type="dxa"/>
          </w:tcPr>
          <w:p>
            <w:pPr>
              <w:pStyle w:val="TableParagraph"/>
              <w:spacing w:before="5"/>
              <w:ind w:right="25"/>
              <w:jc w:val="right"/>
              <w:rPr>
                <w:sz w:val="14"/>
              </w:rPr>
            </w:pPr>
            <w:r>
              <w:rPr>
                <w:w w:val="105"/>
                <w:sz w:val="14"/>
              </w:rPr>
              <w:t>26,422.6</w:t>
            </w:r>
          </w:p>
        </w:tc>
        <w:tc>
          <w:tcPr>
            <w:tcW w:w="799" w:type="dxa"/>
          </w:tcPr>
          <w:p>
            <w:pPr/>
          </w:p>
        </w:tc>
        <w:tc>
          <w:tcPr>
            <w:tcW w:w="5530" w:type="dxa"/>
          </w:tcPr>
          <w:p>
            <w:pPr>
              <w:pStyle w:val="TableParagraph"/>
              <w:spacing w:before="5"/>
              <w:ind w:left="21"/>
              <w:rPr>
                <w:sz w:val="14"/>
              </w:rPr>
            </w:pPr>
            <w:r>
              <w:rPr>
                <w:w w:val="105"/>
                <w:sz w:val="14"/>
              </w:rPr>
              <w:t>Falta de documentacion comprobatoria por cuotas patronales y retenciones.</w:t>
            </w:r>
          </w:p>
        </w:tc>
      </w:tr>
    </w:tbl>
    <w:p>
      <w:pPr>
        <w:spacing w:after="0"/>
        <w:rPr>
          <w:sz w:val="14"/>
        </w:rPr>
        <w:sectPr>
          <w:pgSz w:w="15840" w:h="12240" w:orient="landscape"/>
          <w:pgMar w:header="0" w:footer="992" w:top="1140" w:bottom="1180" w:left="208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0"/>
        </w:rPr>
      </w:pPr>
    </w:p>
    <w:p>
      <w:pPr>
        <w:spacing w:line="547" w:lineRule="auto" w:before="0"/>
        <w:ind w:left="2521" w:right="3657" w:hanging="1564"/>
        <w:jc w:val="left"/>
        <w:rPr>
          <w:b/>
          <w:sz w:val="15"/>
        </w:rPr>
      </w:pPr>
      <w:r>
        <w:rPr/>
        <w:pict>
          <v:shape style="position:absolute;margin-left:110.320404pt;margin-top:9.259279pt;width:411.3pt;height:.1pt;mso-position-horizontal-relative:page;mso-position-vertical-relative:paragraph;z-index:-671464" coordorigin="2206,185" coordsize="8226,0" path="m2206,185l2206,185,10431,185e" filled="false" stroked="true" strokeweight=".591633pt" strokecolor="#000000">
            <v:path arrowok="t"/>
            <w10:wrap type="none"/>
          </v:shape>
        </w:pict>
      </w:r>
      <w:r>
        <w:rPr/>
        <w:pict>
          <v:shape style="position:absolute;margin-left:110.024612pt;margin-top:28.70118pt;width:412pt;height:308.5pt;mso-position-horizontal-relative:page;mso-position-vertical-relative:paragraph;z-index:11800"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036"/>
                    <w:gridCol w:w="1426"/>
                    <w:gridCol w:w="827"/>
                    <w:gridCol w:w="3933"/>
                  </w:tblGrid>
                  <w:tr>
                    <w:trPr>
                      <w:trHeight w:val="577" w:hRule="exact"/>
                    </w:trPr>
                    <w:tc>
                      <w:tcPr>
                        <w:tcW w:w="2036" w:type="dxa"/>
                        <w:shd w:val="clear" w:color="auto" w:fill="E6B8B7"/>
                      </w:tcPr>
                      <w:p>
                        <w:pPr>
                          <w:pStyle w:val="TableParagraph"/>
                          <w:rPr>
                            <w:b/>
                            <w:sz w:val="14"/>
                          </w:rPr>
                        </w:pPr>
                      </w:p>
                      <w:p>
                        <w:pPr>
                          <w:pStyle w:val="TableParagraph"/>
                          <w:spacing w:before="5"/>
                          <w:rPr>
                            <w:b/>
                            <w:sz w:val="19"/>
                          </w:rPr>
                        </w:pPr>
                      </w:p>
                      <w:p>
                        <w:pPr>
                          <w:pStyle w:val="TableParagraph"/>
                          <w:ind w:right="353"/>
                          <w:jc w:val="right"/>
                          <w:rPr>
                            <w:b/>
                            <w:sz w:val="15"/>
                          </w:rPr>
                        </w:pPr>
                        <w:r>
                          <w:rPr>
                            <w:b/>
                            <w:sz w:val="15"/>
                          </w:rPr>
                          <w:t>Entidad Municipal</w:t>
                        </w:r>
                      </w:p>
                    </w:tc>
                    <w:tc>
                      <w:tcPr>
                        <w:tcW w:w="1426" w:type="dxa"/>
                        <w:shd w:val="clear" w:color="auto" w:fill="E6B8B7"/>
                      </w:tcPr>
                      <w:p>
                        <w:pPr>
                          <w:pStyle w:val="TableParagraph"/>
                          <w:spacing w:line="268" w:lineRule="auto"/>
                          <w:ind w:left="114" w:right="101"/>
                          <w:jc w:val="center"/>
                          <w:rPr>
                            <w:b/>
                            <w:sz w:val="15"/>
                          </w:rPr>
                        </w:pPr>
                        <w:r>
                          <w:rPr>
                            <w:b/>
                            <w:sz w:val="15"/>
                          </w:rPr>
                          <w:t>Cuantificación Monetaria de las Observaciones</w:t>
                        </w:r>
                      </w:p>
                    </w:tc>
                    <w:tc>
                      <w:tcPr>
                        <w:tcW w:w="827" w:type="dxa"/>
                        <w:shd w:val="clear" w:color="auto" w:fill="E6B8B7"/>
                      </w:tcPr>
                      <w:p>
                        <w:pPr/>
                      </w:p>
                    </w:tc>
                    <w:tc>
                      <w:tcPr>
                        <w:tcW w:w="3933" w:type="dxa"/>
                        <w:shd w:val="clear" w:color="auto" w:fill="E6B8B7"/>
                      </w:tcPr>
                      <w:p>
                        <w:pPr>
                          <w:pStyle w:val="TableParagraph"/>
                          <w:rPr>
                            <w:b/>
                            <w:sz w:val="14"/>
                          </w:rPr>
                        </w:pPr>
                      </w:p>
                      <w:p>
                        <w:pPr>
                          <w:pStyle w:val="TableParagraph"/>
                          <w:spacing w:before="5"/>
                          <w:rPr>
                            <w:b/>
                            <w:sz w:val="19"/>
                          </w:rPr>
                        </w:pPr>
                      </w:p>
                      <w:p>
                        <w:pPr>
                          <w:pStyle w:val="TableParagraph"/>
                          <w:ind w:left="1597" w:right="1591"/>
                          <w:jc w:val="center"/>
                          <w:rPr>
                            <w:b/>
                            <w:sz w:val="15"/>
                          </w:rPr>
                        </w:pPr>
                        <w:r>
                          <w:rPr>
                            <w:b/>
                            <w:sz w:val="15"/>
                          </w:rPr>
                          <w:t>Concepto</w:t>
                        </w:r>
                      </w:p>
                    </w:tc>
                  </w:tr>
                  <w:tr>
                    <w:trPr>
                      <w:trHeight w:val="577" w:hRule="exact"/>
                    </w:trPr>
                    <w:tc>
                      <w:tcPr>
                        <w:tcW w:w="2036" w:type="dxa"/>
                        <w:vMerge w:val="restart"/>
                      </w:tcPr>
                      <w:p>
                        <w:pPr>
                          <w:pStyle w:val="TableParagraph"/>
                          <w:rPr>
                            <w:b/>
                            <w:sz w:val="14"/>
                          </w:rPr>
                        </w:pPr>
                      </w:p>
                      <w:p>
                        <w:pPr>
                          <w:pStyle w:val="TableParagraph"/>
                          <w:rPr>
                            <w:b/>
                            <w:sz w:val="11"/>
                          </w:rPr>
                        </w:pPr>
                      </w:p>
                      <w:p>
                        <w:pPr>
                          <w:pStyle w:val="TableParagraph"/>
                          <w:ind w:left="22"/>
                          <w:rPr>
                            <w:sz w:val="15"/>
                          </w:rPr>
                        </w:pPr>
                        <w:r>
                          <w:rPr>
                            <w:sz w:val="15"/>
                          </w:rPr>
                          <w:t>Atizapán de Zaragoza</w:t>
                        </w:r>
                      </w:p>
                    </w:tc>
                    <w:tc>
                      <w:tcPr>
                        <w:tcW w:w="1426" w:type="dxa"/>
                        <w:vMerge w:val="restart"/>
                      </w:tcPr>
                      <w:p>
                        <w:pPr>
                          <w:pStyle w:val="TableParagraph"/>
                          <w:rPr>
                            <w:b/>
                            <w:sz w:val="14"/>
                          </w:rPr>
                        </w:pPr>
                      </w:p>
                      <w:p>
                        <w:pPr>
                          <w:pStyle w:val="TableParagraph"/>
                          <w:rPr>
                            <w:b/>
                            <w:sz w:val="11"/>
                          </w:rPr>
                        </w:pPr>
                      </w:p>
                      <w:p>
                        <w:pPr>
                          <w:pStyle w:val="TableParagraph"/>
                          <w:ind w:left="797"/>
                          <w:rPr>
                            <w:sz w:val="15"/>
                          </w:rPr>
                        </w:pPr>
                        <w:r>
                          <w:rPr>
                            <w:sz w:val="15"/>
                          </w:rPr>
                          <w:t>15,186.3</w:t>
                        </w:r>
                      </w:p>
                    </w:tc>
                    <w:tc>
                      <w:tcPr>
                        <w:tcW w:w="827" w:type="dxa"/>
                      </w:tcPr>
                      <w:p>
                        <w:pPr>
                          <w:pStyle w:val="TableParagraph"/>
                          <w:rPr>
                            <w:b/>
                            <w:sz w:val="14"/>
                          </w:rPr>
                        </w:pPr>
                      </w:p>
                      <w:p>
                        <w:pPr>
                          <w:pStyle w:val="TableParagraph"/>
                          <w:spacing w:before="5"/>
                          <w:rPr>
                            <w:b/>
                            <w:sz w:val="19"/>
                          </w:rPr>
                        </w:pPr>
                      </w:p>
                      <w:p>
                        <w:pPr>
                          <w:pStyle w:val="TableParagraph"/>
                          <w:ind w:right="22"/>
                          <w:jc w:val="right"/>
                          <w:rPr>
                            <w:sz w:val="15"/>
                          </w:rPr>
                        </w:pPr>
                        <w:r>
                          <w:rPr>
                            <w:sz w:val="15"/>
                          </w:rPr>
                          <w:t>12,840.8</w:t>
                        </w:r>
                      </w:p>
                    </w:tc>
                    <w:tc>
                      <w:tcPr>
                        <w:tcW w:w="3933" w:type="dxa"/>
                      </w:tcPr>
                      <w:p>
                        <w:pPr>
                          <w:pStyle w:val="TableParagraph"/>
                          <w:spacing w:line="266" w:lineRule="auto" w:before="1"/>
                          <w:ind w:left="21" w:right="393" w:firstLine="1"/>
                          <w:jc w:val="both"/>
                          <w:rPr>
                            <w:sz w:val="15"/>
                          </w:rPr>
                        </w:pPr>
                        <w:r>
                          <w:rPr>
                            <w:sz w:val="15"/>
                          </w:rPr>
                          <w:t>Obras y acciones ejecutadas que no beneficiaron a sectores en condiciones de rezago social y pobreza extrema</w:t>
                        </w:r>
                      </w:p>
                    </w:tc>
                  </w:tr>
                  <w:tr>
                    <w:trPr>
                      <w:trHeight w:val="193" w:hRule="exact"/>
                    </w:trPr>
                    <w:tc>
                      <w:tcPr>
                        <w:tcW w:w="2036" w:type="dxa"/>
                        <w:vMerge/>
                      </w:tcPr>
                      <w:p>
                        <w:pPr/>
                      </w:p>
                    </w:tc>
                    <w:tc>
                      <w:tcPr>
                        <w:tcW w:w="1426" w:type="dxa"/>
                        <w:vMerge/>
                      </w:tcPr>
                      <w:p>
                        <w:pPr/>
                      </w:p>
                    </w:tc>
                    <w:tc>
                      <w:tcPr>
                        <w:tcW w:w="827" w:type="dxa"/>
                      </w:tcPr>
                      <w:p>
                        <w:pPr>
                          <w:pStyle w:val="TableParagraph"/>
                          <w:ind w:right="22"/>
                          <w:jc w:val="right"/>
                          <w:rPr>
                            <w:sz w:val="15"/>
                          </w:rPr>
                        </w:pPr>
                        <w:r>
                          <w:rPr>
                            <w:sz w:val="15"/>
                          </w:rPr>
                          <w:t>2,345.5</w:t>
                        </w:r>
                      </w:p>
                    </w:tc>
                    <w:tc>
                      <w:tcPr>
                        <w:tcW w:w="3933" w:type="dxa"/>
                      </w:tcPr>
                      <w:p>
                        <w:pPr>
                          <w:pStyle w:val="TableParagraph"/>
                          <w:ind w:left="22"/>
                          <w:rPr>
                            <w:sz w:val="15"/>
                          </w:rPr>
                        </w:pPr>
                        <w:r>
                          <w:rPr>
                            <w:sz w:val="15"/>
                          </w:rPr>
                          <w:t>Pendientes de aclarar</w:t>
                        </w:r>
                      </w:p>
                    </w:tc>
                  </w:tr>
                  <w:tr>
                    <w:trPr>
                      <w:trHeight w:val="577" w:hRule="exact"/>
                    </w:trPr>
                    <w:tc>
                      <w:tcPr>
                        <w:tcW w:w="203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5"/>
                          <w:rPr>
                            <w:b/>
                            <w:sz w:val="16"/>
                          </w:rPr>
                        </w:pPr>
                      </w:p>
                      <w:p>
                        <w:pPr>
                          <w:pStyle w:val="TableParagraph"/>
                          <w:ind w:left="22"/>
                          <w:rPr>
                            <w:sz w:val="15"/>
                          </w:rPr>
                        </w:pPr>
                        <w:r>
                          <w:rPr>
                            <w:sz w:val="15"/>
                          </w:rPr>
                          <w:t>Atlacomulco</w:t>
                        </w:r>
                      </w:p>
                    </w:tc>
                    <w:tc>
                      <w:tcPr>
                        <w:tcW w:w="142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5"/>
                          <w:rPr>
                            <w:b/>
                            <w:sz w:val="16"/>
                          </w:rPr>
                        </w:pPr>
                      </w:p>
                      <w:p>
                        <w:pPr>
                          <w:pStyle w:val="TableParagraph"/>
                          <w:ind w:left="797"/>
                          <w:rPr>
                            <w:sz w:val="15"/>
                          </w:rPr>
                        </w:pPr>
                        <w:r>
                          <w:rPr>
                            <w:sz w:val="15"/>
                          </w:rPr>
                          <w:t>14,537.2</w:t>
                        </w:r>
                      </w:p>
                    </w:tc>
                    <w:tc>
                      <w:tcPr>
                        <w:tcW w:w="827" w:type="dxa"/>
                      </w:tcPr>
                      <w:p>
                        <w:pPr>
                          <w:pStyle w:val="TableParagraph"/>
                          <w:rPr>
                            <w:b/>
                            <w:sz w:val="14"/>
                          </w:rPr>
                        </w:pPr>
                      </w:p>
                      <w:p>
                        <w:pPr>
                          <w:pStyle w:val="TableParagraph"/>
                          <w:spacing w:before="5"/>
                          <w:rPr>
                            <w:b/>
                            <w:sz w:val="19"/>
                          </w:rPr>
                        </w:pPr>
                      </w:p>
                      <w:p>
                        <w:pPr>
                          <w:pStyle w:val="TableParagraph"/>
                          <w:ind w:right="22"/>
                          <w:jc w:val="right"/>
                          <w:rPr>
                            <w:sz w:val="15"/>
                          </w:rPr>
                        </w:pPr>
                        <w:r>
                          <w:rPr>
                            <w:sz w:val="15"/>
                          </w:rPr>
                          <w:t>2,064.6</w:t>
                        </w:r>
                      </w:p>
                    </w:tc>
                    <w:tc>
                      <w:tcPr>
                        <w:tcW w:w="3933" w:type="dxa"/>
                      </w:tcPr>
                      <w:p>
                        <w:pPr>
                          <w:pStyle w:val="TableParagraph"/>
                          <w:spacing w:line="268" w:lineRule="auto"/>
                          <w:ind w:left="21" w:right="393" w:firstLine="1"/>
                          <w:jc w:val="both"/>
                          <w:rPr>
                            <w:sz w:val="15"/>
                          </w:rPr>
                        </w:pPr>
                        <w:r>
                          <w:rPr>
                            <w:sz w:val="15"/>
                          </w:rPr>
                          <w:t>Obras y acciones ejecutadas que no beneficiaron a sectores en condiciones de rezago social y pobreza extrema</w:t>
                        </w:r>
                      </w:p>
                    </w:tc>
                  </w:tr>
                  <w:tr>
                    <w:trPr>
                      <w:trHeight w:val="385" w:hRule="exact"/>
                    </w:trPr>
                    <w:tc>
                      <w:tcPr>
                        <w:tcW w:w="2036" w:type="dxa"/>
                        <w:vMerge/>
                      </w:tcPr>
                      <w:p>
                        <w:pPr/>
                      </w:p>
                    </w:tc>
                    <w:tc>
                      <w:tcPr>
                        <w:tcW w:w="1426" w:type="dxa"/>
                        <w:vMerge/>
                      </w:tcPr>
                      <w:p>
                        <w:pPr/>
                      </w:p>
                    </w:tc>
                    <w:tc>
                      <w:tcPr>
                        <w:tcW w:w="827" w:type="dxa"/>
                      </w:tcPr>
                      <w:p>
                        <w:pPr>
                          <w:pStyle w:val="TableParagraph"/>
                          <w:spacing w:before="8"/>
                          <w:rPr>
                            <w:b/>
                            <w:sz w:val="16"/>
                          </w:rPr>
                        </w:pPr>
                      </w:p>
                      <w:p>
                        <w:pPr>
                          <w:pStyle w:val="TableParagraph"/>
                          <w:spacing w:before="1"/>
                          <w:ind w:right="21"/>
                          <w:jc w:val="right"/>
                          <w:rPr>
                            <w:sz w:val="15"/>
                          </w:rPr>
                        </w:pPr>
                        <w:r>
                          <w:rPr>
                            <w:sz w:val="15"/>
                          </w:rPr>
                          <w:t>600.0</w:t>
                        </w:r>
                      </w:p>
                    </w:tc>
                    <w:tc>
                      <w:tcPr>
                        <w:tcW w:w="3933" w:type="dxa"/>
                      </w:tcPr>
                      <w:p>
                        <w:pPr>
                          <w:pStyle w:val="TableParagraph"/>
                          <w:spacing w:line="268" w:lineRule="auto"/>
                          <w:ind w:left="22"/>
                          <w:rPr>
                            <w:sz w:val="15"/>
                          </w:rPr>
                        </w:pPr>
                        <w:r>
                          <w:rPr>
                            <w:sz w:val="15"/>
                          </w:rPr>
                          <w:t>Recursos federales aplicados en rubros o programas no contemplados en a Ley de Coordinación  Fiscal</w:t>
                        </w:r>
                      </w:p>
                    </w:tc>
                  </w:tr>
                  <w:tr>
                    <w:trPr>
                      <w:trHeight w:val="192" w:hRule="exact"/>
                    </w:trPr>
                    <w:tc>
                      <w:tcPr>
                        <w:tcW w:w="2036" w:type="dxa"/>
                        <w:vMerge/>
                      </w:tcPr>
                      <w:p>
                        <w:pPr/>
                      </w:p>
                    </w:tc>
                    <w:tc>
                      <w:tcPr>
                        <w:tcW w:w="1426" w:type="dxa"/>
                        <w:vMerge/>
                      </w:tcPr>
                      <w:p>
                        <w:pPr/>
                      </w:p>
                    </w:tc>
                    <w:tc>
                      <w:tcPr>
                        <w:tcW w:w="827" w:type="dxa"/>
                      </w:tcPr>
                      <w:p>
                        <w:pPr>
                          <w:pStyle w:val="TableParagraph"/>
                          <w:spacing w:line="172" w:lineRule="exact"/>
                          <w:ind w:right="22"/>
                          <w:jc w:val="right"/>
                          <w:rPr>
                            <w:sz w:val="15"/>
                          </w:rPr>
                        </w:pPr>
                        <w:r>
                          <w:rPr>
                            <w:sz w:val="15"/>
                          </w:rPr>
                          <w:t>6,461.3</w:t>
                        </w:r>
                      </w:p>
                    </w:tc>
                    <w:tc>
                      <w:tcPr>
                        <w:tcW w:w="3933" w:type="dxa"/>
                      </w:tcPr>
                      <w:p>
                        <w:pPr>
                          <w:pStyle w:val="TableParagraph"/>
                          <w:spacing w:line="172" w:lineRule="exact"/>
                          <w:ind w:left="22"/>
                          <w:rPr>
                            <w:sz w:val="15"/>
                          </w:rPr>
                        </w:pPr>
                        <w:r>
                          <w:rPr>
                            <w:sz w:val="15"/>
                          </w:rPr>
                          <w:t>Obras que no operan desde su terminación</w:t>
                        </w:r>
                      </w:p>
                    </w:tc>
                  </w:tr>
                  <w:tr>
                    <w:trPr>
                      <w:trHeight w:val="192" w:hRule="exact"/>
                    </w:trPr>
                    <w:tc>
                      <w:tcPr>
                        <w:tcW w:w="2036" w:type="dxa"/>
                        <w:vMerge/>
                      </w:tcPr>
                      <w:p>
                        <w:pPr/>
                      </w:p>
                    </w:tc>
                    <w:tc>
                      <w:tcPr>
                        <w:tcW w:w="1426" w:type="dxa"/>
                        <w:vMerge/>
                      </w:tcPr>
                      <w:p>
                        <w:pPr/>
                      </w:p>
                    </w:tc>
                    <w:tc>
                      <w:tcPr>
                        <w:tcW w:w="827" w:type="dxa"/>
                      </w:tcPr>
                      <w:p>
                        <w:pPr>
                          <w:pStyle w:val="TableParagraph"/>
                          <w:spacing w:before="1"/>
                          <w:ind w:right="21"/>
                          <w:jc w:val="right"/>
                          <w:rPr>
                            <w:sz w:val="15"/>
                          </w:rPr>
                        </w:pPr>
                        <w:r>
                          <w:rPr>
                            <w:sz w:val="15"/>
                          </w:rPr>
                          <w:t>156.2</w:t>
                        </w:r>
                      </w:p>
                    </w:tc>
                    <w:tc>
                      <w:tcPr>
                        <w:tcW w:w="3933" w:type="dxa"/>
                      </w:tcPr>
                      <w:p>
                        <w:pPr>
                          <w:pStyle w:val="TableParagraph"/>
                          <w:spacing w:before="1"/>
                          <w:ind w:left="22"/>
                          <w:rPr>
                            <w:sz w:val="15"/>
                          </w:rPr>
                        </w:pPr>
                        <w:r>
                          <w:rPr>
                            <w:sz w:val="15"/>
                          </w:rPr>
                          <w:t>excedio el rubro de gastos indirectos</w:t>
                        </w:r>
                      </w:p>
                    </w:tc>
                  </w:tr>
                  <w:tr>
                    <w:trPr>
                      <w:trHeight w:val="193" w:hRule="exact"/>
                    </w:trPr>
                    <w:tc>
                      <w:tcPr>
                        <w:tcW w:w="2036" w:type="dxa"/>
                        <w:vMerge/>
                      </w:tcPr>
                      <w:p>
                        <w:pPr/>
                      </w:p>
                    </w:tc>
                    <w:tc>
                      <w:tcPr>
                        <w:tcW w:w="1426" w:type="dxa"/>
                        <w:vMerge/>
                      </w:tcPr>
                      <w:p>
                        <w:pPr/>
                      </w:p>
                    </w:tc>
                    <w:tc>
                      <w:tcPr>
                        <w:tcW w:w="827" w:type="dxa"/>
                      </w:tcPr>
                      <w:p>
                        <w:pPr>
                          <w:pStyle w:val="TableParagraph"/>
                          <w:ind w:right="22"/>
                          <w:jc w:val="right"/>
                          <w:rPr>
                            <w:sz w:val="15"/>
                          </w:rPr>
                        </w:pPr>
                        <w:r>
                          <w:rPr>
                            <w:sz w:val="15"/>
                          </w:rPr>
                          <w:t>5,255.1</w:t>
                        </w:r>
                      </w:p>
                    </w:tc>
                    <w:tc>
                      <w:tcPr>
                        <w:tcW w:w="3933" w:type="dxa"/>
                      </w:tcPr>
                      <w:p>
                        <w:pPr>
                          <w:pStyle w:val="TableParagraph"/>
                          <w:ind w:left="22"/>
                          <w:rPr>
                            <w:sz w:val="15"/>
                          </w:rPr>
                        </w:pPr>
                        <w:r>
                          <w:rPr>
                            <w:sz w:val="15"/>
                          </w:rPr>
                          <w:t>Pendientes de aclarar</w:t>
                        </w:r>
                      </w:p>
                    </w:tc>
                  </w:tr>
                  <w:tr>
                    <w:trPr>
                      <w:trHeight w:val="577" w:hRule="exact"/>
                    </w:trPr>
                    <w:tc>
                      <w:tcPr>
                        <w:tcW w:w="2036"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1"/>
                          <w:rPr>
                            <w:b/>
                            <w:sz w:val="10"/>
                          </w:rPr>
                        </w:pPr>
                      </w:p>
                      <w:p>
                        <w:pPr>
                          <w:pStyle w:val="TableParagraph"/>
                          <w:ind w:left="22"/>
                          <w:rPr>
                            <w:sz w:val="15"/>
                          </w:rPr>
                        </w:pPr>
                        <w:r>
                          <w:rPr>
                            <w:sz w:val="15"/>
                          </w:rPr>
                          <w:t>Chimalhuacán</w:t>
                        </w:r>
                      </w:p>
                    </w:tc>
                    <w:tc>
                      <w:tcPr>
                        <w:tcW w:w="1426"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1"/>
                          <w:rPr>
                            <w:b/>
                            <w:sz w:val="10"/>
                          </w:rPr>
                        </w:pPr>
                      </w:p>
                      <w:p>
                        <w:pPr>
                          <w:pStyle w:val="TableParagraph"/>
                          <w:ind w:left="797"/>
                          <w:rPr>
                            <w:sz w:val="15"/>
                          </w:rPr>
                        </w:pPr>
                        <w:r>
                          <w:rPr>
                            <w:sz w:val="15"/>
                          </w:rPr>
                          <w:t>21,786.6</w:t>
                        </w:r>
                      </w:p>
                    </w:tc>
                    <w:tc>
                      <w:tcPr>
                        <w:tcW w:w="827" w:type="dxa"/>
                      </w:tcPr>
                      <w:p>
                        <w:pPr>
                          <w:pStyle w:val="TableParagraph"/>
                          <w:rPr>
                            <w:b/>
                            <w:sz w:val="14"/>
                          </w:rPr>
                        </w:pPr>
                      </w:p>
                      <w:p>
                        <w:pPr>
                          <w:pStyle w:val="TableParagraph"/>
                          <w:spacing w:before="5"/>
                          <w:rPr>
                            <w:b/>
                            <w:sz w:val="19"/>
                          </w:rPr>
                        </w:pPr>
                      </w:p>
                      <w:p>
                        <w:pPr>
                          <w:pStyle w:val="TableParagraph"/>
                          <w:ind w:right="22"/>
                          <w:jc w:val="right"/>
                          <w:rPr>
                            <w:sz w:val="15"/>
                          </w:rPr>
                        </w:pPr>
                        <w:r>
                          <w:rPr>
                            <w:sz w:val="15"/>
                          </w:rPr>
                          <w:t>8,702.2</w:t>
                        </w:r>
                      </w:p>
                    </w:tc>
                    <w:tc>
                      <w:tcPr>
                        <w:tcW w:w="3933" w:type="dxa"/>
                      </w:tcPr>
                      <w:p>
                        <w:pPr>
                          <w:pStyle w:val="TableParagraph"/>
                          <w:spacing w:line="268" w:lineRule="auto"/>
                          <w:ind w:left="21" w:right="393" w:firstLine="1"/>
                          <w:jc w:val="both"/>
                          <w:rPr>
                            <w:sz w:val="15"/>
                          </w:rPr>
                        </w:pPr>
                        <w:r>
                          <w:rPr>
                            <w:sz w:val="15"/>
                          </w:rPr>
                          <w:t>Obras y acciones ejecutadas que no beneficiaron a sectores en condiciones de rezago social y pobreza extrema</w:t>
                        </w:r>
                      </w:p>
                    </w:tc>
                  </w:tr>
                  <w:tr>
                    <w:trPr>
                      <w:trHeight w:val="385" w:hRule="exact"/>
                    </w:trPr>
                    <w:tc>
                      <w:tcPr>
                        <w:tcW w:w="2036" w:type="dxa"/>
                        <w:vMerge/>
                      </w:tcPr>
                      <w:p>
                        <w:pPr/>
                      </w:p>
                    </w:tc>
                    <w:tc>
                      <w:tcPr>
                        <w:tcW w:w="1426" w:type="dxa"/>
                        <w:vMerge/>
                      </w:tcPr>
                      <w:p>
                        <w:pPr/>
                      </w:p>
                    </w:tc>
                    <w:tc>
                      <w:tcPr>
                        <w:tcW w:w="827" w:type="dxa"/>
                      </w:tcPr>
                      <w:p>
                        <w:pPr>
                          <w:pStyle w:val="TableParagraph"/>
                          <w:spacing w:before="8"/>
                          <w:rPr>
                            <w:b/>
                            <w:sz w:val="16"/>
                          </w:rPr>
                        </w:pPr>
                      </w:p>
                      <w:p>
                        <w:pPr>
                          <w:pStyle w:val="TableParagraph"/>
                          <w:spacing w:before="1"/>
                          <w:ind w:right="22"/>
                          <w:jc w:val="right"/>
                          <w:rPr>
                            <w:sz w:val="15"/>
                          </w:rPr>
                        </w:pPr>
                        <w:r>
                          <w:rPr>
                            <w:sz w:val="15"/>
                          </w:rPr>
                          <w:t>3,995.5</w:t>
                        </w:r>
                      </w:p>
                    </w:tc>
                    <w:tc>
                      <w:tcPr>
                        <w:tcW w:w="3933" w:type="dxa"/>
                      </w:tcPr>
                      <w:p>
                        <w:pPr>
                          <w:pStyle w:val="TableParagraph"/>
                          <w:spacing w:line="266" w:lineRule="auto" w:before="1"/>
                          <w:ind w:left="21" w:firstLine="1"/>
                          <w:rPr>
                            <w:sz w:val="15"/>
                          </w:rPr>
                        </w:pPr>
                        <w:r>
                          <w:rPr>
                            <w:sz w:val="15"/>
                          </w:rPr>
                          <w:t>Proyectos no relacionados con el rubro de gastos indirectos</w:t>
                        </w:r>
                      </w:p>
                    </w:tc>
                  </w:tr>
                  <w:tr>
                    <w:trPr>
                      <w:trHeight w:val="192" w:hRule="exact"/>
                    </w:trPr>
                    <w:tc>
                      <w:tcPr>
                        <w:tcW w:w="2036" w:type="dxa"/>
                        <w:vMerge/>
                      </w:tcPr>
                      <w:p>
                        <w:pPr/>
                      </w:p>
                    </w:tc>
                    <w:tc>
                      <w:tcPr>
                        <w:tcW w:w="1426" w:type="dxa"/>
                        <w:vMerge/>
                      </w:tcPr>
                      <w:p>
                        <w:pPr/>
                      </w:p>
                    </w:tc>
                    <w:tc>
                      <w:tcPr>
                        <w:tcW w:w="827" w:type="dxa"/>
                      </w:tcPr>
                      <w:p>
                        <w:pPr>
                          <w:pStyle w:val="TableParagraph"/>
                          <w:spacing w:before="1"/>
                          <w:ind w:right="22"/>
                          <w:jc w:val="right"/>
                          <w:rPr>
                            <w:sz w:val="15"/>
                          </w:rPr>
                        </w:pPr>
                        <w:r>
                          <w:rPr>
                            <w:sz w:val="15"/>
                          </w:rPr>
                          <w:t>97.7</w:t>
                        </w:r>
                      </w:p>
                    </w:tc>
                    <w:tc>
                      <w:tcPr>
                        <w:tcW w:w="3933" w:type="dxa"/>
                      </w:tcPr>
                      <w:p>
                        <w:pPr>
                          <w:pStyle w:val="TableParagraph"/>
                          <w:spacing w:before="1"/>
                          <w:ind w:left="22"/>
                          <w:rPr>
                            <w:sz w:val="15"/>
                          </w:rPr>
                        </w:pPr>
                        <w:r>
                          <w:rPr>
                            <w:sz w:val="15"/>
                          </w:rPr>
                          <w:t>Transferencias de recursos a otras cuentas del  Municipio</w:t>
                        </w:r>
                      </w:p>
                    </w:tc>
                  </w:tr>
                  <w:tr>
                    <w:trPr>
                      <w:trHeight w:val="385" w:hRule="exact"/>
                    </w:trPr>
                    <w:tc>
                      <w:tcPr>
                        <w:tcW w:w="2036" w:type="dxa"/>
                        <w:vMerge/>
                      </w:tcPr>
                      <w:p>
                        <w:pPr/>
                      </w:p>
                    </w:tc>
                    <w:tc>
                      <w:tcPr>
                        <w:tcW w:w="1426" w:type="dxa"/>
                        <w:vMerge/>
                      </w:tcPr>
                      <w:p>
                        <w:pPr/>
                      </w:p>
                    </w:tc>
                    <w:tc>
                      <w:tcPr>
                        <w:tcW w:w="827" w:type="dxa"/>
                      </w:tcPr>
                      <w:p>
                        <w:pPr>
                          <w:pStyle w:val="TableParagraph"/>
                          <w:spacing w:before="8"/>
                          <w:rPr>
                            <w:b/>
                            <w:sz w:val="16"/>
                          </w:rPr>
                        </w:pPr>
                      </w:p>
                      <w:p>
                        <w:pPr>
                          <w:pStyle w:val="TableParagraph"/>
                          <w:spacing w:before="1"/>
                          <w:ind w:right="21"/>
                          <w:jc w:val="right"/>
                          <w:rPr>
                            <w:sz w:val="15"/>
                          </w:rPr>
                        </w:pPr>
                        <w:r>
                          <w:rPr>
                            <w:sz w:val="15"/>
                          </w:rPr>
                          <w:t>844.6</w:t>
                        </w:r>
                      </w:p>
                    </w:tc>
                    <w:tc>
                      <w:tcPr>
                        <w:tcW w:w="3933" w:type="dxa"/>
                      </w:tcPr>
                      <w:p>
                        <w:pPr>
                          <w:pStyle w:val="TableParagraph"/>
                          <w:spacing w:line="266" w:lineRule="auto" w:before="1"/>
                          <w:ind w:left="22"/>
                          <w:rPr>
                            <w:sz w:val="15"/>
                          </w:rPr>
                        </w:pPr>
                        <w:r>
                          <w:rPr>
                            <w:sz w:val="15"/>
                          </w:rPr>
                          <w:t>Recursos federales aplicados en rubros o programas no contemplados en a Ley de Coordinación  Fiscal</w:t>
                        </w:r>
                      </w:p>
                    </w:tc>
                  </w:tr>
                  <w:tr>
                    <w:trPr>
                      <w:trHeight w:val="192" w:hRule="exact"/>
                    </w:trPr>
                    <w:tc>
                      <w:tcPr>
                        <w:tcW w:w="2036" w:type="dxa"/>
                        <w:vMerge/>
                      </w:tcPr>
                      <w:p>
                        <w:pPr/>
                      </w:p>
                    </w:tc>
                    <w:tc>
                      <w:tcPr>
                        <w:tcW w:w="1426" w:type="dxa"/>
                        <w:vMerge/>
                      </w:tcPr>
                      <w:p>
                        <w:pPr/>
                      </w:p>
                    </w:tc>
                    <w:tc>
                      <w:tcPr>
                        <w:tcW w:w="827" w:type="dxa"/>
                      </w:tcPr>
                      <w:p>
                        <w:pPr>
                          <w:pStyle w:val="TableParagraph"/>
                          <w:spacing w:before="1"/>
                          <w:ind w:right="22"/>
                          <w:jc w:val="right"/>
                          <w:rPr>
                            <w:sz w:val="15"/>
                          </w:rPr>
                        </w:pPr>
                        <w:r>
                          <w:rPr>
                            <w:sz w:val="15"/>
                          </w:rPr>
                          <w:t>8,146.6</w:t>
                        </w:r>
                      </w:p>
                    </w:tc>
                    <w:tc>
                      <w:tcPr>
                        <w:tcW w:w="3933" w:type="dxa"/>
                      </w:tcPr>
                      <w:p>
                        <w:pPr>
                          <w:pStyle w:val="TableParagraph"/>
                          <w:spacing w:before="1"/>
                          <w:ind w:left="22"/>
                          <w:rPr>
                            <w:sz w:val="15"/>
                          </w:rPr>
                        </w:pPr>
                        <w:r>
                          <w:rPr>
                            <w:sz w:val="15"/>
                          </w:rPr>
                          <w:t>Pendientes de aclarar</w:t>
                        </w:r>
                      </w:p>
                    </w:tc>
                  </w:tr>
                  <w:tr>
                    <w:trPr>
                      <w:trHeight w:val="578" w:hRule="exact"/>
                    </w:trPr>
                    <w:tc>
                      <w:tcPr>
                        <w:tcW w:w="203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94"/>
                          <w:ind w:left="22"/>
                          <w:rPr>
                            <w:sz w:val="15"/>
                          </w:rPr>
                        </w:pPr>
                        <w:r>
                          <w:rPr>
                            <w:sz w:val="15"/>
                          </w:rPr>
                          <w:t>Cuautitlán Izcalli</w:t>
                        </w:r>
                      </w:p>
                    </w:tc>
                    <w:tc>
                      <w:tcPr>
                        <w:tcW w:w="142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94"/>
                          <w:ind w:left="797"/>
                          <w:rPr>
                            <w:sz w:val="15"/>
                          </w:rPr>
                        </w:pPr>
                        <w:r>
                          <w:rPr>
                            <w:sz w:val="15"/>
                          </w:rPr>
                          <w:t>12,259.6</w:t>
                        </w:r>
                      </w:p>
                    </w:tc>
                    <w:tc>
                      <w:tcPr>
                        <w:tcW w:w="827" w:type="dxa"/>
                      </w:tcPr>
                      <w:p>
                        <w:pPr>
                          <w:pStyle w:val="TableParagraph"/>
                          <w:rPr>
                            <w:b/>
                            <w:sz w:val="14"/>
                          </w:rPr>
                        </w:pPr>
                      </w:p>
                      <w:p>
                        <w:pPr>
                          <w:pStyle w:val="TableParagraph"/>
                          <w:spacing w:before="6"/>
                          <w:rPr>
                            <w:b/>
                            <w:sz w:val="19"/>
                          </w:rPr>
                        </w:pPr>
                      </w:p>
                      <w:p>
                        <w:pPr>
                          <w:pStyle w:val="TableParagraph"/>
                          <w:ind w:right="22"/>
                          <w:jc w:val="right"/>
                          <w:rPr>
                            <w:sz w:val="15"/>
                          </w:rPr>
                        </w:pPr>
                        <w:r>
                          <w:rPr>
                            <w:sz w:val="15"/>
                          </w:rPr>
                          <w:t>7,291.5</w:t>
                        </w:r>
                      </w:p>
                    </w:tc>
                    <w:tc>
                      <w:tcPr>
                        <w:tcW w:w="3933" w:type="dxa"/>
                      </w:tcPr>
                      <w:p>
                        <w:pPr>
                          <w:pStyle w:val="TableParagraph"/>
                          <w:spacing w:line="268" w:lineRule="auto" w:before="1"/>
                          <w:ind w:left="21" w:right="393" w:firstLine="1"/>
                          <w:jc w:val="both"/>
                          <w:rPr>
                            <w:sz w:val="15"/>
                          </w:rPr>
                        </w:pPr>
                        <w:r>
                          <w:rPr>
                            <w:sz w:val="15"/>
                          </w:rPr>
                          <w:t>Obras y acciones ejecutadas que no beneficiaron a sectores en condiciones de rezago social y pobreza extrema</w:t>
                        </w:r>
                      </w:p>
                    </w:tc>
                  </w:tr>
                  <w:tr>
                    <w:trPr>
                      <w:trHeight w:val="192" w:hRule="exact"/>
                    </w:trPr>
                    <w:tc>
                      <w:tcPr>
                        <w:tcW w:w="2036" w:type="dxa"/>
                        <w:vMerge/>
                      </w:tcPr>
                      <w:p>
                        <w:pPr/>
                      </w:p>
                    </w:tc>
                    <w:tc>
                      <w:tcPr>
                        <w:tcW w:w="1426" w:type="dxa"/>
                        <w:vMerge/>
                      </w:tcPr>
                      <w:p>
                        <w:pPr/>
                      </w:p>
                    </w:tc>
                    <w:tc>
                      <w:tcPr>
                        <w:tcW w:w="827" w:type="dxa"/>
                      </w:tcPr>
                      <w:p>
                        <w:pPr>
                          <w:pStyle w:val="TableParagraph"/>
                          <w:spacing w:line="172" w:lineRule="exact"/>
                          <w:ind w:right="22"/>
                          <w:jc w:val="right"/>
                          <w:rPr>
                            <w:sz w:val="15"/>
                          </w:rPr>
                        </w:pPr>
                        <w:r>
                          <w:rPr>
                            <w:sz w:val="15"/>
                          </w:rPr>
                          <w:t>4,968.1</w:t>
                        </w:r>
                      </w:p>
                    </w:tc>
                    <w:tc>
                      <w:tcPr>
                        <w:tcW w:w="3933" w:type="dxa"/>
                      </w:tcPr>
                      <w:p>
                        <w:pPr>
                          <w:pStyle w:val="TableParagraph"/>
                          <w:spacing w:line="172" w:lineRule="exact"/>
                          <w:ind w:left="22"/>
                          <w:rPr>
                            <w:sz w:val="15"/>
                          </w:rPr>
                        </w:pPr>
                        <w:r>
                          <w:rPr>
                            <w:sz w:val="15"/>
                          </w:rPr>
                          <w:t>Pendientes de aclarar</w:t>
                        </w:r>
                      </w:p>
                    </w:tc>
                  </w:tr>
                  <w:tr>
                    <w:trPr>
                      <w:trHeight w:val="385" w:hRule="exact"/>
                    </w:trPr>
                    <w:tc>
                      <w:tcPr>
                        <w:tcW w:w="2036" w:type="dxa"/>
                      </w:tcPr>
                      <w:p>
                        <w:pPr>
                          <w:pStyle w:val="TableParagraph"/>
                          <w:spacing w:before="8"/>
                          <w:rPr>
                            <w:b/>
                            <w:sz w:val="16"/>
                          </w:rPr>
                        </w:pPr>
                      </w:p>
                      <w:p>
                        <w:pPr>
                          <w:pStyle w:val="TableParagraph"/>
                          <w:spacing w:before="1"/>
                          <w:ind w:right="290"/>
                          <w:jc w:val="right"/>
                          <w:rPr>
                            <w:sz w:val="15"/>
                          </w:rPr>
                        </w:pPr>
                        <w:r>
                          <w:rPr>
                            <w:sz w:val="15"/>
                          </w:rPr>
                          <w:t>Ecatepec de Morelos</w:t>
                        </w:r>
                      </w:p>
                    </w:tc>
                    <w:tc>
                      <w:tcPr>
                        <w:tcW w:w="1426" w:type="dxa"/>
                      </w:tcPr>
                      <w:p>
                        <w:pPr>
                          <w:pStyle w:val="TableParagraph"/>
                          <w:spacing w:before="8"/>
                          <w:rPr>
                            <w:b/>
                            <w:sz w:val="16"/>
                          </w:rPr>
                        </w:pPr>
                      </w:p>
                      <w:p>
                        <w:pPr>
                          <w:pStyle w:val="TableParagraph"/>
                          <w:spacing w:before="1"/>
                          <w:ind w:left="797"/>
                          <w:rPr>
                            <w:sz w:val="15"/>
                          </w:rPr>
                        </w:pPr>
                        <w:r>
                          <w:rPr>
                            <w:sz w:val="15"/>
                          </w:rPr>
                          <w:t>59,650.9</w:t>
                        </w:r>
                      </w:p>
                    </w:tc>
                    <w:tc>
                      <w:tcPr>
                        <w:tcW w:w="827" w:type="dxa"/>
                      </w:tcPr>
                      <w:p>
                        <w:pPr/>
                      </w:p>
                    </w:tc>
                    <w:tc>
                      <w:tcPr>
                        <w:tcW w:w="3933" w:type="dxa"/>
                      </w:tcPr>
                      <w:p>
                        <w:pPr>
                          <w:pStyle w:val="TableParagraph"/>
                          <w:spacing w:line="266" w:lineRule="auto" w:before="1"/>
                          <w:ind w:left="22"/>
                          <w:rPr>
                            <w:sz w:val="15"/>
                          </w:rPr>
                        </w:pPr>
                        <w:r>
                          <w:rPr>
                            <w:sz w:val="15"/>
                          </w:rPr>
                          <w:t>Recursos federales aplicados en rubros o programas no contemplados en a Ley de Coordinación  Fiscal</w:t>
                        </w:r>
                      </w:p>
                    </w:tc>
                  </w:tr>
                  <w:tr>
                    <w:trPr>
                      <w:trHeight w:val="192" w:hRule="exact"/>
                    </w:trPr>
                    <w:tc>
                      <w:tcPr>
                        <w:tcW w:w="2036" w:type="dxa"/>
                        <w:vMerge w:val="restart"/>
                      </w:tcPr>
                      <w:p>
                        <w:pPr>
                          <w:pStyle w:val="TableParagraph"/>
                          <w:spacing w:before="95"/>
                          <w:ind w:left="604"/>
                          <w:rPr>
                            <w:sz w:val="15"/>
                          </w:rPr>
                        </w:pPr>
                        <w:r>
                          <w:rPr>
                            <w:sz w:val="15"/>
                          </w:rPr>
                          <w:t>Huehuetoca</w:t>
                        </w:r>
                      </w:p>
                    </w:tc>
                    <w:tc>
                      <w:tcPr>
                        <w:tcW w:w="1426" w:type="dxa"/>
                        <w:vMerge w:val="restart"/>
                      </w:tcPr>
                      <w:p>
                        <w:pPr>
                          <w:pStyle w:val="TableParagraph"/>
                          <w:spacing w:before="95"/>
                          <w:ind w:left="883"/>
                          <w:rPr>
                            <w:sz w:val="15"/>
                          </w:rPr>
                        </w:pPr>
                        <w:r>
                          <w:rPr>
                            <w:sz w:val="15"/>
                          </w:rPr>
                          <w:t>4,189.0</w:t>
                        </w:r>
                      </w:p>
                    </w:tc>
                    <w:tc>
                      <w:tcPr>
                        <w:tcW w:w="827" w:type="dxa"/>
                      </w:tcPr>
                      <w:p>
                        <w:pPr>
                          <w:pStyle w:val="TableParagraph"/>
                          <w:spacing w:before="1"/>
                          <w:ind w:right="21"/>
                          <w:jc w:val="right"/>
                          <w:rPr>
                            <w:sz w:val="15"/>
                          </w:rPr>
                        </w:pPr>
                        <w:r>
                          <w:rPr>
                            <w:sz w:val="15"/>
                          </w:rPr>
                          <w:t>820.1</w:t>
                        </w:r>
                      </w:p>
                    </w:tc>
                    <w:tc>
                      <w:tcPr>
                        <w:tcW w:w="3933" w:type="dxa"/>
                      </w:tcPr>
                      <w:p>
                        <w:pPr>
                          <w:pStyle w:val="TableParagraph"/>
                          <w:spacing w:before="1"/>
                          <w:ind w:left="22"/>
                          <w:rPr>
                            <w:sz w:val="15"/>
                          </w:rPr>
                        </w:pPr>
                        <w:r>
                          <w:rPr>
                            <w:sz w:val="15"/>
                          </w:rPr>
                          <w:t>Por obras que no operan</w:t>
                        </w:r>
                      </w:p>
                    </w:tc>
                  </w:tr>
                  <w:tr>
                    <w:trPr>
                      <w:trHeight w:val="193" w:hRule="exact"/>
                    </w:trPr>
                    <w:tc>
                      <w:tcPr>
                        <w:tcW w:w="2036" w:type="dxa"/>
                        <w:vMerge/>
                      </w:tcPr>
                      <w:p>
                        <w:pPr/>
                      </w:p>
                    </w:tc>
                    <w:tc>
                      <w:tcPr>
                        <w:tcW w:w="1426" w:type="dxa"/>
                        <w:vMerge/>
                      </w:tcPr>
                      <w:p>
                        <w:pPr/>
                      </w:p>
                    </w:tc>
                    <w:tc>
                      <w:tcPr>
                        <w:tcW w:w="827" w:type="dxa"/>
                      </w:tcPr>
                      <w:p>
                        <w:pPr>
                          <w:pStyle w:val="TableParagraph"/>
                          <w:ind w:right="22"/>
                          <w:jc w:val="right"/>
                          <w:rPr>
                            <w:sz w:val="15"/>
                          </w:rPr>
                        </w:pPr>
                        <w:r>
                          <w:rPr>
                            <w:sz w:val="15"/>
                          </w:rPr>
                          <w:t>3,368.1</w:t>
                        </w:r>
                      </w:p>
                    </w:tc>
                    <w:tc>
                      <w:tcPr>
                        <w:tcW w:w="3933" w:type="dxa"/>
                      </w:tcPr>
                      <w:p>
                        <w:pPr>
                          <w:pStyle w:val="TableParagraph"/>
                          <w:ind w:left="22"/>
                          <w:rPr>
                            <w:sz w:val="15"/>
                          </w:rPr>
                        </w:pPr>
                        <w:r>
                          <w:rPr>
                            <w:sz w:val="15"/>
                          </w:rPr>
                          <w:t>Pendientes de aclarar</w:t>
                        </w:r>
                      </w:p>
                    </w:tc>
                  </w:tr>
                </w:tbl>
                <w:p>
                  <w:pPr>
                    <w:pStyle w:val="BodyText"/>
                  </w:pPr>
                </w:p>
              </w:txbxContent>
            </v:textbox>
            <w10:wrap type="none"/>
          </v:shape>
        </w:pict>
      </w:r>
      <w:r>
        <w:rPr>
          <w:b/>
          <w:sz w:val="15"/>
        </w:rPr>
        <w:t>Observaciones Generados del FISM y FORTAMUNDF en el Ejercicio 2013 (miles de pesos) Fondo para la  Infraestructura Social  Municipal</w:t>
      </w:r>
    </w:p>
    <w:p>
      <w:pPr>
        <w:spacing w:after="0" w:line="547" w:lineRule="auto"/>
        <w:jc w:val="left"/>
        <w:rPr>
          <w:sz w:val="15"/>
        </w:rPr>
        <w:sectPr>
          <w:footerReference w:type="default" r:id="rId327"/>
          <w:pgSz w:w="15840" w:h="12240" w:orient="landscape"/>
          <w:pgMar w:footer="992" w:header="0" w:top="1140" w:bottom="1180" w:left="210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0"/>
        </w:rPr>
      </w:pPr>
    </w:p>
    <w:p>
      <w:pPr>
        <w:spacing w:line="547" w:lineRule="auto" w:before="0"/>
        <w:ind w:left="2521" w:right="3657" w:hanging="1564"/>
        <w:jc w:val="left"/>
        <w:rPr>
          <w:b/>
          <w:sz w:val="15"/>
        </w:rPr>
      </w:pPr>
      <w:r>
        <w:rPr/>
        <w:pict>
          <v:shape style="position:absolute;margin-left:110.320404pt;margin-top:9.259279pt;width:411.3pt;height:.1pt;mso-position-horizontal-relative:page;mso-position-vertical-relative:paragraph;z-index:-671416" coordorigin="2206,185" coordsize="8226,0" path="m2206,185l2206,185,10431,185e" filled="false" stroked="true" strokeweight=".591633pt" strokecolor="#000000">
            <v:path arrowok="t"/>
            <w10:wrap type="none"/>
          </v:shape>
        </w:pict>
      </w:r>
      <w:r>
        <w:rPr>
          <w:b/>
          <w:sz w:val="15"/>
        </w:rPr>
        <w:t>Observaciones Generados del FISM y FORTAMUNDF en el Ejercicio 2013 (miles de pesos) Fondo para la  Infraestructura Social  Municipal</w:t>
      </w:r>
    </w:p>
    <w:p>
      <w:pPr>
        <w:pStyle w:val="BodyText"/>
        <w:rPr>
          <w:b/>
          <w:sz w:val="20"/>
        </w:rPr>
      </w:pPr>
    </w:p>
    <w:p>
      <w:pPr>
        <w:pStyle w:val="BodyText"/>
        <w:rPr>
          <w:b/>
          <w:sz w:val="20"/>
        </w:rPr>
      </w:pPr>
    </w:p>
    <w:p>
      <w:pPr>
        <w:pStyle w:val="BodyText"/>
        <w:rPr>
          <w:b/>
          <w:sz w:val="20"/>
        </w:rPr>
      </w:pPr>
    </w:p>
    <w:p>
      <w:pPr>
        <w:pStyle w:val="BodyText"/>
        <w:spacing w:before="3"/>
        <w:rPr>
          <w:b/>
          <w:sz w:val="16"/>
        </w:rPr>
      </w:pPr>
    </w:p>
    <w:p>
      <w:pPr>
        <w:spacing w:before="83"/>
        <w:ind w:left="0" w:right="2871" w:firstLine="0"/>
        <w:jc w:val="right"/>
        <w:rPr>
          <w:sz w:val="15"/>
        </w:rPr>
      </w:pPr>
      <w:r>
        <w:rPr/>
        <w:pict>
          <v:shape style="position:absolute;margin-left:110.024612pt;margin-top:-54.188313pt;width:412pt;height:297.5pt;mso-position-horizontal-relative:page;mso-position-vertical-relative:paragraph;z-index:11848"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036"/>
                    <w:gridCol w:w="1426"/>
                    <w:gridCol w:w="827"/>
                    <w:gridCol w:w="3933"/>
                  </w:tblGrid>
                  <w:tr>
                    <w:trPr>
                      <w:trHeight w:val="577" w:hRule="exact"/>
                    </w:trPr>
                    <w:tc>
                      <w:tcPr>
                        <w:tcW w:w="2036" w:type="dxa"/>
                        <w:shd w:val="clear" w:color="auto" w:fill="E6B8B7"/>
                      </w:tcPr>
                      <w:p>
                        <w:pPr>
                          <w:pStyle w:val="TableParagraph"/>
                          <w:rPr>
                            <w:sz w:val="14"/>
                          </w:rPr>
                        </w:pPr>
                      </w:p>
                      <w:p>
                        <w:pPr>
                          <w:pStyle w:val="TableParagraph"/>
                          <w:spacing w:before="5"/>
                          <w:rPr>
                            <w:sz w:val="19"/>
                          </w:rPr>
                        </w:pPr>
                      </w:p>
                      <w:p>
                        <w:pPr>
                          <w:pStyle w:val="TableParagraph"/>
                          <w:ind w:left="363"/>
                          <w:rPr>
                            <w:b/>
                            <w:sz w:val="15"/>
                          </w:rPr>
                        </w:pPr>
                        <w:r>
                          <w:rPr>
                            <w:b/>
                            <w:sz w:val="15"/>
                          </w:rPr>
                          <w:t>Entidad Municipal</w:t>
                        </w:r>
                      </w:p>
                    </w:tc>
                    <w:tc>
                      <w:tcPr>
                        <w:tcW w:w="1426" w:type="dxa"/>
                        <w:shd w:val="clear" w:color="auto" w:fill="E6B8B7"/>
                      </w:tcPr>
                      <w:p>
                        <w:pPr>
                          <w:pStyle w:val="TableParagraph"/>
                          <w:spacing w:line="268" w:lineRule="auto"/>
                          <w:ind w:left="114" w:right="101"/>
                          <w:jc w:val="center"/>
                          <w:rPr>
                            <w:b/>
                            <w:sz w:val="15"/>
                          </w:rPr>
                        </w:pPr>
                        <w:r>
                          <w:rPr>
                            <w:b/>
                            <w:sz w:val="15"/>
                          </w:rPr>
                          <w:t>Cuantificación Monetaria de las Observaciones</w:t>
                        </w:r>
                      </w:p>
                    </w:tc>
                    <w:tc>
                      <w:tcPr>
                        <w:tcW w:w="827" w:type="dxa"/>
                        <w:shd w:val="clear" w:color="auto" w:fill="E6B8B7"/>
                      </w:tcPr>
                      <w:p>
                        <w:pPr/>
                      </w:p>
                    </w:tc>
                    <w:tc>
                      <w:tcPr>
                        <w:tcW w:w="3933" w:type="dxa"/>
                        <w:shd w:val="clear" w:color="auto" w:fill="E6B8B7"/>
                      </w:tcPr>
                      <w:p>
                        <w:pPr>
                          <w:pStyle w:val="TableParagraph"/>
                          <w:rPr>
                            <w:sz w:val="14"/>
                          </w:rPr>
                        </w:pPr>
                      </w:p>
                      <w:p>
                        <w:pPr>
                          <w:pStyle w:val="TableParagraph"/>
                          <w:spacing w:before="5"/>
                          <w:rPr>
                            <w:sz w:val="19"/>
                          </w:rPr>
                        </w:pPr>
                      </w:p>
                      <w:p>
                        <w:pPr>
                          <w:pStyle w:val="TableParagraph"/>
                          <w:ind w:left="1597" w:right="1591"/>
                          <w:jc w:val="center"/>
                          <w:rPr>
                            <w:b/>
                            <w:sz w:val="15"/>
                          </w:rPr>
                        </w:pPr>
                        <w:r>
                          <w:rPr>
                            <w:b/>
                            <w:sz w:val="15"/>
                          </w:rPr>
                          <w:t>Concepto</w:t>
                        </w:r>
                      </w:p>
                    </w:tc>
                  </w:tr>
                  <w:tr>
                    <w:trPr>
                      <w:trHeight w:val="385" w:hRule="exact"/>
                    </w:trPr>
                    <w:tc>
                      <w:tcPr>
                        <w:tcW w:w="2036" w:type="dxa"/>
                        <w:vMerge w:val="restart"/>
                      </w:tcPr>
                      <w:p>
                        <w:pPr>
                          <w:pStyle w:val="TableParagraph"/>
                          <w:spacing w:before="8"/>
                          <w:rPr>
                            <w:sz w:val="16"/>
                          </w:rPr>
                        </w:pPr>
                      </w:p>
                      <w:p>
                        <w:pPr>
                          <w:pStyle w:val="TableParagraph"/>
                          <w:spacing w:before="1"/>
                          <w:ind w:left="669"/>
                          <w:rPr>
                            <w:sz w:val="15"/>
                          </w:rPr>
                        </w:pPr>
                        <w:r>
                          <w:rPr>
                            <w:sz w:val="15"/>
                          </w:rPr>
                          <w:t>Ixtapaluca</w:t>
                        </w:r>
                      </w:p>
                    </w:tc>
                    <w:tc>
                      <w:tcPr>
                        <w:tcW w:w="1426" w:type="dxa"/>
                        <w:vMerge w:val="restart"/>
                      </w:tcPr>
                      <w:p>
                        <w:pPr>
                          <w:pStyle w:val="TableParagraph"/>
                          <w:spacing w:before="8"/>
                          <w:rPr>
                            <w:sz w:val="16"/>
                          </w:rPr>
                        </w:pPr>
                      </w:p>
                      <w:p>
                        <w:pPr>
                          <w:pStyle w:val="TableParagraph"/>
                          <w:spacing w:before="1"/>
                          <w:ind w:left="797"/>
                          <w:rPr>
                            <w:sz w:val="15"/>
                          </w:rPr>
                        </w:pPr>
                        <w:r>
                          <w:rPr>
                            <w:sz w:val="15"/>
                          </w:rPr>
                          <w:t>13,824.1</w:t>
                        </w:r>
                      </w:p>
                    </w:tc>
                    <w:tc>
                      <w:tcPr>
                        <w:tcW w:w="827" w:type="dxa"/>
                      </w:tcPr>
                      <w:p>
                        <w:pPr>
                          <w:pStyle w:val="TableParagraph"/>
                          <w:spacing w:before="8"/>
                          <w:rPr>
                            <w:sz w:val="16"/>
                          </w:rPr>
                        </w:pPr>
                      </w:p>
                      <w:p>
                        <w:pPr>
                          <w:pStyle w:val="TableParagraph"/>
                          <w:spacing w:before="1"/>
                          <w:ind w:right="22"/>
                          <w:jc w:val="right"/>
                          <w:rPr>
                            <w:sz w:val="15"/>
                          </w:rPr>
                        </w:pPr>
                        <w:r>
                          <w:rPr>
                            <w:sz w:val="15"/>
                          </w:rPr>
                          <w:t>5,601.9</w:t>
                        </w:r>
                      </w:p>
                    </w:tc>
                    <w:tc>
                      <w:tcPr>
                        <w:tcW w:w="3933" w:type="dxa"/>
                      </w:tcPr>
                      <w:p>
                        <w:pPr>
                          <w:pStyle w:val="TableParagraph"/>
                          <w:spacing w:line="266" w:lineRule="auto" w:before="1"/>
                          <w:ind w:left="22"/>
                          <w:rPr>
                            <w:sz w:val="15"/>
                          </w:rPr>
                        </w:pPr>
                        <w:r>
                          <w:rPr>
                            <w:sz w:val="15"/>
                          </w:rPr>
                          <w:t>Recursos federales aplicados en rubros o programas no contemplados en a Ley de Coordinación  Fiscal</w:t>
                        </w:r>
                      </w:p>
                    </w:tc>
                  </w:tr>
                  <w:tr>
                    <w:trPr>
                      <w:trHeight w:val="192" w:hRule="exact"/>
                    </w:trPr>
                    <w:tc>
                      <w:tcPr>
                        <w:tcW w:w="2036" w:type="dxa"/>
                        <w:vMerge/>
                      </w:tcPr>
                      <w:p>
                        <w:pPr/>
                      </w:p>
                    </w:tc>
                    <w:tc>
                      <w:tcPr>
                        <w:tcW w:w="1426" w:type="dxa"/>
                        <w:vMerge/>
                      </w:tcPr>
                      <w:p>
                        <w:pPr/>
                      </w:p>
                    </w:tc>
                    <w:tc>
                      <w:tcPr>
                        <w:tcW w:w="827" w:type="dxa"/>
                      </w:tcPr>
                      <w:p>
                        <w:pPr>
                          <w:pStyle w:val="TableParagraph"/>
                          <w:ind w:right="22"/>
                          <w:jc w:val="right"/>
                          <w:rPr>
                            <w:sz w:val="15"/>
                          </w:rPr>
                        </w:pPr>
                        <w:r>
                          <w:rPr>
                            <w:sz w:val="15"/>
                          </w:rPr>
                          <w:t>8,222.2</w:t>
                        </w:r>
                      </w:p>
                    </w:tc>
                    <w:tc>
                      <w:tcPr>
                        <w:tcW w:w="3933" w:type="dxa"/>
                      </w:tcPr>
                      <w:p>
                        <w:pPr>
                          <w:pStyle w:val="TableParagraph"/>
                          <w:ind w:left="22"/>
                          <w:rPr>
                            <w:sz w:val="15"/>
                          </w:rPr>
                        </w:pPr>
                        <w:r>
                          <w:rPr>
                            <w:sz w:val="15"/>
                          </w:rPr>
                          <w:t>Pendientes de aclarar</w:t>
                        </w:r>
                      </w:p>
                    </w:tc>
                  </w:tr>
                  <w:tr>
                    <w:trPr>
                      <w:trHeight w:val="193" w:hRule="exact"/>
                    </w:trPr>
                    <w:tc>
                      <w:tcPr>
                        <w:tcW w:w="2036" w:type="dxa"/>
                        <w:vMerge w:val="restart"/>
                      </w:tcPr>
                      <w:p>
                        <w:pPr>
                          <w:pStyle w:val="TableParagraph"/>
                          <w:spacing w:before="8"/>
                          <w:rPr>
                            <w:sz w:val="16"/>
                          </w:rPr>
                        </w:pPr>
                      </w:p>
                      <w:p>
                        <w:pPr>
                          <w:pStyle w:val="TableParagraph"/>
                          <w:spacing w:before="1"/>
                          <w:ind w:left="22"/>
                          <w:rPr>
                            <w:sz w:val="15"/>
                          </w:rPr>
                        </w:pPr>
                        <w:r>
                          <w:rPr>
                            <w:sz w:val="15"/>
                          </w:rPr>
                          <w:t>La Paz</w:t>
                        </w:r>
                      </w:p>
                    </w:tc>
                    <w:tc>
                      <w:tcPr>
                        <w:tcW w:w="1426" w:type="dxa"/>
                        <w:vMerge w:val="restart"/>
                      </w:tcPr>
                      <w:p>
                        <w:pPr>
                          <w:pStyle w:val="TableParagraph"/>
                          <w:spacing w:before="95"/>
                          <w:ind w:left="797"/>
                          <w:rPr>
                            <w:sz w:val="15"/>
                          </w:rPr>
                        </w:pPr>
                        <w:r>
                          <w:rPr>
                            <w:sz w:val="15"/>
                          </w:rPr>
                          <w:t>72,333.2</w:t>
                        </w:r>
                      </w:p>
                    </w:tc>
                    <w:tc>
                      <w:tcPr>
                        <w:tcW w:w="827" w:type="dxa"/>
                      </w:tcPr>
                      <w:p>
                        <w:pPr>
                          <w:pStyle w:val="TableParagraph"/>
                          <w:ind w:right="21"/>
                          <w:jc w:val="right"/>
                          <w:rPr>
                            <w:sz w:val="15"/>
                          </w:rPr>
                        </w:pPr>
                        <w:r>
                          <w:rPr>
                            <w:sz w:val="15"/>
                          </w:rPr>
                          <w:t>666.7</w:t>
                        </w:r>
                      </w:p>
                    </w:tc>
                    <w:tc>
                      <w:tcPr>
                        <w:tcW w:w="3933" w:type="dxa"/>
                        <w:tcBorders>
                          <w:right w:val="nil"/>
                        </w:tcBorders>
                      </w:tcPr>
                      <w:p>
                        <w:pPr>
                          <w:pStyle w:val="TableParagraph"/>
                          <w:ind w:left="22"/>
                          <w:rPr>
                            <w:sz w:val="15"/>
                          </w:rPr>
                        </w:pPr>
                        <w:r>
                          <w:rPr>
                            <w:sz w:val="15"/>
                          </w:rPr>
                          <w:t>Falta de documetacion comprobatoria para realizar  conve</w:t>
                        </w:r>
                      </w:p>
                    </w:tc>
                  </w:tr>
                  <w:tr>
                    <w:trPr>
                      <w:trHeight w:val="192" w:hRule="exact"/>
                    </w:trPr>
                    <w:tc>
                      <w:tcPr>
                        <w:tcW w:w="2036" w:type="dxa"/>
                        <w:vMerge/>
                      </w:tcPr>
                      <w:p>
                        <w:pPr/>
                      </w:p>
                    </w:tc>
                    <w:tc>
                      <w:tcPr>
                        <w:tcW w:w="1426" w:type="dxa"/>
                        <w:vMerge/>
                      </w:tcPr>
                      <w:p>
                        <w:pPr/>
                      </w:p>
                    </w:tc>
                    <w:tc>
                      <w:tcPr>
                        <w:tcW w:w="827" w:type="dxa"/>
                      </w:tcPr>
                      <w:p>
                        <w:pPr>
                          <w:pStyle w:val="TableParagraph"/>
                          <w:ind w:right="22"/>
                          <w:jc w:val="right"/>
                          <w:rPr>
                            <w:sz w:val="15"/>
                          </w:rPr>
                        </w:pPr>
                        <w:r>
                          <w:rPr>
                            <w:sz w:val="15"/>
                          </w:rPr>
                          <w:t>71,666.5</w:t>
                        </w:r>
                      </w:p>
                    </w:tc>
                    <w:tc>
                      <w:tcPr>
                        <w:tcW w:w="3933" w:type="dxa"/>
                      </w:tcPr>
                      <w:p>
                        <w:pPr>
                          <w:pStyle w:val="TableParagraph"/>
                          <w:ind w:left="22"/>
                          <w:rPr>
                            <w:sz w:val="15"/>
                          </w:rPr>
                        </w:pPr>
                        <w:r>
                          <w:rPr>
                            <w:sz w:val="15"/>
                          </w:rPr>
                          <w:t>Pendientes de aclarar</w:t>
                        </w:r>
                      </w:p>
                    </w:tc>
                  </w:tr>
                  <w:tr>
                    <w:trPr>
                      <w:trHeight w:val="385" w:hRule="exact"/>
                    </w:trPr>
                    <w:tc>
                      <w:tcPr>
                        <w:tcW w:w="2036" w:type="dxa"/>
                      </w:tcPr>
                      <w:p>
                        <w:pPr>
                          <w:pStyle w:val="TableParagraph"/>
                          <w:spacing w:before="8"/>
                          <w:rPr>
                            <w:sz w:val="16"/>
                          </w:rPr>
                        </w:pPr>
                      </w:p>
                      <w:p>
                        <w:pPr>
                          <w:pStyle w:val="TableParagraph"/>
                          <w:spacing w:before="1"/>
                          <w:ind w:left="22"/>
                          <w:rPr>
                            <w:sz w:val="15"/>
                          </w:rPr>
                        </w:pPr>
                        <w:r>
                          <w:rPr>
                            <w:sz w:val="15"/>
                          </w:rPr>
                          <w:t>Luvianos</w:t>
                        </w:r>
                      </w:p>
                    </w:tc>
                    <w:tc>
                      <w:tcPr>
                        <w:tcW w:w="1426" w:type="dxa"/>
                      </w:tcPr>
                      <w:p>
                        <w:pPr>
                          <w:pStyle w:val="TableParagraph"/>
                          <w:spacing w:before="8"/>
                          <w:rPr>
                            <w:sz w:val="16"/>
                          </w:rPr>
                        </w:pPr>
                      </w:p>
                      <w:p>
                        <w:pPr>
                          <w:pStyle w:val="TableParagraph"/>
                          <w:spacing w:before="1"/>
                          <w:ind w:right="22"/>
                          <w:jc w:val="right"/>
                          <w:rPr>
                            <w:sz w:val="15"/>
                          </w:rPr>
                        </w:pPr>
                        <w:r>
                          <w:rPr>
                            <w:sz w:val="15"/>
                          </w:rPr>
                          <w:t>9,999.7</w:t>
                        </w:r>
                      </w:p>
                    </w:tc>
                    <w:tc>
                      <w:tcPr>
                        <w:tcW w:w="827" w:type="dxa"/>
                      </w:tcPr>
                      <w:p>
                        <w:pPr/>
                      </w:p>
                    </w:tc>
                    <w:tc>
                      <w:tcPr>
                        <w:tcW w:w="3933" w:type="dxa"/>
                      </w:tcPr>
                      <w:p>
                        <w:pPr>
                          <w:pStyle w:val="TableParagraph"/>
                          <w:spacing w:line="266" w:lineRule="auto"/>
                          <w:ind w:left="22"/>
                          <w:rPr>
                            <w:sz w:val="15"/>
                          </w:rPr>
                        </w:pPr>
                        <w:r>
                          <w:rPr>
                            <w:sz w:val="15"/>
                          </w:rPr>
                          <w:t>Recursos federales aplicados en rubros o programas no contemplados en a Ley de Coordinación  Fiscal</w:t>
                        </w:r>
                      </w:p>
                    </w:tc>
                  </w:tr>
                  <w:tr>
                    <w:trPr>
                      <w:trHeight w:val="192" w:hRule="exact"/>
                    </w:trPr>
                    <w:tc>
                      <w:tcPr>
                        <w:tcW w:w="2036" w:type="dxa"/>
                        <w:vMerge w:val="restart"/>
                      </w:tcPr>
                      <w:p>
                        <w:pPr>
                          <w:pStyle w:val="TableParagraph"/>
                          <w:spacing w:before="8"/>
                          <w:rPr>
                            <w:sz w:val="16"/>
                          </w:rPr>
                        </w:pPr>
                      </w:p>
                      <w:p>
                        <w:pPr>
                          <w:pStyle w:val="TableParagraph"/>
                          <w:spacing w:before="1"/>
                          <w:ind w:left="22"/>
                          <w:rPr>
                            <w:sz w:val="15"/>
                          </w:rPr>
                        </w:pPr>
                        <w:r>
                          <w:rPr>
                            <w:sz w:val="15"/>
                          </w:rPr>
                          <w:t>Nezahualcóyotl</w:t>
                        </w:r>
                      </w:p>
                    </w:tc>
                    <w:tc>
                      <w:tcPr>
                        <w:tcW w:w="1426" w:type="dxa"/>
                        <w:vMerge w:val="restart"/>
                      </w:tcPr>
                      <w:p>
                        <w:pPr>
                          <w:pStyle w:val="TableParagraph"/>
                          <w:spacing w:before="8"/>
                          <w:rPr>
                            <w:sz w:val="16"/>
                          </w:rPr>
                        </w:pPr>
                      </w:p>
                      <w:p>
                        <w:pPr>
                          <w:pStyle w:val="TableParagraph"/>
                          <w:spacing w:before="1"/>
                          <w:ind w:right="21"/>
                          <w:jc w:val="right"/>
                          <w:rPr>
                            <w:sz w:val="15"/>
                          </w:rPr>
                        </w:pPr>
                        <w:r>
                          <w:rPr>
                            <w:sz w:val="15"/>
                          </w:rPr>
                          <w:t>117.3</w:t>
                        </w:r>
                      </w:p>
                    </w:tc>
                    <w:tc>
                      <w:tcPr>
                        <w:tcW w:w="827" w:type="dxa"/>
                      </w:tcPr>
                      <w:p>
                        <w:pPr>
                          <w:pStyle w:val="TableParagraph"/>
                          <w:spacing w:line="172" w:lineRule="exact"/>
                          <w:ind w:right="20"/>
                          <w:jc w:val="right"/>
                          <w:rPr>
                            <w:sz w:val="15"/>
                          </w:rPr>
                        </w:pPr>
                        <w:r>
                          <w:rPr>
                            <w:sz w:val="15"/>
                          </w:rPr>
                          <w:t>9.2</w:t>
                        </w:r>
                      </w:p>
                    </w:tc>
                    <w:tc>
                      <w:tcPr>
                        <w:tcW w:w="3933" w:type="dxa"/>
                      </w:tcPr>
                      <w:p>
                        <w:pPr>
                          <w:pStyle w:val="TableParagraph"/>
                          <w:spacing w:line="172" w:lineRule="exact"/>
                          <w:ind w:left="22"/>
                          <w:rPr>
                            <w:sz w:val="15"/>
                          </w:rPr>
                        </w:pPr>
                        <w:r>
                          <w:rPr>
                            <w:sz w:val="15"/>
                          </w:rPr>
                          <w:t>Conceptos pagados no ejecutados</w:t>
                        </w:r>
                      </w:p>
                    </w:tc>
                  </w:tr>
                  <w:tr>
                    <w:trPr>
                      <w:trHeight w:val="193" w:hRule="exact"/>
                    </w:trPr>
                    <w:tc>
                      <w:tcPr>
                        <w:tcW w:w="2036" w:type="dxa"/>
                        <w:vMerge/>
                      </w:tcPr>
                      <w:p>
                        <w:pPr/>
                      </w:p>
                    </w:tc>
                    <w:tc>
                      <w:tcPr>
                        <w:tcW w:w="1426" w:type="dxa"/>
                        <w:vMerge/>
                      </w:tcPr>
                      <w:p>
                        <w:pPr/>
                      </w:p>
                    </w:tc>
                    <w:tc>
                      <w:tcPr>
                        <w:tcW w:w="827" w:type="dxa"/>
                      </w:tcPr>
                      <w:p>
                        <w:pPr>
                          <w:pStyle w:val="TableParagraph"/>
                          <w:spacing w:before="1"/>
                          <w:ind w:right="21"/>
                          <w:jc w:val="right"/>
                          <w:rPr>
                            <w:sz w:val="15"/>
                          </w:rPr>
                        </w:pPr>
                        <w:r>
                          <w:rPr>
                            <w:sz w:val="15"/>
                          </w:rPr>
                          <w:t>108.1</w:t>
                        </w:r>
                      </w:p>
                    </w:tc>
                    <w:tc>
                      <w:tcPr>
                        <w:tcW w:w="3933" w:type="dxa"/>
                      </w:tcPr>
                      <w:p>
                        <w:pPr>
                          <w:pStyle w:val="TableParagraph"/>
                          <w:spacing w:before="1"/>
                          <w:ind w:left="22"/>
                          <w:rPr>
                            <w:sz w:val="15"/>
                          </w:rPr>
                        </w:pPr>
                        <w:r>
                          <w:rPr>
                            <w:sz w:val="15"/>
                          </w:rPr>
                          <w:t>Pagos excesivos</w:t>
                        </w:r>
                      </w:p>
                    </w:tc>
                  </w:tr>
                  <w:tr>
                    <w:trPr>
                      <w:trHeight w:val="192" w:hRule="exact"/>
                    </w:trPr>
                    <w:tc>
                      <w:tcPr>
                        <w:tcW w:w="2036" w:type="dxa"/>
                        <w:vMerge w:val="restart"/>
                      </w:tcPr>
                      <w:p>
                        <w:pPr>
                          <w:pStyle w:val="TableParagraph"/>
                          <w:spacing w:before="95"/>
                          <w:ind w:left="22"/>
                          <w:rPr>
                            <w:sz w:val="15"/>
                          </w:rPr>
                        </w:pPr>
                        <w:r>
                          <w:rPr>
                            <w:sz w:val="15"/>
                          </w:rPr>
                          <w:t>Nicolas Romero</w:t>
                        </w:r>
                      </w:p>
                    </w:tc>
                    <w:tc>
                      <w:tcPr>
                        <w:tcW w:w="1426" w:type="dxa"/>
                        <w:vMerge w:val="restart"/>
                      </w:tcPr>
                      <w:p>
                        <w:pPr>
                          <w:pStyle w:val="TableParagraph"/>
                          <w:spacing w:before="95"/>
                          <w:ind w:left="883"/>
                          <w:rPr>
                            <w:sz w:val="15"/>
                          </w:rPr>
                        </w:pPr>
                        <w:r>
                          <w:rPr>
                            <w:sz w:val="15"/>
                          </w:rPr>
                          <w:t>3,390.3</w:t>
                        </w:r>
                      </w:p>
                    </w:tc>
                    <w:tc>
                      <w:tcPr>
                        <w:tcW w:w="827" w:type="dxa"/>
                      </w:tcPr>
                      <w:p>
                        <w:pPr>
                          <w:pStyle w:val="TableParagraph"/>
                          <w:spacing w:line="172" w:lineRule="exact"/>
                          <w:ind w:right="22"/>
                          <w:jc w:val="right"/>
                          <w:rPr>
                            <w:sz w:val="15"/>
                          </w:rPr>
                        </w:pPr>
                        <w:r>
                          <w:rPr>
                            <w:sz w:val="15"/>
                          </w:rPr>
                          <w:t>30.0</w:t>
                        </w:r>
                      </w:p>
                    </w:tc>
                    <w:tc>
                      <w:tcPr>
                        <w:tcW w:w="3933" w:type="dxa"/>
                      </w:tcPr>
                      <w:p>
                        <w:pPr>
                          <w:pStyle w:val="TableParagraph"/>
                          <w:spacing w:line="172" w:lineRule="exact"/>
                          <w:ind w:left="22"/>
                          <w:rPr>
                            <w:sz w:val="15"/>
                          </w:rPr>
                        </w:pPr>
                        <w:r>
                          <w:rPr>
                            <w:sz w:val="15"/>
                          </w:rPr>
                          <w:t>Transferencias de recursos a otras cuentas del  Municipio</w:t>
                        </w:r>
                      </w:p>
                    </w:tc>
                  </w:tr>
                  <w:tr>
                    <w:trPr>
                      <w:trHeight w:val="192" w:hRule="exact"/>
                    </w:trPr>
                    <w:tc>
                      <w:tcPr>
                        <w:tcW w:w="2036" w:type="dxa"/>
                        <w:vMerge/>
                      </w:tcPr>
                      <w:p>
                        <w:pPr/>
                      </w:p>
                    </w:tc>
                    <w:tc>
                      <w:tcPr>
                        <w:tcW w:w="1426" w:type="dxa"/>
                        <w:vMerge/>
                      </w:tcPr>
                      <w:p>
                        <w:pPr/>
                      </w:p>
                    </w:tc>
                    <w:tc>
                      <w:tcPr>
                        <w:tcW w:w="827" w:type="dxa"/>
                      </w:tcPr>
                      <w:p>
                        <w:pPr>
                          <w:pStyle w:val="TableParagraph"/>
                          <w:spacing w:before="1"/>
                          <w:ind w:right="22"/>
                          <w:jc w:val="right"/>
                          <w:rPr>
                            <w:sz w:val="15"/>
                          </w:rPr>
                        </w:pPr>
                        <w:r>
                          <w:rPr>
                            <w:sz w:val="15"/>
                          </w:rPr>
                          <w:t>3,360.3</w:t>
                        </w:r>
                      </w:p>
                    </w:tc>
                    <w:tc>
                      <w:tcPr>
                        <w:tcW w:w="3933" w:type="dxa"/>
                      </w:tcPr>
                      <w:p>
                        <w:pPr>
                          <w:pStyle w:val="TableParagraph"/>
                          <w:spacing w:before="1"/>
                          <w:ind w:left="22"/>
                          <w:rPr>
                            <w:sz w:val="15"/>
                          </w:rPr>
                        </w:pPr>
                        <w:r>
                          <w:rPr>
                            <w:sz w:val="15"/>
                          </w:rPr>
                          <w:t>Pendientes de aclarar</w:t>
                        </w:r>
                      </w:p>
                    </w:tc>
                  </w:tr>
                  <w:tr>
                    <w:trPr>
                      <w:trHeight w:val="385" w:hRule="exact"/>
                    </w:trPr>
                    <w:tc>
                      <w:tcPr>
                        <w:tcW w:w="2036" w:type="dxa"/>
                      </w:tcPr>
                      <w:p>
                        <w:pPr>
                          <w:pStyle w:val="TableParagraph"/>
                          <w:spacing w:before="8"/>
                          <w:rPr>
                            <w:sz w:val="16"/>
                          </w:rPr>
                        </w:pPr>
                      </w:p>
                      <w:p>
                        <w:pPr>
                          <w:pStyle w:val="TableParagraph"/>
                          <w:spacing w:before="1"/>
                          <w:ind w:left="22"/>
                          <w:rPr>
                            <w:sz w:val="15"/>
                          </w:rPr>
                        </w:pPr>
                        <w:r>
                          <w:rPr>
                            <w:sz w:val="15"/>
                          </w:rPr>
                          <w:t>San Felipe del Progreso</w:t>
                        </w:r>
                      </w:p>
                    </w:tc>
                    <w:tc>
                      <w:tcPr>
                        <w:tcW w:w="1426" w:type="dxa"/>
                      </w:tcPr>
                      <w:p>
                        <w:pPr>
                          <w:pStyle w:val="TableParagraph"/>
                          <w:spacing w:before="8"/>
                          <w:rPr>
                            <w:sz w:val="16"/>
                          </w:rPr>
                        </w:pPr>
                      </w:p>
                      <w:p>
                        <w:pPr>
                          <w:pStyle w:val="TableParagraph"/>
                          <w:spacing w:before="1"/>
                          <w:ind w:right="21"/>
                          <w:jc w:val="right"/>
                          <w:rPr>
                            <w:sz w:val="15"/>
                          </w:rPr>
                        </w:pPr>
                        <w:r>
                          <w:rPr>
                            <w:sz w:val="15"/>
                          </w:rPr>
                          <w:t>229.6</w:t>
                        </w:r>
                      </w:p>
                    </w:tc>
                    <w:tc>
                      <w:tcPr>
                        <w:tcW w:w="827" w:type="dxa"/>
                      </w:tcPr>
                      <w:p>
                        <w:pPr/>
                      </w:p>
                    </w:tc>
                    <w:tc>
                      <w:tcPr>
                        <w:tcW w:w="3933" w:type="dxa"/>
                      </w:tcPr>
                      <w:p>
                        <w:pPr>
                          <w:pStyle w:val="TableParagraph"/>
                          <w:spacing w:line="266" w:lineRule="auto"/>
                          <w:ind w:left="22"/>
                          <w:rPr>
                            <w:sz w:val="15"/>
                          </w:rPr>
                        </w:pPr>
                        <w:r>
                          <w:rPr>
                            <w:sz w:val="15"/>
                          </w:rPr>
                          <w:t>Recursos federales aplicados en rubros o programas no contemplados en a Ley de Coordinación  Fiscal</w:t>
                        </w:r>
                      </w:p>
                    </w:tc>
                  </w:tr>
                  <w:tr>
                    <w:trPr>
                      <w:trHeight w:val="193" w:hRule="exact"/>
                    </w:trPr>
                    <w:tc>
                      <w:tcPr>
                        <w:tcW w:w="2036" w:type="dxa"/>
                        <w:vMerge w:val="restart"/>
                      </w:tcPr>
                      <w:p>
                        <w:pPr>
                          <w:pStyle w:val="TableParagraph"/>
                          <w:spacing w:before="83"/>
                          <w:ind w:left="22"/>
                          <w:rPr>
                            <w:sz w:val="15"/>
                          </w:rPr>
                        </w:pPr>
                        <w:r>
                          <w:rPr>
                            <w:sz w:val="15"/>
                          </w:rPr>
                          <w:t>San José del Rincón</w:t>
                        </w:r>
                      </w:p>
                    </w:tc>
                    <w:tc>
                      <w:tcPr>
                        <w:tcW w:w="1426" w:type="dxa"/>
                        <w:vMerge w:val="restart"/>
                      </w:tcPr>
                      <w:p>
                        <w:pPr>
                          <w:pStyle w:val="TableParagraph"/>
                          <w:spacing w:before="83"/>
                          <w:ind w:left="883"/>
                          <w:rPr>
                            <w:sz w:val="15"/>
                          </w:rPr>
                        </w:pPr>
                        <w:r>
                          <w:rPr>
                            <w:sz w:val="15"/>
                          </w:rPr>
                          <w:t>7,199.3</w:t>
                        </w:r>
                      </w:p>
                    </w:tc>
                    <w:tc>
                      <w:tcPr>
                        <w:tcW w:w="827" w:type="dxa"/>
                      </w:tcPr>
                      <w:p>
                        <w:pPr>
                          <w:pStyle w:val="TableParagraph"/>
                          <w:ind w:right="22"/>
                          <w:jc w:val="right"/>
                          <w:rPr>
                            <w:sz w:val="15"/>
                          </w:rPr>
                        </w:pPr>
                        <w:r>
                          <w:rPr>
                            <w:sz w:val="15"/>
                          </w:rPr>
                          <w:t>2,523.9</w:t>
                        </w:r>
                      </w:p>
                    </w:tc>
                    <w:tc>
                      <w:tcPr>
                        <w:tcW w:w="3933" w:type="dxa"/>
                        <w:tcBorders>
                          <w:right w:val="nil"/>
                        </w:tcBorders>
                      </w:tcPr>
                      <w:p>
                        <w:pPr>
                          <w:pStyle w:val="TableParagraph"/>
                          <w:ind w:left="22"/>
                          <w:rPr>
                            <w:sz w:val="15"/>
                          </w:rPr>
                        </w:pPr>
                        <w:r>
                          <w:rPr>
                            <w:sz w:val="15"/>
                          </w:rPr>
                          <w:t>Proyectos no relacionados con el rubro de gastos  indirect</w:t>
                        </w:r>
                      </w:p>
                    </w:tc>
                  </w:tr>
                  <w:tr>
                    <w:trPr>
                      <w:trHeight w:val="165" w:hRule="exact"/>
                    </w:trPr>
                    <w:tc>
                      <w:tcPr>
                        <w:tcW w:w="2036" w:type="dxa"/>
                        <w:vMerge/>
                      </w:tcPr>
                      <w:p>
                        <w:pPr/>
                      </w:p>
                    </w:tc>
                    <w:tc>
                      <w:tcPr>
                        <w:tcW w:w="1426" w:type="dxa"/>
                        <w:vMerge/>
                      </w:tcPr>
                      <w:p>
                        <w:pPr/>
                      </w:p>
                    </w:tc>
                    <w:tc>
                      <w:tcPr>
                        <w:tcW w:w="827" w:type="dxa"/>
                      </w:tcPr>
                      <w:p>
                        <w:pPr>
                          <w:pStyle w:val="TableParagraph"/>
                          <w:spacing w:line="145" w:lineRule="exact"/>
                          <w:ind w:right="22"/>
                          <w:jc w:val="right"/>
                          <w:rPr>
                            <w:sz w:val="15"/>
                          </w:rPr>
                        </w:pPr>
                        <w:r>
                          <w:rPr>
                            <w:sz w:val="15"/>
                          </w:rPr>
                          <w:t>4,675.4</w:t>
                        </w:r>
                      </w:p>
                    </w:tc>
                    <w:tc>
                      <w:tcPr>
                        <w:tcW w:w="3933" w:type="dxa"/>
                      </w:tcPr>
                      <w:p>
                        <w:pPr>
                          <w:pStyle w:val="TableParagraph"/>
                          <w:spacing w:line="145" w:lineRule="exact"/>
                          <w:ind w:left="22"/>
                          <w:rPr>
                            <w:sz w:val="15"/>
                          </w:rPr>
                        </w:pPr>
                        <w:r>
                          <w:rPr>
                            <w:sz w:val="15"/>
                          </w:rPr>
                          <w:t>Pendientes de aclarar</w:t>
                        </w:r>
                      </w:p>
                    </w:tc>
                  </w:tr>
                  <w:tr>
                    <w:trPr>
                      <w:trHeight w:val="577" w:hRule="exact"/>
                    </w:trPr>
                    <w:tc>
                      <w:tcPr>
                        <w:tcW w:w="2036" w:type="dxa"/>
                      </w:tcPr>
                      <w:p>
                        <w:pPr>
                          <w:pStyle w:val="TableParagraph"/>
                          <w:rPr>
                            <w:sz w:val="14"/>
                          </w:rPr>
                        </w:pPr>
                      </w:p>
                      <w:p>
                        <w:pPr>
                          <w:pStyle w:val="TableParagraph"/>
                          <w:spacing w:before="5"/>
                          <w:rPr>
                            <w:sz w:val="19"/>
                          </w:rPr>
                        </w:pPr>
                      </w:p>
                      <w:p>
                        <w:pPr>
                          <w:pStyle w:val="TableParagraph"/>
                          <w:ind w:left="22"/>
                          <w:rPr>
                            <w:sz w:val="15"/>
                          </w:rPr>
                        </w:pPr>
                        <w:r>
                          <w:rPr>
                            <w:sz w:val="15"/>
                          </w:rPr>
                          <w:t>Temascaltepec</w:t>
                        </w:r>
                      </w:p>
                    </w:tc>
                    <w:tc>
                      <w:tcPr>
                        <w:tcW w:w="1426" w:type="dxa"/>
                      </w:tcPr>
                      <w:p>
                        <w:pPr>
                          <w:pStyle w:val="TableParagraph"/>
                          <w:rPr>
                            <w:sz w:val="14"/>
                          </w:rPr>
                        </w:pPr>
                      </w:p>
                      <w:p>
                        <w:pPr>
                          <w:pStyle w:val="TableParagraph"/>
                          <w:spacing w:before="5"/>
                          <w:rPr>
                            <w:sz w:val="19"/>
                          </w:rPr>
                        </w:pPr>
                      </w:p>
                      <w:p>
                        <w:pPr>
                          <w:pStyle w:val="TableParagraph"/>
                          <w:ind w:right="21"/>
                          <w:jc w:val="right"/>
                          <w:rPr>
                            <w:sz w:val="15"/>
                          </w:rPr>
                        </w:pPr>
                        <w:r>
                          <w:rPr>
                            <w:sz w:val="15"/>
                          </w:rPr>
                          <w:t>800.0</w:t>
                        </w:r>
                      </w:p>
                    </w:tc>
                    <w:tc>
                      <w:tcPr>
                        <w:tcW w:w="827" w:type="dxa"/>
                      </w:tcPr>
                      <w:p>
                        <w:pPr/>
                      </w:p>
                    </w:tc>
                    <w:tc>
                      <w:tcPr>
                        <w:tcW w:w="3933" w:type="dxa"/>
                      </w:tcPr>
                      <w:p>
                        <w:pPr>
                          <w:pStyle w:val="TableParagraph"/>
                          <w:spacing w:line="268" w:lineRule="auto"/>
                          <w:ind w:left="21" w:right="84" w:firstLine="1"/>
                          <w:rPr>
                            <w:sz w:val="15"/>
                          </w:rPr>
                        </w:pPr>
                        <w:r>
                          <w:rPr>
                            <w:sz w:val="15"/>
                          </w:rPr>
                          <w:t>Recursos federales aplicados en rubros o programas no contemplados en a Ley de Coordinación Fiscal(compra de fertilizantes)</w:t>
                        </w:r>
                      </w:p>
                    </w:tc>
                  </w:tr>
                  <w:tr>
                    <w:trPr>
                      <w:trHeight w:val="577" w:hRule="exact"/>
                    </w:trPr>
                    <w:tc>
                      <w:tcPr>
                        <w:tcW w:w="2036" w:type="dxa"/>
                        <w:vMerge w:val="restart"/>
                      </w:tcPr>
                      <w:p>
                        <w:pPr>
                          <w:pStyle w:val="TableParagraph"/>
                          <w:rPr>
                            <w:sz w:val="14"/>
                          </w:rPr>
                        </w:pPr>
                      </w:p>
                      <w:p>
                        <w:pPr>
                          <w:pStyle w:val="TableParagraph"/>
                          <w:rPr>
                            <w:sz w:val="14"/>
                          </w:rPr>
                        </w:pPr>
                      </w:p>
                      <w:p>
                        <w:pPr>
                          <w:pStyle w:val="TableParagraph"/>
                          <w:spacing w:before="9"/>
                          <w:rPr>
                            <w:sz w:val="13"/>
                          </w:rPr>
                        </w:pPr>
                      </w:p>
                      <w:p>
                        <w:pPr>
                          <w:pStyle w:val="TableParagraph"/>
                          <w:ind w:left="22"/>
                          <w:rPr>
                            <w:sz w:val="15"/>
                          </w:rPr>
                        </w:pPr>
                        <w:r>
                          <w:rPr>
                            <w:sz w:val="15"/>
                          </w:rPr>
                          <w:t>Temoaya</w:t>
                        </w:r>
                      </w:p>
                    </w:tc>
                    <w:tc>
                      <w:tcPr>
                        <w:tcW w:w="1426" w:type="dxa"/>
                        <w:vMerge w:val="restart"/>
                      </w:tcPr>
                      <w:p>
                        <w:pPr>
                          <w:pStyle w:val="TableParagraph"/>
                          <w:rPr>
                            <w:sz w:val="14"/>
                          </w:rPr>
                        </w:pPr>
                      </w:p>
                      <w:p>
                        <w:pPr>
                          <w:pStyle w:val="TableParagraph"/>
                          <w:rPr>
                            <w:sz w:val="14"/>
                          </w:rPr>
                        </w:pPr>
                      </w:p>
                      <w:p>
                        <w:pPr>
                          <w:pStyle w:val="TableParagraph"/>
                          <w:spacing w:before="9"/>
                          <w:rPr>
                            <w:sz w:val="13"/>
                          </w:rPr>
                        </w:pPr>
                      </w:p>
                      <w:p>
                        <w:pPr>
                          <w:pStyle w:val="TableParagraph"/>
                          <w:ind w:left="883"/>
                          <w:rPr>
                            <w:sz w:val="15"/>
                          </w:rPr>
                        </w:pPr>
                        <w:r>
                          <w:rPr>
                            <w:sz w:val="15"/>
                          </w:rPr>
                          <w:t>2,254.7</w:t>
                        </w:r>
                      </w:p>
                    </w:tc>
                    <w:tc>
                      <w:tcPr>
                        <w:tcW w:w="827" w:type="dxa"/>
                      </w:tcPr>
                      <w:p>
                        <w:pPr>
                          <w:pStyle w:val="TableParagraph"/>
                          <w:rPr>
                            <w:sz w:val="14"/>
                          </w:rPr>
                        </w:pPr>
                      </w:p>
                      <w:p>
                        <w:pPr>
                          <w:pStyle w:val="TableParagraph"/>
                          <w:spacing w:before="5"/>
                          <w:rPr>
                            <w:sz w:val="19"/>
                          </w:rPr>
                        </w:pPr>
                      </w:p>
                      <w:p>
                        <w:pPr>
                          <w:pStyle w:val="TableParagraph"/>
                          <w:ind w:right="21"/>
                          <w:jc w:val="right"/>
                          <w:rPr>
                            <w:sz w:val="15"/>
                          </w:rPr>
                        </w:pPr>
                        <w:r>
                          <w:rPr>
                            <w:sz w:val="15"/>
                          </w:rPr>
                          <w:t>699.2</w:t>
                        </w:r>
                      </w:p>
                    </w:tc>
                    <w:tc>
                      <w:tcPr>
                        <w:tcW w:w="3933" w:type="dxa"/>
                      </w:tcPr>
                      <w:p>
                        <w:pPr>
                          <w:pStyle w:val="TableParagraph"/>
                          <w:spacing w:line="266" w:lineRule="auto" w:before="1"/>
                          <w:ind w:left="21" w:right="393" w:firstLine="1"/>
                          <w:jc w:val="both"/>
                          <w:rPr>
                            <w:sz w:val="15"/>
                          </w:rPr>
                        </w:pPr>
                        <w:r>
                          <w:rPr>
                            <w:sz w:val="15"/>
                          </w:rPr>
                          <w:t>Obras y acciones ejecutadas que no beneficiaron a sectores en condiciones de rezago social y pobreza extrema</w:t>
                        </w:r>
                      </w:p>
                    </w:tc>
                  </w:tr>
                  <w:tr>
                    <w:trPr>
                      <w:trHeight w:val="385" w:hRule="exact"/>
                    </w:trPr>
                    <w:tc>
                      <w:tcPr>
                        <w:tcW w:w="2036" w:type="dxa"/>
                        <w:vMerge/>
                      </w:tcPr>
                      <w:p>
                        <w:pPr/>
                      </w:p>
                    </w:tc>
                    <w:tc>
                      <w:tcPr>
                        <w:tcW w:w="1426" w:type="dxa"/>
                        <w:vMerge/>
                      </w:tcPr>
                      <w:p>
                        <w:pPr/>
                      </w:p>
                    </w:tc>
                    <w:tc>
                      <w:tcPr>
                        <w:tcW w:w="827" w:type="dxa"/>
                      </w:tcPr>
                      <w:p>
                        <w:pPr>
                          <w:pStyle w:val="TableParagraph"/>
                          <w:spacing w:before="8"/>
                          <w:rPr>
                            <w:sz w:val="16"/>
                          </w:rPr>
                        </w:pPr>
                      </w:p>
                      <w:p>
                        <w:pPr>
                          <w:pStyle w:val="TableParagraph"/>
                          <w:spacing w:before="1"/>
                          <w:ind w:right="21"/>
                          <w:jc w:val="right"/>
                          <w:rPr>
                            <w:sz w:val="15"/>
                          </w:rPr>
                        </w:pPr>
                        <w:r>
                          <w:rPr>
                            <w:sz w:val="15"/>
                          </w:rPr>
                          <w:t>899.9</w:t>
                        </w:r>
                      </w:p>
                    </w:tc>
                    <w:tc>
                      <w:tcPr>
                        <w:tcW w:w="3933" w:type="dxa"/>
                      </w:tcPr>
                      <w:p>
                        <w:pPr>
                          <w:pStyle w:val="TableParagraph"/>
                          <w:spacing w:line="266" w:lineRule="auto"/>
                          <w:ind w:left="22"/>
                          <w:rPr>
                            <w:sz w:val="15"/>
                          </w:rPr>
                        </w:pPr>
                        <w:r>
                          <w:rPr>
                            <w:sz w:val="15"/>
                          </w:rPr>
                          <w:t>Recursos federales aplicados en rubros o programas no contemplados en a Ley de Coordinación  Fiscal</w:t>
                        </w:r>
                      </w:p>
                    </w:tc>
                  </w:tr>
                  <w:tr>
                    <w:trPr>
                      <w:trHeight w:val="192" w:hRule="exact"/>
                    </w:trPr>
                    <w:tc>
                      <w:tcPr>
                        <w:tcW w:w="2036" w:type="dxa"/>
                        <w:vMerge/>
                      </w:tcPr>
                      <w:p>
                        <w:pPr/>
                      </w:p>
                    </w:tc>
                    <w:tc>
                      <w:tcPr>
                        <w:tcW w:w="1426" w:type="dxa"/>
                        <w:vMerge/>
                      </w:tcPr>
                      <w:p>
                        <w:pPr/>
                      </w:p>
                    </w:tc>
                    <w:tc>
                      <w:tcPr>
                        <w:tcW w:w="827" w:type="dxa"/>
                      </w:tcPr>
                      <w:p>
                        <w:pPr>
                          <w:pStyle w:val="TableParagraph"/>
                          <w:ind w:right="21"/>
                          <w:jc w:val="right"/>
                          <w:rPr>
                            <w:sz w:val="15"/>
                          </w:rPr>
                        </w:pPr>
                        <w:r>
                          <w:rPr>
                            <w:sz w:val="15"/>
                          </w:rPr>
                          <w:t>523.5</w:t>
                        </w:r>
                      </w:p>
                    </w:tc>
                    <w:tc>
                      <w:tcPr>
                        <w:tcW w:w="3933" w:type="dxa"/>
                      </w:tcPr>
                      <w:p>
                        <w:pPr>
                          <w:pStyle w:val="TableParagraph"/>
                          <w:ind w:left="22"/>
                          <w:rPr>
                            <w:sz w:val="15"/>
                          </w:rPr>
                        </w:pPr>
                        <w:r>
                          <w:rPr>
                            <w:sz w:val="15"/>
                          </w:rPr>
                          <w:t>Pendientes de aclarar</w:t>
                        </w:r>
                      </w:p>
                    </w:tc>
                  </w:tr>
                  <w:tr>
                    <w:trPr>
                      <w:trHeight w:val="578" w:hRule="exact"/>
                    </w:trPr>
                    <w:tc>
                      <w:tcPr>
                        <w:tcW w:w="2036" w:type="dxa"/>
                        <w:vMerge w:val="restart"/>
                      </w:tcPr>
                      <w:p>
                        <w:pPr>
                          <w:pStyle w:val="TableParagraph"/>
                          <w:rPr>
                            <w:sz w:val="14"/>
                          </w:rPr>
                        </w:pPr>
                      </w:p>
                      <w:p>
                        <w:pPr>
                          <w:pStyle w:val="TableParagraph"/>
                          <w:rPr>
                            <w:sz w:val="11"/>
                          </w:rPr>
                        </w:pPr>
                      </w:p>
                      <w:p>
                        <w:pPr>
                          <w:pStyle w:val="TableParagraph"/>
                          <w:spacing w:before="1"/>
                          <w:ind w:left="22"/>
                          <w:rPr>
                            <w:sz w:val="15"/>
                          </w:rPr>
                        </w:pPr>
                        <w:r>
                          <w:rPr>
                            <w:sz w:val="15"/>
                          </w:rPr>
                          <w:t>Tlalnepantla de Baz</w:t>
                        </w:r>
                      </w:p>
                    </w:tc>
                    <w:tc>
                      <w:tcPr>
                        <w:tcW w:w="1426" w:type="dxa"/>
                        <w:vMerge w:val="restart"/>
                      </w:tcPr>
                      <w:p>
                        <w:pPr>
                          <w:pStyle w:val="TableParagraph"/>
                          <w:rPr>
                            <w:sz w:val="14"/>
                          </w:rPr>
                        </w:pPr>
                      </w:p>
                      <w:p>
                        <w:pPr>
                          <w:pStyle w:val="TableParagraph"/>
                          <w:rPr>
                            <w:sz w:val="11"/>
                          </w:rPr>
                        </w:pPr>
                      </w:p>
                      <w:p>
                        <w:pPr>
                          <w:pStyle w:val="TableParagraph"/>
                          <w:spacing w:before="1"/>
                          <w:ind w:left="797"/>
                          <w:rPr>
                            <w:sz w:val="15"/>
                          </w:rPr>
                        </w:pPr>
                        <w:r>
                          <w:rPr>
                            <w:sz w:val="15"/>
                          </w:rPr>
                          <w:t>26,188.2</w:t>
                        </w:r>
                      </w:p>
                    </w:tc>
                    <w:tc>
                      <w:tcPr>
                        <w:tcW w:w="827" w:type="dxa"/>
                      </w:tcPr>
                      <w:p>
                        <w:pPr>
                          <w:pStyle w:val="TableParagraph"/>
                          <w:rPr>
                            <w:sz w:val="14"/>
                          </w:rPr>
                        </w:pPr>
                      </w:p>
                      <w:p>
                        <w:pPr>
                          <w:pStyle w:val="TableParagraph"/>
                          <w:spacing w:before="6"/>
                          <w:rPr>
                            <w:sz w:val="19"/>
                          </w:rPr>
                        </w:pPr>
                      </w:p>
                      <w:p>
                        <w:pPr>
                          <w:pStyle w:val="TableParagraph"/>
                          <w:ind w:right="22"/>
                          <w:jc w:val="right"/>
                          <w:rPr>
                            <w:sz w:val="15"/>
                          </w:rPr>
                        </w:pPr>
                        <w:r>
                          <w:rPr>
                            <w:sz w:val="15"/>
                          </w:rPr>
                          <w:t>8,987.8</w:t>
                        </w:r>
                      </w:p>
                    </w:tc>
                    <w:tc>
                      <w:tcPr>
                        <w:tcW w:w="3933" w:type="dxa"/>
                      </w:tcPr>
                      <w:p>
                        <w:pPr>
                          <w:pStyle w:val="TableParagraph"/>
                          <w:spacing w:line="268" w:lineRule="auto" w:before="1"/>
                          <w:ind w:left="21" w:right="393" w:firstLine="1"/>
                          <w:jc w:val="both"/>
                          <w:rPr>
                            <w:sz w:val="15"/>
                          </w:rPr>
                        </w:pPr>
                        <w:r>
                          <w:rPr>
                            <w:sz w:val="15"/>
                          </w:rPr>
                          <w:t>Obras y acciones ejecutadas que no beneficiaron a sectores en condiciones de rezago social y pobreza extrema</w:t>
                        </w:r>
                      </w:p>
                    </w:tc>
                  </w:tr>
                  <w:tr>
                    <w:trPr>
                      <w:trHeight w:val="192" w:hRule="exact"/>
                    </w:trPr>
                    <w:tc>
                      <w:tcPr>
                        <w:tcW w:w="2036" w:type="dxa"/>
                        <w:vMerge/>
                      </w:tcPr>
                      <w:p>
                        <w:pPr/>
                      </w:p>
                    </w:tc>
                    <w:tc>
                      <w:tcPr>
                        <w:tcW w:w="1426" w:type="dxa"/>
                        <w:vMerge/>
                      </w:tcPr>
                      <w:p>
                        <w:pPr/>
                      </w:p>
                    </w:tc>
                    <w:tc>
                      <w:tcPr>
                        <w:tcW w:w="827" w:type="dxa"/>
                      </w:tcPr>
                      <w:p>
                        <w:pPr>
                          <w:pStyle w:val="TableParagraph"/>
                          <w:spacing w:line="172" w:lineRule="exact"/>
                          <w:ind w:right="22"/>
                          <w:jc w:val="right"/>
                          <w:rPr>
                            <w:sz w:val="15"/>
                          </w:rPr>
                        </w:pPr>
                        <w:r>
                          <w:rPr>
                            <w:sz w:val="15"/>
                          </w:rPr>
                          <w:t>17,200.4</w:t>
                        </w:r>
                      </w:p>
                    </w:tc>
                    <w:tc>
                      <w:tcPr>
                        <w:tcW w:w="3933" w:type="dxa"/>
                      </w:tcPr>
                      <w:p>
                        <w:pPr>
                          <w:pStyle w:val="TableParagraph"/>
                          <w:spacing w:line="172" w:lineRule="exact"/>
                          <w:ind w:left="22"/>
                          <w:rPr>
                            <w:sz w:val="15"/>
                          </w:rPr>
                        </w:pPr>
                        <w:r>
                          <w:rPr>
                            <w:sz w:val="15"/>
                          </w:rPr>
                          <w:t>Pendientes de aclarar</w:t>
                        </w:r>
                      </w:p>
                    </w:tc>
                  </w:tr>
                </w:tbl>
                <w:p>
                  <w:pPr>
                    <w:pStyle w:val="BodyText"/>
                  </w:pPr>
                </w:p>
              </w:txbxContent>
            </v:textbox>
            <w10:wrap type="none"/>
          </v:shape>
        </w:pict>
      </w:r>
      <w:r>
        <w:rPr>
          <w:sz w:val="15"/>
        </w:rPr>
        <w:t>nios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spacing w:before="82"/>
        <w:ind w:left="0" w:right="3006" w:firstLine="0"/>
        <w:jc w:val="right"/>
        <w:rPr>
          <w:sz w:val="15"/>
        </w:rPr>
      </w:pPr>
      <w:r>
        <w:rPr>
          <w:sz w:val="15"/>
        </w:rPr>
        <w:t>os</w:t>
      </w:r>
    </w:p>
    <w:p>
      <w:pPr>
        <w:spacing w:after="0"/>
        <w:jc w:val="right"/>
        <w:rPr>
          <w:sz w:val="15"/>
        </w:rPr>
        <w:sectPr>
          <w:footerReference w:type="default" r:id="rId328"/>
          <w:pgSz w:w="15840" w:h="12240" w:orient="landscape"/>
          <w:pgMar w:footer="932" w:header="0" w:top="1140" w:bottom="1120" w:left="2100" w:right="2260"/>
          <w:pgNumType w:start="29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line="547" w:lineRule="auto" w:before="0"/>
        <w:ind w:left="2521" w:right="3657" w:hanging="1564"/>
        <w:jc w:val="left"/>
        <w:rPr>
          <w:b/>
          <w:sz w:val="15"/>
        </w:rPr>
      </w:pPr>
      <w:r>
        <w:rPr/>
        <w:pict>
          <v:shape style="position:absolute;margin-left:110.320404pt;margin-top:9.259279pt;width:411.3pt;height:.1pt;mso-position-horizontal-relative:page;mso-position-vertical-relative:paragraph;z-index:-671368" coordorigin="2206,185" coordsize="8226,0" path="m2206,185l2206,185,10431,185e" filled="false" stroked="true" strokeweight=".591633pt" strokecolor="#000000">
            <v:path arrowok="t"/>
            <w10:wrap type="none"/>
          </v:shape>
        </w:pict>
      </w:r>
      <w:r>
        <w:rPr/>
        <w:pict>
          <v:shape style="position:absolute;margin-left:110.024612pt;margin-top:28.70118pt;width:412pt;height:289.25pt;mso-position-horizontal-relative:page;mso-position-vertical-relative:paragraph;z-index:11896"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036"/>
                    <w:gridCol w:w="1426"/>
                    <w:gridCol w:w="827"/>
                    <w:gridCol w:w="3933"/>
                  </w:tblGrid>
                  <w:tr>
                    <w:trPr>
                      <w:trHeight w:val="577" w:hRule="exact"/>
                    </w:trPr>
                    <w:tc>
                      <w:tcPr>
                        <w:tcW w:w="2036" w:type="dxa"/>
                        <w:shd w:val="clear" w:color="auto" w:fill="E6B8B7"/>
                      </w:tcPr>
                      <w:p>
                        <w:pPr>
                          <w:pStyle w:val="TableParagraph"/>
                          <w:rPr>
                            <w:b/>
                            <w:sz w:val="14"/>
                          </w:rPr>
                        </w:pPr>
                      </w:p>
                      <w:p>
                        <w:pPr>
                          <w:pStyle w:val="TableParagraph"/>
                          <w:spacing w:before="5"/>
                          <w:rPr>
                            <w:b/>
                            <w:sz w:val="19"/>
                          </w:rPr>
                        </w:pPr>
                      </w:p>
                      <w:p>
                        <w:pPr>
                          <w:pStyle w:val="TableParagraph"/>
                          <w:ind w:left="363"/>
                          <w:rPr>
                            <w:b/>
                            <w:sz w:val="15"/>
                          </w:rPr>
                        </w:pPr>
                        <w:r>
                          <w:rPr>
                            <w:b/>
                            <w:sz w:val="15"/>
                          </w:rPr>
                          <w:t>Entidad Municipal</w:t>
                        </w:r>
                      </w:p>
                    </w:tc>
                    <w:tc>
                      <w:tcPr>
                        <w:tcW w:w="1426" w:type="dxa"/>
                        <w:shd w:val="clear" w:color="auto" w:fill="E6B8B7"/>
                      </w:tcPr>
                      <w:p>
                        <w:pPr>
                          <w:pStyle w:val="TableParagraph"/>
                          <w:spacing w:line="268" w:lineRule="auto"/>
                          <w:ind w:left="114" w:right="101"/>
                          <w:jc w:val="center"/>
                          <w:rPr>
                            <w:b/>
                            <w:sz w:val="15"/>
                          </w:rPr>
                        </w:pPr>
                        <w:r>
                          <w:rPr>
                            <w:b/>
                            <w:sz w:val="15"/>
                          </w:rPr>
                          <w:t>Cuantificación Monetaria de las Observaciones</w:t>
                        </w:r>
                      </w:p>
                    </w:tc>
                    <w:tc>
                      <w:tcPr>
                        <w:tcW w:w="827" w:type="dxa"/>
                        <w:shd w:val="clear" w:color="auto" w:fill="E6B8B7"/>
                      </w:tcPr>
                      <w:p>
                        <w:pPr/>
                      </w:p>
                    </w:tc>
                    <w:tc>
                      <w:tcPr>
                        <w:tcW w:w="3933" w:type="dxa"/>
                        <w:shd w:val="clear" w:color="auto" w:fill="E6B8B7"/>
                      </w:tcPr>
                      <w:p>
                        <w:pPr>
                          <w:pStyle w:val="TableParagraph"/>
                          <w:rPr>
                            <w:b/>
                            <w:sz w:val="14"/>
                          </w:rPr>
                        </w:pPr>
                      </w:p>
                      <w:p>
                        <w:pPr>
                          <w:pStyle w:val="TableParagraph"/>
                          <w:spacing w:before="5"/>
                          <w:rPr>
                            <w:b/>
                            <w:sz w:val="19"/>
                          </w:rPr>
                        </w:pPr>
                      </w:p>
                      <w:p>
                        <w:pPr>
                          <w:pStyle w:val="TableParagraph"/>
                          <w:ind w:left="1597" w:right="1591"/>
                          <w:jc w:val="center"/>
                          <w:rPr>
                            <w:b/>
                            <w:sz w:val="15"/>
                          </w:rPr>
                        </w:pPr>
                        <w:r>
                          <w:rPr>
                            <w:b/>
                            <w:sz w:val="15"/>
                          </w:rPr>
                          <w:t>Concepto</w:t>
                        </w:r>
                      </w:p>
                    </w:tc>
                  </w:tr>
                  <w:tr>
                    <w:trPr>
                      <w:trHeight w:val="385" w:hRule="exact"/>
                    </w:trPr>
                    <w:tc>
                      <w:tcPr>
                        <w:tcW w:w="2036" w:type="dxa"/>
                        <w:vMerge w:val="restart"/>
                      </w:tcPr>
                      <w:p>
                        <w:pPr>
                          <w:pStyle w:val="TableParagraph"/>
                          <w:rPr>
                            <w:b/>
                            <w:sz w:val="14"/>
                          </w:rPr>
                        </w:pPr>
                      </w:p>
                      <w:p>
                        <w:pPr>
                          <w:pStyle w:val="TableParagraph"/>
                          <w:rPr>
                            <w:b/>
                            <w:sz w:val="11"/>
                          </w:rPr>
                        </w:pPr>
                      </w:p>
                      <w:p>
                        <w:pPr>
                          <w:pStyle w:val="TableParagraph"/>
                          <w:ind w:left="22"/>
                          <w:rPr>
                            <w:sz w:val="15"/>
                          </w:rPr>
                        </w:pPr>
                        <w:r>
                          <w:rPr>
                            <w:sz w:val="15"/>
                          </w:rPr>
                          <w:t>Toluca</w:t>
                        </w:r>
                      </w:p>
                    </w:tc>
                    <w:tc>
                      <w:tcPr>
                        <w:tcW w:w="1426" w:type="dxa"/>
                        <w:vMerge w:val="restart"/>
                      </w:tcPr>
                      <w:p>
                        <w:pPr>
                          <w:pStyle w:val="TableParagraph"/>
                          <w:rPr>
                            <w:b/>
                            <w:sz w:val="14"/>
                          </w:rPr>
                        </w:pPr>
                      </w:p>
                      <w:p>
                        <w:pPr>
                          <w:pStyle w:val="TableParagraph"/>
                          <w:rPr>
                            <w:b/>
                            <w:sz w:val="11"/>
                          </w:rPr>
                        </w:pPr>
                      </w:p>
                      <w:p>
                        <w:pPr>
                          <w:pStyle w:val="TableParagraph"/>
                          <w:ind w:left="797"/>
                          <w:rPr>
                            <w:sz w:val="15"/>
                          </w:rPr>
                        </w:pPr>
                        <w:r>
                          <w:rPr>
                            <w:sz w:val="15"/>
                          </w:rPr>
                          <w:t>10,535.6</w:t>
                        </w:r>
                      </w:p>
                    </w:tc>
                    <w:tc>
                      <w:tcPr>
                        <w:tcW w:w="827" w:type="dxa"/>
                      </w:tcPr>
                      <w:p>
                        <w:pPr>
                          <w:pStyle w:val="TableParagraph"/>
                          <w:spacing w:before="8"/>
                          <w:rPr>
                            <w:b/>
                            <w:sz w:val="16"/>
                          </w:rPr>
                        </w:pPr>
                      </w:p>
                      <w:p>
                        <w:pPr>
                          <w:pStyle w:val="TableParagraph"/>
                          <w:spacing w:before="1"/>
                          <w:ind w:right="22"/>
                          <w:jc w:val="right"/>
                          <w:rPr>
                            <w:sz w:val="15"/>
                          </w:rPr>
                        </w:pPr>
                        <w:r>
                          <w:rPr>
                            <w:sz w:val="15"/>
                          </w:rPr>
                          <w:t>10,087.5</w:t>
                        </w:r>
                      </w:p>
                    </w:tc>
                    <w:tc>
                      <w:tcPr>
                        <w:tcW w:w="3933" w:type="dxa"/>
                      </w:tcPr>
                      <w:p>
                        <w:pPr>
                          <w:pStyle w:val="TableParagraph"/>
                          <w:spacing w:line="266" w:lineRule="auto" w:before="1"/>
                          <w:ind w:left="22"/>
                          <w:rPr>
                            <w:sz w:val="15"/>
                          </w:rPr>
                        </w:pPr>
                        <w:r>
                          <w:rPr>
                            <w:sz w:val="15"/>
                          </w:rPr>
                          <w:t>Recursos federales aplicados en rubros o programas no contemplados en a Ley de Coordinación  Fiscal</w:t>
                        </w:r>
                      </w:p>
                    </w:tc>
                  </w:tr>
                  <w:tr>
                    <w:trPr>
                      <w:trHeight w:val="192" w:hRule="exact"/>
                    </w:trPr>
                    <w:tc>
                      <w:tcPr>
                        <w:tcW w:w="2036" w:type="dxa"/>
                        <w:vMerge/>
                      </w:tcPr>
                      <w:p>
                        <w:pPr/>
                      </w:p>
                    </w:tc>
                    <w:tc>
                      <w:tcPr>
                        <w:tcW w:w="1426" w:type="dxa"/>
                        <w:vMerge/>
                      </w:tcPr>
                      <w:p>
                        <w:pPr/>
                      </w:p>
                    </w:tc>
                    <w:tc>
                      <w:tcPr>
                        <w:tcW w:w="827" w:type="dxa"/>
                      </w:tcPr>
                      <w:p>
                        <w:pPr>
                          <w:pStyle w:val="TableParagraph"/>
                          <w:ind w:right="21"/>
                          <w:jc w:val="right"/>
                          <w:rPr>
                            <w:sz w:val="15"/>
                          </w:rPr>
                        </w:pPr>
                        <w:r>
                          <w:rPr>
                            <w:sz w:val="15"/>
                          </w:rPr>
                          <w:t>425.4</w:t>
                        </w:r>
                      </w:p>
                    </w:tc>
                    <w:tc>
                      <w:tcPr>
                        <w:tcW w:w="3933" w:type="dxa"/>
                      </w:tcPr>
                      <w:p>
                        <w:pPr>
                          <w:pStyle w:val="TableParagraph"/>
                          <w:ind w:left="22"/>
                          <w:rPr>
                            <w:sz w:val="15"/>
                          </w:rPr>
                        </w:pPr>
                        <w:r>
                          <w:rPr>
                            <w:sz w:val="15"/>
                          </w:rPr>
                          <w:t>Pagos excesivos</w:t>
                        </w:r>
                      </w:p>
                    </w:tc>
                  </w:tr>
                  <w:tr>
                    <w:trPr>
                      <w:trHeight w:val="193" w:hRule="exact"/>
                    </w:trPr>
                    <w:tc>
                      <w:tcPr>
                        <w:tcW w:w="2036" w:type="dxa"/>
                        <w:vMerge/>
                      </w:tcPr>
                      <w:p>
                        <w:pPr/>
                      </w:p>
                    </w:tc>
                    <w:tc>
                      <w:tcPr>
                        <w:tcW w:w="1426" w:type="dxa"/>
                        <w:vMerge/>
                      </w:tcPr>
                      <w:p>
                        <w:pPr/>
                      </w:p>
                    </w:tc>
                    <w:tc>
                      <w:tcPr>
                        <w:tcW w:w="827" w:type="dxa"/>
                      </w:tcPr>
                      <w:p>
                        <w:pPr>
                          <w:pStyle w:val="TableParagraph"/>
                          <w:ind w:right="22"/>
                          <w:jc w:val="right"/>
                          <w:rPr>
                            <w:sz w:val="15"/>
                          </w:rPr>
                        </w:pPr>
                        <w:r>
                          <w:rPr>
                            <w:sz w:val="15"/>
                          </w:rPr>
                          <w:t>22.7</w:t>
                        </w:r>
                      </w:p>
                    </w:tc>
                    <w:tc>
                      <w:tcPr>
                        <w:tcW w:w="3933" w:type="dxa"/>
                      </w:tcPr>
                      <w:p>
                        <w:pPr>
                          <w:pStyle w:val="TableParagraph"/>
                          <w:ind w:left="22"/>
                          <w:rPr>
                            <w:sz w:val="15"/>
                          </w:rPr>
                        </w:pPr>
                        <w:r>
                          <w:rPr>
                            <w:sz w:val="15"/>
                          </w:rPr>
                          <w:t>Conceptos pagados no ejecutados</w:t>
                        </w:r>
                      </w:p>
                    </w:tc>
                  </w:tr>
                  <w:tr>
                    <w:trPr>
                      <w:trHeight w:val="577" w:hRule="exact"/>
                    </w:trPr>
                    <w:tc>
                      <w:tcPr>
                        <w:tcW w:w="2036" w:type="dxa"/>
                        <w:vMerge w:val="restart"/>
                      </w:tcPr>
                      <w:p>
                        <w:pPr>
                          <w:pStyle w:val="TableParagraph"/>
                          <w:rPr>
                            <w:b/>
                            <w:sz w:val="14"/>
                          </w:rPr>
                        </w:pPr>
                      </w:p>
                      <w:p>
                        <w:pPr>
                          <w:pStyle w:val="TableParagraph"/>
                          <w:spacing w:before="11"/>
                          <w:rPr>
                            <w:b/>
                            <w:sz w:val="10"/>
                          </w:rPr>
                        </w:pPr>
                      </w:p>
                      <w:p>
                        <w:pPr>
                          <w:pStyle w:val="TableParagraph"/>
                          <w:ind w:left="22"/>
                          <w:rPr>
                            <w:sz w:val="15"/>
                          </w:rPr>
                        </w:pPr>
                        <w:r>
                          <w:rPr>
                            <w:sz w:val="15"/>
                          </w:rPr>
                          <w:t>Tultitlán</w:t>
                        </w:r>
                      </w:p>
                    </w:tc>
                    <w:tc>
                      <w:tcPr>
                        <w:tcW w:w="1426" w:type="dxa"/>
                        <w:vMerge w:val="restart"/>
                      </w:tcPr>
                      <w:p>
                        <w:pPr>
                          <w:pStyle w:val="TableParagraph"/>
                          <w:rPr>
                            <w:b/>
                            <w:sz w:val="14"/>
                          </w:rPr>
                        </w:pPr>
                      </w:p>
                      <w:p>
                        <w:pPr>
                          <w:pStyle w:val="TableParagraph"/>
                          <w:spacing w:before="11"/>
                          <w:rPr>
                            <w:b/>
                            <w:sz w:val="10"/>
                          </w:rPr>
                        </w:pPr>
                      </w:p>
                      <w:p>
                        <w:pPr>
                          <w:pStyle w:val="TableParagraph"/>
                          <w:ind w:left="797"/>
                          <w:rPr>
                            <w:sz w:val="15"/>
                          </w:rPr>
                        </w:pPr>
                        <w:r>
                          <w:rPr>
                            <w:sz w:val="15"/>
                          </w:rPr>
                          <w:t>23,005.5</w:t>
                        </w:r>
                      </w:p>
                    </w:tc>
                    <w:tc>
                      <w:tcPr>
                        <w:tcW w:w="827" w:type="dxa"/>
                      </w:tcPr>
                      <w:p>
                        <w:pPr>
                          <w:pStyle w:val="TableParagraph"/>
                          <w:rPr>
                            <w:b/>
                            <w:sz w:val="14"/>
                          </w:rPr>
                        </w:pPr>
                      </w:p>
                      <w:p>
                        <w:pPr>
                          <w:pStyle w:val="TableParagraph"/>
                          <w:spacing w:before="5"/>
                          <w:rPr>
                            <w:b/>
                            <w:sz w:val="19"/>
                          </w:rPr>
                        </w:pPr>
                      </w:p>
                      <w:p>
                        <w:pPr>
                          <w:pStyle w:val="TableParagraph"/>
                          <w:ind w:right="22"/>
                          <w:jc w:val="right"/>
                          <w:rPr>
                            <w:sz w:val="15"/>
                          </w:rPr>
                        </w:pPr>
                        <w:r>
                          <w:rPr>
                            <w:sz w:val="15"/>
                          </w:rPr>
                          <w:t>21,862.6</w:t>
                        </w:r>
                      </w:p>
                    </w:tc>
                    <w:tc>
                      <w:tcPr>
                        <w:tcW w:w="3933" w:type="dxa"/>
                      </w:tcPr>
                      <w:p>
                        <w:pPr>
                          <w:pStyle w:val="TableParagraph"/>
                          <w:spacing w:line="268" w:lineRule="auto"/>
                          <w:ind w:left="21" w:right="393" w:firstLine="1"/>
                          <w:jc w:val="both"/>
                          <w:rPr>
                            <w:sz w:val="15"/>
                          </w:rPr>
                        </w:pPr>
                        <w:r>
                          <w:rPr>
                            <w:sz w:val="15"/>
                          </w:rPr>
                          <w:t>Obras y acciones ejecutadas que no beneficiaron a sectores en condiciones de rezago social y pobreza extrema</w:t>
                        </w:r>
                      </w:p>
                    </w:tc>
                  </w:tr>
                  <w:tr>
                    <w:trPr>
                      <w:trHeight w:val="192" w:hRule="exact"/>
                    </w:trPr>
                    <w:tc>
                      <w:tcPr>
                        <w:tcW w:w="2036" w:type="dxa"/>
                        <w:vMerge/>
                      </w:tcPr>
                      <w:p>
                        <w:pPr/>
                      </w:p>
                    </w:tc>
                    <w:tc>
                      <w:tcPr>
                        <w:tcW w:w="1426" w:type="dxa"/>
                        <w:vMerge/>
                      </w:tcPr>
                      <w:p>
                        <w:pPr/>
                      </w:p>
                    </w:tc>
                    <w:tc>
                      <w:tcPr>
                        <w:tcW w:w="827" w:type="dxa"/>
                      </w:tcPr>
                      <w:p>
                        <w:pPr>
                          <w:pStyle w:val="TableParagraph"/>
                          <w:spacing w:line="172" w:lineRule="exact"/>
                          <w:ind w:right="22"/>
                          <w:jc w:val="right"/>
                          <w:rPr>
                            <w:sz w:val="15"/>
                          </w:rPr>
                        </w:pPr>
                        <w:r>
                          <w:rPr>
                            <w:sz w:val="15"/>
                          </w:rPr>
                          <w:t>1,142.9</w:t>
                        </w:r>
                      </w:p>
                    </w:tc>
                    <w:tc>
                      <w:tcPr>
                        <w:tcW w:w="3933" w:type="dxa"/>
                      </w:tcPr>
                      <w:p>
                        <w:pPr>
                          <w:pStyle w:val="TableParagraph"/>
                          <w:spacing w:line="172" w:lineRule="exact"/>
                          <w:ind w:left="22"/>
                          <w:rPr>
                            <w:sz w:val="15"/>
                          </w:rPr>
                        </w:pPr>
                        <w:r>
                          <w:rPr>
                            <w:sz w:val="15"/>
                          </w:rPr>
                          <w:t>Pendientes de aclarar</w:t>
                        </w:r>
                      </w:p>
                    </w:tc>
                  </w:tr>
                  <w:tr>
                    <w:trPr>
                      <w:trHeight w:val="577" w:hRule="exact"/>
                    </w:trPr>
                    <w:tc>
                      <w:tcPr>
                        <w:tcW w:w="2036" w:type="dxa"/>
                        <w:vMerge w:val="restart"/>
                      </w:tcPr>
                      <w:p>
                        <w:pPr>
                          <w:pStyle w:val="TableParagraph"/>
                          <w:rPr>
                            <w:b/>
                            <w:sz w:val="14"/>
                          </w:rPr>
                        </w:pPr>
                      </w:p>
                      <w:p>
                        <w:pPr>
                          <w:pStyle w:val="TableParagraph"/>
                          <w:rPr>
                            <w:b/>
                            <w:sz w:val="11"/>
                          </w:rPr>
                        </w:pPr>
                      </w:p>
                      <w:p>
                        <w:pPr>
                          <w:pStyle w:val="TableParagraph"/>
                          <w:spacing w:before="1"/>
                          <w:ind w:left="22"/>
                          <w:rPr>
                            <w:sz w:val="15"/>
                          </w:rPr>
                        </w:pPr>
                        <w:r>
                          <w:rPr>
                            <w:sz w:val="15"/>
                          </w:rPr>
                          <w:t>Valle de Chalco Solidaridad</w:t>
                        </w:r>
                      </w:p>
                    </w:tc>
                    <w:tc>
                      <w:tcPr>
                        <w:tcW w:w="1426" w:type="dxa"/>
                        <w:vMerge w:val="restart"/>
                      </w:tcPr>
                      <w:p>
                        <w:pPr>
                          <w:pStyle w:val="TableParagraph"/>
                          <w:rPr>
                            <w:b/>
                            <w:sz w:val="14"/>
                          </w:rPr>
                        </w:pPr>
                      </w:p>
                      <w:p>
                        <w:pPr>
                          <w:pStyle w:val="TableParagraph"/>
                          <w:rPr>
                            <w:b/>
                            <w:sz w:val="11"/>
                          </w:rPr>
                        </w:pPr>
                      </w:p>
                      <w:p>
                        <w:pPr>
                          <w:pStyle w:val="TableParagraph"/>
                          <w:spacing w:before="1"/>
                          <w:ind w:left="797"/>
                          <w:rPr>
                            <w:sz w:val="15"/>
                          </w:rPr>
                        </w:pPr>
                        <w:r>
                          <w:rPr>
                            <w:sz w:val="15"/>
                          </w:rPr>
                          <w:t>18,296.3</w:t>
                        </w:r>
                      </w:p>
                    </w:tc>
                    <w:tc>
                      <w:tcPr>
                        <w:tcW w:w="827" w:type="dxa"/>
                      </w:tcPr>
                      <w:p>
                        <w:pPr>
                          <w:pStyle w:val="TableParagraph"/>
                          <w:rPr>
                            <w:b/>
                            <w:sz w:val="14"/>
                          </w:rPr>
                        </w:pPr>
                      </w:p>
                      <w:p>
                        <w:pPr>
                          <w:pStyle w:val="TableParagraph"/>
                          <w:spacing w:before="6"/>
                          <w:rPr>
                            <w:b/>
                            <w:sz w:val="19"/>
                          </w:rPr>
                        </w:pPr>
                      </w:p>
                      <w:p>
                        <w:pPr>
                          <w:pStyle w:val="TableParagraph"/>
                          <w:ind w:right="22"/>
                          <w:jc w:val="right"/>
                          <w:rPr>
                            <w:sz w:val="15"/>
                          </w:rPr>
                        </w:pPr>
                        <w:r>
                          <w:rPr>
                            <w:sz w:val="15"/>
                          </w:rPr>
                          <w:t>7,559.6</w:t>
                        </w:r>
                      </w:p>
                    </w:tc>
                    <w:tc>
                      <w:tcPr>
                        <w:tcW w:w="3933" w:type="dxa"/>
                      </w:tcPr>
                      <w:p>
                        <w:pPr>
                          <w:pStyle w:val="TableParagraph"/>
                          <w:spacing w:line="268" w:lineRule="auto" w:before="1"/>
                          <w:ind w:left="21" w:right="393" w:firstLine="1"/>
                          <w:jc w:val="both"/>
                          <w:rPr>
                            <w:sz w:val="15"/>
                          </w:rPr>
                        </w:pPr>
                        <w:r>
                          <w:rPr>
                            <w:sz w:val="15"/>
                          </w:rPr>
                          <w:t>Obras y acciones ejecutadas que no beneficiaron a sectores en condiciones de rezago social y pobreza extrema</w:t>
                        </w:r>
                      </w:p>
                    </w:tc>
                  </w:tr>
                  <w:tr>
                    <w:trPr>
                      <w:trHeight w:val="193" w:hRule="exact"/>
                    </w:trPr>
                    <w:tc>
                      <w:tcPr>
                        <w:tcW w:w="2036" w:type="dxa"/>
                        <w:vMerge/>
                      </w:tcPr>
                      <w:p>
                        <w:pPr/>
                      </w:p>
                    </w:tc>
                    <w:tc>
                      <w:tcPr>
                        <w:tcW w:w="1426" w:type="dxa"/>
                        <w:vMerge/>
                      </w:tcPr>
                      <w:p>
                        <w:pPr/>
                      </w:p>
                    </w:tc>
                    <w:tc>
                      <w:tcPr>
                        <w:tcW w:w="827" w:type="dxa"/>
                      </w:tcPr>
                      <w:p>
                        <w:pPr>
                          <w:pStyle w:val="TableParagraph"/>
                          <w:ind w:right="22"/>
                          <w:jc w:val="right"/>
                          <w:rPr>
                            <w:sz w:val="15"/>
                          </w:rPr>
                        </w:pPr>
                        <w:r>
                          <w:rPr>
                            <w:sz w:val="15"/>
                          </w:rPr>
                          <w:t>10,736.7</w:t>
                        </w:r>
                      </w:p>
                    </w:tc>
                    <w:tc>
                      <w:tcPr>
                        <w:tcW w:w="3933" w:type="dxa"/>
                      </w:tcPr>
                      <w:p>
                        <w:pPr>
                          <w:pStyle w:val="TableParagraph"/>
                          <w:ind w:left="22"/>
                          <w:rPr>
                            <w:sz w:val="15"/>
                          </w:rPr>
                        </w:pPr>
                        <w:r>
                          <w:rPr>
                            <w:sz w:val="15"/>
                          </w:rPr>
                          <w:t>Pendientes de aclarar</w:t>
                        </w:r>
                      </w:p>
                    </w:tc>
                  </w:tr>
                  <w:tr>
                    <w:trPr>
                      <w:trHeight w:val="385" w:hRule="exact"/>
                    </w:trPr>
                    <w:tc>
                      <w:tcPr>
                        <w:tcW w:w="203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95"/>
                          <w:ind w:left="22"/>
                          <w:rPr>
                            <w:sz w:val="15"/>
                          </w:rPr>
                        </w:pPr>
                        <w:r>
                          <w:rPr>
                            <w:sz w:val="15"/>
                          </w:rPr>
                          <w:t>Villa Victoria</w:t>
                        </w:r>
                      </w:p>
                    </w:tc>
                    <w:tc>
                      <w:tcPr>
                        <w:tcW w:w="142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95"/>
                          <w:ind w:left="797"/>
                          <w:rPr>
                            <w:sz w:val="15"/>
                          </w:rPr>
                        </w:pPr>
                        <w:r>
                          <w:rPr>
                            <w:sz w:val="15"/>
                          </w:rPr>
                          <w:t>13,194.1</w:t>
                        </w:r>
                      </w:p>
                    </w:tc>
                    <w:tc>
                      <w:tcPr>
                        <w:tcW w:w="827" w:type="dxa"/>
                      </w:tcPr>
                      <w:p>
                        <w:pPr>
                          <w:pStyle w:val="TableParagraph"/>
                          <w:spacing w:before="8"/>
                          <w:rPr>
                            <w:b/>
                            <w:sz w:val="16"/>
                          </w:rPr>
                        </w:pPr>
                      </w:p>
                      <w:p>
                        <w:pPr>
                          <w:pStyle w:val="TableParagraph"/>
                          <w:spacing w:before="1"/>
                          <w:ind w:right="22"/>
                          <w:jc w:val="right"/>
                          <w:rPr>
                            <w:sz w:val="15"/>
                          </w:rPr>
                        </w:pPr>
                        <w:r>
                          <w:rPr>
                            <w:sz w:val="15"/>
                          </w:rPr>
                          <w:t>4,400.8</w:t>
                        </w:r>
                      </w:p>
                    </w:tc>
                    <w:tc>
                      <w:tcPr>
                        <w:tcW w:w="3933" w:type="dxa"/>
                      </w:tcPr>
                      <w:p>
                        <w:pPr>
                          <w:pStyle w:val="TableParagraph"/>
                          <w:spacing w:line="268" w:lineRule="auto"/>
                          <w:ind w:left="22"/>
                          <w:rPr>
                            <w:sz w:val="15"/>
                          </w:rPr>
                        </w:pPr>
                        <w:r>
                          <w:rPr>
                            <w:sz w:val="15"/>
                          </w:rPr>
                          <w:t>Recursos federales aplicados en rubros o programas no contemplados en a Ley de Coordinación  Fiscal</w:t>
                        </w:r>
                      </w:p>
                    </w:tc>
                  </w:tr>
                  <w:tr>
                    <w:trPr>
                      <w:trHeight w:val="577" w:hRule="exact"/>
                    </w:trPr>
                    <w:tc>
                      <w:tcPr>
                        <w:tcW w:w="2036" w:type="dxa"/>
                        <w:vMerge/>
                      </w:tcPr>
                      <w:p>
                        <w:pPr/>
                      </w:p>
                    </w:tc>
                    <w:tc>
                      <w:tcPr>
                        <w:tcW w:w="1426" w:type="dxa"/>
                        <w:vMerge/>
                      </w:tcPr>
                      <w:p>
                        <w:pPr/>
                      </w:p>
                    </w:tc>
                    <w:tc>
                      <w:tcPr>
                        <w:tcW w:w="827" w:type="dxa"/>
                      </w:tcPr>
                      <w:p>
                        <w:pPr>
                          <w:pStyle w:val="TableParagraph"/>
                          <w:rPr>
                            <w:b/>
                            <w:sz w:val="14"/>
                          </w:rPr>
                        </w:pPr>
                      </w:p>
                      <w:p>
                        <w:pPr>
                          <w:pStyle w:val="TableParagraph"/>
                          <w:spacing w:before="5"/>
                          <w:rPr>
                            <w:b/>
                            <w:sz w:val="19"/>
                          </w:rPr>
                        </w:pPr>
                      </w:p>
                      <w:p>
                        <w:pPr>
                          <w:pStyle w:val="TableParagraph"/>
                          <w:ind w:right="22"/>
                          <w:jc w:val="right"/>
                          <w:rPr>
                            <w:sz w:val="15"/>
                          </w:rPr>
                        </w:pPr>
                        <w:r>
                          <w:rPr>
                            <w:sz w:val="15"/>
                          </w:rPr>
                          <w:t>8,546.5</w:t>
                        </w:r>
                      </w:p>
                    </w:tc>
                    <w:tc>
                      <w:tcPr>
                        <w:tcW w:w="3933" w:type="dxa"/>
                      </w:tcPr>
                      <w:p>
                        <w:pPr>
                          <w:pStyle w:val="TableParagraph"/>
                          <w:spacing w:line="268" w:lineRule="auto"/>
                          <w:ind w:left="21" w:right="393" w:firstLine="1"/>
                          <w:jc w:val="both"/>
                          <w:rPr>
                            <w:sz w:val="15"/>
                          </w:rPr>
                        </w:pPr>
                        <w:r>
                          <w:rPr>
                            <w:sz w:val="15"/>
                          </w:rPr>
                          <w:t>Obras y acciones ejecutadas que no beneficiaron a sectores en condiciones de rezago social y pobreza extrema</w:t>
                        </w:r>
                      </w:p>
                    </w:tc>
                  </w:tr>
                  <w:tr>
                    <w:trPr>
                      <w:trHeight w:val="192" w:hRule="exact"/>
                    </w:trPr>
                    <w:tc>
                      <w:tcPr>
                        <w:tcW w:w="2036" w:type="dxa"/>
                        <w:vMerge/>
                      </w:tcPr>
                      <w:p>
                        <w:pPr/>
                      </w:p>
                    </w:tc>
                    <w:tc>
                      <w:tcPr>
                        <w:tcW w:w="1426" w:type="dxa"/>
                        <w:vMerge/>
                      </w:tcPr>
                      <w:p>
                        <w:pPr/>
                      </w:p>
                    </w:tc>
                    <w:tc>
                      <w:tcPr>
                        <w:tcW w:w="827" w:type="dxa"/>
                      </w:tcPr>
                      <w:p>
                        <w:pPr>
                          <w:pStyle w:val="TableParagraph"/>
                          <w:spacing w:before="1"/>
                          <w:ind w:right="22"/>
                          <w:jc w:val="right"/>
                          <w:rPr>
                            <w:sz w:val="15"/>
                          </w:rPr>
                        </w:pPr>
                        <w:r>
                          <w:rPr>
                            <w:sz w:val="15"/>
                          </w:rPr>
                          <w:t>38.5</w:t>
                        </w:r>
                      </w:p>
                    </w:tc>
                    <w:tc>
                      <w:tcPr>
                        <w:tcW w:w="3933" w:type="dxa"/>
                      </w:tcPr>
                      <w:p>
                        <w:pPr>
                          <w:pStyle w:val="TableParagraph"/>
                          <w:spacing w:before="1"/>
                          <w:ind w:left="22"/>
                          <w:rPr>
                            <w:sz w:val="15"/>
                          </w:rPr>
                        </w:pPr>
                        <w:r>
                          <w:rPr>
                            <w:sz w:val="15"/>
                          </w:rPr>
                          <w:t>Conceptos pagados no ejecutados</w:t>
                        </w:r>
                      </w:p>
                    </w:tc>
                  </w:tr>
                  <w:tr>
                    <w:trPr>
                      <w:trHeight w:val="193" w:hRule="exact"/>
                    </w:trPr>
                    <w:tc>
                      <w:tcPr>
                        <w:tcW w:w="2036" w:type="dxa"/>
                        <w:vMerge/>
                      </w:tcPr>
                      <w:p>
                        <w:pPr/>
                      </w:p>
                    </w:tc>
                    <w:tc>
                      <w:tcPr>
                        <w:tcW w:w="1426" w:type="dxa"/>
                        <w:vMerge/>
                      </w:tcPr>
                      <w:p>
                        <w:pPr/>
                      </w:p>
                    </w:tc>
                    <w:tc>
                      <w:tcPr>
                        <w:tcW w:w="827" w:type="dxa"/>
                      </w:tcPr>
                      <w:p>
                        <w:pPr>
                          <w:pStyle w:val="TableParagraph"/>
                          <w:spacing w:before="1"/>
                          <w:ind w:right="22"/>
                          <w:jc w:val="right"/>
                          <w:rPr>
                            <w:sz w:val="15"/>
                          </w:rPr>
                        </w:pPr>
                        <w:r>
                          <w:rPr>
                            <w:sz w:val="15"/>
                          </w:rPr>
                          <w:t>32.3</w:t>
                        </w:r>
                      </w:p>
                    </w:tc>
                    <w:tc>
                      <w:tcPr>
                        <w:tcW w:w="3933" w:type="dxa"/>
                      </w:tcPr>
                      <w:p>
                        <w:pPr>
                          <w:pStyle w:val="TableParagraph"/>
                          <w:spacing w:before="1"/>
                          <w:ind w:left="22"/>
                          <w:rPr>
                            <w:sz w:val="15"/>
                          </w:rPr>
                        </w:pPr>
                        <w:r>
                          <w:rPr>
                            <w:sz w:val="15"/>
                          </w:rPr>
                          <w:t>Insumos pagados no aplicados</w:t>
                        </w:r>
                      </w:p>
                    </w:tc>
                  </w:tr>
                  <w:tr>
                    <w:trPr>
                      <w:trHeight w:val="577" w:hRule="exact"/>
                    </w:trPr>
                    <w:tc>
                      <w:tcPr>
                        <w:tcW w:w="203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5"/>
                          <w:rPr>
                            <w:b/>
                            <w:sz w:val="16"/>
                          </w:rPr>
                        </w:pPr>
                      </w:p>
                      <w:p>
                        <w:pPr>
                          <w:pStyle w:val="TableParagraph"/>
                          <w:ind w:left="22"/>
                          <w:rPr>
                            <w:sz w:val="15"/>
                          </w:rPr>
                        </w:pPr>
                        <w:r>
                          <w:rPr>
                            <w:sz w:val="15"/>
                          </w:rPr>
                          <w:t>Zacualpan</w:t>
                        </w:r>
                      </w:p>
                    </w:tc>
                    <w:tc>
                      <w:tcPr>
                        <w:tcW w:w="142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5"/>
                          <w:rPr>
                            <w:b/>
                            <w:sz w:val="16"/>
                          </w:rPr>
                        </w:pPr>
                      </w:p>
                      <w:p>
                        <w:pPr>
                          <w:pStyle w:val="TableParagraph"/>
                          <w:ind w:left="883"/>
                          <w:rPr>
                            <w:sz w:val="15"/>
                          </w:rPr>
                        </w:pPr>
                        <w:r>
                          <w:rPr>
                            <w:sz w:val="15"/>
                          </w:rPr>
                          <w:t>9,795.3</w:t>
                        </w:r>
                      </w:p>
                    </w:tc>
                    <w:tc>
                      <w:tcPr>
                        <w:tcW w:w="827" w:type="dxa"/>
                      </w:tcPr>
                      <w:p>
                        <w:pPr>
                          <w:pStyle w:val="TableParagraph"/>
                          <w:rPr>
                            <w:b/>
                            <w:sz w:val="14"/>
                          </w:rPr>
                        </w:pPr>
                      </w:p>
                      <w:p>
                        <w:pPr>
                          <w:pStyle w:val="TableParagraph"/>
                          <w:spacing w:before="5"/>
                          <w:rPr>
                            <w:b/>
                            <w:sz w:val="19"/>
                          </w:rPr>
                        </w:pPr>
                      </w:p>
                      <w:p>
                        <w:pPr>
                          <w:pStyle w:val="TableParagraph"/>
                          <w:ind w:right="22"/>
                          <w:jc w:val="right"/>
                          <w:rPr>
                            <w:sz w:val="15"/>
                          </w:rPr>
                        </w:pPr>
                        <w:r>
                          <w:rPr>
                            <w:sz w:val="15"/>
                          </w:rPr>
                          <w:t>4,593.8</w:t>
                        </w:r>
                      </w:p>
                    </w:tc>
                    <w:tc>
                      <w:tcPr>
                        <w:tcW w:w="3933" w:type="dxa"/>
                      </w:tcPr>
                      <w:p>
                        <w:pPr>
                          <w:pStyle w:val="TableParagraph"/>
                          <w:spacing w:line="268" w:lineRule="auto"/>
                          <w:ind w:left="21" w:right="393" w:firstLine="1"/>
                          <w:jc w:val="both"/>
                          <w:rPr>
                            <w:sz w:val="15"/>
                          </w:rPr>
                        </w:pPr>
                        <w:r>
                          <w:rPr>
                            <w:sz w:val="15"/>
                          </w:rPr>
                          <w:t>Obras y acciones ejecutadas que no beneficiaron a sectores en condiciones de rezago social y pobreza extrema</w:t>
                        </w:r>
                      </w:p>
                    </w:tc>
                  </w:tr>
                  <w:tr>
                    <w:trPr>
                      <w:trHeight w:val="577" w:hRule="exact"/>
                    </w:trPr>
                    <w:tc>
                      <w:tcPr>
                        <w:tcW w:w="2036" w:type="dxa"/>
                        <w:vMerge/>
                      </w:tcPr>
                      <w:p>
                        <w:pPr/>
                      </w:p>
                    </w:tc>
                    <w:tc>
                      <w:tcPr>
                        <w:tcW w:w="1426" w:type="dxa"/>
                        <w:vMerge/>
                      </w:tcPr>
                      <w:p>
                        <w:pPr/>
                      </w:p>
                    </w:tc>
                    <w:tc>
                      <w:tcPr>
                        <w:tcW w:w="827" w:type="dxa"/>
                      </w:tcPr>
                      <w:p>
                        <w:pPr>
                          <w:pStyle w:val="TableParagraph"/>
                          <w:rPr>
                            <w:b/>
                            <w:sz w:val="14"/>
                          </w:rPr>
                        </w:pPr>
                      </w:p>
                      <w:p>
                        <w:pPr>
                          <w:pStyle w:val="TableParagraph"/>
                          <w:spacing w:before="5"/>
                          <w:rPr>
                            <w:b/>
                            <w:sz w:val="19"/>
                          </w:rPr>
                        </w:pPr>
                      </w:p>
                      <w:p>
                        <w:pPr>
                          <w:pStyle w:val="TableParagraph"/>
                          <w:ind w:right="22"/>
                          <w:jc w:val="right"/>
                          <w:rPr>
                            <w:sz w:val="15"/>
                          </w:rPr>
                        </w:pPr>
                        <w:r>
                          <w:rPr>
                            <w:sz w:val="15"/>
                          </w:rPr>
                          <w:t>5,173.7</w:t>
                        </w:r>
                      </w:p>
                    </w:tc>
                    <w:tc>
                      <w:tcPr>
                        <w:tcW w:w="3933" w:type="dxa"/>
                      </w:tcPr>
                      <w:p>
                        <w:pPr>
                          <w:pStyle w:val="TableParagraph"/>
                          <w:spacing w:line="266" w:lineRule="auto"/>
                          <w:ind w:left="21" w:right="95" w:firstLine="1"/>
                          <w:jc w:val="both"/>
                          <w:rPr>
                            <w:sz w:val="15"/>
                          </w:rPr>
                        </w:pPr>
                        <w:r>
                          <w:rPr>
                            <w:sz w:val="15"/>
                          </w:rPr>
                          <w:t>Recursos federales aplicados en rubros o programas no contemplados en a Ley de Coordinación Fiscal (compra de fertilizantes)</w:t>
                        </w:r>
                      </w:p>
                    </w:tc>
                  </w:tr>
                  <w:tr>
                    <w:trPr>
                      <w:trHeight w:val="385" w:hRule="exact"/>
                    </w:trPr>
                    <w:tc>
                      <w:tcPr>
                        <w:tcW w:w="2036" w:type="dxa"/>
                        <w:vMerge/>
                      </w:tcPr>
                      <w:p>
                        <w:pPr/>
                      </w:p>
                    </w:tc>
                    <w:tc>
                      <w:tcPr>
                        <w:tcW w:w="1426" w:type="dxa"/>
                        <w:vMerge/>
                      </w:tcPr>
                      <w:p>
                        <w:pPr/>
                      </w:p>
                    </w:tc>
                    <w:tc>
                      <w:tcPr>
                        <w:tcW w:w="827" w:type="dxa"/>
                      </w:tcPr>
                      <w:p>
                        <w:pPr>
                          <w:pStyle w:val="TableParagraph"/>
                          <w:spacing w:before="8"/>
                          <w:rPr>
                            <w:b/>
                            <w:sz w:val="16"/>
                          </w:rPr>
                        </w:pPr>
                      </w:p>
                      <w:p>
                        <w:pPr>
                          <w:pStyle w:val="TableParagraph"/>
                          <w:spacing w:before="1"/>
                          <w:ind w:right="22"/>
                          <w:jc w:val="right"/>
                          <w:rPr>
                            <w:sz w:val="15"/>
                          </w:rPr>
                        </w:pPr>
                        <w:r>
                          <w:rPr>
                            <w:sz w:val="15"/>
                          </w:rPr>
                          <w:t>27.8</w:t>
                        </w:r>
                      </w:p>
                    </w:tc>
                    <w:tc>
                      <w:tcPr>
                        <w:tcW w:w="3933" w:type="dxa"/>
                      </w:tcPr>
                      <w:p>
                        <w:pPr>
                          <w:pStyle w:val="TableParagraph"/>
                          <w:spacing w:line="266" w:lineRule="auto" w:before="1"/>
                          <w:ind w:left="23" w:right="33" w:hanging="1"/>
                          <w:rPr>
                            <w:sz w:val="15"/>
                          </w:rPr>
                        </w:pPr>
                        <w:r>
                          <w:rPr>
                            <w:sz w:val="15"/>
                          </w:rPr>
                          <w:t>Transferencias de recursos a otras cuentas del Municipio y no reintegrados</w:t>
                        </w:r>
                      </w:p>
                    </w:tc>
                  </w:tr>
                </w:tbl>
                <w:p>
                  <w:pPr>
                    <w:pStyle w:val="BodyText"/>
                  </w:pPr>
                </w:p>
              </w:txbxContent>
            </v:textbox>
            <w10:wrap type="none"/>
          </v:shape>
        </w:pict>
      </w:r>
      <w:r>
        <w:rPr>
          <w:b/>
          <w:sz w:val="15"/>
        </w:rPr>
        <w:t>Observaciones Generados del FISM y FORTAMUNDF en el Ejercicio 2013 (miles de pesos) Fondo para la  Infraestructura Social  Municipal</w:t>
      </w:r>
    </w:p>
    <w:p>
      <w:pPr>
        <w:spacing w:after="0" w:line="547" w:lineRule="auto"/>
        <w:jc w:val="left"/>
        <w:rPr>
          <w:sz w:val="15"/>
        </w:rPr>
        <w:sectPr>
          <w:pgSz w:w="15840" w:h="12240" w:orient="landscape"/>
          <w:pgMar w:header="0" w:footer="932" w:top="1140" w:bottom="1180" w:left="210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0"/>
        </w:rPr>
      </w:pPr>
    </w:p>
    <w:p>
      <w:pPr>
        <w:spacing w:line="568" w:lineRule="auto" w:before="0"/>
        <w:ind w:left="2086" w:right="4932" w:hanging="1407"/>
        <w:jc w:val="left"/>
        <w:rPr>
          <w:b/>
          <w:sz w:val="13"/>
        </w:rPr>
      </w:pPr>
      <w:r>
        <w:rPr/>
        <w:pict>
          <v:shape style="position:absolute;margin-left:110.320404pt;margin-top:8.155204pt;width:350.2pt;height:.1pt;mso-position-horizontal-relative:page;mso-position-vertical-relative:paragraph;z-index:-671320" coordorigin="2206,163" coordsize="7004,0" path="m2206,163l2206,163,9210,163e" filled="false" stroked="true" strokeweight=".537844pt" strokecolor="#000000">
            <v:path arrowok="t"/>
            <w10:wrap type="none"/>
          </v:shape>
        </w:pict>
      </w:r>
      <w:r>
        <w:rPr/>
        <w:pict>
          <v:shape style="position:absolute;margin-left:110.051506pt;margin-top:25.580173pt;width:350.9pt;height:311.5pt;mso-position-horizontal-relative:page;mso-position-vertical-relative:paragraph;z-index:119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9"/>
                    <w:gridCol w:w="1222"/>
                    <w:gridCol w:w="742"/>
                    <w:gridCol w:w="3518"/>
                  </w:tblGrid>
                  <w:tr>
                    <w:trPr>
                      <w:trHeight w:val="519" w:hRule="exact"/>
                    </w:trPr>
                    <w:tc>
                      <w:tcPr>
                        <w:tcW w:w="1519" w:type="dxa"/>
                        <w:shd w:val="clear" w:color="auto" w:fill="E6B8B7"/>
                      </w:tcPr>
                      <w:p>
                        <w:pPr>
                          <w:pStyle w:val="TableParagraph"/>
                          <w:rPr>
                            <w:b/>
                            <w:sz w:val="14"/>
                          </w:rPr>
                        </w:pPr>
                      </w:p>
                      <w:p>
                        <w:pPr>
                          <w:pStyle w:val="TableParagraph"/>
                          <w:spacing w:before="4"/>
                          <w:rPr>
                            <w:b/>
                            <w:sz w:val="16"/>
                          </w:rPr>
                        </w:pPr>
                      </w:p>
                      <w:p>
                        <w:pPr>
                          <w:pStyle w:val="TableParagraph"/>
                          <w:spacing w:before="1"/>
                          <w:ind w:left="173"/>
                          <w:rPr>
                            <w:b/>
                            <w:sz w:val="13"/>
                          </w:rPr>
                        </w:pPr>
                        <w:r>
                          <w:rPr>
                            <w:b/>
                            <w:w w:val="105"/>
                            <w:sz w:val="13"/>
                          </w:rPr>
                          <w:t>Entidad Municipal</w:t>
                        </w:r>
                      </w:p>
                    </w:tc>
                    <w:tc>
                      <w:tcPr>
                        <w:tcW w:w="1222" w:type="dxa"/>
                        <w:shd w:val="clear" w:color="auto" w:fill="E6B8B7"/>
                      </w:tcPr>
                      <w:p>
                        <w:pPr>
                          <w:pStyle w:val="TableParagraph"/>
                          <w:spacing w:line="276" w:lineRule="auto" w:before="5"/>
                          <w:ind w:left="72" w:right="63" w:firstLine="1"/>
                          <w:jc w:val="center"/>
                          <w:rPr>
                            <w:b/>
                            <w:sz w:val="13"/>
                          </w:rPr>
                        </w:pPr>
                        <w:r>
                          <w:rPr>
                            <w:b/>
                            <w:w w:val="105"/>
                            <w:sz w:val="13"/>
                          </w:rPr>
                          <w:t>Cuantificación Monetaria de las Observaciones</w:t>
                        </w:r>
                      </w:p>
                    </w:tc>
                    <w:tc>
                      <w:tcPr>
                        <w:tcW w:w="742" w:type="dxa"/>
                        <w:shd w:val="clear" w:color="auto" w:fill="E6B8B7"/>
                      </w:tcPr>
                      <w:p>
                        <w:pPr/>
                      </w:p>
                    </w:tc>
                    <w:tc>
                      <w:tcPr>
                        <w:tcW w:w="3518" w:type="dxa"/>
                        <w:shd w:val="clear" w:color="auto" w:fill="E6B8B7"/>
                      </w:tcPr>
                      <w:p>
                        <w:pPr>
                          <w:pStyle w:val="TableParagraph"/>
                          <w:rPr>
                            <w:b/>
                            <w:sz w:val="14"/>
                          </w:rPr>
                        </w:pPr>
                      </w:p>
                      <w:p>
                        <w:pPr>
                          <w:pStyle w:val="TableParagraph"/>
                          <w:spacing w:before="4"/>
                          <w:rPr>
                            <w:b/>
                            <w:sz w:val="16"/>
                          </w:rPr>
                        </w:pPr>
                      </w:p>
                      <w:p>
                        <w:pPr>
                          <w:pStyle w:val="TableParagraph"/>
                          <w:spacing w:before="1"/>
                          <w:ind w:left="1424" w:right="1413"/>
                          <w:jc w:val="center"/>
                          <w:rPr>
                            <w:b/>
                            <w:sz w:val="13"/>
                          </w:rPr>
                        </w:pPr>
                        <w:r>
                          <w:rPr>
                            <w:b/>
                            <w:w w:val="105"/>
                            <w:sz w:val="13"/>
                          </w:rPr>
                          <w:t>Concepto</w:t>
                        </w:r>
                      </w:p>
                    </w:tc>
                  </w:tr>
                  <w:tr>
                    <w:trPr>
                      <w:trHeight w:val="172" w:hRule="exact"/>
                    </w:trPr>
                    <w:tc>
                      <w:tcPr>
                        <w:tcW w:w="1519" w:type="dxa"/>
                        <w:vMerge w:val="restart"/>
                      </w:tcPr>
                      <w:p>
                        <w:pPr>
                          <w:pStyle w:val="TableParagraph"/>
                          <w:rPr>
                            <w:b/>
                            <w:sz w:val="14"/>
                          </w:rPr>
                        </w:pPr>
                      </w:p>
                      <w:p>
                        <w:pPr>
                          <w:pStyle w:val="TableParagraph"/>
                          <w:rPr>
                            <w:b/>
                            <w:sz w:val="14"/>
                          </w:rPr>
                        </w:pPr>
                      </w:p>
                      <w:p>
                        <w:pPr>
                          <w:pStyle w:val="TableParagraph"/>
                          <w:spacing w:before="4"/>
                          <w:rPr>
                            <w:b/>
                            <w:sz w:val="17"/>
                          </w:rPr>
                        </w:pPr>
                      </w:p>
                      <w:p>
                        <w:pPr>
                          <w:pStyle w:val="TableParagraph"/>
                          <w:spacing w:before="1"/>
                          <w:ind w:left="474"/>
                          <w:rPr>
                            <w:sz w:val="13"/>
                          </w:rPr>
                        </w:pPr>
                        <w:r>
                          <w:rPr>
                            <w:w w:val="105"/>
                            <w:sz w:val="13"/>
                          </w:rPr>
                          <w:t>Acambay</w:t>
                        </w:r>
                      </w:p>
                    </w:tc>
                    <w:tc>
                      <w:tcPr>
                        <w:tcW w:w="1222" w:type="dxa"/>
                        <w:vMerge w:val="restart"/>
                      </w:tcPr>
                      <w:p>
                        <w:pPr>
                          <w:pStyle w:val="TableParagraph"/>
                          <w:rPr>
                            <w:b/>
                            <w:sz w:val="14"/>
                          </w:rPr>
                        </w:pPr>
                      </w:p>
                      <w:p>
                        <w:pPr>
                          <w:pStyle w:val="TableParagraph"/>
                          <w:rPr>
                            <w:b/>
                            <w:sz w:val="14"/>
                          </w:rPr>
                        </w:pPr>
                      </w:p>
                      <w:p>
                        <w:pPr>
                          <w:pStyle w:val="TableParagraph"/>
                          <w:spacing w:before="4"/>
                          <w:rPr>
                            <w:b/>
                            <w:sz w:val="17"/>
                          </w:rPr>
                        </w:pPr>
                      </w:p>
                      <w:p>
                        <w:pPr>
                          <w:pStyle w:val="TableParagraph"/>
                          <w:spacing w:before="1"/>
                          <w:ind w:left="658"/>
                          <w:rPr>
                            <w:sz w:val="13"/>
                          </w:rPr>
                        </w:pPr>
                        <w:r>
                          <w:rPr>
                            <w:w w:val="105"/>
                            <w:sz w:val="13"/>
                          </w:rPr>
                          <w:t>4,998.40</w:t>
                        </w:r>
                      </w:p>
                    </w:tc>
                    <w:tc>
                      <w:tcPr>
                        <w:tcW w:w="742" w:type="dxa"/>
                      </w:tcPr>
                      <w:p>
                        <w:pPr>
                          <w:pStyle w:val="TableParagraph"/>
                          <w:spacing w:before="5"/>
                          <w:ind w:right="17"/>
                          <w:jc w:val="right"/>
                          <w:rPr>
                            <w:sz w:val="13"/>
                          </w:rPr>
                        </w:pPr>
                        <w:r>
                          <w:rPr>
                            <w:w w:val="105"/>
                            <w:sz w:val="13"/>
                          </w:rPr>
                          <w:t>208.00</w:t>
                        </w:r>
                      </w:p>
                    </w:tc>
                    <w:tc>
                      <w:tcPr>
                        <w:tcW w:w="3518" w:type="dxa"/>
                      </w:tcPr>
                      <w:p>
                        <w:pPr>
                          <w:pStyle w:val="TableParagraph"/>
                          <w:spacing w:before="5"/>
                          <w:ind w:left="20" w:right="67"/>
                          <w:rPr>
                            <w:sz w:val="13"/>
                          </w:rPr>
                        </w:pPr>
                        <w:r>
                          <w:rPr>
                            <w:w w:val="105"/>
                            <w:sz w:val="13"/>
                          </w:rPr>
                          <w:t>Pagos en exceso</w:t>
                        </w:r>
                      </w:p>
                    </w:tc>
                  </w:tr>
                  <w:tr>
                    <w:trPr>
                      <w:trHeight w:val="172" w:hRule="exact"/>
                    </w:trPr>
                    <w:tc>
                      <w:tcPr>
                        <w:tcW w:w="1519" w:type="dxa"/>
                        <w:vMerge/>
                      </w:tcPr>
                      <w:p>
                        <w:pPr/>
                      </w:p>
                    </w:tc>
                    <w:tc>
                      <w:tcPr>
                        <w:tcW w:w="1222" w:type="dxa"/>
                        <w:vMerge/>
                      </w:tcPr>
                      <w:p>
                        <w:pPr/>
                      </w:p>
                    </w:tc>
                    <w:tc>
                      <w:tcPr>
                        <w:tcW w:w="742" w:type="dxa"/>
                      </w:tcPr>
                      <w:p>
                        <w:pPr>
                          <w:pStyle w:val="TableParagraph"/>
                          <w:spacing w:before="5"/>
                          <w:ind w:right="18"/>
                          <w:jc w:val="right"/>
                          <w:rPr>
                            <w:sz w:val="13"/>
                          </w:rPr>
                        </w:pPr>
                        <w:r>
                          <w:rPr>
                            <w:w w:val="105"/>
                            <w:sz w:val="13"/>
                          </w:rPr>
                          <w:t>2,726.30</w:t>
                        </w:r>
                      </w:p>
                    </w:tc>
                    <w:tc>
                      <w:tcPr>
                        <w:tcW w:w="3518" w:type="dxa"/>
                      </w:tcPr>
                      <w:p>
                        <w:pPr>
                          <w:pStyle w:val="TableParagraph"/>
                          <w:spacing w:before="5"/>
                          <w:ind w:left="20" w:right="67"/>
                          <w:rPr>
                            <w:sz w:val="13"/>
                          </w:rPr>
                        </w:pPr>
                        <w:r>
                          <w:rPr>
                            <w:w w:val="105"/>
                            <w:sz w:val="13"/>
                          </w:rPr>
                          <w:t>Obras que no operan</w:t>
                        </w:r>
                      </w:p>
                    </w:tc>
                  </w:tr>
                  <w:tr>
                    <w:trPr>
                      <w:trHeight w:val="346" w:hRule="exact"/>
                    </w:trPr>
                    <w:tc>
                      <w:tcPr>
                        <w:tcW w:w="1519" w:type="dxa"/>
                        <w:vMerge/>
                      </w:tcPr>
                      <w:p>
                        <w:pPr/>
                      </w:p>
                    </w:tc>
                    <w:tc>
                      <w:tcPr>
                        <w:tcW w:w="1222" w:type="dxa"/>
                        <w:vMerge/>
                      </w:tcPr>
                      <w:p>
                        <w:pPr/>
                      </w:p>
                    </w:tc>
                    <w:tc>
                      <w:tcPr>
                        <w:tcW w:w="742" w:type="dxa"/>
                      </w:tcPr>
                      <w:p>
                        <w:pPr>
                          <w:pStyle w:val="TableParagraph"/>
                          <w:spacing w:before="4"/>
                          <w:rPr>
                            <w:b/>
                            <w:sz w:val="15"/>
                          </w:rPr>
                        </w:pPr>
                      </w:p>
                      <w:p>
                        <w:pPr>
                          <w:pStyle w:val="TableParagraph"/>
                          <w:spacing w:before="1"/>
                          <w:ind w:right="17"/>
                          <w:jc w:val="right"/>
                          <w:rPr>
                            <w:sz w:val="13"/>
                          </w:rPr>
                        </w:pPr>
                        <w:r>
                          <w:rPr>
                            <w:w w:val="105"/>
                            <w:sz w:val="13"/>
                          </w:rPr>
                          <w:t>650.00</w:t>
                        </w:r>
                      </w:p>
                    </w:tc>
                    <w:tc>
                      <w:tcPr>
                        <w:tcW w:w="3518" w:type="dxa"/>
                      </w:tcPr>
                      <w:p>
                        <w:pPr>
                          <w:pStyle w:val="TableParagraph"/>
                          <w:spacing w:line="276" w:lineRule="auto" w:before="5"/>
                          <w:ind w:left="20" w:right="67"/>
                          <w:rPr>
                            <w:sz w:val="13"/>
                          </w:rPr>
                        </w:pPr>
                        <w:r>
                          <w:rPr>
                            <w:w w:val="105"/>
                            <w:sz w:val="13"/>
                          </w:rPr>
                          <w:t>Recursos federales aplicados en rubros o programas no contemplados en a Ley de Coordinación Fiscal</w:t>
                        </w:r>
                      </w:p>
                    </w:tc>
                  </w:tr>
                  <w:tr>
                    <w:trPr>
                      <w:trHeight w:val="345" w:hRule="exact"/>
                    </w:trPr>
                    <w:tc>
                      <w:tcPr>
                        <w:tcW w:w="1519" w:type="dxa"/>
                        <w:vMerge/>
                      </w:tcPr>
                      <w:p>
                        <w:pPr/>
                      </w:p>
                    </w:tc>
                    <w:tc>
                      <w:tcPr>
                        <w:tcW w:w="1222" w:type="dxa"/>
                        <w:vMerge/>
                      </w:tcPr>
                      <w:p>
                        <w:pPr/>
                      </w:p>
                    </w:tc>
                    <w:tc>
                      <w:tcPr>
                        <w:tcW w:w="742" w:type="dxa"/>
                      </w:tcPr>
                      <w:p>
                        <w:pPr>
                          <w:pStyle w:val="TableParagraph"/>
                          <w:spacing w:before="5"/>
                          <w:rPr>
                            <w:b/>
                            <w:sz w:val="15"/>
                          </w:rPr>
                        </w:pPr>
                      </w:p>
                      <w:p>
                        <w:pPr>
                          <w:pStyle w:val="TableParagraph"/>
                          <w:ind w:right="17"/>
                          <w:jc w:val="right"/>
                          <w:rPr>
                            <w:sz w:val="13"/>
                          </w:rPr>
                        </w:pPr>
                        <w:r>
                          <w:rPr>
                            <w:w w:val="105"/>
                            <w:sz w:val="13"/>
                          </w:rPr>
                          <w:t>612.00</w:t>
                        </w:r>
                      </w:p>
                    </w:tc>
                    <w:tc>
                      <w:tcPr>
                        <w:tcW w:w="3518" w:type="dxa"/>
                      </w:tcPr>
                      <w:p>
                        <w:pPr>
                          <w:pStyle w:val="TableParagraph"/>
                          <w:spacing w:line="276" w:lineRule="auto" w:before="5"/>
                          <w:ind w:left="19" w:right="469" w:firstLine="1"/>
                          <w:rPr>
                            <w:sz w:val="13"/>
                          </w:rPr>
                        </w:pPr>
                        <w:r>
                          <w:rPr>
                            <w:w w:val="105"/>
                            <w:sz w:val="13"/>
                          </w:rPr>
                          <w:t>Proyectos no relacionados con el rubro de gastos indirectos</w:t>
                        </w:r>
                      </w:p>
                    </w:tc>
                  </w:tr>
                  <w:tr>
                    <w:trPr>
                      <w:trHeight w:val="173" w:hRule="exact"/>
                    </w:trPr>
                    <w:tc>
                      <w:tcPr>
                        <w:tcW w:w="1519" w:type="dxa"/>
                        <w:vMerge/>
                      </w:tcPr>
                      <w:p>
                        <w:pPr/>
                      </w:p>
                    </w:tc>
                    <w:tc>
                      <w:tcPr>
                        <w:tcW w:w="1222" w:type="dxa"/>
                        <w:vMerge/>
                      </w:tcPr>
                      <w:p>
                        <w:pPr/>
                      </w:p>
                    </w:tc>
                    <w:tc>
                      <w:tcPr>
                        <w:tcW w:w="742" w:type="dxa"/>
                      </w:tcPr>
                      <w:p>
                        <w:pPr>
                          <w:pStyle w:val="TableParagraph"/>
                          <w:spacing w:before="5"/>
                          <w:ind w:right="17"/>
                          <w:jc w:val="right"/>
                          <w:rPr>
                            <w:sz w:val="13"/>
                          </w:rPr>
                        </w:pPr>
                        <w:r>
                          <w:rPr>
                            <w:w w:val="105"/>
                            <w:sz w:val="13"/>
                          </w:rPr>
                          <w:t>802.10</w:t>
                        </w:r>
                      </w:p>
                    </w:tc>
                    <w:tc>
                      <w:tcPr>
                        <w:tcW w:w="3518" w:type="dxa"/>
                      </w:tcPr>
                      <w:p>
                        <w:pPr>
                          <w:pStyle w:val="TableParagraph"/>
                          <w:spacing w:before="5"/>
                          <w:ind w:left="20" w:right="67"/>
                          <w:rPr>
                            <w:sz w:val="13"/>
                          </w:rPr>
                        </w:pPr>
                        <w:r>
                          <w:rPr>
                            <w:w w:val="105"/>
                            <w:sz w:val="13"/>
                          </w:rPr>
                          <w:t>Pendiente de aclarar</w:t>
                        </w:r>
                      </w:p>
                    </w:tc>
                  </w:tr>
                  <w:tr>
                    <w:trPr>
                      <w:trHeight w:val="172" w:hRule="exact"/>
                    </w:trPr>
                    <w:tc>
                      <w:tcPr>
                        <w:tcW w:w="1519" w:type="dxa"/>
                        <w:vMerge w:val="restart"/>
                      </w:tcPr>
                      <w:p>
                        <w:pPr>
                          <w:pStyle w:val="TableParagraph"/>
                          <w:spacing w:before="89"/>
                          <w:ind w:left="527" w:right="516"/>
                          <w:jc w:val="center"/>
                          <w:rPr>
                            <w:sz w:val="13"/>
                          </w:rPr>
                        </w:pPr>
                        <w:r>
                          <w:rPr>
                            <w:w w:val="105"/>
                            <w:sz w:val="13"/>
                          </w:rPr>
                          <w:t>Chalco</w:t>
                        </w:r>
                      </w:p>
                    </w:tc>
                    <w:tc>
                      <w:tcPr>
                        <w:tcW w:w="1222" w:type="dxa"/>
                        <w:vMerge w:val="restart"/>
                      </w:tcPr>
                      <w:p>
                        <w:pPr>
                          <w:pStyle w:val="TableParagraph"/>
                          <w:spacing w:before="89"/>
                          <w:ind w:left="310"/>
                          <w:rPr>
                            <w:sz w:val="13"/>
                          </w:rPr>
                        </w:pPr>
                        <w:r>
                          <w:rPr>
                            <w:w w:val="105"/>
                            <w:sz w:val="13"/>
                          </w:rPr>
                          <w:t>11,597.10</w:t>
                        </w:r>
                      </w:p>
                    </w:tc>
                    <w:tc>
                      <w:tcPr>
                        <w:tcW w:w="742" w:type="dxa"/>
                      </w:tcPr>
                      <w:p>
                        <w:pPr>
                          <w:pStyle w:val="TableParagraph"/>
                          <w:spacing w:before="4"/>
                          <w:ind w:right="17"/>
                          <w:jc w:val="right"/>
                          <w:rPr>
                            <w:sz w:val="13"/>
                          </w:rPr>
                        </w:pPr>
                        <w:r>
                          <w:rPr>
                            <w:w w:val="105"/>
                            <w:sz w:val="13"/>
                          </w:rPr>
                          <w:t>507.50</w:t>
                        </w:r>
                      </w:p>
                    </w:tc>
                    <w:tc>
                      <w:tcPr>
                        <w:tcW w:w="3518" w:type="dxa"/>
                      </w:tcPr>
                      <w:p>
                        <w:pPr>
                          <w:pStyle w:val="TableParagraph"/>
                          <w:spacing w:before="4"/>
                          <w:ind w:left="20" w:right="67"/>
                          <w:rPr>
                            <w:sz w:val="13"/>
                          </w:rPr>
                        </w:pPr>
                        <w:r>
                          <w:rPr>
                            <w:w w:val="105"/>
                            <w:sz w:val="13"/>
                          </w:rPr>
                          <w:t>obras canceladas</w:t>
                        </w:r>
                      </w:p>
                    </w:tc>
                  </w:tr>
                  <w:tr>
                    <w:trPr>
                      <w:trHeight w:val="172" w:hRule="exact"/>
                    </w:trPr>
                    <w:tc>
                      <w:tcPr>
                        <w:tcW w:w="1519" w:type="dxa"/>
                        <w:vMerge/>
                      </w:tcPr>
                      <w:p>
                        <w:pPr/>
                      </w:p>
                    </w:tc>
                    <w:tc>
                      <w:tcPr>
                        <w:tcW w:w="1222" w:type="dxa"/>
                        <w:vMerge/>
                      </w:tcPr>
                      <w:p>
                        <w:pPr/>
                      </w:p>
                    </w:tc>
                    <w:tc>
                      <w:tcPr>
                        <w:tcW w:w="742" w:type="dxa"/>
                      </w:tcPr>
                      <w:p>
                        <w:pPr>
                          <w:pStyle w:val="TableParagraph"/>
                          <w:spacing w:before="5"/>
                          <w:ind w:right="17"/>
                          <w:jc w:val="right"/>
                          <w:rPr>
                            <w:sz w:val="13"/>
                          </w:rPr>
                        </w:pPr>
                        <w:r>
                          <w:rPr>
                            <w:w w:val="105"/>
                            <w:sz w:val="13"/>
                          </w:rPr>
                          <w:t>11,089.60</w:t>
                        </w:r>
                      </w:p>
                    </w:tc>
                    <w:tc>
                      <w:tcPr>
                        <w:tcW w:w="3518" w:type="dxa"/>
                      </w:tcPr>
                      <w:p>
                        <w:pPr>
                          <w:pStyle w:val="TableParagraph"/>
                          <w:spacing w:before="5"/>
                          <w:ind w:left="20" w:right="67"/>
                          <w:rPr>
                            <w:sz w:val="13"/>
                          </w:rPr>
                        </w:pPr>
                        <w:r>
                          <w:rPr>
                            <w:w w:val="105"/>
                            <w:sz w:val="13"/>
                          </w:rPr>
                          <w:t>Pendiente de aclarar</w:t>
                        </w:r>
                      </w:p>
                    </w:tc>
                  </w:tr>
                  <w:tr>
                    <w:trPr>
                      <w:trHeight w:val="172" w:hRule="exact"/>
                    </w:trPr>
                    <w:tc>
                      <w:tcPr>
                        <w:tcW w:w="1519" w:type="dxa"/>
                        <w:vMerge w:val="restart"/>
                      </w:tcPr>
                      <w:p>
                        <w:pPr>
                          <w:pStyle w:val="TableParagraph"/>
                          <w:rPr>
                            <w:b/>
                            <w:sz w:val="14"/>
                          </w:rPr>
                        </w:pPr>
                      </w:p>
                      <w:p>
                        <w:pPr>
                          <w:pStyle w:val="TableParagraph"/>
                          <w:spacing w:before="4"/>
                          <w:rPr>
                            <w:b/>
                            <w:sz w:val="16"/>
                          </w:rPr>
                        </w:pPr>
                      </w:p>
                      <w:p>
                        <w:pPr>
                          <w:pStyle w:val="TableParagraph"/>
                          <w:spacing w:before="1"/>
                          <w:ind w:left="321"/>
                          <w:rPr>
                            <w:sz w:val="13"/>
                          </w:rPr>
                        </w:pPr>
                        <w:r>
                          <w:rPr>
                            <w:w w:val="105"/>
                            <w:sz w:val="13"/>
                          </w:rPr>
                          <w:t>Chimalhuacán</w:t>
                        </w:r>
                      </w:p>
                    </w:tc>
                    <w:tc>
                      <w:tcPr>
                        <w:tcW w:w="1222" w:type="dxa"/>
                        <w:vMerge w:val="restart"/>
                      </w:tcPr>
                      <w:p>
                        <w:pPr>
                          <w:pStyle w:val="TableParagraph"/>
                          <w:rPr>
                            <w:b/>
                            <w:sz w:val="14"/>
                          </w:rPr>
                        </w:pPr>
                      </w:p>
                      <w:p>
                        <w:pPr>
                          <w:pStyle w:val="TableParagraph"/>
                          <w:spacing w:before="4"/>
                          <w:rPr>
                            <w:b/>
                            <w:sz w:val="16"/>
                          </w:rPr>
                        </w:pPr>
                      </w:p>
                      <w:p>
                        <w:pPr>
                          <w:pStyle w:val="TableParagraph"/>
                          <w:spacing w:before="1"/>
                          <w:ind w:left="304"/>
                          <w:rPr>
                            <w:sz w:val="13"/>
                          </w:rPr>
                        </w:pPr>
                        <w:r>
                          <w:rPr>
                            <w:w w:val="105"/>
                            <w:sz w:val="13"/>
                          </w:rPr>
                          <w:t>15,933.00</w:t>
                        </w:r>
                      </w:p>
                    </w:tc>
                    <w:tc>
                      <w:tcPr>
                        <w:tcW w:w="742" w:type="dxa"/>
                      </w:tcPr>
                      <w:p>
                        <w:pPr>
                          <w:pStyle w:val="TableParagraph"/>
                          <w:spacing w:before="5"/>
                          <w:ind w:right="19"/>
                          <w:jc w:val="right"/>
                          <w:rPr>
                            <w:sz w:val="13"/>
                          </w:rPr>
                        </w:pPr>
                        <w:r>
                          <w:rPr>
                            <w:w w:val="105"/>
                            <w:sz w:val="13"/>
                          </w:rPr>
                          <w:t>13,980.30</w:t>
                        </w:r>
                      </w:p>
                    </w:tc>
                    <w:tc>
                      <w:tcPr>
                        <w:tcW w:w="3518" w:type="dxa"/>
                      </w:tcPr>
                      <w:p>
                        <w:pPr>
                          <w:pStyle w:val="TableParagraph"/>
                          <w:spacing w:before="5"/>
                          <w:ind w:left="20" w:right="67"/>
                          <w:rPr>
                            <w:sz w:val="13"/>
                          </w:rPr>
                        </w:pPr>
                        <w:r>
                          <w:rPr>
                            <w:w w:val="105"/>
                            <w:sz w:val="13"/>
                          </w:rPr>
                          <w:t>Inadecuada formalización de convenios</w:t>
                        </w:r>
                      </w:p>
                    </w:tc>
                  </w:tr>
                  <w:tr>
                    <w:trPr>
                      <w:trHeight w:val="174" w:hRule="exact"/>
                    </w:trPr>
                    <w:tc>
                      <w:tcPr>
                        <w:tcW w:w="1519" w:type="dxa"/>
                        <w:vMerge/>
                      </w:tcPr>
                      <w:p>
                        <w:pPr/>
                      </w:p>
                    </w:tc>
                    <w:tc>
                      <w:tcPr>
                        <w:tcW w:w="1222" w:type="dxa"/>
                        <w:vMerge/>
                      </w:tcPr>
                      <w:p>
                        <w:pPr/>
                      </w:p>
                    </w:tc>
                    <w:tc>
                      <w:tcPr>
                        <w:tcW w:w="742" w:type="dxa"/>
                      </w:tcPr>
                      <w:p>
                        <w:pPr>
                          <w:pStyle w:val="TableParagraph"/>
                          <w:spacing w:before="5"/>
                          <w:ind w:right="16"/>
                          <w:jc w:val="right"/>
                          <w:rPr>
                            <w:sz w:val="13"/>
                          </w:rPr>
                        </w:pPr>
                        <w:r>
                          <w:rPr>
                            <w:w w:val="105"/>
                            <w:sz w:val="13"/>
                          </w:rPr>
                          <w:t>95.90</w:t>
                        </w:r>
                      </w:p>
                    </w:tc>
                    <w:tc>
                      <w:tcPr>
                        <w:tcW w:w="3518" w:type="dxa"/>
                      </w:tcPr>
                      <w:p>
                        <w:pPr>
                          <w:pStyle w:val="TableParagraph"/>
                          <w:spacing w:before="5"/>
                          <w:ind w:left="20" w:right="67"/>
                          <w:rPr>
                            <w:sz w:val="13"/>
                          </w:rPr>
                        </w:pPr>
                        <w:r>
                          <w:rPr>
                            <w:w w:val="105"/>
                            <w:sz w:val="13"/>
                          </w:rPr>
                          <w:t>Pagos en exceso</w:t>
                        </w:r>
                      </w:p>
                    </w:tc>
                  </w:tr>
                  <w:tr>
                    <w:trPr>
                      <w:trHeight w:val="345" w:hRule="exact"/>
                    </w:trPr>
                    <w:tc>
                      <w:tcPr>
                        <w:tcW w:w="1519" w:type="dxa"/>
                        <w:vMerge/>
                      </w:tcPr>
                      <w:p>
                        <w:pPr/>
                      </w:p>
                    </w:tc>
                    <w:tc>
                      <w:tcPr>
                        <w:tcW w:w="1222" w:type="dxa"/>
                        <w:vMerge/>
                      </w:tcPr>
                      <w:p>
                        <w:pPr/>
                      </w:p>
                    </w:tc>
                    <w:tc>
                      <w:tcPr>
                        <w:tcW w:w="742" w:type="dxa"/>
                      </w:tcPr>
                      <w:p>
                        <w:pPr>
                          <w:pStyle w:val="TableParagraph"/>
                          <w:spacing w:before="4"/>
                          <w:rPr>
                            <w:b/>
                            <w:sz w:val="15"/>
                          </w:rPr>
                        </w:pPr>
                      </w:p>
                      <w:p>
                        <w:pPr>
                          <w:pStyle w:val="TableParagraph"/>
                          <w:spacing w:before="1"/>
                          <w:ind w:right="18"/>
                          <w:jc w:val="right"/>
                          <w:rPr>
                            <w:sz w:val="13"/>
                          </w:rPr>
                        </w:pPr>
                        <w:r>
                          <w:rPr>
                            <w:w w:val="105"/>
                            <w:sz w:val="13"/>
                          </w:rPr>
                          <w:t>1,017.30</w:t>
                        </w:r>
                      </w:p>
                    </w:tc>
                    <w:tc>
                      <w:tcPr>
                        <w:tcW w:w="3518" w:type="dxa"/>
                      </w:tcPr>
                      <w:p>
                        <w:pPr>
                          <w:pStyle w:val="TableParagraph"/>
                          <w:spacing w:line="278" w:lineRule="auto" w:before="4"/>
                          <w:ind w:left="19" w:right="469" w:firstLine="1"/>
                          <w:rPr>
                            <w:sz w:val="13"/>
                          </w:rPr>
                        </w:pPr>
                        <w:r>
                          <w:rPr>
                            <w:w w:val="105"/>
                            <w:sz w:val="13"/>
                          </w:rPr>
                          <w:t>Proyectos no relacionados con el rubro de gastos indirectos</w:t>
                        </w:r>
                      </w:p>
                    </w:tc>
                  </w:tr>
                  <w:tr>
                    <w:trPr>
                      <w:trHeight w:val="172" w:hRule="exact"/>
                    </w:trPr>
                    <w:tc>
                      <w:tcPr>
                        <w:tcW w:w="1519" w:type="dxa"/>
                        <w:vMerge/>
                      </w:tcPr>
                      <w:p>
                        <w:pPr/>
                      </w:p>
                    </w:tc>
                    <w:tc>
                      <w:tcPr>
                        <w:tcW w:w="1222" w:type="dxa"/>
                        <w:vMerge/>
                      </w:tcPr>
                      <w:p>
                        <w:pPr/>
                      </w:p>
                    </w:tc>
                    <w:tc>
                      <w:tcPr>
                        <w:tcW w:w="742" w:type="dxa"/>
                      </w:tcPr>
                      <w:p>
                        <w:pPr>
                          <w:pStyle w:val="TableParagraph"/>
                          <w:spacing w:before="5"/>
                          <w:ind w:right="17"/>
                          <w:jc w:val="right"/>
                          <w:rPr>
                            <w:sz w:val="13"/>
                          </w:rPr>
                        </w:pPr>
                        <w:r>
                          <w:rPr>
                            <w:w w:val="105"/>
                            <w:sz w:val="13"/>
                          </w:rPr>
                          <w:t>839.50</w:t>
                        </w:r>
                      </w:p>
                    </w:tc>
                    <w:tc>
                      <w:tcPr>
                        <w:tcW w:w="3518" w:type="dxa"/>
                      </w:tcPr>
                      <w:p>
                        <w:pPr>
                          <w:pStyle w:val="TableParagraph"/>
                          <w:spacing w:before="5"/>
                          <w:ind w:left="20" w:right="67"/>
                          <w:rPr>
                            <w:sz w:val="13"/>
                          </w:rPr>
                        </w:pPr>
                        <w:r>
                          <w:rPr>
                            <w:w w:val="105"/>
                            <w:sz w:val="13"/>
                          </w:rPr>
                          <w:t>Pendiente de aclarar</w:t>
                        </w:r>
                      </w:p>
                    </w:tc>
                  </w:tr>
                  <w:tr>
                    <w:trPr>
                      <w:trHeight w:val="346" w:hRule="exact"/>
                    </w:trPr>
                    <w:tc>
                      <w:tcPr>
                        <w:tcW w:w="1519" w:type="dxa"/>
                        <w:vMerge w:val="restart"/>
                      </w:tcPr>
                      <w:p>
                        <w:pPr>
                          <w:pStyle w:val="TableParagraph"/>
                          <w:rPr>
                            <w:b/>
                            <w:sz w:val="14"/>
                          </w:rPr>
                        </w:pPr>
                      </w:p>
                      <w:p>
                        <w:pPr>
                          <w:pStyle w:val="TableParagraph"/>
                          <w:spacing w:before="6"/>
                          <w:rPr>
                            <w:b/>
                            <w:sz w:val="16"/>
                          </w:rPr>
                        </w:pPr>
                      </w:p>
                      <w:p>
                        <w:pPr>
                          <w:pStyle w:val="TableParagraph"/>
                          <w:ind w:left="447"/>
                          <w:rPr>
                            <w:sz w:val="13"/>
                          </w:rPr>
                        </w:pPr>
                        <w:r>
                          <w:rPr>
                            <w:w w:val="105"/>
                            <w:sz w:val="13"/>
                          </w:rPr>
                          <w:t>Ixtapaluca</w:t>
                        </w:r>
                      </w:p>
                    </w:tc>
                    <w:tc>
                      <w:tcPr>
                        <w:tcW w:w="1222" w:type="dxa"/>
                        <w:vMerge w:val="restart"/>
                      </w:tcPr>
                      <w:p>
                        <w:pPr>
                          <w:pStyle w:val="TableParagraph"/>
                          <w:rPr>
                            <w:b/>
                            <w:sz w:val="14"/>
                          </w:rPr>
                        </w:pPr>
                      </w:p>
                      <w:p>
                        <w:pPr>
                          <w:pStyle w:val="TableParagraph"/>
                          <w:spacing w:before="6"/>
                          <w:rPr>
                            <w:b/>
                            <w:sz w:val="16"/>
                          </w:rPr>
                        </w:pPr>
                      </w:p>
                      <w:p>
                        <w:pPr>
                          <w:pStyle w:val="TableParagraph"/>
                          <w:ind w:left="304"/>
                          <w:rPr>
                            <w:sz w:val="13"/>
                          </w:rPr>
                        </w:pPr>
                        <w:r>
                          <w:rPr>
                            <w:w w:val="105"/>
                            <w:sz w:val="13"/>
                          </w:rPr>
                          <w:t>30,372.80</w:t>
                        </w:r>
                      </w:p>
                    </w:tc>
                    <w:tc>
                      <w:tcPr>
                        <w:tcW w:w="742" w:type="dxa"/>
                      </w:tcPr>
                      <w:p>
                        <w:pPr>
                          <w:pStyle w:val="TableParagraph"/>
                          <w:spacing w:before="5"/>
                          <w:rPr>
                            <w:b/>
                            <w:sz w:val="15"/>
                          </w:rPr>
                        </w:pPr>
                      </w:p>
                      <w:p>
                        <w:pPr>
                          <w:pStyle w:val="TableParagraph"/>
                          <w:spacing w:before="1"/>
                          <w:ind w:right="18"/>
                          <w:jc w:val="right"/>
                          <w:rPr>
                            <w:sz w:val="13"/>
                          </w:rPr>
                        </w:pPr>
                        <w:r>
                          <w:rPr>
                            <w:w w:val="105"/>
                            <w:sz w:val="13"/>
                          </w:rPr>
                          <w:t>9,925.60</w:t>
                        </w:r>
                      </w:p>
                    </w:tc>
                    <w:tc>
                      <w:tcPr>
                        <w:tcW w:w="3518" w:type="dxa"/>
                      </w:tcPr>
                      <w:p>
                        <w:pPr>
                          <w:pStyle w:val="TableParagraph"/>
                          <w:spacing w:line="278" w:lineRule="auto" w:before="5"/>
                          <w:ind w:left="20" w:right="67"/>
                          <w:rPr>
                            <w:sz w:val="13"/>
                          </w:rPr>
                        </w:pPr>
                        <w:r>
                          <w:rPr>
                            <w:w w:val="105"/>
                            <w:sz w:val="13"/>
                          </w:rPr>
                          <w:t>Anticipo de 5 obras de las cuales 3 están suspendidas y 2 en proceso</w:t>
                        </w:r>
                      </w:p>
                    </w:tc>
                  </w:tr>
                  <w:tr>
                    <w:trPr>
                      <w:trHeight w:val="172" w:hRule="exact"/>
                    </w:trPr>
                    <w:tc>
                      <w:tcPr>
                        <w:tcW w:w="1519" w:type="dxa"/>
                        <w:vMerge/>
                      </w:tcPr>
                      <w:p>
                        <w:pPr/>
                      </w:p>
                    </w:tc>
                    <w:tc>
                      <w:tcPr>
                        <w:tcW w:w="1222" w:type="dxa"/>
                        <w:vMerge/>
                      </w:tcPr>
                      <w:p>
                        <w:pPr/>
                      </w:p>
                    </w:tc>
                    <w:tc>
                      <w:tcPr>
                        <w:tcW w:w="742" w:type="dxa"/>
                      </w:tcPr>
                      <w:p>
                        <w:pPr>
                          <w:pStyle w:val="TableParagraph"/>
                          <w:spacing w:before="5"/>
                          <w:ind w:right="19"/>
                          <w:jc w:val="right"/>
                          <w:rPr>
                            <w:sz w:val="13"/>
                          </w:rPr>
                        </w:pPr>
                        <w:r>
                          <w:rPr>
                            <w:w w:val="105"/>
                            <w:sz w:val="13"/>
                          </w:rPr>
                          <w:t>20,447.20</w:t>
                        </w:r>
                      </w:p>
                    </w:tc>
                    <w:tc>
                      <w:tcPr>
                        <w:tcW w:w="3518" w:type="dxa"/>
                      </w:tcPr>
                      <w:p>
                        <w:pPr>
                          <w:pStyle w:val="TableParagraph"/>
                          <w:spacing w:before="5"/>
                          <w:ind w:left="20" w:right="67"/>
                          <w:rPr>
                            <w:sz w:val="13"/>
                          </w:rPr>
                        </w:pPr>
                        <w:r>
                          <w:rPr>
                            <w:w w:val="105"/>
                            <w:sz w:val="13"/>
                          </w:rPr>
                          <w:t>Pendiente de aclarar</w:t>
                        </w:r>
                      </w:p>
                    </w:tc>
                  </w:tr>
                  <w:tr>
                    <w:trPr>
                      <w:trHeight w:val="172" w:hRule="exact"/>
                    </w:trPr>
                    <w:tc>
                      <w:tcPr>
                        <w:tcW w:w="1519" w:type="dxa"/>
                      </w:tcPr>
                      <w:p>
                        <w:pPr>
                          <w:pStyle w:val="TableParagraph"/>
                          <w:spacing w:before="5"/>
                          <w:ind w:left="447"/>
                          <w:rPr>
                            <w:sz w:val="13"/>
                          </w:rPr>
                        </w:pPr>
                        <w:r>
                          <w:rPr>
                            <w:w w:val="105"/>
                            <w:sz w:val="13"/>
                          </w:rPr>
                          <w:t>Ixtlahuaca</w:t>
                        </w:r>
                      </w:p>
                    </w:tc>
                    <w:tc>
                      <w:tcPr>
                        <w:tcW w:w="1222" w:type="dxa"/>
                      </w:tcPr>
                      <w:p>
                        <w:pPr>
                          <w:pStyle w:val="TableParagraph"/>
                          <w:spacing w:before="5"/>
                          <w:ind w:right="19"/>
                          <w:jc w:val="right"/>
                          <w:rPr>
                            <w:sz w:val="13"/>
                          </w:rPr>
                        </w:pPr>
                        <w:r>
                          <w:rPr>
                            <w:w w:val="105"/>
                            <w:sz w:val="13"/>
                          </w:rPr>
                          <w:t>6,930.00</w:t>
                        </w:r>
                      </w:p>
                    </w:tc>
                    <w:tc>
                      <w:tcPr>
                        <w:tcW w:w="742" w:type="dxa"/>
                      </w:tcPr>
                      <w:p>
                        <w:pPr/>
                      </w:p>
                    </w:tc>
                    <w:tc>
                      <w:tcPr>
                        <w:tcW w:w="3518" w:type="dxa"/>
                      </w:tcPr>
                      <w:p>
                        <w:pPr>
                          <w:pStyle w:val="TableParagraph"/>
                          <w:spacing w:before="5"/>
                          <w:ind w:left="20" w:right="67"/>
                          <w:rPr>
                            <w:sz w:val="13"/>
                          </w:rPr>
                        </w:pPr>
                        <w:r>
                          <w:rPr>
                            <w:w w:val="105"/>
                            <w:sz w:val="13"/>
                          </w:rPr>
                          <w:t>Pendiente de aclarar</w:t>
                        </w:r>
                      </w:p>
                    </w:tc>
                  </w:tr>
                  <w:tr>
                    <w:trPr>
                      <w:trHeight w:val="173" w:hRule="exact"/>
                    </w:trPr>
                    <w:tc>
                      <w:tcPr>
                        <w:tcW w:w="1519" w:type="dxa"/>
                        <w:vMerge w:val="restart"/>
                      </w:tcPr>
                      <w:p>
                        <w:pPr>
                          <w:pStyle w:val="TableParagraph"/>
                          <w:rPr>
                            <w:b/>
                            <w:sz w:val="14"/>
                          </w:rPr>
                        </w:pPr>
                      </w:p>
                      <w:p>
                        <w:pPr>
                          <w:pStyle w:val="TableParagraph"/>
                          <w:rPr>
                            <w:b/>
                            <w:sz w:val="14"/>
                          </w:rPr>
                        </w:pPr>
                      </w:p>
                      <w:p>
                        <w:pPr>
                          <w:pStyle w:val="TableParagraph"/>
                          <w:spacing w:before="5"/>
                          <w:rPr>
                            <w:b/>
                            <w:sz w:val="17"/>
                          </w:rPr>
                        </w:pPr>
                      </w:p>
                      <w:p>
                        <w:pPr>
                          <w:pStyle w:val="TableParagraph"/>
                          <w:spacing w:before="1"/>
                          <w:ind w:left="489"/>
                          <w:rPr>
                            <w:sz w:val="13"/>
                          </w:rPr>
                        </w:pPr>
                        <w:r>
                          <w:rPr>
                            <w:w w:val="105"/>
                            <w:sz w:val="13"/>
                          </w:rPr>
                          <w:t>Jilotepec</w:t>
                        </w:r>
                      </w:p>
                    </w:tc>
                    <w:tc>
                      <w:tcPr>
                        <w:tcW w:w="1222" w:type="dxa"/>
                        <w:vMerge w:val="restart"/>
                      </w:tcPr>
                      <w:p>
                        <w:pPr>
                          <w:pStyle w:val="TableParagraph"/>
                          <w:rPr>
                            <w:b/>
                            <w:sz w:val="14"/>
                          </w:rPr>
                        </w:pPr>
                      </w:p>
                      <w:p>
                        <w:pPr>
                          <w:pStyle w:val="TableParagraph"/>
                          <w:rPr>
                            <w:b/>
                            <w:sz w:val="14"/>
                          </w:rPr>
                        </w:pPr>
                      </w:p>
                      <w:p>
                        <w:pPr>
                          <w:pStyle w:val="TableParagraph"/>
                          <w:spacing w:before="5"/>
                          <w:rPr>
                            <w:b/>
                            <w:sz w:val="17"/>
                          </w:rPr>
                        </w:pPr>
                      </w:p>
                      <w:p>
                        <w:pPr>
                          <w:pStyle w:val="TableParagraph"/>
                          <w:spacing w:before="1"/>
                          <w:ind w:left="658"/>
                          <w:rPr>
                            <w:sz w:val="13"/>
                          </w:rPr>
                        </w:pPr>
                        <w:r>
                          <w:rPr>
                            <w:w w:val="105"/>
                            <w:sz w:val="13"/>
                          </w:rPr>
                          <w:t>1,627.50</w:t>
                        </w:r>
                      </w:p>
                    </w:tc>
                    <w:tc>
                      <w:tcPr>
                        <w:tcW w:w="742" w:type="dxa"/>
                      </w:tcPr>
                      <w:p>
                        <w:pPr>
                          <w:pStyle w:val="TableParagraph"/>
                          <w:spacing w:before="5"/>
                          <w:ind w:right="16"/>
                          <w:jc w:val="right"/>
                          <w:rPr>
                            <w:sz w:val="13"/>
                          </w:rPr>
                        </w:pPr>
                        <w:r>
                          <w:rPr>
                            <w:w w:val="105"/>
                            <w:sz w:val="13"/>
                          </w:rPr>
                          <w:t>60.40</w:t>
                        </w:r>
                      </w:p>
                    </w:tc>
                    <w:tc>
                      <w:tcPr>
                        <w:tcW w:w="3518" w:type="dxa"/>
                      </w:tcPr>
                      <w:p>
                        <w:pPr>
                          <w:pStyle w:val="TableParagraph"/>
                          <w:spacing w:before="5"/>
                          <w:ind w:left="20" w:right="67"/>
                          <w:rPr>
                            <w:sz w:val="13"/>
                          </w:rPr>
                        </w:pPr>
                        <w:r>
                          <w:rPr>
                            <w:w w:val="105"/>
                            <w:sz w:val="13"/>
                          </w:rPr>
                          <w:t>Pagos en exceso</w:t>
                        </w:r>
                      </w:p>
                    </w:tc>
                  </w:tr>
                  <w:tr>
                    <w:trPr>
                      <w:trHeight w:val="345" w:hRule="exact"/>
                    </w:trPr>
                    <w:tc>
                      <w:tcPr>
                        <w:tcW w:w="1519" w:type="dxa"/>
                        <w:vMerge/>
                      </w:tcPr>
                      <w:p>
                        <w:pPr/>
                      </w:p>
                    </w:tc>
                    <w:tc>
                      <w:tcPr>
                        <w:tcW w:w="1222" w:type="dxa"/>
                        <w:vMerge/>
                      </w:tcPr>
                      <w:p>
                        <w:pPr/>
                      </w:p>
                    </w:tc>
                    <w:tc>
                      <w:tcPr>
                        <w:tcW w:w="742" w:type="dxa"/>
                      </w:tcPr>
                      <w:p>
                        <w:pPr>
                          <w:pStyle w:val="TableParagraph"/>
                          <w:spacing w:before="4"/>
                          <w:rPr>
                            <w:b/>
                            <w:sz w:val="15"/>
                          </w:rPr>
                        </w:pPr>
                      </w:p>
                      <w:p>
                        <w:pPr>
                          <w:pStyle w:val="TableParagraph"/>
                          <w:spacing w:before="1"/>
                          <w:ind w:right="17"/>
                          <w:jc w:val="right"/>
                          <w:rPr>
                            <w:sz w:val="13"/>
                          </w:rPr>
                        </w:pPr>
                        <w:r>
                          <w:rPr>
                            <w:w w:val="105"/>
                            <w:sz w:val="13"/>
                          </w:rPr>
                          <w:t>363.80</w:t>
                        </w:r>
                      </w:p>
                    </w:tc>
                    <w:tc>
                      <w:tcPr>
                        <w:tcW w:w="3518" w:type="dxa"/>
                      </w:tcPr>
                      <w:p>
                        <w:pPr>
                          <w:pStyle w:val="TableParagraph"/>
                          <w:spacing w:line="276" w:lineRule="auto" w:before="5"/>
                          <w:ind w:left="20" w:right="67"/>
                          <w:rPr>
                            <w:sz w:val="13"/>
                          </w:rPr>
                        </w:pPr>
                        <w:r>
                          <w:rPr>
                            <w:w w:val="105"/>
                            <w:sz w:val="13"/>
                          </w:rPr>
                          <w:t>Recursos federales aplicados en rubros o programas no contemplados en a Ley de Coordinación Fiscal</w:t>
                        </w:r>
                      </w:p>
                    </w:tc>
                  </w:tr>
                  <w:tr>
                    <w:trPr>
                      <w:trHeight w:val="346" w:hRule="exact"/>
                    </w:trPr>
                    <w:tc>
                      <w:tcPr>
                        <w:tcW w:w="1519" w:type="dxa"/>
                        <w:vMerge/>
                      </w:tcPr>
                      <w:p>
                        <w:pPr/>
                      </w:p>
                    </w:tc>
                    <w:tc>
                      <w:tcPr>
                        <w:tcW w:w="1222" w:type="dxa"/>
                        <w:vMerge/>
                      </w:tcPr>
                      <w:p>
                        <w:pPr/>
                      </w:p>
                    </w:tc>
                    <w:tc>
                      <w:tcPr>
                        <w:tcW w:w="742" w:type="dxa"/>
                      </w:tcPr>
                      <w:p>
                        <w:pPr>
                          <w:pStyle w:val="TableParagraph"/>
                          <w:spacing w:before="4"/>
                          <w:rPr>
                            <w:b/>
                            <w:sz w:val="15"/>
                          </w:rPr>
                        </w:pPr>
                      </w:p>
                      <w:p>
                        <w:pPr>
                          <w:pStyle w:val="TableParagraph"/>
                          <w:spacing w:before="1"/>
                          <w:ind w:right="18"/>
                          <w:jc w:val="right"/>
                          <w:rPr>
                            <w:sz w:val="13"/>
                          </w:rPr>
                        </w:pPr>
                        <w:r>
                          <w:rPr>
                            <w:w w:val="105"/>
                            <w:sz w:val="13"/>
                          </w:rPr>
                          <w:t>1,198.40</w:t>
                        </w:r>
                      </w:p>
                    </w:tc>
                    <w:tc>
                      <w:tcPr>
                        <w:tcW w:w="3518" w:type="dxa"/>
                      </w:tcPr>
                      <w:p>
                        <w:pPr>
                          <w:pStyle w:val="TableParagraph"/>
                          <w:spacing w:line="276" w:lineRule="auto" w:before="5"/>
                          <w:ind w:left="19" w:right="469" w:firstLine="1"/>
                          <w:rPr>
                            <w:sz w:val="13"/>
                          </w:rPr>
                        </w:pPr>
                        <w:r>
                          <w:rPr>
                            <w:w w:val="105"/>
                            <w:sz w:val="13"/>
                          </w:rPr>
                          <w:t>Proyectos no relacionados con el rubro de gastos indirectos</w:t>
                        </w:r>
                      </w:p>
                    </w:tc>
                  </w:tr>
                  <w:tr>
                    <w:trPr>
                      <w:trHeight w:val="345" w:hRule="exact"/>
                    </w:trPr>
                    <w:tc>
                      <w:tcPr>
                        <w:tcW w:w="1519" w:type="dxa"/>
                        <w:vMerge/>
                      </w:tcPr>
                      <w:p>
                        <w:pPr/>
                      </w:p>
                    </w:tc>
                    <w:tc>
                      <w:tcPr>
                        <w:tcW w:w="1222" w:type="dxa"/>
                        <w:vMerge/>
                      </w:tcPr>
                      <w:p>
                        <w:pPr/>
                      </w:p>
                    </w:tc>
                    <w:tc>
                      <w:tcPr>
                        <w:tcW w:w="742" w:type="dxa"/>
                      </w:tcPr>
                      <w:p>
                        <w:pPr>
                          <w:pStyle w:val="TableParagraph"/>
                          <w:spacing w:before="4"/>
                          <w:rPr>
                            <w:b/>
                            <w:sz w:val="15"/>
                          </w:rPr>
                        </w:pPr>
                      </w:p>
                      <w:p>
                        <w:pPr>
                          <w:pStyle w:val="TableParagraph"/>
                          <w:spacing w:before="1"/>
                          <w:ind w:right="19"/>
                          <w:jc w:val="right"/>
                          <w:rPr>
                            <w:sz w:val="13"/>
                          </w:rPr>
                        </w:pPr>
                        <w:r>
                          <w:rPr>
                            <w:w w:val="105"/>
                            <w:sz w:val="13"/>
                          </w:rPr>
                          <w:t>4.90</w:t>
                        </w:r>
                      </w:p>
                    </w:tc>
                    <w:tc>
                      <w:tcPr>
                        <w:tcW w:w="3518" w:type="dxa"/>
                      </w:tcPr>
                      <w:p>
                        <w:pPr>
                          <w:pStyle w:val="TableParagraph"/>
                          <w:spacing w:line="276" w:lineRule="auto" w:before="5"/>
                          <w:ind w:left="21" w:right="7" w:hanging="1"/>
                          <w:rPr>
                            <w:sz w:val="13"/>
                          </w:rPr>
                        </w:pPr>
                        <w:r>
                          <w:rPr>
                            <w:w w:val="105"/>
                            <w:sz w:val="13"/>
                          </w:rPr>
                          <w:t>Transferencias de recursos a otras cuentas del Municipio y no reintegrados</w:t>
                        </w:r>
                      </w:p>
                    </w:tc>
                  </w:tr>
                  <w:tr>
                    <w:trPr>
                      <w:trHeight w:val="519" w:hRule="exact"/>
                    </w:trPr>
                    <w:tc>
                      <w:tcPr>
                        <w:tcW w:w="1519" w:type="dxa"/>
                      </w:tcPr>
                      <w:p>
                        <w:pPr>
                          <w:pStyle w:val="TableParagraph"/>
                          <w:rPr>
                            <w:b/>
                            <w:sz w:val="14"/>
                          </w:rPr>
                        </w:pPr>
                      </w:p>
                      <w:p>
                        <w:pPr>
                          <w:pStyle w:val="TableParagraph"/>
                          <w:spacing w:before="6"/>
                          <w:rPr>
                            <w:b/>
                            <w:sz w:val="16"/>
                          </w:rPr>
                        </w:pPr>
                      </w:p>
                      <w:p>
                        <w:pPr>
                          <w:pStyle w:val="TableParagraph"/>
                          <w:ind w:left="20"/>
                          <w:rPr>
                            <w:sz w:val="13"/>
                          </w:rPr>
                        </w:pPr>
                        <w:r>
                          <w:rPr>
                            <w:w w:val="105"/>
                            <w:sz w:val="13"/>
                          </w:rPr>
                          <w:t>Metepec</w:t>
                        </w:r>
                      </w:p>
                    </w:tc>
                    <w:tc>
                      <w:tcPr>
                        <w:tcW w:w="1222" w:type="dxa"/>
                      </w:tcPr>
                      <w:p>
                        <w:pPr>
                          <w:pStyle w:val="TableParagraph"/>
                          <w:rPr>
                            <w:b/>
                            <w:sz w:val="14"/>
                          </w:rPr>
                        </w:pPr>
                      </w:p>
                      <w:p>
                        <w:pPr>
                          <w:pStyle w:val="TableParagraph"/>
                          <w:spacing w:before="6"/>
                          <w:rPr>
                            <w:b/>
                            <w:sz w:val="16"/>
                          </w:rPr>
                        </w:pPr>
                      </w:p>
                      <w:p>
                        <w:pPr>
                          <w:pStyle w:val="TableParagraph"/>
                          <w:ind w:right="19"/>
                          <w:jc w:val="right"/>
                          <w:rPr>
                            <w:sz w:val="13"/>
                          </w:rPr>
                        </w:pPr>
                        <w:r>
                          <w:rPr>
                            <w:w w:val="105"/>
                            <w:sz w:val="13"/>
                          </w:rPr>
                          <w:t>1,586.30</w:t>
                        </w:r>
                      </w:p>
                    </w:tc>
                    <w:tc>
                      <w:tcPr>
                        <w:tcW w:w="742" w:type="dxa"/>
                      </w:tcPr>
                      <w:p>
                        <w:pPr/>
                      </w:p>
                    </w:tc>
                    <w:tc>
                      <w:tcPr>
                        <w:tcW w:w="3518" w:type="dxa"/>
                      </w:tcPr>
                      <w:p>
                        <w:pPr>
                          <w:pStyle w:val="TableParagraph"/>
                          <w:spacing w:line="278" w:lineRule="auto" w:before="5"/>
                          <w:ind w:left="19" w:right="265" w:firstLine="1"/>
                          <w:rPr>
                            <w:sz w:val="13"/>
                          </w:rPr>
                        </w:pPr>
                        <w:r>
                          <w:rPr>
                            <w:w w:val="105"/>
                            <w:sz w:val="13"/>
                          </w:rPr>
                          <w:t>Aportaciones a la Comisión Federal de Electricidad y que a la fecha de la auditoría no había realizado las obRas convenidas;</w:t>
                        </w:r>
                      </w:p>
                    </w:tc>
                  </w:tr>
                  <w:tr>
                    <w:trPr>
                      <w:trHeight w:val="346" w:hRule="exact"/>
                    </w:trPr>
                    <w:tc>
                      <w:tcPr>
                        <w:tcW w:w="1519" w:type="dxa"/>
                        <w:vMerge w:val="restart"/>
                      </w:tcPr>
                      <w:p>
                        <w:pPr>
                          <w:pStyle w:val="TableParagraph"/>
                          <w:rPr>
                            <w:b/>
                            <w:sz w:val="14"/>
                          </w:rPr>
                        </w:pPr>
                      </w:p>
                      <w:p>
                        <w:pPr>
                          <w:pStyle w:val="TableParagraph"/>
                          <w:spacing w:before="4"/>
                          <w:rPr>
                            <w:b/>
                            <w:sz w:val="16"/>
                          </w:rPr>
                        </w:pPr>
                      </w:p>
                      <w:p>
                        <w:pPr>
                          <w:pStyle w:val="TableParagraph"/>
                          <w:spacing w:before="1"/>
                          <w:ind w:left="110"/>
                          <w:rPr>
                            <w:sz w:val="13"/>
                          </w:rPr>
                        </w:pPr>
                        <w:r>
                          <w:rPr>
                            <w:w w:val="105"/>
                            <w:sz w:val="13"/>
                          </w:rPr>
                          <w:t>Naucalpan de Juárez</w:t>
                        </w:r>
                      </w:p>
                    </w:tc>
                    <w:tc>
                      <w:tcPr>
                        <w:tcW w:w="1222" w:type="dxa"/>
                        <w:vMerge w:val="restart"/>
                      </w:tcPr>
                      <w:p>
                        <w:pPr>
                          <w:pStyle w:val="TableParagraph"/>
                          <w:rPr>
                            <w:b/>
                            <w:sz w:val="14"/>
                          </w:rPr>
                        </w:pPr>
                      </w:p>
                      <w:p>
                        <w:pPr>
                          <w:pStyle w:val="TableParagraph"/>
                          <w:spacing w:before="4"/>
                          <w:rPr>
                            <w:b/>
                            <w:sz w:val="16"/>
                          </w:rPr>
                        </w:pPr>
                      </w:p>
                      <w:p>
                        <w:pPr>
                          <w:pStyle w:val="TableParagraph"/>
                          <w:spacing w:before="1"/>
                          <w:ind w:left="658"/>
                          <w:rPr>
                            <w:sz w:val="13"/>
                          </w:rPr>
                        </w:pPr>
                        <w:r>
                          <w:rPr>
                            <w:w w:val="105"/>
                            <w:sz w:val="13"/>
                          </w:rPr>
                          <w:t>5,945.60</w:t>
                        </w:r>
                      </w:p>
                    </w:tc>
                    <w:tc>
                      <w:tcPr>
                        <w:tcW w:w="742" w:type="dxa"/>
                      </w:tcPr>
                      <w:p>
                        <w:pPr>
                          <w:pStyle w:val="TableParagraph"/>
                          <w:spacing w:before="4"/>
                          <w:rPr>
                            <w:b/>
                            <w:sz w:val="15"/>
                          </w:rPr>
                        </w:pPr>
                      </w:p>
                      <w:p>
                        <w:pPr>
                          <w:pStyle w:val="TableParagraph"/>
                          <w:spacing w:before="1"/>
                          <w:ind w:right="18"/>
                          <w:jc w:val="right"/>
                          <w:rPr>
                            <w:sz w:val="13"/>
                          </w:rPr>
                        </w:pPr>
                        <w:r>
                          <w:rPr>
                            <w:w w:val="105"/>
                            <w:sz w:val="13"/>
                          </w:rPr>
                          <w:t>4,000.00</w:t>
                        </w:r>
                      </w:p>
                    </w:tc>
                    <w:tc>
                      <w:tcPr>
                        <w:tcW w:w="3518" w:type="dxa"/>
                      </w:tcPr>
                      <w:p>
                        <w:pPr>
                          <w:pStyle w:val="TableParagraph"/>
                          <w:spacing w:line="276" w:lineRule="auto" w:before="5"/>
                          <w:ind w:left="19" w:right="128" w:firstLine="1"/>
                          <w:rPr>
                            <w:sz w:val="13"/>
                          </w:rPr>
                        </w:pPr>
                        <w:r>
                          <w:rPr>
                            <w:w w:val="105"/>
                            <w:sz w:val="13"/>
                          </w:rPr>
                          <w:t>Transferencias a otras cuentas bancarias del municipio pendientes de reintegrar municipio</w:t>
                        </w:r>
                      </w:p>
                    </w:tc>
                  </w:tr>
                  <w:tr>
                    <w:trPr>
                      <w:trHeight w:val="172" w:hRule="exact"/>
                    </w:trPr>
                    <w:tc>
                      <w:tcPr>
                        <w:tcW w:w="1519" w:type="dxa"/>
                        <w:vMerge/>
                      </w:tcPr>
                      <w:p>
                        <w:pPr/>
                      </w:p>
                    </w:tc>
                    <w:tc>
                      <w:tcPr>
                        <w:tcW w:w="1222" w:type="dxa"/>
                        <w:vMerge/>
                      </w:tcPr>
                      <w:p>
                        <w:pPr/>
                      </w:p>
                    </w:tc>
                    <w:tc>
                      <w:tcPr>
                        <w:tcW w:w="742" w:type="dxa"/>
                      </w:tcPr>
                      <w:p>
                        <w:pPr>
                          <w:pStyle w:val="TableParagraph"/>
                          <w:spacing w:before="4"/>
                          <w:ind w:right="16"/>
                          <w:jc w:val="right"/>
                          <w:rPr>
                            <w:sz w:val="13"/>
                          </w:rPr>
                        </w:pPr>
                        <w:r>
                          <w:rPr>
                            <w:w w:val="105"/>
                            <w:sz w:val="13"/>
                          </w:rPr>
                          <w:t>53.00</w:t>
                        </w:r>
                      </w:p>
                    </w:tc>
                    <w:tc>
                      <w:tcPr>
                        <w:tcW w:w="3518" w:type="dxa"/>
                      </w:tcPr>
                      <w:p>
                        <w:pPr>
                          <w:pStyle w:val="TableParagraph"/>
                          <w:spacing w:before="4"/>
                          <w:ind w:left="20" w:right="67"/>
                          <w:rPr>
                            <w:sz w:val="13"/>
                          </w:rPr>
                        </w:pPr>
                        <w:r>
                          <w:rPr>
                            <w:w w:val="105"/>
                            <w:sz w:val="13"/>
                          </w:rPr>
                          <w:t>Diferencias volumétricas en obra</w:t>
                        </w:r>
                      </w:p>
                    </w:tc>
                  </w:tr>
                  <w:tr>
                    <w:trPr>
                      <w:trHeight w:val="172" w:hRule="exact"/>
                    </w:trPr>
                    <w:tc>
                      <w:tcPr>
                        <w:tcW w:w="1519" w:type="dxa"/>
                        <w:vMerge/>
                      </w:tcPr>
                      <w:p>
                        <w:pPr/>
                      </w:p>
                    </w:tc>
                    <w:tc>
                      <w:tcPr>
                        <w:tcW w:w="1222" w:type="dxa"/>
                        <w:vMerge/>
                      </w:tcPr>
                      <w:p>
                        <w:pPr/>
                      </w:p>
                    </w:tc>
                    <w:tc>
                      <w:tcPr>
                        <w:tcW w:w="742" w:type="dxa"/>
                      </w:tcPr>
                      <w:p>
                        <w:pPr>
                          <w:pStyle w:val="TableParagraph"/>
                          <w:spacing w:before="5"/>
                          <w:ind w:right="18"/>
                          <w:jc w:val="right"/>
                          <w:rPr>
                            <w:sz w:val="13"/>
                          </w:rPr>
                        </w:pPr>
                        <w:r>
                          <w:rPr>
                            <w:w w:val="105"/>
                            <w:sz w:val="13"/>
                          </w:rPr>
                          <w:t>1,427.50</w:t>
                        </w:r>
                      </w:p>
                    </w:tc>
                    <w:tc>
                      <w:tcPr>
                        <w:tcW w:w="3518" w:type="dxa"/>
                      </w:tcPr>
                      <w:p>
                        <w:pPr>
                          <w:pStyle w:val="TableParagraph"/>
                          <w:spacing w:before="5"/>
                          <w:ind w:left="20" w:right="67"/>
                          <w:rPr>
                            <w:sz w:val="13"/>
                          </w:rPr>
                        </w:pPr>
                        <w:r>
                          <w:rPr>
                            <w:w w:val="105"/>
                            <w:sz w:val="13"/>
                          </w:rPr>
                          <w:t>Obra pagada no ejecutada</w:t>
                        </w:r>
                      </w:p>
                    </w:tc>
                  </w:tr>
                  <w:tr>
                    <w:trPr>
                      <w:trHeight w:val="172" w:hRule="exact"/>
                    </w:trPr>
                    <w:tc>
                      <w:tcPr>
                        <w:tcW w:w="1519" w:type="dxa"/>
                        <w:vMerge/>
                      </w:tcPr>
                      <w:p>
                        <w:pPr/>
                      </w:p>
                    </w:tc>
                    <w:tc>
                      <w:tcPr>
                        <w:tcW w:w="1222" w:type="dxa"/>
                        <w:vMerge/>
                      </w:tcPr>
                      <w:p>
                        <w:pPr/>
                      </w:p>
                    </w:tc>
                    <w:tc>
                      <w:tcPr>
                        <w:tcW w:w="742" w:type="dxa"/>
                      </w:tcPr>
                      <w:p>
                        <w:pPr>
                          <w:pStyle w:val="TableParagraph"/>
                          <w:spacing w:before="5"/>
                          <w:ind w:right="17"/>
                          <w:jc w:val="right"/>
                          <w:rPr>
                            <w:sz w:val="13"/>
                          </w:rPr>
                        </w:pPr>
                        <w:r>
                          <w:rPr>
                            <w:w w:val="105"/>
                            <w:sz w:val="13"/>
                          </w:rPr>
                          <w:t>465.10</w:t>
                        </w:r>
                      </w:p>
                    </w:tc>
                    <w:tc>
                      <w:tcPr>
                        <w:tcW w:w="3518" w:type="dxa"/>
                      </w:tcPr>
                      <w:p>
                        <w:pPr>
                          <w:pStyle w:val="TableParagraph"/>
                          <w:spacing w:before="5"/>
                          <w:ind w:left="20" w:right="67"/>
                          <w:rPr>
                            <w:sz w:val="13"/>
                          </w:rPr>
                        </w:pPr>
                        <w:r>
                          <w:rPr>
                            <w:w w:val="105"/>
                            <w:sz w:val="13"/>
                          </w:rPr>
                          <w:t>Pendiente de aclarar</w:t>
                        </w:r>
                      </w:p>
                    </w:tc>
                  </w:tr>
                </w:tbl>
                <w:p>
                  <w:pPr>
                    <w:pStyle w:val="BodyText"/>
                  </w:pPr>
                </w:p>
              </w:txbxContent>
            </v:textbox>
            <w10:wrap type="none"/>
          </v:shape>
        </w:pict>
      </w:r>
      <w:r>
        <w:rPr>
          <w:b/>
          <w:w w:val="105"/>
          <w:sz w:val="13"/>
        </w:rPr>
        <w:t>Observaciones Generados del FISM y FORTAMUNDF en el Ejercicio 2014 (miles de pesos) Fondo para la  Infraestructura Social Municipal</w:t>
      </w:r>
    </w:p>
    <w:p>
      <w:pPr>
        <w:spacing w:after="0" w:line="568" w:lineRule="auto"/>
        <w:jc w:val="left"/>
        <w:rPr>
          <w:sz w:val="13"/>
        </w:rPr>
        <w:sectPr>
          <w:pgSz w:w="15840" w:h="12240" w:orient="landscape"/>
          <w:pgMar w:header="0" w:footer="932" w:top="1140" w:bottom="1180" w:left="210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0"/>
        </w:rPr>
      </w:pPr>
    </w:p>
    <w:p>
      <w:pPr>
        <w:spacing w:line="568" w:lineRule="auto" w:before="0"/>
        <w:ind w:left="2086" w:right="4932" w:hanging="1407"/>
        <w:jc w:val="left"/>
        <w:rPr>
          <w:b/>
          <w:sz w:val="13"/>
        </w:rPr>
      </w:pPr>
      <w:r>
        <w:rPr/>
        <w:pict>
          <v:shape style="position:absolute;margin-left:110.320404pt;margin-top:8.155204pt;width:350.2pt;height:.1pt;mso-position-horizontal-relative:page;mso-position-vertical-relative:paragraph;z-index:-671272" coordorigin="2206,163" coordsize="7004,0" path="m2206,163l2206,163,9210,163e" filled="false" stroked="true" strokeweight=".537844pt" strokecolor="#000000">
            <v:path arrowok="t"/>
            <w10:wrap type="none"/>
          </v:shape>
        </w:pict>
      </w:r>
      <w:r>
        <w:rPr/>
        <w:pict>
          <v:shape style="position:absolute;margin-left:110.051506pt;margin-top:25.580173pt;width:350.9pt;height:207.85pt;mso-position-horizontal-relative:page;mso-position-vertical-relative:paragraph;z-index:119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9"/>
                    <w:gridCol w:w="1222"/>
                    <w:gridCol w:w="742"/>
                    <w:gridCol w:w="3518"/>
                  </w:tblGrid>
                  <w:tr>
                    <w:trPr>
                      <w:trHeight w:val="519" w:hRule="exact"/>
                    </w:trPr>
                    <w:tc>
                      <w:tcPr>
                        <w:tcW w:w="1519" w:type="dxa"/>
                        <w:shd w:val="clear" w:color="auto" w:fill="E6B8B7"/>
                      </w:tcPr>
                      <w:p>
                        <w:pPr>
                          <w:pStyle w:val="TableParagraph"/>
                          <w:rPr>
                            <w:b/>
                            <w:sz w:val="14"/>
                          </w:rPr>
                        </w:pPr>
                      </w:p>
                      <w:p>
                        <w:pPr>
                          <w:pStyle w:val="TableParagraph"/>
                          <w:spacing w:before="4"/>
                          <w:rPr>
                            <w:b/>
                            <w:sz w:val="16"/>
                          </w:rPr>
                        </w:pPr>
                      </w:p>
                      <w:p>
                        <w:pPr>
                          <w:pStyle w:val="TableParagraph"/>
                          <w:spacing w:before="1"/>
                          <w:ind w:left="173"/>
                          <w:rPr>
                            <w:b/>
                            <w:sz w:val="13"/>
                          </w:rPr>
                        </w:pPr>
                        <w:r>
                          <w:rPr>
                            <w:b/>
                            <w:w w:val="105"/>
                            <w:sz w:val="13"/>
                          </w:rPr>
                          <w:t>Entidad Municipal</w:t>
                        </w:r>
                      </w:p>
                    </w:tc>
                    <w:tc>
                      <w:tcPr>
                        <w:tcW w:w="1222" w:type="dxa"/>
                        <w:shd w:val="clear" w:color="auto" w:fill="E6B8B7"/>
                      </w:tcPr>
                      <w:p>
                        <w:pPr>
                          <w:pStyle w:val="TableParagraph"/>
                          <w:spacing w:line="276" w:lineRule="auto" w:before="5"/>
                          <w:ind w:left="72" w:right="63" w:firstLine="1"/>
                          <w:jc w:val="center"/>
                          <w:rPr>
                            <w:b/>
                            <w:sz w:val="13"/>
                          </w:rPr>
                        </w:pPr>
                        <w:r>
                          <w:rPr>
                            <w:b/>
                            <w:w w:val="105"/>
                            <w:sz w:val="13"/>
                          </w:rPr>
                          <w:t>Cuantificación Monetaria de las Observaciones</w:t>
                        </w:r>
                      </w:p>
                    </w:tc>
                    <w:tc>
                      <w:tcPr>
                        <w:tcW w:w="742" w:type="dxa"/>
                        <w:shd w:val="clear" w:color="auto" w:fill="E6B8B7"/>
                      </w:tcPr>
                      <w:p>
                        <w:pPr/>
                      </w:p>
                    </w:tc>
                    <w:tc>
                      <w:tcPr>
                        <w:tcW w:w="3518" w:type="dxa"/>
                        <w:shd w:val="clear" w:color="auto" w:fill="E6B8B7"/>
                      </w:tcPr>
                      <w:p>
                        <w:pPr>
                          <w:pStyle w:val="TableParagraph"/>
                          <w:rPr>
                            <w:b/>
                            <w:sz w:val="14"/>
                          </w:rPr>
                        </w:pPr>
                      </w:p>
                      <w:p>
                        <w:pPr>
                          <w:pStyle w:val="TableParagraph"/>
                          <w:spacing w:before="4"/>
                          <w:rPr>
                            <w:b/>
                            <w:sz w:val="16"/>
                          </w:rPr>
                        </w:pPr>
                      </w:p>
                      <w:p>
                        <w:pPr>
                          <w:pStyle w:val="TableParagraph"/>
                          <w:spacing w:before="1"/>
                          <w:ind w:left="1424" w:right="1413"/>
                          <w:jc w:val="center"/>
                          <w:rPr>
                            <w:b/>
                            <w:sz w:val="13"/>
                          </w:rPr>
                        </w:pPr>
                        <w:r>
                          <w:rPr>
                            <w:b/>
                            <w:w w:val="105"/>
                            <w:sz w:val="13"/>
                          </w:rPr>
                          <w:t>Concepto</w:t>
                        </w:r>
                      </w:p>
                    </w:tc>
                  </w:tr>
                  <w:tr>
                    <w:trPr>
                      <w:trHeight w:val="172" w:hRule="exact"/>
                    </w:trPr>
                    <w:tc>
                      <w:tcPr>
                        <w:tcW w:w="1519" w:type="dxa"/>
                      </w:tcPr>
                      <w:p>
                        <w:pPr>
                          <w:pStyle w:val="TableParagraph"/>
                          <w:spacing w:before="5"/>
                          <w:ind w:left="20"/>
                          <w:rPr>
                            <w:sz w:val="13"/>
                          </w:rPr>
                        </w:pPr>
                        <w:r>
                          <w:rPr>
                            <w:w w:val="105"/>
                            <w:sz w:val="13"/>
                          </w:rPr>
                          <w:t>Nezahualcóyotl</w:t>
                        </w:r>
                      </w:p>
                    </w:tc>
                    <w:tc>
                      <w:tcPr>
                        <w:tcW w:w="1222" w:type="dxa"/>
                      </w:tcPr>
                      <w:p>
                        <w:pPr>
                          <w:pStyle w:val="TableParagraph"/>
                          <w:spacing w:before="5"/>
                          <w:ind w:right="19"/>
                          <w:jc w:val="right"/>
                          <w:rPr>
                            <w:sz w:val="13"/>
                          </w:rPr>
                        </w:pPr>
                        <w:r>
                          <w:rPr>
                            <w:w w:val="105"/>
                            <w:sz w:val="13"/>
                          </w:rPr>
                          <w:t>2,987.40</w:t>
                        </w:r>
                      </w:p>
                    </w:tc>
                    <w:tc>
                      <w:tcPr>
                        <w:tcW w:w="742" w:type="dxa"/>
                      </w:tcPr>
                      <w:p>
                        <w:pPr/>
                      </w:p>
                    </w:tc>
                    <w:tc>
                      <w:tcPr>
                        <w:tcW w:w="3518" w:type="dxa"/>
                      </w:tcPr>
                      <w:p>
                        <w:pPr>
                          <w:pStyle w:val="TableParagraph"/>
                          <w:spacing w:before="5"/>
                          <w:ind w:left="20" w:right="67"/>
                          <w:rPr>
                            <w:sz w:val="13"/>
                          </w:rPr>
                        </w:pPr>
                        <w:r>
                          <w:rPr>
                            <w:w w:val="105"/>
                            <w:sz w:val="13"/>
                          </w:rPr>
                          <w:t>Pendiente de aclarar</w:t>
                        </w:r>
                      </w:p>
                    </w:tc>
                  </w:tr>
                  <w:tr>
                    <w:trPr>
                      <w:trHeight w:val="172" w:hRule="exact"/>
                    </w:trPr>
                    <w:tc>
                      <w:tcPr>
                        <w:tcW w:w="1519" w:type="dxa"/>
                        <w:vMerge w:val="restart"/>
                      </w:tcPr>
                      <w:p>
                        <w:pPr>
                          <w:pStyle w:val="TableParagraph"/>
                          <w:rPr>
                            <w:b/>
                            <w:sz w:val="14"/>
                          </w:rPr>
                        </w:pPr>
                      </w:p>
                      <w:p>
                        <w:pPr>
                          <w:pStyle w:val="TableParagraph"/>
                          <w:rPr>
                            <w:b/>
                            <w:sz w:val="14"/>
                          </w:rPr>
                        </w:pPr>
                      </w:p>
                      <w:p>
                        <w:pPr>
                          <w:pStyle w:val="TableParagraph"/>
                          <w:spacing w:before="113"/>
                          <w:ind w:left="130"/>
                          <w:rPr>
                            <w:sz w:val="13"/>
                          </w:rPr>
                        </w:pPr>
                        <w:r>
                          <w:rPr>
                            <w:w w:val="105"/>
                            <w:sz w:val="13"/>
                          </w:rPr>
                          <w:t>San José del Rincón</w:t>
                        </w:r>
                      </w:p>
                    </w:tc>
                    <w:tc>
                      <w:tcPr>
                        <w:tcW w:w="1222" w:type="dxa"/>
                        <w:vMerge w:val="restart"/>
                      </w:tcPr>
                      <w:p>
                        <w:pPr>
                          <w:pStyle w:val="TableParagraph"/>
                          <w:rPr>
                            <w:b/>
                            <w:sz w:val="14"/>
                          </w:rPr>
                        </w:pPr>
                      </w:p>
                      <w:p>
                        <w:pPr>
                          <w:pStyle w:val="TableParagraph"/>
                          <w:rPr>
                            <w:b/>
                            <w:sz w:val="14"/>
                          </w:rPr>
                        </w:pPr>
                      </w:p>
                      <w:p>
                        <w:pPr>
                          <w:pStyle w:val="TableParagraph"/>
                          <w:spacing w:before="113"/>
                          <w:ind w:left="581"/>
                          <w:rPr>
                            <w:sz w:val="13"/>
                          </w:rPr>
                        </w:pPr>
                        <w:r>
                          <w:rPr>
                            <w:w w:val="105"/>
                            <w:sz w:val="13"/>
                          </w:rPr>
                          <w:t>12,469.70</w:t>
                        </w:r>
                      </w:p>
                    </w:tc>
                    <w:tc>
                      <w:tcPr>
                        <w:tcW w:w="742" w:type="dxa"/>
                      </w:tcPr>
                      <w:p>
                        <w:pPr>
                          <w:pStyle w:val="TableParagraph"/>
                          <w:spacing w:before="5"/>
                          <w:ind w:right="17"/>
                          <w:jc w:val="right"/>
                          <w:rPr>
                            <w:sz w:val="13"/>
                          </w:rPr>
                        </w:pPr>
                        <w:r>
                          <w:rPr>
                            <w:w w:val="105"/>
                            <w:sz w:val="13"/>
                          </w:rPr>
                          <w:t>399.80</w:t>
                        </w:r>
                      </w:p>
                    </w:tc>
                    <w:tc>
                      <w:tcPr>
                        <w:tcW w:w="3518" w:type="dxa"/>
                      </w:tcPr>
                      <w:p>
                        <w:pPr>
                          <w:pStyle w:val="TableParagraph"/>
                          <w:spacing w:before="5"/>
                          <w:ind w:left="20" w:right="67"/>
                          <w:rPr>
                            <w:sz w:val="13"/>
                          </w:rPr>
                        </w:pPr>
                        <w:r>
                          <w:rPr>
                            <w:w w:val="105"/>
                            <w:sz w:val="13"/>
                          </w:rPr>
                          <w:t>falta de recuperación de un anticipo</w:t>
                        </w:r>
                      </w:p>
                    </w:tc>
                  </w:tr>
                  <w:tr>
                    <w:trPr>
                      <w:trHeight w:val="173" w:hRule="exact"/>
                    </w:trPr>
                    <w:tc>
                      <w:tcPr>
                        <w:tcW w:w="1519" w:type="dxa"/>
                        <w:vMerge/>
                      </w:tcPr>
                      <w:p>
                        <w:pPr/>
                      </w:p>
                    </w:tc>
                    <w:tc>
                      <w:tcPr>
                        <w:tcW w:w="1222" w:type="dxa"/>
                        <w:vMerge/>
                      </w:tcPr>
                      <w:p>
                        <w:pPr/>
                      </w:p>
                    </w:tc>
                    <w:tc>
                      <w:tcPr>
                        <w:tcW w:w="742" w:type="dxa"/>
                      </w:tcPr>
                      <w:p>
                        <w:pPr>
                          <w:pStyle w:val="TableParagraph"/>
                          <w:spacing w:before="5"/>
                          <w:ind w:right="16"/>
                          <w:jc w:val="right"/>
                          <w:rPr>
                            <w:sz w:val="13"/>
                          </w:rPr>
                        </w:pPr>
                        <w:r>
                          <w:rPr>
                            <w:w w:val="105"/>
                            <w:sz w:val="13"/>
                          </w:rPr>
                          <w:t>4,011.50</w:t>
                        </w:r>
                      </w:p>
                    </w:tc>
                    <w:tc>
                      <w:tcPr>
                        <w:tcW w:w="3518" w:type="dxa"/>
                      </w:tcPr>
                      <w:p>
                        <w:pPr>
                          <w:pStyle w:val="TableParagraph"/>
                          <w:spacing w:before="5"/>
                          <w:ind w:left="20" w:right="67"/>
                          <w:rPr>
                            <w:sz w:val="13"/>
                          </w:rPr>
                        </w:pPr>
                        <w:r>
                          <w:rPr>
                            <w:w w:val="105"/>
                            <w:sz w:val="13"/>
                          </w:rPr>
                          <w:t>obras que no operan</w:t>
                        </w:r>
                      </w:p>
                    </w:tc>
                  </w:tr>
                  <w:tr>
                    <w:trPr>
                      <w:trHeight w:val="345" w:hRule="exact"/>
                    </w:trPr>
                    <w:tc>
                      <w:tcPr>
                        <w:tcW w:w="1519" w:type="dxa"/>
                        <w:vMerge/>
                      </w:tcPr>
                      <w:p>
                        <w:pPr/>
                      </w:p>
                    </w:tc>
                    <w:tc>
                      <w:tcPr>
                        <w:tcW w:w="1222" w:type="dxa"/>
                        <w:vMerge/>
                      </w:tcPr>
                      <w:p>
                        <w:pPr/>
                      </w:p>
                    </w:tc>
                    <w:tc>
                      <w:tcPr>
                        <w:tcW w:w="742" w:type="dxa"/>
                      </w:tcPr>
                      <w:p>
                        <w:pPr>
                          <w:pStyle w:val="TableParagraph"/>
                          <w:spacing w:before="4"/>
                          <w:rPr>
                            <w:b/>
                            <w:sz w:val="15"/>
                          </w:rPr>
                        </w:pPr>
                      </w:p>
                      <w:p>
                        <w:pPr>
                          <w:pStyle w:val="TableParagraph"/>
                          <w:spacing w:before="1"/>
                          <w:ind w:right="17"/>
                          <w:jc w:val="right"/>
                          <w:rPr>
                            <w:sz w:val="13"/>
                          </w:rPr>
                        </w:pPr>
                        <w:r>
                          <w:rPr>
                            <w:w w:val="105"/>
                            <w:sz w:val="13"/>
                          </w:rPr>
                          <w:t>263.50</w:t>
                        </w:r>
                      </w:p>
                    </w:tc>
                    <w:tc>
                      <w:tcPr>
                        <w:tcW w:w="3518" w:type="dxa"/>
                      </w:tcPr>
                      <w:p>
                        <w:pPr>
                          <w:pStyle w:val="TableParagraph"/>
                          <w:spacing w:line="278" w:lineRule="auto" w:before="4"/>
                          <w:ind w:left="20" w:right="97"/>
                          <w:rPr>
                            <w:sz w:val="13"/>
                          </w:rPr>
                        </w:pPr>
                        <w:r>
                          <w:rPr>
                            <w:w w:val="105"/>
                            <w:sz w:val="13"/>
                          </w:rPr>
                          <w:t>intereses no reintegrados correspondientes a traspasos entre cuentas.</w:t>
                        </w:r>
                      </w:p>
                    </w:tc>
                  </w:tr>
                  <w:tr>
                    <w:trPr>
                      <w:trHeight w:val="172" w:hRule="exact"/>
                    </w:trPr>
                    <w:tc>
                      <w:tcPr>
                        <w:tcW w:w="1519" w:type="dxa"/>
                        <w:vMerge/>
                      </w:tcPr>
                      <w:p>
                        <w:pPr/>
                      </w:p>
                    </w:tc>
                    <w:tc>
                      <w:tcPr>
                        <w:tcW w:w="1222" w:type="dxa"/>
                        <w:vMerge/>
                      </w:tcPr>
                      <w:p>
                        <w:pPr/>
                      </w:p>
                    </w:tc>
                    <w:tc>
                      <w:tcPr>
                        <w:tcW w:w="742" w:type="dxa"/>
                      </w:tcPr>
                      <w:p>
                        <w:pPr>
                          <w:pStyle w:val="TableParagraph"/>
                          <w:spacing w:before="5"/>
                          <w:ind w:right="18"/>
                          <w:jc w:val="right"/>
                          <w:rPr>
                            <w:sz w:val="13"/>
                          </w:rPr>
                        </w:pPr>
                        <w:r>
                          <w:rPr>
                            <w:w w:val="105"/>
                            <w:sz w:val="13"/>
                          </w:rPr>
                          <w:t>5,800.00</w:t>
                        </w:r>
                      </w:p>
                    </w:tc>
                    <w:tc>
                      <w:tcPr>
                        <w:tcW w:w="3518" w:type="dxa"/>
                      </w:tcPr>
                      <w:p>
                        <w:pPr>
                          <w:pStyle w:val="TableParagraph"/>
                          <w:spacing w:before="5"/>
                          <w:ind w:left="20" w:right="67"/>
                          <w:rPr>
                            <w:sz w:val="13"/>
                          </w:rPr>
                        </w:pPr>
                        <w:r>
                          <w:rPr>
                            <w:w w:val="105"/>
                            <w:sz w:val="13"/>
                          </w:rPr>
                          <w:t>Reuperaciones operadas</w:t>
                        </w:r>
                      </w:p>
                    </w:tc>
                  </w:tr>
                  <w:tr>
                    <w:trPr>
                      <w:trHeight w:val="173" w:hRule="exact"/>
                    </w:trPr>
                    <w:tc>
                      <w:tcPr>
                        <w:tcW w:w="1519" w:type="dxa"/>
                        <w:vMerge/>
                      </w:tcPr>
                      <w:p>
                        <w:pPr/>
                      </w:p>
                    </w:tc>
                    <w:tc>
                      <w:tcPr>
                        <w:tcW w:w="1222" w:type="dxa"/>
                        <w:vMerge/>
                      </w:tcPr>
                      <w:p>
                        <w:pPr/>
                      </w:p>
                    </w:tc>
                    <w:tc>
                      <w:tcPr>
                        <w:tcW w:w="742" w:type="dxa"/>
                      </w:tcPr>
                      <w:p>
                        <w:pPr>
                          <w:pStyle w:val="TableParagraph"/>
                          <w:spacing w:before="5"/>
                          <w:ind w:right="18"/>
                          <w:jc w:val="right"/>
                          <w:rPr>
                            <w:sz w:val="13"/>
                          </w:rPr>
                        </w:pPr>
                        <w:r>
                          <w:rPr>
                            <w:w w:val="105"/>
                            <w:sz w:val="13"/>
                          </w:rPr>
                          <w:t>1,994.90</w:t>
                        </w:r>
                      </w:p>
                    </w:tc>
                    <w:tc>
                      <w:tcPr>
                        <w:tcW w:w="3518" w:type="dxa"/>
                      </w:tcPr>
                      <w:p>
                        <w:pPr>
                          <w:pStyle w:val="TableParagraph"/>
                          <w:spacing w:before="5"/>
                          <w:ind w:left="20" w:right="67"/>
                          <w:rPr>
                            <w:sz w:val="13"/>
                          </w:rPr>
                        </w:pPr>
                        <w:r>
                          <w:rPr>
                            <w:w w:val="105"/>
                            <w:sz w:val="13"/>
                          </w:rPr>
                          <w:t>Pendiente de aclarar</w:t>
                        </w:r>
                      </w:p>
                    </w:tc>
                  </w:tr>
                  <w:tr>
                    <w:trPr>
                      <w:trHeight w:val="172" w:hRule="exact"/>
                    </w:trPr>
                    <w:tc>
                      <w:tcPr>
                        <w:tcW w:w="1519" w:type="dxa"/>
                        <w:vMerge w:val="restart"/>
                      </w:tcPr>
                      <w:p>
                        <w:pPr>
                          <w:pStyle w:val="TableParagraph"/>
                          <w:rPr>
                            <w:b/>
                            <w:sz w:val="14"/>
                          </w:rPr>
                        </w:pPr>
                      </w:p>
                      <w:p>
                        <w:pPr>
                          <w:pStyle w:val="TableParagraph"/>
                          <w:rPr>
                            <w:b/>
                            <w:sz w:val="14"/>
                          </w:rPr>
                        </w:pPr>
                      </w:p>
                      <w:p>
                        <w:pPr>
                          <w:pStyle w:val="TableParagraph"/>
                          <w:spacing w:before="4"/>
                          <w:rPr>
                            <w:b/>
                            <w:sz w:val="17"/>
                          </w:rPr>
                        </w:pPr>
                      </w:p>
                      <w:p>
                        <w:pPr>
                          <w:pStyle w:val="TableParagraph"/>
                          <w:spacing w:before="1"/>
                          <w:ind w:left="305"/>
                          <w:rPr>
                            <w:sz w:val="13"/>
                          </w:rPr>
                        </w:pPr>
                        <w:r>
                          <w:rPr>
                            <w:w w:val="105"/>
                            <w:sz w:val="13"/>
                          </w:rPr>
                          <w:t>Temascalcingo</w:t>
                        </w:r>
                      </w:p>
                    </w:tc>
                    <w:tc>
                      <w:tcPr>
                        <w:tcW w:w="1222" w:type="dxa"/>
                        <w:vMerge w:val="restart"/>
                      </w:tcPr>
                      <w:p>
                        <w:pPr>
                          <w:pStyle w:val="TableParagraph"/>
                          <w:rPr>
                            <w:b/>
                            <w:sz w:val="14"/>
                          </w:rPr>
                        </w:pPr>
                      </w:p>
                      <w:p>
                        <w:pPr>
                          <w:pStyle w:val="TableParagraph"/>
                          <w:rPr>
                            <w:b/>
                            <w:sz w:val="14"/>
                          </w:rPr>
                        </w:pPr>
                      </w:p>
                      <w:p>
                        <w:pPr>
                          <w:pStyle w:val="TableParagraph"/>
                          <w:spacing w:before="4"/>
                          <w:rPr>
                            <w:b/>
                            <w:sz w:val="17"/>
                          </w:rPr>
                        </w:pPr>
                      </w:p>
                      <w:p>
                        <w:pPr>
                          <w:pStyle w:val="TableParagraph"/>
                          <w:spacing w:before="1"/>
                          <w:ind w:left="581"/>
                          <w:rPr>
                            <w:sz w:val="13"/>
                          </w:rPr>
                        </w:pPr>
                        <w:r>
                          <w:rPr>
                            <w:w w:val="105"/>
                            <w:sz w:val="13"/>
                          </w:rPr>
                          <w:t>10,419.80</w:t>
                        </w:r>
                      </w:p>
                    </w:tc>
                    <w:tc>
                      <w:tcPr>
                        <w:tcW w:w="742" w:type="dxa"/>
                      </w:tcPr>
                      <w:p>
                        <w:pPr>
                          <w:pStyle w:val="TableParagraph"/>
                          <w:spacing w:before="4"/>
                          <w:ind w:right="18"/>
                          <w:jc w:val="right"/>
                          <w:rPr>
                            <w:sz w:val="13"/>
                          </w:rPr>
                        </w:pPr>
                        <w:r>
                          <w:rPr>
                            <w:w w:val="105"/>
                            <w:sz w:val="13"/>
                          </w:rPr>
                          <w:t>3,052.20</w:t>
                        </w:r>
                      </w:p>
                    </w:tc>
                    <w:tc>
                      <w:tcPr>
                        <w:tcW w:w="3518" w:type="dxa"/>
                      </w:tcPr>
                      <w:p>
                        <w:pPr>
                          <w:pStyle w:val="TableParagraph"/>
                          <w:spacing w:before="4"/>
                          <w:ind w:left="20" w:right="67"/>
                          <w:rPr>
                            <w:sz w:val="13"/>
                          </w:rPr>
                        </w:pPr>
                        <w:r>
                          <w:rPr>
                            <w:w w:val="105"/>
                            <w:sz w:val="13"/>
                          </w:rPr>
                          <w:t>pagos en exceso en obra pública</w:t>
                        </w:r>
                      </w:p>
                    </w:tc>
                  </w:tr>
                  <w:tr>
                    <w:trPr>
                      <w:trHeight w:val="172" w:hRule="exact"/>
                    </w:trPr>
                    <w:tc>
                      <w:tcPr>
                        <w:tcW w:w="1519" w:type="dxa"/>
                        <w:vMerge/>
                      </w:tcPr>
                      <w:p>
                        <w:pPr/>
                      </w:p>
                    </w:tc>
                    <w:tc>
                      <w:tcPr>
                        <w:tcW w:w="1222" w:type="dxa"/>
                        <w:vMerge/>
                      </w:tcPr>
                      <w:p>
                        <w:pPr/>
                      </w:p>
                    </w:tc>
                    <w:tc>
                      <w:tcPr>
                        <w:tcW w:w="742" w:type="dxa"/>
                      </w:tcPr>
                      <w:p>
                        <w:pPr>
                          <w:pStyle w:val="TableParagraph"/>
                          <w:spacing w:before="5"/>
                          <w:ind w:right="18"/>
                          <w:jc w:val="right"/>
                          <w:rPr>
                            <w:sz w:val="13"/>
                          </w:rPr>
                        </w:pPr>
                        <w:r>
                          <w:rPr>
                            <w:w w:val="105"/>
                            <w:sz w:val="13"/>
                          </w:rPr>
                          <w:t>4,046.40</w:t>
                        </w:r>
                      </w:p>
                    </w:tc>
                    <w:tc>
                      <w:tcPr>
                        <w:tcW w:w="3518" w:type="dxa"/>
                      </w:tcPr>
                      <w:p>
                        <w:pPr>
                          <w:pStyle w:val="TableParagraph"/>
                          <w:spacing w:before="5"/>
                          <w:ind w:left="20" w:right="67"/>
                          <w:rPr>
                            <w:sz w:val="13"/>
                          </w:rPr>
                        </w:pPr>
                        <w:r>
                          <w:rPr>
                            <w:w w:val="105"/>
                            <w:sz w:val="13"/>
                          </w:rPr>
                          <w:t>Dos obras que no operan</w:t>
                        </w:r>
                      </w:p>
                    </w:tc>
                  </w:tr>
                  <w:tr>
                    <w:trPr>
                      <w:trHeight w:val="346" w:hRule="exact"/>
                    </w:trPr>
                    <w:tc>
                      <w:tcPr>
                        <w:tcW w:w="1519" w:type="dxa"/>
                        <w:vMerge/>
                      </w:tcPr>
                      <w:p>
                        <w:pPr/>
                      </w:p>
                    </w:tc>
                    <w:tc>
                      <w:tcPr>
                        <w:tcW w:w="1222" w:type="dxa"/>
                        <w:vMerge/>
                      </w:tcPr>
                      <w:p>
                        <w:pPr/>
                      </w:p>
                    </w:tc>
                    <w:tc>
                      <w:tcPr>
                        <w:tcW w:w="742" w:type="dxa"/>
                      </w:tcPr>
                      <w:p>
                        <w:pPr>
                          <w:pStyle w:val="TableParagraph"/>
                          <w:spacing w:before="4"/>
                          <w:rPr>
                            <w:b/>
                            <w:sz w:val="15"/>
                          </w:rPr>
                        </w:pPr>
                      </w:p>
                      <w:p>
                        <w:pPr>
                          <w:pStyle w:val="TableParagraph"/>
                          <w:spacing w:before="1"/>
                          <w:ind w:right="18"/>
                          <w:jc w:val="right"/>
                          <w:rPr>
                            <w:sz w:val="13"/>
                          </w:rPr>
                        </w:pPr>
                        <w:r>
                          <w:rPr>
                            <w:w w:val="105"/>
                            <w:sz w:val="13"/>
                          </w:rPr>
                          <w:t>1,733.30</w:t>
                        </w:r>
                      </w:p>
                    </w:tc>
                    <w:tc>
                      <w:tcPr>
                        <w:tcW w:w="3518" w:type="dxa"/>
                      </w:tcPr>
                      <w:p>
                        <w:pPr>
                          <w:pStyle w:val="TableParagraph"/>
                          <w:spacing w:line="276" w:lineRule="auto" w:before="5"/>
                          <w:ind w:left="20" w:right="67"/>
                          <w:rPr>
                            <w:sz w:val="13"/>
                          </w:rPr>
                        </w:pPr>
                        <w:r>
                          <w:rPr>
                            <w:w w:val="105"/>
                            <w:sz w:val="13"/>
                          </w:rPr>
                          <w:t>rubro de gastos indirectos en proyectos que no cumplen con los fines específicos del fondo en exceso</w:t>
                        </w:r>
                      </w:p>
                    </w:tc>
                  </w:tr>
                  <w:tr>
                    <w:trPr>
                      <w:trHeight w:val="345" w:hRule="exact"/>
                    </w:trPr>
                    <w:tc>
                      <w:tcPr>
                        <w:tcW w:w="1519" w:type="dxa"/>
                        <w:vMerge/>
                      </w:tcPr>
                      <w:p>
                        <w:pPr/>
                      </w:p>
                    </w:tc>
                    <w:tc>
                      <w:tcPr>
                        <w:tcW w:w="1222" w:type="dxa"/>
                        <w:vMerge/>
                      </w:tcPr>
                      <w:p>
                        <w:pPr/>
                      </w:p>
                    </w:tc>
                    <w:tc>
                      <w:tcPr>
                        <w:tcW w:w="742" w:type="dxa"/>
                      </w:tcPr>
                      <w:p>
                        <w:pPr>
                          <w:pStyle w:val="TableParagraph"/>
                          <w:spacing w:before="4"/>
                          <w:rPr>
                            <w:b/>
                            <w:sz w:val="15"/>
                          </w:rPr>
                        </w:pPr>
                      </w:p>
                      <w:p>
                        <w:pPr>
                          <w:pStyle w:val="TableParagraph"/>
                          <w:spacing w:before="1"/>
                          <w:ind w:right="16"/>
                          <w:jc w:val="right"/>
                          <w:rPr>
                            <w:sz w:val="13"/>
                          </w:rPr>
                        </w:pPr>
                        <w:r>
                          <w:rPr>
                            <w:w w:val="105"/>
                            <w:sz w:val="13"/>
                          </w:rPr>
                          <w:t>12.10</w:t>
                        </w:r>
                      </w:p>
                    </w:tc>
                    <w:tc>
                      <w:tcPr>
                        <w:tcW w:w="3518" w:type="dxa"/>
                      </w:tcPr>
                      <w:p>
                        <w:pPr>
                          <w:pStyle w:val="TableParagraph"/>
                          <w:spacing w:line="278" w:lineRule="auto" w:before="4"/>
                          <w:ind w:left="19" w:right="128" w:firstLine="1"/>
                          <w:rPr>
                            <w:sz w:val="13"/>
                          </w:rPr>
                        </w:pPr>
                        <w:r>
                          <w:rPr>
                            <w:w w:val="105"/>
                            <w:sz w:val="13"/>
                          </w:rPr>
                          <w:t>Transferencias a otras cuentas bancarias del municipio pendientes de reintegrar</w:t>
                        </w:r>
                      </w:p>
                    </w:tc>
                  </w:tr>
                  <w:tr>
                    <w:trPr>
                      <w:trHeight w:val="172" w:hRule="exact"/>
                    </w:trPr>
                    <w:tc>
                      <w:tcPr>
                        <w:tcW w:w="1519" w:type="dxa"/>
                        <w:vMerge/>
                      </w:tcPr>
                      <w:p>
                        <w:pPr/>
                      </w:p>
                    </w:tc>
                    <w:tc>
                      <w:tcPr>
                        <w:tcW w:w="1222" w:type="dxa"/>
                        <w:vMerge/>
                      </w:tcPr>
                      <w:p>
                        <w:pPr/>
                      </w:p>
                    </w:tc>
                    <w:tc>
                      <w:tcPr>
                        <w:tcW w:w="742" w:type="dxa"/>
                      </w:tcPr>
                      <w:p>
                        <w:pPr>
                          <w:pStyle w:val="TableParagraph"/>
                          <w:spacing w:before="5"/>
                          <w:ind w:right="18"/>
                          <w:jc w:val="right"/>
                          <w:rPr>
                            <w:sz w:val="13"/>
                          </w:rPr>
                        </w:pPr>
                        <w:r>
                          <w:rPr>
                            <w:w w:val="105"/>
                            <w:sz w:val="13"/>
                          </w:rPr>
                          <w:t>1,575.80</w:t>
                        </w:r>
                      </w:p>
                    </w:tc>
                    <w:tc>
                      <w:tcPr>
                        <w:tcW w:w="3518" w:type="dxa"/>
                      </w:tcPr>
                      <w:p>
                        <w:pPr>
                          <w:pStyle w:val="TableParagraph"/>
                          <w:spacing w:before="5"/>
                          <w:ind w:left="20" w:right="67"/>
                          <w:rPr>
                            <w:sz w:val="13"/>
                          </w:rPr>
                        </w:pPr>
                        <w:r>
                          <w:rPr>
                            <w:w w:val="105"/>
                            <w:sz w:val="13"/>
                          </w:rPr>
                          <w:t>Pendiente de aclarar</w:t>
                        </w:r>
                      </w:p>
                    </w:tc>
                  </w:tr>
                  <w:tr>
                    <w:trPr>
                      <w:trHeight w:val="173" w:hRule="exact"/>
                    </w:trPr>
                    <w:tc>
                      <w:tcPr>
                        <w:tcW w:w="1519" w:type="dxa"/>
                        <w:vMerge w:val="restart"/>
                      </w:tcPr>
                      <w:p>
                        <w:pPr>
                          <w:pStyle w:val="TableParagraph"/>
                          <w:rPr>
                            <w:b/>
                            <w:sz w:val="14"/>
                          </w:rPr>
                        </w:pPr>
                      </w:p>
                      <w:p>
                        <w:pPr>
                          <w:pStyle w:val="TableParagraph"/>
                          <w:rPr>
                            <w:b/>
                            <w:sz w:val="14"/>
                          </w:rPr>
                        </w:pPr>
                      </w:p>
                      <w:p>
                        <w:pPr>
                          <w:pStyle w:val="TableParagraph"/>
                          <w:spacing w:before="113"/>
                          <w:ind w:left="291"/>
                          <w:rPr>
                            <w:sz w:val="13"/>
                          </w:rPr>
                        </w:pPr>
                        <w:r>
                          <w:rPr>
                            <w:w w:val="105"/>
                            <w:sz w:val="13"/>
                          </w:rPr>
                          <w:t>Villa de Allende</w:t>
                        </w:r>
                      </w:p>
                    </w:tc>
                    <w:tc>
                      <w:tcPr>
                        <w:tcW w:w="1222" w:type="dxa"/>
                        <w:vMerge w:val="restart"/>
                      </w:tcPr>
                      <w:p>
                        <w:pPr>
                          <w:pStyle w:val="TableParagraph"/>
                          <w:rPr>
                            <w:b/>
                            <w:sz w:val="14"/>
                          </w:rPr>
                        </w:pPr>
                      </w:p>
                      <w:p>
                        <w:pPr>
                          <w:pStyle w:val="TableParagraph"/>
                          <w:rPr>
                            <w:b/>
                            <w:sz w:val="14"/>
                          </w:rPr>
                        </w:pPr>
                      </w:p>
                      <w:p>
                        <w:pPr>
                          <w:pStyle w:val="TableParagraph"/>
                          <w:spacing w:before="113"/>
                          <w:ind w:left="581"/>
                          <w:rPr>
                            <w:sz w:val="13"/>
                          </w:rPr>
                        </w:pPr>
                        <w:r>
                          <w:rPr>
                            <w:w w:val="105"/>
                            <w:sz w:val="13"/>
                          </w:rPr>
                          <w:t>15,630.80</w:t>
                        </w:r>
                      </w:p>
                    </w:tc>
                    <w:tc>
                      <w:tcPr>
                        <w:tcW w:w="742" w:type="dxa"/>
                      </w:tcPr>
                      <w:p>
                        <w:pPr>
                          <w:pStyle w:val="TableParagraph"/>
                          <w:spacing w:before="5"/>
                          <w:ind w:right="17"/>
                          <w:jc w:val="right"/>
                          <w:rPr>
                            <w:sz w:val="13"/>
                          </w:rPr>
                        </w:pPr>
                        <w:r>
                          <w:rPr>
                            <w:w w:val="105"/>
                            <w:sz w:val="13"/>
                          </w:rPr>
                          <w:t>809.20</w:t>
                        </w:r>
                      </w:p>
                    </w:tc>
                    <w:tc>
                      <w:tcPr>
                        <w:tcW w:w="3518" w:type="dxa"/>
                      </w:tcPr>
                      <w:p>
                        <w:pPr>
                          <w:pStyle w:val="TableParagraph"/>
                          <w:spacing w:before="5"/>
                          <w:ind w:left="20" w:right="67"/>
                          <w:rPr>
                            <w:sz w:val="13"/>
                          </w:rPr>
                        </w:pPr>
                        <w:r>
                          <w:rPr>
                            <w:w w:val="105"/>
                            <w:sz w:val="13"/>
                          </w:rPr>
                          <w:t>obras que</w:t>
                        </w:r>
                      </w:p>
                    </w:tc>
                  </w:tr>
                  <w:tr>
                    <w:trPr>
                      <w:trHeight w:val="345" w:hRule="exact"/>
                    </w:trPr>
                    <w:tc>
                      <w:tcPr>
                        <w:tcW w:w="1519" w:type="dxa"/>
                        <w:vMerge/>
                      </w:tcPr>
                      <w:p>
                        <w:pPr/>
                      </w:p>
                    </w:tc>
                    <w:tc>
                      <w:tcPr>
                        <w:tcW w:w="1222" w:type="dxa"/>
                        <w:vMerge/>
                      </w:tcPr>
                      <w:p>
                        <w:pPr/>
                      </w:p>
                    </w:tc>
                    <w:tc>
                      <w:tcPr>
                        <w:tcW w:w="742" w:type="dxa"/>
                      </w:tcPr>
                      <w:p>
                        <w:pPr>
                          <w:pStyle w:val="TableParagraph"/>
                          <w:spacing w:before="5"/>
                          <w:rPr>
                            <w:b/>
                            <w:sz w:val="15"/>
                          </w:rPr>
                        </w:pPr>
                      </w:p>
                      <w:p>
                        <w:pPr>
                          <w:pStyle w:val="TableParagraph"/>
                          <w:ind w:right="17"/>
                          <w:jc w:val="right"/>
                          <w:rPr>
                            <w:sz w:val="13"/>
                          </w:rPr>
                        </w:pPr>
                        <w:r>
                          <w:rPr>
                            <w:w w:val="105"/>
                            <w:sz w:val="13"/>
                          </w:rPr>
                          <w:t>330.00</w:t>
                        </w:r>
                      </w:p>
                    </w:tc>
                    <w:tc>
                      <w:tcPr>
                        <w:tcW w:w="3518" w:type="dxa"/>
                      </w:tcPr>
                      <w:p>
                        <w:pPr>
                          <w:pStyle w:val="TableParagraph"/>
                          <w:spacing w:line="276" w:lineRule="auto" w:before="5"/>
                          <w:ind w:left="21" w:right="45" w:firstLine="36"/>
                          <w:rPr>
                            <w:sz w:val="13"/>
                          </w:rPr>
                        </w:pPr>
                        <w:r>
                          <w:rPr>
                            <w:w w:val="105"/>
                            <w:sz w:val="13"/>
                          </w:rPr>
                          <w:t>compra de combustible, acciones que no se encuentran contempladas en el catálogo del FAIS</w:t>
                        </w:r>
                      </w:p>
                    </w:tc>
                  </w:tr>
                  <w:tr>
                    <w:trPr>
                      <w:trHeight w:val="518" w:hRule="exact"/>
                    </w:trPr>
                    <w:tc>
                      <w:tcPr>
                        <w:tcW w:w="1519" w:type="dxa"/>
                        <w:vMerge/>
                      </w:tcPr>
                      <w:p>
                        <w:pPr/>
                      </w:p>
                    </w:tc>
                    <w:tc>
                      <w:tcPr>
                        <w:tcW w:w="1222" w:type="dxa"/>
                        <w:vMerge/>
                      </w:tcPr>
                      <w:p>
                        <w:pPr/>
                      </w:p>
                    </w:tc>
                    <w:tc>
                      <w:tcPr>
                        <w:tcW w:w="742" w:type="dxa"/>
                      </w:tcPr>
                      <w:p>
                        <w:pPr>
                          <w:pStyle w:val="TableParagraph"/>
                          <w:rPr>
                            <w:b/>
                            <w:sz w:val="14"/>
                          </w:rPr>
                        </w:pPr>
                      </w:p>
                      <w:p>
                        <w:pPr>
                          <w:pStyle w:val="TableParagraph"/>
                          <w:spacing w:before="5"/>
                          <w:rPr>
                            <w:b/>
                            <w:sz w:val="16"/>
                          </w:rPr>
                        </w:pPr>
                      </w:p>
                      <w:p>
                        <w:pPr>
                          <w:pStyle w:val="TableParagraph"/>
                          <w:spacing w:before="1"/>
                          <w:ind w:right="19"/>
                          <w:jc w:val="right"/>
                          <w:rPr>
                            <w:sz w:val="13"/>
                          </w:rPr>
                        </w:pPr>
                        <w:r>
                          <w:rPr>
                            <w:w w:val="105"/>
                            <w:sz w:val="13"/>
                          </w:rPr>
                          <w:t>14,491.60</w:t>
                        </w:r>
                      </w:p>
                    </w:tc>
                    <w:tc>
                      <w:tcPr>
                        <w:tcW w:w="3518" w:type="dxa"/>
                      </w:tcPr>
                      <w:p>
                        <w:pPr>
                          <w:pStyle w:val="TableParagraph"/>
                          <w:spacing w:line="278" w:lineRule="auto" w:before="5"/>
                          <w:ind w:left="19" w:right="338" w:firstLine="1"/>
                          <w:jc w:val="both"/>
                          <w:rPr>
                            <w:sz w:val="13"/>
                          </w:rPr>
                        </w:pPr>
                        <w:r>
                          <w:rPr>
                            <w:w w:val="105"/>
                            <w:sz w:val="13"/>
                          </w:rPr>
                          <w:t>Obras y acciones ejecutadas que no beneficiaron a sectores en condiciones de rezago social y pobreza extrema</w:t>
                        </w:r>
                      </w:p>
                    </w:tc>
                  </w:tr>
                  <w:tr>
                    <w:trPr>
                      <w:trHeight w:val="172" w:hRule="exact"/>
                    </w:trPr>
                    <w:tc>
                      <w:tcPr>
                        <w:tcW w:w="1519" w:type="dxa"/>
                      </w:tcPr>
                      <w:p>
                        <w:pPr>
                          <w:pStyle w:val="TableParagraph"/>
                          <w:spacing w:before="5"/>
                          <w:ind w:left="20"/>
                          <w:rPr>
                            <w:sz w:val="13"/>
                          </w:rPr>
                        </w:pPr>
                        <w:r>
                          <w:rPr>
                            <w:w w:val="105"/>
                            <w:sz w:val="13"/>
                          </w:rPr>
                          <w:t>Villa Victoria</w:t>
                        </w:r>
                      </w:p>
                    </w:tc>
                    <w:tc>
                      <w:tcPr>
                        <w:tcW w:w="1222" w:type="dxa"/>
                      </w:tcPr>
                      <w:p>
                        <w:pPr>
                          <w:pStyle w:val="TableParagraph"/>
                          <w:spacing w:before="5"/>
                          <w:ind w:right="19"/>
                          <w:jc w:val="right"/>
                          <w:rPr>
                            <w:sz w:val="13"/>
                          </w:rPr>
                        </w:pPr>
                        <w:r>
                          <w:rPr>
                            <w:w w:val="105"/>
                            <w:sz w:val="13"/>
                          </w:rPr>
                          <w:t>0.00</w:t>
                        </w:r>
                      </w:p>
                    </w:tc>
                    <w:tc>
                      <w:tcPr>
                        <w:tcW w:w="742" w:type="dxa"/>
                      </w:tcPr>
                      <w:p>
                        <w:pPr>
                          <w:pStyle w:val="TableParagraph"/>
                          <w:spacing w:before="5"/>
                          <w:ind w:right="19"/>
                          <w:jc w:val="right"/>
                          <w:rPr>
                            <w:sz w:val="13"/>
                          </w:rPr>
                        </w:pPr>
                        <w:r>
                          <w:rPr>
                            <w:w w:val="105"/>
                            <w:sz w:val="13"/>
                          </w:rPr>
                          <w:t>0.00</w:t>
                        </w:r>
                      </w:p>
                    </w:tc>
                    <w:tc>
                      <w:tcPr>
                        <w:tcW w:w="3518" w:type="dxa"/>
                      </w:tcPr>
                      <w:p>
                        <w:pPr/>
                      </w:p>
                    </w:tc>
                  </w:tr>
                </w:tbl>
                <w:p>
                  <w:pPr>
                    <w:pStyle w:val="BodyText"/>
                  </w:pPr>
                </w:p>
              </w:txbxContent>
            </v:textbox>
            <w10:wrap type="none"/>
          </v:shape>
        </w:pict>
      </w:r>
      <w:r>
        <w:rPr>
          <w:b/>
          <w:w w:val="105"/>
          <w:sz w:val="13"/>
        </w:rPr>
        <w:t>Observaciones Generados del FISM y FORTAMUNDF en el Ejercicio 2014 (miles de pesos) Fondo para la  Infraestructura Social Municipal</w:t>
      </w:r>
    </w:p>
    <w:p>
      <w:pPr>
        <w:spacing w:after="0" w:line="568" w:lineRule="auto"/>
        <w:jc w:val="left"/>
        <w:rPr>
          <w:sz w:val="13"/>
        </w:rPr>
        <w:sectPr>
          <w:pgSz w:w="15840" w:h="12240" w:orient="landscape"/>
          <w:pgMar w:header="0" w:footer="932" w:top="1140" w:bottom="1180" w:left="210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2"/>
        </w:rPr>
      </w:pPr>
    </w:p>
    <w:p>
      <w:pPr>
        <w:spacing w:before="87" w:after="5"/>
        <w:ind w:left="2942" w:right="0" w:firstLine="0"/>
        <w:jc w:val="left"/>
        <w:rPr>
          <w:b/>
          <w:sz w:val="10"/>
        </w:rPr>
      </w:pPr>
      <w:r>
        <w:rPr>
          <w:b/>
          <w:sz w:val="10"/>
        </w:rPr>
        <w:t>Situación General de las Observaciones del periodo 2008-2014 Municipios del Estado de México (miles de pesos)</w:t>
      </w:r>
    </w:p>
    <w:p>
      <w:pPr>
        <w:pStyle w:val="BodyText"/>
        <w:spacing w:line="20" w:lineRule="exact"/>
        <w:ind w:left="935"/>
        <w:rPr>
          <w:sz w:val="2"/>
        </w:rPr>
      </w:pPr>
      <w:r>
        <w:rPr>
          <w:sz w:val="2"/>
        </w:rPr>
        <w:pict>
          <v:group style="width:467.6pt;height:.4pt;mso-position-horizontal-relative:char;mso-position-vertical-relative:line" coordorigin="0,0" coordsize="9352,8">
            <v:shape style="position:absolute;left:4;top:4;width:9344;height:2" coordorigin="4,4" coordsize="9344,0" path="m4,4l4,4,9347,4e" filled="false" stroked="true" strokeweight=".384366pt" strokecolor="#000000">
              <v:path arrowok="t"/>
            </v:shape>
          </v:group>
        </w:pict>
      </w:r>
      <w:r>
        <w:rPr>
          <w:sz w:val="2"/>
        </w:rPr>
      </w:r>
    </w:p>
    <w:p>
      <w:pPr>
        <w:pStyle w:val="BodyText"/>
        <w:rPr>
          <w:b/>
          <w:sz w:val="20"/>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9"/>
        <w:gridCol w:w="918"/>
        <w:gridCol w:w="1472"/>
        <w:gridCol w:w="918"/>
        <w:gridCol w:w="859"/>
        <w:gridCol w:w="702"/>
        <w:gridCol w:w="702"/>
        <w:gridCol w:w="759"/>
        <w:gridCol w:w="522"/>
        <w:gridCol w:w="438"/>
        <w:gridCol w:w="439"/>
        <w:gridCol w:w="538"/>
        <w:gridCol w:w="537"/>
        <w:gridCol w:w="538"/>
        <w:gridCol w:w="537"/>
        <w:gridCol w:w="538"/>
      </w:tblGrid>
      <w:tr>
        <w:trPr>
          <w:trHeight w:val="125" w:hRule="exact"/>
        </w:trPr>
        <w:tc>
          <w:tcPr>
            <w:tcW w:w="819" w:type="dxa"/>
            <w:vMerge w:val="restart"/>
            <w:tcBorders>
              <w:left w:val="single" w:sz="3" w:space="0" w:color="000000"/>
              <w:right w:val="single" w:sz="3" w:space="0" w:color="000000"/>
            </w:tcBorders>
            <w:shd w:val="clear" w:color="auto" w:fill="DA9593"/>
          </w:tcPr>
          <w:p>
            <w:pPr>
              <w:pStyle w:val="TableParagraph"/>
              <w:spacing w:before="11"/>
              <w:rPr>
                <w:b/>
                <w:sz w:val="10"/>
              </w:rPr>
            </w:pPr>
          </w:p>
          <w:p>
            <w:pPr>
              <w:pStyle w:val="TableParagraph"/>
              <w:ind w:left="258"/>
              <w:rPr>
                <w:b/>
                <w:sz w:val="10"/>
              </w:rPr>
            </w:pPr>
            <w:r>
              <w:rPr>
                <w:b/>
                <w:sz w:val="10"/>
              </w:rPr>
              <w:t>Fondo</w:t>
            </w:r>
          </w:p>
        </w:tc>
        <w:tc>
          <w:tcPr>
            <w:tcW w:w="918" w:type="dxa"/>
            <w:vMerge w:val="restart"/>
            <w:tcBorders>
              <w:left w:val="single" w:sz="3" w:space="0" w:color="000000"/>
              <w:right w:val="single" w:sz="3" w:space="0" w:color="000000"/>
            </w:tcBorders>
            <w:shd w:val="clear" w:color="auto" w:fill="DA9593"/>
          </w:tcPr>
          <w:p>
            <w:pPr>
              <w:pStyle w:val="TableParagraph"/>
              <w:spacing w:before="11"/>
              <w:rPr>
                <w:b/>
                <w:sz w:val="10"/>
              </w:rPr>
            </w:pPr>
          </w:p>
          <w:p>
            <w:pPr>
              <w:pStyle w:val="TableParagraph"/>
              <w:ind w:left="101"/>
              <w:rPr>
                <w:b/>
                <w:sz w:val="10"/>
              </w:rPr>
            </w:pPr>
            <w:r>
              <w:rPr>
                <w:b/>
                <w:sz w:val="10"/>
              </w:rPr>
              <w:t>Cuenta Pública</w:t>
            </w:r>
          </w:p>
        </w:tc>
        <w:tc>
          <w:tcPr>
            <w:tcW w:w="1472" w:type="dxa"/>
            <w:vMerge w:val="restart"/>
            <w:tcBorders>
              <w:left w:val="single" w:sz="3" w:space="0" w:color="000000"/>
              <w:right w:val="single" w:sz="3" w:space="0" w:color="000000"/>
            </w:tcBorders>
            <w:shd w:val="clear" w:color="auto" w:fill="DA9593"/>
          </w:tcPr>
          <w:p>
            <w:pPr>
              <w:pStyle w:val="TableParagraph"/>
              <w:spacing w:before="11"/>
              <w:rPr>
                <w:b/>
                <w:sz w:val="10"/>
              </w:rPr>
            </w:pPr>
          </w:p>
          <w:p>
            <w:pPr>
              <w:pStyle w:val="TableParagraph"/>
              <w:ind w:left="312"/>
              <w:rPr>
                <w:b/>
                <w:sz w:val="10"/>
              </w:rPr>
            </w:pPr>
            <w:r>
              <w:rPr>
                <w:b/>
                <w:sz w:val="10"/>
              </w:rPr>
              <w:t>Entidad Municipal</w:t>
            </w:r>
          </w:p>
        </w:tc>
        <w:tc>
          <w:tcPr>
            <w:tcW w:w="918" w:type="dxa"/>
            <w:vMerge w:val="restart"/>
            <w:tcBorders>
              <w:left w:val="single" w:sz="3" w:space="0" w:color="000000"/>
              <w:right w:val="single" w:sz="3" w:space="0" w:color="000000"/>
            </w:tcBorders>
            <w:shd w:val="clear" w:color="auto" w:fill="DA9593"/>
          </w:tcPr>
          <w:p>
            <w:pPr>
              <w:pStyle w:val="TableParagraph"/>
              <w:spacing w:line="261" w:lineRule="auto" w:before="63"/>
              <w:ind w:left="224" w:hanging="108"/>
              <w:rPr>
                <w:b/>
                <w:sz w:val="10"/>
              </w:rPr>
            </w:pPr>
            <w:r>
              <w:rPr>
                <w:b/>
                <w:w w:val="95"/>
                <w:sz w:val="10"/>
              </w:rPr>
              <w:t>Cuantificación </w:t>
            </w:r>
            <w:r>
              <w:rPr>
                <w:b/>
                <w:sz w:val="10"/>
              </w:rPr>
              <w:t>Monetaria</w:t>
            </w:r>
          </w:p>
        </w:tc>
        <w:tc>
          <w:tcPr>
            <w:tcW w:w="2263" w:type="dxa"/>
            <w:gridSpan w:val="3"/>
            <w:tcBorders>
              <w:left w:val="single" w:sz="3" w:space="0" w:color="000000"/>
              <w:bottom w:val="single" w:sz="3" w:space="0" w:color="000000"/>
              <w:right w:val="single" w:sz="3" w:space="0" w:color="000000"/>
            </w:tcBorders>
            <w:shd w:val="clear" w:color="auto" w:fill="DA9593"/>
          </w:tcPr>
          <w:p>
            <w:pPr>
              <w:pStyle w:val="TableParagraph"/>
              <w:spacing w:before="1"/>
              <w:ind w:left="747"/>
              <w:rPr>
                <w:b/>
                <w:sz w:val="10"/>
              </w:rPr>
            </w:pPr>
            <w:r>
              <w:rPr>
                <w:b/>
                <w:sz w:val="10"/>
              </w:rPr>
              <w:t>Recuperaciones</w:t>
            </w:r>
          </w:p>
        </w:tc>
        <w:tc>
          <w:tcPr>
            <w:tcW w:w="759" w:type="dxa"/>
            <w:vMerge w:val="restart"/>
            <w:tcBorders>
              <w:left w:val="single" w:sz="3" w:space="0" w:color="000000"/>
              <w:right w:val="single" w:sz="3" w:space="0" w:color="000000"/>
            </w:tcBorders>
            <w:shd w:val="clear" w:color="auto" w:fill="DA9593"/>
          </w:tcPr>
          <w:p>
            <w:pPr>
              <w:pStyle w:val="TableParagraph"/>
              <w:spacing w:line="261" w:lineRule="auto" w:before="63"/>
              <w:ind w:left="209" w:hanging="188"/>
              <w:rPr>
                <w:b/>
                <w:sz w:val="10"/>
              </w:rPr>
            </w:pPr>
            <w:r>
              <w:rPr>
                <w:b/>
                <w:w w:val="95"/>
                <w:sz w:val="10"/>
              </w:rPr>
              <w:t>Observaciones </w:t>
            </w:r>
            <w:r>
              <w:rPr>
                <w:b/>
                <w:sz w:val="10"/>
              </w:rPr>
              <w:t>Totales</w:t>
            </w:r>
          </w:p>
        </w:tc>
        <w:tc>
          <w:tcPr>
            <w:tcW w:w="522" w:type="dxa"/>
            <w:tcBorders>
              <w:left w:val="single" w:sz="3" w:space="0" w:color="000000"/>
              <w:bottom w:val="single" w:sz="3" w:space="0" w:color="000000"/>
              <w:right w:val="single" w:sz="3" w:space="0" w:color="000000"/>
            </w:tcBorders>
            <w:shd w:val="clear" w:color="auto" w:fill="DA9593"/>
          </w:tcPr>
          <w:p>
            <w:pPr/>
          </w:p>
        </w:tc>
        <w:tc>
          <w:tcPr>
            <w:tcW w:w="3564" w:type="dxa"/>
            <w:gridSpan w:val="7"/>
            <w:tcBorders>
              <w:left w:val="single" w:sz="3" w:space="0" w:color="000000"/>
              <w:bottom w:val="single" w:sz="3" w:space="0" w:color="000000"/>
              <w:right w:val="single" w:sz="3" w:space="0" w:color="000000"/>
            </w:tcBorders>
            <w:shd w:val="clear" w:color="auto" w:fill="DA9593"/>
          </w:tcPr>
          <w:p>
            <w:pPr>
              <w:pStyle w:val="TableParagraph"/>
              <w:spacing w:before="1"/>
              <w:ind w:left="1316" w:right="1309"/>
              <w:jc w:val="center"/>
              <w:rPr>
                <w:b/>
                <w:sz w:val="10"/>
              </w:rPr>
            </w:pPr>
            <w:r>
              <w:rPr>
                <w:b/>
                <w:sz w:val="10"/>
              </w:rPr>
              <w:t>Acciones Emitidas</w:t>
            </w:r>
          </w:p>
        </w:tc>
      </w:tr>
      <w:tr>
        <w:trPr>
          <w:trHeight w:val="250" w:hRule="exact"/>
        </w:trPr>
        <w:tc>
          <w:tcPr>
            <w:tcW w:w="819" w:type="dxa"/>
            <w:vMerge/>
            <w:tcBorders>
              <w:left w:val="single" w:sz="3" w:space="0" w:color="000000"/>
              <w:bottom w:val="single" w:sz="3" w:space="0" w:color="000000"/>
              <w:right w:val="single" w:sz="3" w:space="0" w:color="000000"/>
            </w:tcBorders>
            <w:shd w:val="clear" w:color="auto" w:fill="DA9593"/>
          </w:tcPr>
          <w:p>
            <w:pPr/>
          </w:p>
        </w:tc>
        <w:tc>
          <w:tcPr>
            <w:tcW w:w="918" w:type="dxa"/>
            <w:vMerge/>
            <w:tcBorders>
              <w:left w:val="single" w:sz="3" w:space="0" w:color="000000"/>
              <w:bottom w:val="single" w:sz="3" w:space="0" w:color="000000"/>
              <w:right w:val="single" w:sz="3" w:space="0" w:color="000000"/>
            </w:tcBorders>
            <w:shd w:val="clear" w:color="auto" w:fill="DA9593"/>
          </w:tcPr>
          <w:p>
            <w:pPr/>
          </w:p>
        </w:tc>
        <w:tc>
          <w:tcPr>
            <w:tcW w:w="1472" w:type="dxa"/>
            <w:vMerge/>
            <w:tcBorders>
              <w:left w:val="single" w:sz="3" w:space="0" w:color="000000"/>
              <w:bottom w:val="single" w:sz="3" w:space="0" w:color="000000"/>
              <w:right w:val="single" w:sz="3" w:space="0" w:color="000000"/>
            </w:tcBorders>
            <w:shd w:val="clear" w:color="auto" w:fill="DA9593"/>
          </w:tcPr>
          <w:p>
            <w:pPr/>
          </w:p>
        </w:tc>
        <w:tc>
          <w:tcPr>
            <w:tcW w:w="918" w:type="dxa"/>
            <w:vMerge/>
            <w:tcBorders>
              <w:left w:val="single" w:sz="3" w:space="0" w:color="000000"/>
              <w:bottom w:val="single" w:sz="3" w:space="0" w:color="000000"/>
              <w:right w:val="single" w:sz="3" w:space="0" w:color="000000"/>
            </w:tcBorders>
            <w:shd w:val="clear" w:color="auto" w:fill="DA9593"/>
          </w:tcPr>
          <w:p>
            <w:pPr/>
          </w:p>
        </w:tc>
        <w:tc>
          <w:tcPr>
            <w:tcW w:w="859"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59"/>
              <w:ind w:left="200"/>
              <w:rPr>
                <w:b/>
                <w:sz w:val="10"/>
              </w:rPr>
            </w:pPr>
            <w:r>
              <w:rPr>
                <w:b/>
                <w:sz w:val="10"/>
              </w:rPr>
              <w:t>Operadas</w:t>
            </w:r>
          </w:p>
        </w:tc>
        <w:tc>
          <w:tcPr>
            <w:tcW w:w="702"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59"/>
              <w:ind w:left="13"/>
              <w:rPr>
                <w:b/>
                <w:sz w:val="10"/>
              </w:rPr>
            </w:pPr>
            <w:r>
              <w:rPr>
                <w:b/>
                <w:sz w:val="10"/>
              </w:rPr>
              <w:t>Probables</w:t>
            </w:r>
          </w:p>
        </w:tc>
        <w:tc>
          <w:tcPr>
            <w:tcW w:w="702"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59"/>
              <w:ind w:left="180"/>
              <w:rPr>
                <w:b/>
                <w:sz w:val="10"/>
              </w:rPr>
            </w:pPr>
            <w:r>
              <w:rPr>
                <w:b/>
                <w:sz w:val="10"/>
              </w:rPr>
              <w:t>Aclarar</w:t>
            </w:r>
          </w:p>
        </w:tc>
        <w:tc>
          <w:tcPr>
            <w:tcW w:w="759" w:type="dxa"/>
            <w:vMerge/>
            <w:tcBorders>
              <w:left w:val="single" w:sz="3" w:space="0" w:color="000000"/>
              <w:bottom w:val="single" w:sz="3" w:space="0" w:color="000000"/>
              <w:right w:val="single" w:sz="3" w:space="0" w:color="000000"/>
            </w:tcBorders>
            <w:shd w:val="clear" w:color="auto" w:fill="DA9593"/>
          </w:tcPr>
          <w:p>
            <w:pPr/>
          </w:p>
        </w:tc>
        <w:tc>
          <w:tcPr>
            <w:tcW w:w="522"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5"/>
              <w:jc w:val="center"/>
              <w:rPr>
                <w:b/>
                <w:sz w:val="10"/>
              </w:rPr>
            </w:pPr>
            <w:r>
              <w:rPr>
                <w:b/>
                <w:w w:val="98"/>
                <w:sz w:val="10"/>
              </w:rPr>
              <w:t>S</w:t>
            </w:r>
          </w:p>
        </w:tc>
        <w:tc>
          <w:tcPr>
            <w:tcW w:w="438"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7"/>
              <w:jc w:val="center"/>
              <w:rPr>
                <w:b/>
                <w:sz w:val="10"/>
              </w:rPr>
            </w:pPr>
            <w:r>
              <w:rPr>
                <w:b/>
                <w:w w:val="98"/>
                <w:sz w:val="10"/>
              </w:rPr>
              <w:t>R</w:t>
            </w:r>
          </w:p>
        </w:tc>
        <w:tc>
          <w:tcPr>
            <w:tcW w:w="439"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47"/>
              <w:rPr>
                <w:b/>
                <w:sz w:val="10"/>
              </w:rPr>
            </w:pPr>
            <w:r>
              <w:rPr>
                <w:b/>
                <w:sz w:val="10"/>
              </w:rPr>
              <w:t>RD</w:t>
            </w:r>
          </w:p>
        </w:tc>
        <w:tc>
          <w:tcPr>
            <w:tcW w:w="538"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05"/>
              <w:rPr>
                <w:b/>
                <w:sz w:val="10"/>
              </w:rPr>
            </w:pPr>
            <w:r>
              <w:rPr>
                <w:b/>
                <w:sz w:val="10"/>
              </w:rPr>
              <w:t>PEFCF</w:t>
            </w:r>
          </w:p>
        </w:tc>
        <w:tc>
          <w:tcPr>
            <w:tcW w:w="537"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75" w:right="167"/>
              <w:jc w:val="center"/>
              <w:rPr>
                <w:b/>
                <w:sz w:val="10"/>
              </w:rPr>
            </w:pPr>
            <w:r>
              <w:rPr>
                <w:b/>
                <w:sz w:val="10"/>
              </w:rPr>
              <w:t>SA</w:t>
            </w:r>
          </w:p>
        </w:tc>
        <w:tc>
          <w:tcPr>
            <w:tcW w:w="538"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31"/>
              <w:rPr>
                <w:b/>
                <w:sz w:val="10"/>
              </w:rPr>
            </w:pPr>
            <w:r>
              <w:rPr>
                <w:b/>
                <w:sz w:val="10"/>
              </w:rPr>
              <w:t>PRAS</w:t>
            </w:r>
          </w:p>
        </w:tc>
        <w:tc>
          <w:tcPr>
            <w:tcW w:w="537"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75" w:right="169"/>
              <w:jc w:val="center"/>
              <w:rPr>
                <w:b/>
                <w:sz w:val="10"/>
              </w:rPr>
            </w:pPr>
            <w:r>
              <w:rPr>
                <w:b/>
                <w:sz w:val="10"/>
              </w:rPr>
              <w:t>PO</w:t>
            </w:r>
          </w:p>
        </w:tc>
        <w:tc>
          <w:tcPr>
            <w:tcW w:w="538"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66"/>
              <w:rPr>
                <w:b/>
                <w:sz w:val="10"/>
              </w:rPr>
            </w:pPr>
            <w:r>
              <w:rPr>
                <w:b/>
                <w:sz w:val="10"/>
              </w:rPr>
              <w:t>FRR</w:t>
            </w: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2008</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Almoloya de Juárez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7,854.4</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3,920.0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3,933.4</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6"/>
              <w:jc w:val="center"/>
              <w:rPr>
                <w:sz w:val="10"/>
              </w:rPr>
            </w:pPr>
            <w:r>
              <w:rPr>
                <w:w w:val="98"/>
                <w:sz w:val="10"/>
              </w:rPr>
              <w:t>3</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3</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2008</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Chimalhuacaán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10,714.0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10,714.0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6"/>
              <w:jc w:val="center"/>
              <w:rPr>
                <w:sz w:val="10"/>
              </w:rPr>
            </w:pPr>
            <w:r>
              <w:rPr>
                <w:w w:val="98"/>
                <w:sz w:val="10"/>
              </w:rPr>
              <w:t>7</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3</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3</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2008</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Nezahualcóyotl</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44,673.5</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44,673.5</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6"/>
              <w:jc w:val="center"/>
              <w:rPr>
                <w:sz w:val="10"/>
              </w:rPr>
            </w:pPr>
            <w:r>
              <w:rPr>
                <w:w w:val="98"/>
                <w:sz w:val="10"/>
              </w:rPr>
              <w:t>8</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3</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4</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2008</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San Felipe del Progreso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5,543.6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111.1</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5,432.5</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5</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5</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2008</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Chimalhuacán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287.7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206.9</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5"/>
              <w:jc w:val="right"/>
              <w:rPr>
                <w:sz w:val="10"/>
              </w:rPr>
            </w:pPr>
            <w:r>
              <w:rPr>
                <w:w w:val="95"/>
                <w:sz w:val="10"/>
              </w:rPr>
              <w:t>80.8</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7</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3</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2008</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Nezahualcóyotl</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120.1</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120.1</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1</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2009</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Ecatepec de Morelos</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94,111.7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94,111.7</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25</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21</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3</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2009</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Ixtlahuaca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sz w:val="10"/>
              </w:rPr>
              <w:t>11,274.1</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11,274.1</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28</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1" w:right="152"/>
              <w:jc w:val="center"/>
              <w:rPr>
                <w:sz w:val="10"/>
              </w:rPr>
            </w:pPr>
            <w:r>
              <w:rPr>
                <w:sz w:val="10"/>
              </w:rPr>
              <w:t>11</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6</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10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2009</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San Felipe del Progreso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25,870.6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25,870.6</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10</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3"/>
              <w:jc w:val="right"/>
              <w:rPr>
                <w:sz w:val="10"/>
              </w:rPr>
            </w:pPr>
            <w:r>
              <w:rPr>
                <w:sz w:val="10"/>
              </w:rPr>
              <w:t>10</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2009</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San José del Rincón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6,207.7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3"/>
              <w:jc w:val="right"/>
              <w:rPr>
                <w:sz w:val="10"/>
              </w:rPr>
            </w:pPr>
            <w:r>
              <w:rPr>
                <w:w w:val="95"/>
                <w:sz w:val="10"/>
              </w:rPr>
              <w:t>114.6</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6,093.1</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21</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15</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2009</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Toluca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533.7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533.7</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5</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5</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2009</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Ecatepec de Morelos</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72,801.8</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72,801.8</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22</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18</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2009</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Nezahualcóyotl</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41,222.3</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41,222.3</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6</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6</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2010</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Almoloya de Juárez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0</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2010</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Atizapán de Zaragoza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26,639.0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26,639.0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26</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25</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2010</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Ecatepec de Morelos</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4</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2</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2010</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Jiquipilco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2010</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Nezahualcóyotl</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3</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3</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2010</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Naucalpan de Juárez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15</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14</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2010</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Toluca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6,365.1</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6,365.1</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21</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2</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9"/>
              <w:jc w:val="right"/>
              <w:rPr>
                <w:sz w:val="10"/>
              </w:rPr>
            </w:pPr>
            <w:r>
              <w:rPr>
                <w:w w:val="95"/>
                <w:sz w:val="10"/>
              </w:rPr>
              <w:t>11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2010</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Ecatepec de Morelos</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107.1</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107.1</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13</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5</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8</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2010</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Naucalpan de Juárez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10</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9</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2011</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Almoloya de Alquisiras</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5"/>
              <w:jc w:val="right"/>
              <w:rPr>
                <w:sz w:val="10"/>
              </w:rPr>
            </w:pPr>
            <w:r>
              <w:rPr>
                <w:w w:val="95"/>
                <w:sz w:val="10"/>
              </w:rPr>
              <w:t>29.6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5"/>
              <w:jc w:val="right"/>
              <w:rPr>
                <w:sz w:val="10"/>
              </w:rPr>
            </w:pPr>
            <w:r>
              <w:rPr>
                <w:w w:val="95"/>
                <w:sz w:val="10"/>
              </w:rPr>
              <w:t>29.6</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13</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13</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2011</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Chimalhuacán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sz w:val="10"/>
              </w:rPr>
              <w:t>11,512.4</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11,512.4</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0" w:right="271"/>
              <w:jc w:val="center"/>
              <w:rPr>
                <w:sz w:val="10"/>
              </w:rPr>
            </w:pPr>
            <w:r>
              <w:rPr>
                <w:sz w:val="10"/>
              </w:rPr>
              <w:t>11</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9"/>
              <w:jc w:val="right"/>
              <w:rPr>
                <w:sz w:val="10"/>
              </w:rPr>
            </w:pPr>
            <w:r>
              <w:rPr>
                <w:w w:val="95"/>
                <w:sz w:val="10"/>
              </w:rPr>
              <w:t>11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2011</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Ixtlahuaca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2</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2011</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Naucalpan de Juárez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3,852.3</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3,852.3</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10</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3"/>
              <w:jc w:val="right"/>
              <w:rPr>
                <w:sz w:val="10"/>
              </w:rPr>
            </w:pPr>
            <w:r>
              <w:rPr>
                <w:sz w:val="10"/>
              </w:rPr>
              <w:t>10</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2011</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Sultepec</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8,027.0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8,027.0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12</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12</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2011</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Zacualpan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1,461.7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1,461.7</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8</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7</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2011</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Nezahualcóyotl</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3</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3</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2011</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Naucalpan de Juárez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26,422.6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26,422.6</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6</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6</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Atizapán de Zaragoza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8,704.0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204.0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8,500.0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21</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18</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Cuautitlán Izcalli</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12,236.2</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4,966.3</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7,269.9</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18</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1" w:right="152"/>
              <w:jc w:val="center"/>
              <w:rPr>
                <w:sz w:val="10"/>
              </w:rPr>
            </w:pPr>
            <w:r>
              <w:rPr>
                <w:sz w:val="10"/>
              </w:rPr>
              <w:t>11</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Ecatepec de Morelos</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24,357.1</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5,435.1</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1,564.3</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17,357.7</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23</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12</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8</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Huixquilucan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5,638.7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5,638.7</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21</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12</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5</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Naucalpan de Juárez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24,323.6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16,586.6</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7,737.0</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15</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10</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3</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San Felipe del Progreso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1,462.8</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1,462.8</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7</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7</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6"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San José del Rincón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72,625.5</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72,625.5</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17</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3"/>
              <w:jc w:val="right"/>
              <w:rPr>
                <w:sz w:val="10"/>
              </w:rPr>
            </w:pPr>
            <w:r>
              <w:rPr>
                <w:sz w:val="10"/>
              </w:rPr>
              <w:t>17</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Tejupilco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8,198.6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8,198.6</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6"/>
              <w:jc w:val="center"/>
              <w:rPr>
                <w:sz w:val="10"/>
              </w:rPr>
            </w:pPr>
            <w:r>
              <w:rPr>
                <w:w w:val="98"/>
                <w:sz w:val="10"/>
              </w:rPr>
              <w:t>5</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5</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Tlalnepantla de Baz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13,258.8</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2,934.0</w:t>
            </w:r>
          </w:p>
        </w:tc>
        <w:tc>
          <w:tcPr>
            <w:tcW w:w="702"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10,324.8</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272" w:right="269"/>
              <w:jc w:val="center"/>
              <w:rPr>
                <w:sz w:val="10"/>
              </w:rPr>
            </w:pPr>
            <w:r>
              <w:rPr>
                <w:sz w:val="10"/>
              </w:rPr>
              <w:t>14</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5"/>
              <w:jc w:val="center"/>
              <w:rPr>
                <w:sz w:val="10"/>
              </w:rPr>
            </w:pPr>
            <w:r>
              <w:rPr>
                <w:w w:val="98"/>
                <w:sz w:val="10"/>
              </w:rPr>
              <w:t>9</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3</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2</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Atizapán de Zaragoza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5,025.9</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5,025.9</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272" w:right="269"/>
              <w:jc w:val="center"/>
              <w:rPr>
                <w:sz w:val="10"/>
              </w:rPr>
            </w:pPr>
            <w:r>
              <w:rPr>
                <w:sz w:val="10"/>
              </w:rPr>
              <w:t>14</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54" w:right="152"/>
              <w:jc w:val="center"/>
              <w:rPr>
                <w:sz w:val="10"/>
              </w:rPr>
            </w:pPr>
            <w:r>
              <w:rPr>
                <w:sz w:val="10"/>
              </w:rPr>
              <w:t>12</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Ecatepec de Morelos</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2,291.3</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2,291.3</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272" w:right="269"/>
              <w:jc w:val="center"/>
              <w:rPr>
                <w:sz w:val="10"/>
              </w:rPr>
            </w:pPr>
            <w:r>
              <w:rPr>
                <w:sz w:val="10"/>
              </w:rPr>
              <w:t>12</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54" w:right="152"/>
              <w:jc w:val="center"/>
              <w:rPr>
                <w:sz w:val="10"/>
              </w:rPr>
            </w:pPr>
            <w:r>
              <w:rPr>
                <w:sz w:val="10"/>
              </w:rPr>
              <w:t>10</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Huixquilucan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22,623.0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w w:val="95"/>
                <w:sz w:val="10"/>
              </w:rPr>
              <w:t>405.1</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22,217.9</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272" w:right="269"/>
              <w:jc w:val="center"/>
              <w:rPr>
                <w:sz w:val="10"/>
              </w:rPr>
            </w:pPr>
            <w:r>
              <w:rPr>
                <w:sz w:val="10"/>
              </w:rPr>
              <w:t>22</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54" w:right="152"/>
              <w:jc w:val="center"/>
              <w:rPr>
                <w:sz w:val="10"/>
              </w:rPr>
            </w:pPr>
            <w:r>
              <w:rPr>
                <w:sz w:val="10"/>
              </w:rPr>
              <w:t>15</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2</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5</w:t>
            </w:r>
          </w:p>
        </w:tc>
        <w:tc>
          <w:tcPr>
            <w:tcW w:w="538" w:type="dxa"/>
            <w:tcBorders>
              <w:top w:val="single" w:sz="3" w:space="0" w:color="000000"/>
              <w:left w:val="single" w:sz="3" w:space="0" w:color="000000"/>
              <w:bottom w:val="single" w:sz="3" w:space="0" w:color="000000"/>
              <w:right w:val="single" w:sz="3" w:space="0" w:color="000000"/>
            </w:tcBorders>
          </w:tcPr>
          <w:p>
            <w:pPr/>
          </w:p>
        </w:tc>
      </w:tr>
    </w:tbl>
    <w:p>
      <w:pPr>
        <w:spacing w:after="0"/>
        <w:sectPr>
          <w:pgSz w:w="15840" w:h="12240" w:orient="landscape"/>
          <w:pgMar w:header="0" w:footer="932" w:top="1140" w:bottom="1180" w:left="2000" w:right="22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2"/>
        </w:rPr>
      </w:pPr>
    </w:p>
    <w:p>
      <w:pPr>
        <w:spacing w:before="87" w:after="5"/>
        <w:ind w:left="2942" w:right="0" w:firstLine="0"/>
        <w:jc w:val="left"/>
        <w:rPr>
          <w:b/>
          <w:sz w:val="10"/>
        </w:rPr>
      </w:pPr>
      <w:r>
        <w:rPr>
          <w:b/>
          <w:sz w:val="10"/>
        </w:rPr>
        <w:t>Situación General de las Observaciones del periodo 2008-2014 Municipios del Estado de México (miles de pesos)</w:t>
      </w:r>
    </w:p>
    <w:p>
      <w:pPr>
        <w:pStyle w:val="BodyText"/>
        <w:spacing w:line="20" w:lineRule="exact"/>
        <w:ind w:left="935"/>
        <w:rPr>
          <w:sz w:val="2"/>
        </w:rPr>
      </w:pPr>
      <w:r>
        <w:rPr>
          <w:sz w:val="2"/>
        </w:rPr>
        <w:pict>
          <v:group style="width:467.6pt;height:.4pt;mso-position-horizontal-relative:char;mso-position-vertical-relative:line" coordorigin="0,0" coordsize="9352,8">
            <v:shape style="position:absolute;left:4;top:4;width:9344;height:2" coordorigin="4,4" coordsize="9344,0" path="m4,4l4,4,9347,4e" filled="false" stroked="true" strokeweight=".384366pt" strokecolor="#000000">
              <v:path arrowok="t"/>
            </v:shape>
          </v:group>
        </w:pict>
      </w:r>
      <w:r>
        <w:rPr>
          <w:sz w:val="2"/>
        </w:rPr>
      </w:r>
    </w:p>
    <w:p>
      <w:pPr>
        <w:pStyle w:val="BodyText"/>
        <w:rPr>
          <w:b/>
          <w:sz w:val="20"/>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9"/>
        <w:gridCol w:w="918"/>
        <w:gridCol w:w="1472"/>
        <w:gridCol w:w="918"/>
        <w:gridCol w:w="859"/>
        <w:gridCol w:w="702"/>
        <w:gridCol w:w="702"/>
        <w:gridCol w:w="759"/>
        <w:gridCol w:w="522"/>
        <w:gridCol w:w="438"/>
        <w:gridCol w:w="439"/>
        <w:gridCol w:w="538"/>
        <w:gridCol w:w="537"/>
        <w:gridCol w:w="538"/>
        <w:gridCol w:w="537"/>
        <w:gridCol w:w="538"/>
      </w:tblGrid>
      <w:tr>
        <w:trPr>
          <w:trHeight w:val="125" w:hRule="exact"/>
        </w:trPr>
        <w:tc>
          <w:tcPr>
            <w:tcW w:w="819" w:type="dxa"/>
            <w:vMerge w:val="restart"/>
            <w:tcBorders>
              <w:left w:val="single" w:sz="3" w:space="0" w:color="000000"/>
              <w:right w:val="single" w:sz="3" w:space="0" w:color="000000"/>
            </w:tcBorders>
            <w:shd w:val="clear" w:color="auto" w:fill="DA9593"/>
          </w:tcPr>
          <w:p>
            <w:pPr>
              <w:pStyle w:val="TableParagraph"/>
              <w:spacing w:before="11"/>
              <w:rPr>
                <w:b/>
                <w:sz w:val="10"/>
              </w:rPr>
            </w:pPr>
          </w:p>
          <w:p>
            <w:pPr>
              <w:pStyle w:val="TableParagraph"/>
              <w:ind w:left="258"/>
              <w:rPr>
                <w:b/>
                <w:sz w:val="10"/>
              </w:rPr>
            </w:pPr>
            <w:r>
              <w:rPr>
                <w:b/>
                <w:sz w:val="10"/>
              </w:rPr>
              <w:t>Fondo</w:t>
            </w:r>
          </w:p>
        </w:tc>
        <w:tc>
          <w:tcPr>
            <w:tcW w:w="918" w:type="dxa"/>
            <w:vMerge w:val="restart"/>
            <w:tcBorders>
              <w:left w:val="single" w:sz="3" w:space="0" w:color="000000"/>
              <w:right w:val="single" w:sz="3" w:space="0" w:color="000000"/>
            </w:tcBorders>
            <w:shd w:val="clear" w:color="auto" w:fill="DA9593"/>
          </w:tcPr>
          <w:p>
            <w:pPr>
              <w:pStyle w:val="TableParagraph"/>
              <w:spacing w:before="11"/>
              <w:rPr>
                <w:b/>
                <w:sz w:val="10"/>
              </w:rPr>
            </w:pPr>
          </w:p>
          <w:p>
            <w:pPr>
              <w:pStyle w:val="TableParagraph"/>
              <w:ind w:left="101"/>
              <w:rPr>
                <w:b/>
                <w:sz w:val="10"/>
              </w:rPr>
            </w:pPr>
            <w:r>
              <w:rPr>
                <w:b/>
                <w:sz w:val="10"/>
              </w:rPr>
              <w:t>Cuenta Pública</w:t>
            </w:r>
          </w:p>
        </w:tc>
        <w:tc>
          <w:tcPr>
            <w:tcW w:w="1472" w:type="dxa"/>
            <w:vMerge w:val="restart"/>
            <w:tcBorders>
              <w:left w:val="single" w:sz="3" w:space="0" w:color="000000"/>
              <w:right w:val="single" w:sz="3" w:space="0" w:color="000000"/>
            </w:tcBorders>
            <w:shd w:val="clear" w:color="auto" w:fill="DA9593"/>
          </w:tcPr>
          <w:p>
            <w:pPr>
              <w:pStyle w:val="TableParagraph"/>
              <w:spacing w:before="11"/>
              <w:rPr>
                <w:b/>
                <w:sz w:val="10"/>
              </w:rPr>
            </w:pPr>
          </w:p>
          <w:p>
            <w:pPr>
              <w:pStyle w:val="TableParagraph"/>
              <w:ind w:left="312"/>
              <w:rPr>
                <w:b/>
                <w:sz w:val="10"/>
              </w:rPr>
            </w:pPr>
            <w:r>
              <w:rPr>
                <w:b/>
                <w:sz w:val="10"/>
              </w:rPr>
              <w:t>Entidad Municipal</w:t>
            </w:r>
          </w:p>
        </w:tc>
        <w:tc>
          <w:tcPr>
            <w:tcW w:w="918" w:type="dxa"/>
            <w:vMerge w:val="restart"/>
            <w:tcBorders>
              <w:left w:val="single" w:sz="3" w:space="0" w:color="000000"/>
              <w:right w:val="single" w:sz="3" w:space="0" w:color="000000"/>
            </w:tcBorders>
            <w:shd w:val="clear" w:color="auto" w:fill="DA9593"/>
          </w:tcPr>
          <w:p>
            <w:pPr>
              <w:pStyle w:val="TableParagraph"/>
              <w:spacing w:line="261" w:lineRule="auto" w:before="63"/>
              <w:ind w:left="224" w:hanging="108"/>
              <w:rPr>
                <w:b/>
                <w:sz w:val="10"/>
              </w:rPr>
            </w:pPr>
            <w:r>
              <w:rPr>
                <w:b/>
                <w:w w:val="95"/>
                <w:sz w:val="10"/>
              </w:rPr>
              <w:t>Cuantificación </w:t>
            </w:r>
            <w:r>
              <w:rPr>
                <w:b/>
                <w:sz w:val="10"/>
              </w:rPr>
              <w:t>Monetaria</w:t>
            </w:r>
          </w:p>
        </w:tc>
        <w:tc>
          <w:tcPr>
            <w:tcW w:w="2263" w:type="dxa"/>
            <w:gridSpan w:val="3"/>
            <w:tcBorders>
              <w:left w:val="single" w:sz="3" w:space="0" w:color="000000"/>
              <w:bottom w:val="single" w:sz="3" w:space="0" w:color="000000"/>
              <w:right w:val="single" w:sz="3" w:space="0" w:color="000000"/>
            </w:tcBorders>
            <w:shd w:val="clear" w:color="auto" w:fill="DA9593"/>
          </w:tcPr>
          <w:p>
            <w:pPr>
              <w:pStyle w:val="TableParagraph"/>
              <w:spacing w:before="1"/>
              <w:ind w:left="747"/>
              <w:rPr>
                <w:b/>
                <w:sz w:val="10"/>
              </w:rPr>
            </w:pPr>
            <w:r>
              <w:rPr>
                <w:b/>
                <w:sz w:val="10"/>
              </w:rPr>
              <w:t>Recuperaciones</w:t>
            </w:r>
          </w:p>
        </w:tc>
        <w:tc>
          <w:tcPr>
            <w:tcW w:w="759" w:type="dxa"/>
            <w:vMerge w:val="restart"/>
            <w:tcBorders>
              <w:left w:val="single" w:sz="3" w:space="0" w:color="000000"/>
              <w:right w:val="single" w:sz="3" w:space="0" w:color="000000"/>
            </w:tcBorders>
            <w:shd w:val="clear" w:color="auto" w:fill="DA9593"/>
          </w:tcPr>
          <w:p>
            <w:pPr>
              <w:pStyle w:val="TableParagraph"/>
              <w:spacing w:line="261" w:lineRule="auto" w:before="63"/>
              <w:ind w:left="209" w:hanging="188"/>
              <w:rPr>
                <w:b/>
                <w:sz w:val="10"/>
              </w:rPr>
            </w:pPr>
            <w:r>
              <w:rPr>
                <w:b/>
                <w:w w:val="95"/>
                <w:sz w:val="10"/>
              </w:rPr>
              <w:t>Observaciones </w:t>
            </w:r>
            <w:r>
              <w:rPr>
                <w:b/>
                <w:sz w:val="10"/>
              </w:rPr>
              <w:t>Totales</w:t>
            </w:r>
          </w:p>
        </w:tc>
        <w:tc>
          <w:tcPr>
            <w:tcW w:w="522" w:type="dxa"/>
            <w:tcBorders>
              <w:left w:val="single" w:sz="3" w:space="0" w:color="000000"/>
              <w:bottom w:val="single" w:sz="3" w:space="0" w:color="000000"/>
              <w:right w:val="single" w:sz="3" w:space="0" w:color="000000"/>
            </w:tcBorders>
            <w:shd w:val="clear" w:color="auto" w:fill="DA9593"/>
          </w:tcPr>
          <w:p>
            <w:pPr/>
          </w:p>
        </w:tc>
        <w:tc>
          <w:tcPr>
            <w:tcW w:w="3564" w:type="dxa"/>
            <w:gridSpan w:val="7"/>
            <w:tcBorders>
              <w:left w:val="single" w:sz="3" w:space="0" w:color="000000"/>
              <w:bottom w:val="single" w:sz="3" w:space="0" w:color="000000"/>
              <w:right w:val="single" w:sz="3" w:space="0" w:color="000000"/>
            </w:tcBorders>
            <w:shd w:val="clear" w:color="auto" w:fill="DA9593"/>
          </w:tcPr>
          <w:p>
            <w:pPr>
              <w:pStyle w:val="TableParagraph"/>
              <w:spacing w:before="1"/>
              <w:ind w:left="1316" w:right="1309"/>
              <w:jc w:val="center"/>
              <w:rPr>
                <w:b/>
                <w:sz w:val="10"/>
              </w:rPr>
            </w:pPr>
            <w:r>
              <w:rPr>
                <w:b/>
                <w:sz w:val="10"/>
              </w:rPr>
              <w:t>Acciones Emitidas</w:t>
            </w:r>
          </w:p>
        </w:tc>
      </w:tr>
      <w:tr>
        <w:trPr>
          <w:trHeight w:val="250" w:hRule="exact"/>
        </w:trPr>
        <w:tc>
          <w:tcPr>
            <w:tcW w:w="819" w:type="dxa"/>
            <w:vMerge/>
            <w:tcBorders>
              <w:left w:val="single" w:sz="3" w:space="0" w:color="000000"/>
              <w:bottom w:val="single" w:sz="3" w:space="0" w:color="000000"/>
              <w:right w:val="single" w:sz="3" w:space="0" w:color="000000"/>
            </w:tcBorders>
            <w:shd w:val="clear" w:color="auto" w:fill="DA9593"/>
          </w:tcPr>
          <w:p>
            <w:pPr/>
          </w:p>
        </w:tc>
        <w:tc>
          <w:tcPr>
            <w:tcW w:w="918" w:type="dxa"/>
            <w:vMerge/>
            <w:tcBorders>
              <w:left w:val="single" w:sz="3" w:space="0" w:color="000000"/>
              <w:bottom w:val="single" w:sz="3" w:space="0" w:color="000000"/>
              <w:right w:val="single" w:sz="3" w:space="0" w:color="000000"/>
            </w:tcBorders>
            <w:shd w:val="clear" w:color="auto" w:fill="DA9593"/>
          </w:tcPr>
          <w:p>
            <w:pPr/>
          </w:p>
        </w:tc>
        <w:tc>
          <w:tcPr>
            <w:tcW w:w="1472" w:type="dxa"/>
            <w:vMerge/>
            <w:tcBorders>
              <w:left w:val="single" w:sz="3" w:space="0" w:color="000000"/>
              <w:bottom w:val="single" w:sz="3" w:space="0" w:color="000000"/>
              <w:right w:val="single" w:sz="3" w:space="0" w:color="000000"/>
            </w:tcBorders>
            <w:shd w:val="clear" w:color="auto" w:fill="DA9593"/>
          </w:tcPr>
          <w:p>
            <w:pPr/>
          </w:p>
        </w:tc>
        <w:tc>
          <w:tcPr>
            <w:tcW w:w="918" w:type="dxa"/>
            <w:vMerge/>
            <w:tcBorders>
              <w:left w:val="single" w:sz="3" w:space="0" w:color="000000"/>
              <w:bottom w:val="single" w:sz="3" w:space="0" w:color="000000"/>
              <w:right w:val="single" w:sz="3" w:space="0" w:color="000000"/>
            </w:tcBorders>
            <w:shd w:val="clear" w:color="auto" w:fill="DA9593"/>
          </w:tcPr>
          <w:p>
            <w:pPr/>
          </w:p>
        </w:tc>
        <w:tc>
          <w:tcPr>
            <w:tcW w:w="859"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59"/>
              <w:ind w:left="200"/>
              <w:rPr>
                <w:b/>
                <w:sz w:val="10"/>
              </w:rPr>
            </w:pPr>
            <w:r>
              <w:rPr>
                <w:b/>
                <w:sz w:val="10"/>
              </w:rPr>
              <w:t>Operadas</w:t>
            </w:r>
          </w:p>
        </w:tc>
        <w:tc>
          <w:tcPr>
            <w:tcW w:w="702"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59"/>
              <w:ind w:left="13"/>
              <w:rPr>
                <w:b/>
                <w:sz w:val="10"/>
              </w:rPr>
            </w:pPr>
            <w:r>
              <w:rPr>
                <w:b/>
                <w:sz w:val="10"/>
              </w:rPr>
              <w:t>Probables</w:t>
            </w:r>
          </w:p>
        </w:tc>
        <w:tc>
          <w:tcPr>
            <w:tcW w:w="702"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59"/>
              <w:ind w:left="180"/>
              <w:rPr>
                <w:b/>
                <w:sz w:val="10"/>
              </w:rPr>
            </w:pPr>
            <w:r>
              <w:rPr>
                <w:b/>
                <w:sz w:val="10"/>
              </w:rPr>
              <w:t>Aclarar</w:t>
            </w:r>
          </w:p>
        </w:tc>
        <w:tc>
          <w:tcPr>
            <w:tcW w:w="759" w:type="dxa"/>
            <w:vMerge/>
            <w:tcBorders>
              <w:left w:val="single" w:sz="3" w:space="0" w:color="000000"/>
              <w:bottom w:val="single" w:sz="3" w:space="0" w:color="000000"/>
              <w:right w:val="single" w:sz="3" w:space="0" w:color="000000"/>
            </w:tcBorders>
            <w:shd w:val="clear" w:color="auto" w:fill="DA9593"/>
          </w:tcPr>
          <w:p>
            <w:pPr/>
          </w:p>
        </w:tc>
        <w:tc>
          <w:tcPr>
            <w:tcW w:w="522"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5"/>
              <w:jc w:val="center"/>
              <w:rPr>
                <w:b/>
                <w:sz w:val="10"/>
              </w:rPr>
            </w:pPr>
            <w:r>
              <w:rPr>
                <w:b/>
                <w:w w:val="98"/>
                <w:sz w:val="10"/>
              </w:rPr>
              <w:t>S</w:t>
            </w:r>
          </w:p>
        </w:tc>
        <w:tc>
          <w:tcPr>
            <w:tcW w:w="438"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7"/>
              <w:jc w:val="center"/>
              <w:rPr>
                <w:b/>
                <w:sz w:val="10"/>
              </w:rPr>
            </w:pPr>
            <w:r>
              <w:rPr>
                <w:b/>
                <w:w w:val="98"/>
                <w:sz w:val="10"/>
              </w:rPr>
              <w:t>R</w:t>
            </w:r>
          </w:p>
        </w:tc>
        <w:tc>
          <w:tcPr>
            <w:tcW w:w="439"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47"/>
              <w:rPr>
                <w:b/>
                <w:sz w:val="10"/>
              </w:rPr>
            </w:pPr>
            <w:r>
              <w:rPr>
                <w:b/>
                <w:sz w:val="10"/>
              </w:rPr>
              <w:t>RD</w:t>
            </w:r>
          </w:p>
        </w:tc>
        <w:tc>
          <w:tcPr>
            <w:tcW w:w="538"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05"/>
              <w:rPr>
                <w:b/>
                <w:sz w:val="10"/>
              </w:rPr>
            </w:pPr>
            <w:r>
              <w:rPr>
                <w:b/>
                <w:sz w:val="10"/>
              </w:rPr>
              <w:t>PEFCF</w:t>
            </w:r>
          </w:p>
        </w:tc>
        <w:tc>
          <w:tcPr>
            <w:tcW w:w="537"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75" w:right="167"/>
              <w:jc w:val="center"/>
              <w:rPr>
                <w:b/>
                <w:sz w:val="10"/>
              </w:rPr>
            </w:pPr>
            <w:r>
              <w:rPr>
                <w:b/>
                <w:sz w:val="10"/>
              </w:rPr>
              <w:t>SA</w:t>
            </w:r>
          </w:p>
        </w:tc>
        <w:tc>
          <w:tcPr>
            <w:tcW w:w="538"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31"/>
              <w:rPr>
                <w:b/>
                <w:sz w:val="10"/>
              </w:rPr>
            </w:pPr>
            <w:r>
              <w:rPr>
                <w:b/>
                <w:sz w:val="10"/>
              </w:rPr>
              <w:t>PRAS</w:t>
            </w:r>
          </w:p>
        </w:tc>
        <w:tc>
          <w:tcPr>
            <w:tcW w:w="537"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75" w:right="169"/>
              <w:jc w:val="center"/>
              <w:rPr>
                <w:b/>
                <w:sz w:val="10"/>
              </w:rPr>
            </w:pPr>
            <w:r>
              <w:rPr>
                <w:b/>
                <w:sz w:val="10"/>
              </w:rPr>
              <w:t>PO</w:t>
            </w:r>
          </w:p>
        </w:tc>
        <w:tc>
          <w:tcPr>
            <w:tcW w:w="538" w:type="dxa"/>
            <w:tcBorders>
              <w:top w:val="single" w:sz="3" w:space="0" w:color="000000"/>
              <w:left w:val="single" w:sz="3" w:space="0" w:color="000000"/>
              <w:bottom w:val="single" w:sz="3" w:space="0" w:color="000000"/>
              <w:right w:val="single" w:sz="3" w:space="0" w:color="000000"/>
            </w:tcBorders>
            <w:shd w:val="clear" w:color="auto" w:fill="DA9593"/>
          </w:tcPr>
          <w:p>
            <w:pPr>
              <w:pStyle w:val="TableParagraph"/>
              <w:spacing w:before="7"/>
              <w:rPr>
                <w:b/>
                <w:sz w:val="10"/>
              </w:rPr>
            </w:pPr>
          </w:p>
          <w:p>
            <w:pPr>
              <w:pStyle w:val="TableParagraph"/>
              <w:ind w:left="166"/>
              <w:rPr>
                <w:b/>
                <w:sz w:val="10"/>
              </w:rPr>
            </w:pPr>
            <w:r>
              <w:rPr>
                <w:b/>
                <w:sz w:val="10"/>
              </w:rPr>
              <w:t>FRR</w:t>
            </w: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Naucalpan de Juárez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272" w:right="269"/>
              <w:jc w:val="center"/>
              <w:rPr>
                <w:sz w:val="10"/>
              </w:rPr>
            </w:pPr>
            <w:r>
              <w:rPr>
                <w:sz w:val="10"/>
              </w:rPr>
              <w:t>12</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51" w:right="152"/>
              <w:jc w:val="center"/>
              <w:rPr>
                <w:sz w:val="10"/>
              </w:rPr>
            </w:pPr>
            <w:r>
              <w:rPr>
                <w:sz w:val="10"/>
              </w:rPr>
              <w:t>11</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FORTAMUNDF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2012</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Tlalnepantla de Baz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6"/>
              <w:jc w:val="center"/>
              <w:rPr>
                <w:sz w:val="10"/>
              </w:rPr>
            </w:pPr>
            <w:r>
              <w:rPr>
                <w:w w:val="98"/>
                <w:sz w:val="10"/>
              </w:rPr>
              <w:t>4</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5"/>
              <w:jc w:val="center"/>
              <w:rPr>
                <w:sz w:val="10"/>
              </w:rPr>
            </w:pPr>
            <w:r>
              <w:rPr>
                <w:w w:val="98"/>
                <w:sz w:val="10"/>
              </w:rPr>
              <w:t>3</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14"/>
              <w:rPr>
                <w:sz w:val="10"/>
              </w:rPr>
            </w:pPr>
            <w:r>
              <w:rPr>
                <w:sz w:val="10"/>
              </w:rPr>
              <w:t>Atizapán de Zaragoza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15,186.3</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8"/>
              <w:jc w:val="right"/>
              <w:rPr>
                <w:sz w:val="10"/>
              </w:rPr>
            </w:pPr>
            <w:r>
              <w:rPr>
                <w:w w:val="95"/>
                <w:sz w:val="10"/>
              </w:rPr>
              <w:t>12,840.8</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6"/>
              <w:jc w:val="right"/>
              <w:rPr>
                <w:sz w:val="10"/>
              </w:rPr>
            </w:pPr>
            <w:r>
              <w:rPr>
                <w:w w:val="95"/>
                <w:sz w:val="10"/>
              </w:rPr>
              <w:t>2,345.5</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6"/>
              <w:jc w:val="center"/>
              <w:rPr>
                <w:sz w:val="10"/>
              </w:rPr>
            </w:pPr>
            <w:r>
              <w:rPr>
                <w:w w:val="98"/>
                <w:sz w:val="10"/>
              </w:rPr>
              <w:t>3</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left="5"/>
              <w:jc w:val="center"/>
              <w:rPr>
                <w:sz w:val="10"/>
              </w:rPr>
            </w:pPr>
            <w:r>
              <w:rPr>
                <w:w w:val="98"/>
                <w:sz w:val="10"/>
              </w:rPr>
              <w:t>1</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2"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Atlacomulco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14,537.2</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9,282.1</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5,255.1</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10</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4</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Chimalhuacán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21,786.6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13,640.0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8,146.6</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16</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10</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Cuautitlán Izcalli</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12,259.6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7,291.5</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4,968.1</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5</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2</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Ecatepec de Morelos</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59,650.9</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59,650.9</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10</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3"/>
              <w:jc w:val="right"/>
              <w:rPr>
                <w:sz w:val="10"/>
              </w:rPr>
            </w:pPr>
            <w:r>
              <w:rPr>
                <w:sz w:val="10"/>
              </w:rPr>
              <w:t>10</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Huehuetoca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4,189.0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820.9</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3,368.1</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13</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9</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Ixtapaluca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13,824.1</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5,601.9</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8,222.2</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8</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4</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La Paz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7,833.2</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666.7</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7,166.5</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6</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4</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Luvianos</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9,999.7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9,999.7</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2</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1</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Nezahualcóyotl</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5"/>
                <w:sz w:val="10"/>
              </w:rPr>
              <w:t>117.3</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3"/>
              <w:jc w:val="right"/>
              <w:rPr>
                <w:sz w:val="10"/>
              </w:rPr>
            </w:pPr>
            <w:r>
              <w:rPr>
                <w:w w:val="95"/>
                <w:sz w:val="10"/>
              </w:rPr>
              <w:t>117.3</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10</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3"/>
              <w:jc w:val="right"/>
              <w:rPr>
                <w:sz w:val="10"/>
              </w:rPr>
            </w:pPr>
            <w:r>
              <w:rPr>
                <w:sz w:val="10"/>
              </w:rPr>
              <w:t>10</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Nicolas Romero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3,390.3</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5"/>
              <w:jc w:val="right"/>
              <w:rPr>
                <w:sz w:val="10"/>
              </w:rPr>
            </w:pPr>
            <w:r>
              <w:rPr>
                <w:w w:val="95"/>
                <w:sz w:val="10"/>
              </w:rPr>
              <w:t>30.0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3,360.3</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5</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3</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San Felipe del Progreso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229.6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229.6</w:t>
            </w:r>
          </w:p>
        </w:tc>
        <w:tc>
          <w:tcPr>
            <w:tcW w:w="702"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17</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16</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San José del Rincón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7,199.3</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2,523.9</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4,675.4</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0" w:right="271"/>
              <w:jc w:val="center"/>
              <w:rPr>
                <w:sz w:val="10"/>
              </w:rPr>
            </w:pPr>
            <w:r>
              <w:rPr>
                <w:sz w:val="10"/>
              </w:rPr>
              <w:t>11</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7</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Temascaltepec</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800.0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800.0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3</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2</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Temoaya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2,254.7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132.1</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1,599.1</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523.5</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7</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3</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3</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Tlalnepantla de Baz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26,188.2</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8,987.8</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17,200.4</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3</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1</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Toluca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10,535.6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10,535.6</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9</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9</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Tultitlán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23,005.5</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21,862.6</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1,142.9</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4</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2</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Valle de Chalco Solidaridad</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18,296.3</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7,559.6</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10,736.7</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6</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4</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Villa Victoria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13,194.1</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13,194.1</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9</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9</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2013</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Zacualpan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10,551.6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5"/>
              <w:jc w:val="right"/>
              <w:rPr>
                <w:sz w:val="10"/>
              </w:rPr>
            </w:pPr>
            <w:r>
              <w:rPr>
                <w:w w:val="95"/>
                <w:sz w:val="10"/>
              </w:rPr>
              <w:t>59.0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9,767.6</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725.0</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8</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2</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Acambay</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4,998.4</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4,196.3</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802.1</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13</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6</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Chalco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sz w:val="10"/>
              </w:rPr>
              <w:t>11,608.4</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11.3</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507.5</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sz w:val="10"/>
              </w:rPr>
              <w:t>11,089.6</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8</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2</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Chimalhuacán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15,933.4</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15,093.5</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839.9</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14</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sz w:val="10"/>
              </w:rPr>
            </w:pPr>
            <w:r>
              <w:rPr>
                <w:sz w:val="10"/>
              </w:rPr>
              <w:t>10</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3</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Ixtapaluca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26,299.9</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9,925.6</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16,374.3</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0" w:right="271"/>
              <w:jc w:val="center"/>
              <w:rPr>
                <w:sz w:val="10"/>
              </w:rPr>
            </w:pPr>
            <w:r>
              <w:rPr>
                <w:sz w:val="10"/>
              </w:rPr>
              <w:t>11</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9</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Ixtlahuaca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6,930.0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6,930.0</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5</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4</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Jilotepec</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368.7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4.9</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363.8</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0" w:right="271"/>
              <w:jc w:val="center"/>
              <w:rPr>
                <w:sz w:val="10"/>
              </w:rPr>
            </w:pPr>
            <w:r>
              <w:rPr>
                <w:sz w:val="10"/>
              </w:rPr>
              <w:t>11</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2</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6</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Metepec</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10,960.1</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1,586.3</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9,373.8</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9</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7</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Naucalpan de Juárez</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5,945.6</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5,480.5</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w w:val="95"/>
                <w:sz w:val="10"/>
              </w:rPr>
              <w:t>465.1</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0" w:right="271"/>
              <w:jc w:val="center"/>
              <w:rPr>
                <w:sz w:val="10"/>
              </w:rPr>
            </w:pPr>
            <w:r>
              <w:rPr>
                <w:sz w:val="10"/>
              </w:rPr>
              <w:t>11</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7</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3</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Nezahualcóyotl</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2,987.4</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2,987.4</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7</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6</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San José del Rincón</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12,419.7</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10,474.8</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1,944.9</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16</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1" w:right="152"/>
              <w:jc w:val="center"/>
              <w:rPr>
                <w:sz w:val="10"/>
              </w:rPr>
            </w:pPr>
            <w:r>
              <w:rPr>
                <w:sz w:val="10"/>
              </w:rPr>
              <w:t>11</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1</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3</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Temascalcingo</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10,419.8</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8,844.0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6"/>
              <w:jc w:val="right"/>
              <w:rPr>
                <w:sz w:val="10"/>
              </w:rPr>
            </w:pPr>
            <w:r>
              <w:rPr>
                <w:w w:val="95"/>
                <w:sz w:val="10"/>
              </w:rPr>
              <w:t>1,575.8</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13</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1</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sz w:val="10"/>
              </w:rPr>
            </w:pPr>
            <w:r>
              <w:rPr>
                <w:w w:val="98"/>
                <w:sz w:val="10"/>
              </w:rPr>
              <w:t>1</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4</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5</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Villa de Allende</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15,630.8</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sz w:val="10"/>
              </w:rPr>
            </w:pPr>
            <w:r>
              <w:rPr>
                <w:w w:val="95"/>
                <w:sz w:val="10"/>
              </w:rPr>
              <w:t>15,630.8</w:t>
            </w: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69"/>
              <w:jc w:val="center"/>
              <w:rPr>
                <w:sz w:val="10"/>
              </w:rPr>
            </w:pPr>
            <w:r>
              <w:rPr>
                <w:sz w:val="10"/>
              </w:rPr>
              <w:t>17</w:t>
            </w: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2</w:t>
            </w: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12</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1"/>
              <w:jc w:val="right"/>
              <w:rPr>
                <w:sz w:val="10"/>
              </w:rPr>
            </w:pPr>
            <w:r>
              <w:rPr>
                <w:w w:val="98"/>
                <w:sz w:val="10"/>
              </w:rPr>
              <w:t>3</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FISMDF</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2014</w:t>
            </w:r>
          </w:p>
        </w:tc>
        <w:tc>
          <w:tcPr>
            <w:tcW w:w="147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4"/>
              <w:rPr>
                <w:sz w:val="10"/>
              </w:rPr>
            </w:pPr>
            <w:r>
              <w:rPr>
                <w:sz w:val="10"/>
              </w:rPr>
              <w:t>Villa Victoria</w:t>
            </w: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sz w:val="10"/>
              </w:rPr>
            </w:pPr>
            <w:r>
              <w:rPr>
                <w:sz w:val="10"/>
              </w:rPr>
              <w:t>0.0</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6"/>
              <w:jc w:val="center"/>
              <w:rPr>
                <w:sz w:val="10"/>
              </w:rPr>
            </w:pPr>
            <w:r>
              <w:rPr>
                <w:w w:val="98"/>
                <w:sz w:val="10"/>
              </w:rPr>
              <w:t>8</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5"/>
              <w:jc w:val="center"/>
              <w:rPr>
                <w:sz w:val="10"/>
              </w:rPr>
            </w:pPr>
            <w:r>
              <w:rPr>
                <w:w w:val="98"/>
                <w:sz w:val="10"/>
              </w:rPr>
              <w:t>8</w:t>
            </w: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6" w:hRule="exact"/>
        </w:trPr>
        <w:tc>
          <w:tcPr>
            <w:tcW w:w="819"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1472"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9"/>
              <w:jc w:val="right"/>
              <w:rPr>
                <w:b/>
                <w:sz w:val="10"/>
              </w:rPr>
            </w:pPr>
            <w:r>
              <w:rPr>
                <w:b/>
                <w:w w:val="95"/>
                <w:sz w:val="10"/>
              </w:rPr>
              <w:t>1,005,908.8</w:t>
            </w:r>
          </w:p>
        </w:tc>
        <w:tc>
          <w:tcPr>
            <w:tcW w:w="8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8"/>
              <w:jc w:val="right"/>
              <w:rPr>
                <w:b/>
                <w:sz w:val="10"/>
              </w:rPr>
            </w:pPr>
            <w:r>
              <w:rPr>
                <w:b/>
                <w:w w:val="95"/>
                <w:sz w:val="10"/>
              </w:rPr>
              <w:t>65,049.9</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9"/>
              <w:jc w:val="right"/>
              <w:rPr>
                <w:b/>
                <w:sz w:val="10"/>
              </w:rPr>
            </w:pPr>
            <w:r>
              <w:rPr>
                <w:b/>
                <w:w w:val="95"/>
                <w:sz w:val="10"/>
              </w:rPr>
              <w:t>765,658.0</w:t>
            </w:r>
          </w:p>
        </w:tc>
        <w:tc>
          <w:tcPr>
            <w:tcW w:w="70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9"/>
              <w:jc w:val="right"/>
              <w:rPr>
                <w:b/>
                <w:sz w:val="10"/>
              </w:rPr>
            </w:pPr>
            <w:r>
              <w:rPr>
                <w:b/>
                <w:w w:val="95"/>
                <w:sz w:val="10"/>
              </w:rPr>
              <w:t>175,199.9</w:t>
            </w:r>
          </w:p>
        </w:tc>
        <w:tc>
          <w:tcPr>
            <w:tcW w:w="75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272" w:right="271"/>
              <w:jc w:val="center"/>
              <w:rPr>
                <w:b/>
                <w:sz w:val="10"/>
              </w:rPr>
            </w:pPr>
            <w:r>
              <w:rPr>
                <w:b/>
                <w:sz w:val="10"/>
              </w:rPr>
              <w:t>818</w:t>
            </w:r>
          </w:p>
        </w:tc>
        <w:tc>
          <w:tcPr>
            <w:tcW w:w="522"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left="154" w:right="152"/>
              <w:jc w:val="center"/>
              <w:rPr>
                <w:b/>
                <w:sz w:val="10"/>
              </w:rPr>
            </w:pPr>
            <w:r>
              <w:rPr>
                <w:b/>
                <w:sz w:val="10"/>
              </w:rPr>
              <w:t>422</w:t>
            </w:r>
          </w:p>
        </w:tc>
        <w:tc>
          <w:tcPr>
            <w:tcW w:w="4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5"/>
              <w:jc w:val="right"/>
              <w:rPr>
                <w:b/>
                <w:sz w:val="10"/>
              </w:rPr>
            </w:pPr>
            <w:r>
              <w:rPr>
                <w:b/>
                <w:sz w:val="10"/>
              </w:rPr>
              <w:t>170</w:t>
            </w:r>
          </w:p>
        </w:tc>
        <w:tc>
          <w:tcPr>
            <w:tcW w:w="439"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b/>
                <w:sz w:val="10"/>
              </w:rPr>
            </w:pPr>
            <w:r>
              <w:rPr>
                <w:b/>
                <w:w w:val="98"/>
                <w:sz w:val="10"/>
              </w:rPr>
              <w:t>0</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2"/>
              <w:jc w:val="right"/>
              <w:rPr>
                <w:b/>
                <w:sz w:val="10"/>
              </w:rPr>
            </w:pPr>
            <w:r>
              <w:rPr>
                <w:b/>
                <w:w w:val="98"/>
                <w:sz w:val="10"/>
              </w:rPr>
              <w:t>2</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b/>
                <w:sz w:val="10"/>
              </w:rPr>
            </w:pPr>
            <w:r>
              <w:rPr>
                <w:b/>
                <w:sz w:val="10"/>
              </w:rPr>
              <w:t>30</w:t>
            </w:r>
          </w:p>
        </w:tc>
        <w:tc>
          <w:tcPr>
            <w:tcW w:w="538"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4"/>
              <w:jc w:val="right"/>
              <w:rPr>
                <w:b/>
                <w:sz w:val="10"/>
              </w:rPr>
            </w:pPr>
            <w:r>
              <w:rPr>
                <w:b/>
                <w:sz w:val="10"/>
              </w:rPr>
              <w:t>85</w:t>
            </w:r>
          </w:p>
        </w:tc>
        <w:tc>
          <w:tcPr>
            <w:tcW w:w="537" w:type="dxa"/>
            <w:tcBorders>
              <w:top w:val="single" w:sz="3" w:space="0" w:color="000000"/>
              <w:left w:val="single" w:sz="3" w:space="0" w:color="000000"/>
              <w:bottom w:val="single" w:sz="3" w:space="0" w:color="000000"/>
              <w:right w:val="single" w:sz="3" w:space="0" w:color="000000"/>
            </w:tcBorders>
          </w:tcPr>
          <w:p>
            <w:pPr>
              <w:pStyle w:val="TableParagraph"/>
              <w:spacing w:line="113" w:lineRule="exact"/>
              <w:ind w:right="17"/>
              <w:jc w:val="right"/>
              <w:rPr>
                <w:b/>
                <w:sz w:val="10"/>
              </w:rPr>
            </w:pPr>
            <w:r>
              <w:rPr>
                <w:b/>
                <w:w w:val="95"/>
                <w:sz w:val="10"/>
              </w:rPr>
              <w:t>120.00</w:t>
            </w: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1472"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859"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1472"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859"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1472"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859"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1472"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859"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r>
      <w:tr>
        <w:trPr>
          <w:trHeight w:val="125" w:hRule="exact"/>
        </w:trPr>
        <w:tc>
          <w:tcPr>
            <w:tcW w:w="819"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1472" w:type="dxa"/>
            <w:tcBorders>
              <w:top w:val="single" w:sz="3" w:space="0" w:color="000000"/>
              <w:left w:val="single" w:sz="3" w:space="0" w:color="000000"/>
              <w:bottom w:val="single" w:sz="3" w:space="0" w:color="000000"/>
              <w:right w:val="single" w:sz="3" w:space="0" w:color="000000"/>
            </w:tcBorders>
          </w:tcPr>
          <w:p>
            <w:pPr/>
          </w:p>
        </w:tc>
        <w:tc>
          <w:tcPr>
            <w:tcW w:w="918" w:type="dxa"/>
            <w:tcBorders>
              <w:top w:val="single" w:sz="3" w:space="0" w:color="000000"/>
              <w:left w:val="single" w:sz="3" w:space="0" w:color="000000"/>
              <w:bottom w:val="single" w:sz="3" w:space="0" w:color="000000"/>
              <w:right w:val="single" w:sz="3" w:space="0" w:color="000000"/>
            </w:tcBorders>
          </w:tcPr>
          <w:p>
            <w:pPr/>
          </w:p>
        </w:tc>
        <w:tc>
          <w:tcPr>
            <w:tcW w:w="859"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02" w:type="dxa"/>
            <w:tcBorders>
              <w:top w:val="single" w:sz="3" w:space="0" w:color="000000"/>
              <w:left w:val="single" w:sz="3" w:space="0" w:color="000000"/>
              <w:bottom w:val="single" w:sz="3" w:space="0" w:color="000000"/>
              <w:right w:val="single" w:sz="3" w:space="0" w:color="000000"/>
            </w:tcBorders>
          </w:tcPr>
          <w:p>
            <w:pPr/>
          </w:p>
        </w:tc>
        <w:tc>
          <w:tcPr>
            <w:tcW w:w="759" w:type="dxa"/>
            <w:tcBorders>
              <w:top w:val="single" w:sz="3" w:space="0" w:color="000000"/>
              <w:left w:val="single" w:sz="3" w:space="0" w:color="000000"/>
              <w:bottom w:val="single" w:sz="3" w:space="0" w:color="000000"/>
              <w:right w:val="single" w:sz="3" w:space="0" w:color="000000"/>
            </w:tcBorders>
          </w:tcPr>
          <w:p>
            <w:pPr/>
          </w:p>
        </w:tc>
        <w:tc>
          <w:tcPr>
            <w:tcW w:w="522" w:type="dxa"/>
            <w:tcBorders>
              <w:top w:val="single" w:sz="3" w:space="0" w:color="000000"/>
              <w:left w:val="single" w:sz="3" w:space="0" w:color="000000"/>
              <w:bottom w:val="single" w:sz="3" w:space="0" w:color="000000"/>
              <w:right w:val="single" w:sz="3" w:space="0" w:color="000000"/>
            </w:tcBorders>
          </w:tcPr>
          <w:p>
            <w:pPr/>
          </w:p>
        </w:tc>
        <w:tc>
          <w:tcPr>
            <w:tcW w:w="438" w:type="dxa"/>
            <w:tcBorders>
              <w:top w:val="single" w:sz="3" w:space="0" w:color="000000"/>
              <w:left w:val="single" w:sz="3" w:space="0" w:color="000000"/>
              <w:bottom w:val="single" w:sz="3" w:space="0" w:color="000000"/>
              <w:right w:val="single" w:sz="3" w:space="0" w:color="000000"/>
            </w:tcBorders>
          </w:tcPr>
          <w:p>
            <w:pPr/>
          </w:p>
        </w:tc>
        <w:tc>
          <w:tcPr>
            <w:tcW w:w="439"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c>
          <w:tcPr>
            <w:tcW w:w="537" w:type="dxa"/>
            <w:tcBorders>
              <w:top w:val="single" w:sz="3" w:space="0" w:color="000000"/>
              <w:left w:val="single" w:sz="3" w:space="0" w:color="000000"/>
              <w:bottom w:val="single" w:sz="3" w:space="0" w:color="000000"/>
              <w:right w:val="single" w:sz="3" w:space="0" w:color="000000"/>
            </w:tcBorders>
          </w:tcPr>
          <w:p>
            <w:pPr/>
          </w:p>
        </w:tc>
        <w:tc>
          <w:tcPr>
            <w:tcW w:w="538" w:type="dxa"/>
            <w:tcBorders>
              <w:top w:val="single" w:sz="3" w:space="0" w:color="000000"/>
              <w:left w:val="single" w:sz="3" w:space="0" w:color="000000"/>
              <w:bottom w:val="single" w:sz="3" w:space="0" w:color="000000"/>
              <w:right w:val="single" w:sz="3" w:space="0" w:color="000000"/>
            </w:tcBorders>
          </w:tcPr>
          <w:p>
            <w:pPr/>
          </w:p>
        </w:tc>
      </w:tr>
    </w:tbl>
    <w:p>
      <w:pPr>
        <w:spacing w:after="0"/>
        <w:sectPr>
          <w:pgSz w:w="15840" w:h="12240" w:orient="landscape"/>
          <w:pgMar w:header="0" w:footer="932" w:top="1140" w:bottom="1180" w:left="2000" w:right="2260"/>
        </w:sectPr>
      </w:pPr>
    </w:p>
    <w:p>
      <w:pPr>
        <w:pStyle w:val="BodyText"/>
        <w:spacing w:before="4"/>
        <w:rPr>
          <w:rFonts w:ascii="Times New Roman"/>
          <w:sz w:val="17"/>
        </w:rPr>
      </w:pPr>
    </w:p>
    <w:p>
      <w:pPr>
        <w:spacing w:after="0"/>
        <w:rPr>
          <w:rFonts w:ascii="Times New Roman"/>
          <w:sz w:val="17"/>
        </w:rPr>
        <w:sectPr>
          <w:pgSz w:w="15840" w:h="12240" w:orient="landscape"/>
          <w:pgMar w:header="0" w:footer="932" w:top="1140" w:bottom="1120" w:left="2260" w:right="2260"/>
        </w:sectPr>
      </w:pPr>
    </w:p>
    <w:p>
      <w:pPr>
        <w:pStyle w:val="BodyText"/>
        <w:spacing w:before="4"/>
        <w:rPr>
          <w:rFonts w:ascii="Times New Roman"/>
          <w:sz w:val="17"/>
        </w:rPr>
      </w:pPr>
    </w:p>
    <w:p>
      <w:pPr>
        <w:spacing w:after="0"/>
        <w:rPr>
          <w:rFonts w:ascii="Times New Roman"/>
          <w:sz w:val="17"/>
        </w:rPr>
        <w:sectPr>
          <w:pgSz w:w="15840" w:h="12240" w:orient="landscape"/>
          <w:pgMar w:header="0" w:footer="932" w:top="1140" w:bottom="1120" w:left="2260" w:right="2260"/>
        </w:sectPr>
      </w:pPr>
    </w:p>
    <w:p>
      <w:pPr>
        <w:pStyle w:val="BodyText"/>
        <w:spacing w:before="4"/>
        <w:rPr>
          <w:rFonts w:ascii="Times New Roman"/>
          <w:sz w:val="17"/>
        </w:rPr>
      </w:pPr>
    </w:p>
    <w:sectPr>
      <w:pgSz w:w="15840" w:h="12240" w:orient="landscape"/>
      <w:pgMar w:header="0" w:footer="932" w:top="1140" w:bottom="1120" w:left="2260" w:right="2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onstantia">
    <w:altName w:val="Constantia"/>
    <w:charset w:val="0"/>
    <w:family w:val="roman"/>
    <w:pitch w:val="variable"/>
  </w:font>
  <w:font w:name="Verdana">
    <w:altName w:val="Verdana"/>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929993pt;margin-top:731.388123pt;width:10.15pt;height:13.05pt;mso-position-horizontal-relative:page;mso-position-vertical-relative:page;z-index:-682216"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929993pt;margin-top:731.388123pt;width:14.25pt;height:13.05pt;mso-position-horizontal-relative:page;mso-position-vertical-relative:page;z-index:-682000" type="#_x0000_t202" filled="false" stroked="false">
          <v:textbox inset="0,0,0,0">
            <w:txbxContent>
              <w:p>
                <w:pPr>
                  <w:spacing w:line="248" w:lineRule="exact" w:before="0"/>
                  <w:ind w:left="20" w:right="0" w:firstLine="0"/>
                  <w:jc w:val="left"/>
                  <w:rPr>
                    <w:rFonts w:ascii="Cambria"/>
                    <w:sz w:val="22"/>
                  </w:rPr>
                </w:pPr>
                <w:r>
                  <w:rPr>
                    <w:rFonts w:ascii="Cambria"/>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1.388123pt;width:16.25pt;height:13.05pt;mso-position-horizontal-relative:page;mso-position-vertical-relative:page;z-index:-681976"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929993pt;margin-top:731.388123pt;width:14.25pt;height:13.05pt;mso-position-horizontal-relative:page;mso-position-vertical-relative:page;z-index:-681952" type="#_x0000_t202" filled="false" stroked="false">
          <v:textbox inset="0,0,0,0">
            <w:txbxContent>
              <w:p>
                <w:pPr>
                  <w:spacing w:line="248" w:lineRule="exact" w:before="0"/>
                  <w:ind w:left="20" w:right="0" w:firstLine="0"/>
                  <w:jc w:val="left"/>
                  <w:rPr>
                    <w:rFonts w:ascii="Cambria"/>
                    <w:sz w:val="22"/>
                  </w:rPr>
                </w:pPr>
                <w:r>
                  <w:rPr>
                    <w:rFonts w:ascii="Cambria"/>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1.388123pt;width:16.25pt;height:13.05pt;mso-position-horizontal-relative:page;mso-position-vertical-relative:page;z-index:-681928"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929993pt;margin-top:731.388123pt;width:14.25pt;height:13.05pt;mso-position-horizontal-relative:page;mso-position-vertical-relative:page;z-index:-681904" type="#_x0000_t202" filled="false" stroked="false">
          <v:textbox inset="0,0,0,0">
            <w:txbxContent>
              <w:p>
                <w:pPr>
                  <w:spacing w:line="248" w:lineRule="exact" w:before="0"/>
                  <w:ind w:left="20" w:right="0" w:firstLine="0"/>
                  <w:jc w:val="left"/>
                  <w:rPr>
                    <w:rFonts w:ascii="Cambria"/>
                    <w:sz w:val="22"/>
                  </w:rPr>
                </w:pPr>
                <w:r>
                  <w:rPr>
                    <w:rFonts w:ascii="Cambria"/>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1.388123pt;width:16.25pt;height:13.05pt;mso-position-horizontal-relative:page;mso-position-vertical-relative:page;z-index:-681880"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929993pt;margin-top:731.388123pt;width:14.25pt;height:13.05pt;mso-position-horizontal-relative:page;mso-position-vertical-relative:page;z-index:-681856" type="#_x0000_t202" filled="false" stroked="false">
          <v:textbox inset="0,0,0,0">
            <w:txbxContent>
              <w:p>
                <w:pPr>
                  <w:spacing w:line="248" w:lineRule="exact" w:before="0"/>
                  <w:ind w:left="20" w:right="0" w:firstLine="0"/>
                  <w:jc w:val="left"/>
                  <w:rPr>
                    <w:rFonts w:ascii="Cambria"/>
                    <w:sz w:val="22"/>
                  </w:rPr>
                </w:pPr>
                <w:r>
                  <w:rPr>
                    <w:rFonts w:ascii="Cambria"/>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1.388123pt;width:16.25pt;height:13.05pt;mso-position-horizontal-relative:page;mso-position-vertical-relative:page;z-index:-681832"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929993pt;margin-top:731.388123pt;width:14.25pt;height:13.05pt;mso-position-horizontal-relative:page;mso-position-vertical-relative:page;z-index:-681808" type="#_x0000_t202" filled="false" stroked="false">
          <v:textbox inset="0,0,0,0">
            <w:txbxContent>
              <w:p>
                <w:pPr>
                  <w:spacing w:line="248" w:lineRule="exact" w:before="0"/>
                  <w:ind w:left="20" w:right="0" w:firstLine="0"/>
                  <w:jc w:val="left"/>
                  <w:rPr>
                    <w:rFonts w:ascii="Cambria"/>
                    <w:sz w:val="22"/>
                  </w:rPr>
                </w:pPr>
                <w:r>
                  <w:rPr>
                    <w:rFonts w:ascii="Cambria"/>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1.388123pt;width:16.25pt;height:13.05pt;mso-position-horizontal-relative:page;mso-position-vertical-relative:page;z-index:-681784"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929993pt;margin-top:731.388123pt;width:14.25pt;height:13.05pt;mso-position-horizontal-relative:page;mso-position-vertical-relative:page;z-index:-682192" type="#_x0000_t202" filled="false" stroked="false">
          <v:textbox inset="0,0,0,0">
            <w:txbxContent>
              <w:p>
                <w:pPr>
                  <w:spacing w:line="248" w:lineRule="exact" w:before="0"/>
                  <w:ind w:left="20" w:right="0" w:firstLine="0"/>
                  <w:jc w:val="left"/>
                  <w:rPr>
                    <w:rFonts w:ascii="Cambria"/>
                    <w:sz w:val="22"/>
                  </w:rPr>
                </w:pPr>
                <w:r>
                  <w:rPr>
                    <w:rFonts w:ascii="Cambria"/>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760" type="#_x0000_t202" filled="false" stroked="false">
          <v:textbox inset="0,0,0,0">
            <w:txbxContent>
              <w:p>
                <w:pPr>
                  <w:spacing w:line="248" w:lineRule="exact" w:before="0"/>
                  <w:ind w:left="20" w:right="0" w:firstLine="0"/>
                  <w:jc w:val="left"/>
                  <w:rPr>
                    <w:rFonts w:ascii="Cambria"/>
                    <w:sz w:val="22"/>
                  </w:rPr>
                </w:pPr>
                <w:r>
                  <w:rPr>
                    <w:rFonts w:ascii="Cambria"/>
                    <w:sz w:val="22"/>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29993pt;margin-top:731.388123pt;width:22.4pt;height:13.05pt;mso-position-horizontal-relative:page;mso-position-vertical-relative:page;z-index:-681736"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101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712" type="#_x0000_t202" filled="false" stroked="false">
          <v:textbox inset="0,0,0,0">
            <w:txbxContent>
              <w:p>
                <w:pPr>
                  <w:spacing w:line="248" w:lineRule="exact" w:before="0"/>
                  <w:ind w:left="20" w:right="0" w:firstLine="0"/>
                  <w:jc w:val="left"/>
                  <w:rPr>
                    <w:rFonts w:ascii="Cambria"/>
                    <w:sz w:val="22"/>
                  </w:rPr>
                </w:pPr>
                <w:r>
                  <w:rPr>
                    <w:rFonts w:ascii="Cambria"/>
                    <w:sz w:val="22"/>
                  </w:rPr>
                  <w:t>110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29993pt;margin-top:731.388123pt;width:22.4pt;height:13.05pt;mso-position-horizontal-relative:page;mso-position-vertical-relative:page;z-index:-681688"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111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664" type="#_x0000_t202" filled="false" stroked="false">
          <v:textbox inset="0,0,0,0">
            <w:txbxContent>
              <w:p>
                <w:pPr>
                  <w:spacing w:line="248" w:lineRule="exact" w:before="0"/>
                  <w:ind w:left="20" w:right="0" w:firstLine="0"/>
                  <w:jc w:val="left"/>
                  <w:rPr>
                    <w:rFonts w:ascii="Cambria"/>
                    <w:sz w:val="22"/>
                  </w:rPr>
                </w:pPr>
                <w:r>
                  <w:rPr>
                    <w:rFonts w:ascii="Cambria"/>
                    <w:sz w:val="22"/>
                  </w:rPr>
                  <w:t>120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29993pt;margin-top:731.388123pt;width:22.4pt;height:13.05pt;mso-position-horizontal-relative:page;mso-position-vertical-relative:page;z-index:-681640"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121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616" type="#_x0000_t202" filled="false" stroked="false">
          <v:textbox inset="0,0,0,0">
            <w:txbxContent>
              <w:p>
                <w:pPr>
                  <w:spacing w:line="248" w:lineRule="exact" w:before="0"/>
                  <w:ind w:left="20" w:right="0" w:firstLine="0"/>
                  <w:jc w:val="left"/>
                  <w:rPr>
                    <w:rFonts w:ascii="Cambria"/>
                    <w:sz w:val="22"/>
                  </w:rPr>
                </w:pPr>
                <w:r>
                  <w:rPr>
                    <w:rFonts w:ascii="Cambria"/>
                    <w:sz w:val="22"/>
                  </w:rPr>
                  <w:t>130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29993pt;margin-top:731.388123pt;width:22.4pt;height:13.05pt;mso-position-horizontal-relative:page;mso-position-vertical-relative:page;z-index:-681592"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131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568" type="#_x0000_t202" filled="false" stroked="false">
          <v:textbox inset="0,0,0,0">
            <w:txbxContent>
              <w:p>
                <w:pPr>
                  <w:spacing w:line="248" w:lineRule="exact" w:before="0"/>
                  <w:ind w:left="20" w:right="0" w:firstLine="0"/>
                  <w:jc w:val="left"/>
                  <w:rPr>
                    <w:rFonts w:ascii="Cambria"/>
                    <w:sz w:val="22"/>
                  </w:rPr>
                </w:pPr>
                <w:r>
                  <w:rPr>
                    <w:rFonts w:ascii="Cambria"/>
                    <w:sz w:val="22"/>
                  </w:rPr>
                  <w:t>140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29993pt;margin-top:731.388123pt;width:22.4pt;height:13.05pt;mso-position-horizontal-relative:page;mso-position-vertical-relative:page;z-index:-681544"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141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1.388123pt;width:16.25pt;height:13.05pt;mso-position-horizontal-relative:page;mso-position-vertical-relative:page;z-index:-682168"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520" type="#_x0000_t202" filled="false" stroked="false">
          <v:textbox inset="0,0,0,0">
            <w:txbxContent>
              <w:p>
                <w:pPr>
                  <w:spacing w:line="248" w:lineRule="exact" w:before="0"/>
                  <w:ind w:left="20" w:right="0" w:firstLine="0"/>
                  <w:jc w:val="left"/>
                  <w:rPr>
                    <w:rFonts w:ascii="Cambria"/>
                    <w:sz w:val="22"/>
                  </w:rPr>
                </w:pPr>
                <w:r>
                  <w:rPr>
                    <w:rFonts w:ascii="Cambria"/>
                    <w:sz w:val="22"/>
                  </w:rPr>
                  <w:t>150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29993pt;margin-top:731.388123pt;width:22.4pt;height:13.05pt;mso-position-horizontal-relative:page;mso-position-vertical-relative:page;z-index:-681496"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151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472" type="#_x0000_t202" filled="false" stroked="false">
          <v:textbox inset="0,0,0,0">
            <w:txbxContent>
              <w:p>
                <w:pPr>
                  <w:spacing w:line="248" w:lineRule="exact" w:before="0"/>
                  <w:ind w:left="20" w:right="0" w:firstLine="0"/>
                  <w:jc w:val="left"/>
                  <w:rPr>
                    <w:rFonts w:ascii="Cambria"/>
                    <w:sz w:val="22"/>
                  </w:rPr>
                </w:pPr>
                <w:r>
                  <w:rPr>
                    <w:rFonts w:ascii="Cambria"/>
                    <w:sz w:val="22"/>
                  </w:rPr>
                  <w:t>160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29993pt;margin-top:731.388123pt;width:22.4pt;height:13.05pt;mso-position-horizontal-relative:page;mso-position-vertical-relative:page;z-index:-681448"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161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424" type="#_x0000_t202" filled="false" stroked="false">
          <v:textbox inset="0,0,0,0">
            <w:txbxContent>
              <w:p>
                <w:pPr>
                  <w:spacing w:line="248" w:lineRule="exact" w:before="0"/>
                  <w:ind w:left="20" w:right="0" w:firstLine="0"/>
                  <w:jc w:val="left"/>
                  <w:rPr>
                    <w:rFonts w:ascii="Cambria"/>
                    <w:sz w:val="22"/>
                  </w:rPr>
                </w:pPr>
                <w:r>
                  <w:rPr>
                    <w:rFonts w:ascii="Cambria"/>
                    <w:sz w:val="22"/>
                  </w:rPr>
                  <w:t>170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4.929993pt;margin-top:731.388123pt;width:22.4pt;height:13.05pt;mso-position-horizontal-relative:page;mso-position-vertical-relative:page;z-index:-681400"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178</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376" type="#_x0000_t202" filled="false" stroked="false">
          <v:textbox inset="0,0,0,0">
            <w:txbxContent>
              <w:p>
                <w:pPr>
                  <w:spacing w:line="248" w:lineRule="exact" w:before="0"/>
                  <w:ind w:left="20" w:right="0" w:firstLine="0"/>
                  <w:jc w:val="left"/>
                  <w:rPr>
                    <w:rFonts w:ascii="Cambria"/>
                    <w:sz w:val="22"/>
                  </w:rPr>
                </w:pPr>
                <w:r>
                  <w:rPr>
                    <w:rFonts w:ascii="Cambria"/>
                    <w:sz w:val="22"/>
                  </w:rPr>
                  <w:t>180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29993pt;margin-top:731.388123pt;width:22.4pt;height:13.05pt;mso-position-horizontal-relative:page;mso-position-vertical-relative:page;z-index:-681352"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181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29993pt;margin-top:731.388123pt;width:20.4pt;height:13.05pt;mso-position-horizontal-relative:page;mso-position-vertical-relative:page;z-index:-681328" type="#_x0000_t202" filled="false" stroked="false">
          <v:textbox inset="0,0,0,0">
            <w:txbxContent>
              <w:p>
                <w:pPr>
                  <w:spacing w:line="248" w:lineRule="exact" w:before="0"/>
                  <w:ind w:left="20" w:right="0" w:firstLine="0"/>
                  <w:jc w:val="left"/>
                  <w:rPr>
                    <w:rFonts w:ascii="Cambria"/>
                    <w:sz w:val="22"/>
                  </w:rPr>
                </w:pPr>
                <w:r>
                  <w:rPr>
                    <w:rFonts w:ascii="Cambria"/>
                    <w:sz w:val="22"/>
                  </w:rPr>
                  <w:t>190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29993pt;margin-top:731.388123pt;width:22.4pt;height:13.05pt;mso-position-horizontal-relative:page;mso-position-vertical-relative:page;z-index:-681304"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191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929993pt;margin-top:731.388123pt;width:14.25pt;height:13.05pt;mso-position-horizontal-relative:page;mso-position-vertical-relative:page;z-index:-682144" type="#_x0000_t202" filled="false" stroked="false">
          <v:textbox inset="0,0,0,0">
            <w:txbxContent>
              <w:p>
                <w:pPr>
                  <w:spacing w:line="248" w:lineRule="exact" w:before="0"/>
                  <w:ind w:left="20" w:right="0" w:firstLine="0"/>
                  <w:jc w:val="left"/>
                  <w:rPr>
                    <w:rFonts w:ascii="Cambria"/>
                    <w:sz w:val="22"/>
                  </w:rPr>
                </w:pPr>
                <w:r>
                  <w:rPr>
                    <w:rFonts w:ascii="Cambria"/>
                    <w:sz w:val="22"/>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51.388123pt;width:22.4pt;height:13.05pt;mso-position-horizontal-relative:page;mso-position-vertical-relative:page;z-index:-681280"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200</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929993pt;margin-top:551.388123pt;width:20.4pt;height:13.05pt;mso-position-horizontal-relative:page;mso-position-vertical-relative:page;z-index:-681256" type="#_x0000_t202" filled="false" stroked="false">
          <v:textbox inset="0,0,0,0">
            <w:txbxContent>
              <w:p>
                <w:pPr>
                  <w:spacing w:line="248" w:lineRule="exact" w:before="0"/>
                  <w:ind w:left="20" w:right="0" w:firstLine="0"/>
                  <w:jc w:val="left"/>
                  <w:rPr>
                    <w:rFonts w:ascii="Cambria"/>
                    <w:sz w:val="22"/>
                  </w:rPr>
                </w:pPr>
                <w:r>
                  <w:rPr>
                    <w:rFonts w:ascii="Cambria"/>
                    <w:sz w:val="22"/>
                  </w:rPr>
                  <w:t>210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51.388123pt;width:22.4pt;height:13.05pt;mso-position-horizontal-relative:page;mso-position-vertical-relative:page;z-index:-681232"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211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929993pt;margin-top:551.388123pt;width:20.4pt;height:13.05pt;mso-position-horizontal-relative:page;mso-position-vertical-relative:page;z-index:-681208" type="#_x0000_t202" filled="false" stroked="false">
          <v:textbox inset="0,0,0,0">
            <w:txbxContent>
              <w:p>
                <w:pPr>
                  <w:spacing w:line="248" w:lineRule="exact" w:before="0"/>
                  <w:ind w:left="20" w:right="0" w:firstLine="0"/>
                  <w:jc w:val="left"/>
                  <w:rPr>
                    <w:rFonts w:ascii="Cambria"/>
                    <w:sz w:val="22"/>
                  </w:rPr>
                </w:pPr>
                <w:r>
                  <w:rPr>
                    <w:rFonts w:ascii="Cambria"/>
                    <w:sz w:val="22"/>
                  </w:rPr>
                  <w:t>220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51.388123pt;width:22.4pt;height:13.05pt;mso-position-horizontal-relative:page;mso-position-vertical-relative:page;z-index:-681184"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221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54295">
          <wp:simplePos x="0" y="0"/>
          <wp:positionH relativeFrom="page">
            <wp:posOffset>2615183</wp:posOffset>
          </wp:positionH>
          <wp:positionV relativeFrom="page">
            <wp:posOffset>5913120</wp:posOffset>
          </wp:positionV>
          <wp:extent cx="4800600" cy="441959"/>
          <wp:effectExtent l="0" t="0" r="0" b="0"/>
          <wp:wrapNone/>
          <wp:docPr id="3" name="image16.png" descr=""/>
          <wp:cNvGraphicFramePr>
            <a:graphicFrameLocks noChangeAspect="1"/>
          </wp:cNvGraphicFramePr>
          <a:graphic>
            <a:graphicData uri="http://schemas.openxmlformats.org/drawingml/2006/picture">
              <pic:pic>
                <pic:nvPicPr>
                  <pic:cNvPr id="4" name="image16.png"/>
                  <pic:cNvPicPr/>
                </pic:nvPicPr>
                <pic:blipFill>
                  <a:blip r:embed="rId1" cstate="print"/>
                  <a:stretch>
                    <a:fillRect/>
                  </a:stretch>
                </pic:blipFill>
                <pic:spPr>
                  <a:xfrm>
                    <a:off x="0" y="0"/>
                    <a:ext cx="4800600" cy="441959"/>
                  </a:xfrm>
                  <a:prstGeom prst="rect">
                    <a:avLst/>
                  </a:prstGeom>
                </pic:spPr>
              </pic:pic>
            </a:graphicData>
          </a:graphic>
        </wp:anchor>
      </w:drawing>
    </w:r>
    <w:r>
      <w:rPr/>
      <w:pict>
        <v:shape style="position:absolute;margin-left:384.929993pt;margin-top:551.388123pt;width:21.4pt;height:13.05pt;mso-position-horizontal-relative:page;mso-position-vertical-relative:page;z-index:-681136"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22</w:t>
                </w:r>
                <w:r>
                  <w:rPr/>
                  <w:fldChar w:fldCharType="end"/>
                </w:r>
                <w:r>
                  <w:rPr>
                    <w:rFonts w:ascii="Cambria"/>
                    <w:sz w:val="22"/>
                  </w:rPr>
                  <w:t>9</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51.388123pt;width:22.4pt;height:13.05pt;mso-position-horizontal-relative:page;mso-position-vertical-relative:page;z-index:-681112"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231</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929993pt;margin-top:551.388123pt;width:20.4pt;height:13.05pt;mso-position-horizontal-relative:page;mso-position-vertical-relative:page;z-index:-681088" type="#_x0000_t202" filled="false" stroked="false">
          <v:textbox inset="0,0,0,0">
            <w:txbxContent>
              <w:p>
                <w:pPr>
                  <w:spacing w:line="248" w:lineRule="exact" w:before="0"/>
                  <w:ind w:left="20" w:right="0" w:firstLine="0"/>
                  <w:jc w:val="left"/>
                  <w:rPr>
                    <w:rFonts w:ascii="Cambria"/>
                    <w:sz w:val="22"/>
                  </w:rPr>
                </w:pPr>
                <w:r>
                  <w:rPr>
                    <w:rFonts w:ascii="Cambria"/>
                    <w:sz w:val="22"/>
                  </w:rPr>
                  <w:t>240</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51.388123pt;width:22.4pt;height:13.05pt;mso-position-horizontal-relative:page;mso-position-vertical-relative:page;z-index:-681064"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241</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929993pt;margin-top:551.388123pt;width:20.4pt;height:13.05pt;mso-position-horizontal-relative:page;mso-position-vertical-relative:page;z-index:-681040" type="#_x0000_t202" filled="false" stroked="false">
          <v:textbox inset="0,0,0,0">
            <w:txbxContent>
              <w:p>
                <w:pPr>
                  <w:spacing w:line="248" w:lineRule="exact" w:before="0"/>
                  <w:ind w:left="20" w:right="0" w:firstLine="0"/>
                  <w:jc w:val="left"/>
                  <w:rPr>
                    <w:rFonts w:ascii="Cambria"/>
                    <w:sz w:val="22"/>
                  </w:rPr>
                </w:pPr>
                <w:r>
                  <w:rPr>
                    <w:rFonts w:ascii="Cambria"/>
                    <w:sz w:val="22"/>
                  </w:rPr>
                  <w:t>250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1.388123pt;width:16.25pt;height:13.05pt;mso-position-horizontal-relative:page;mso-position-vertical-relative:page;z-index:-682120"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51.388123pt;width:22.4pt;height:13.05pt;mso-position-horizontal-relative:page;mso-position-vertical-relative:page;z-index:-681016"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251</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929993pt;margin-top:551.388123pt;width:20.4pt;height:13.05pt;mso-position-horizontal-relative:page;mso-position-vertical-relative:page;z-index:-680992" type="#_x0000_t202" filled="false" stroked="false">
          <v:textbox inset="0,0,0,0">
            <w:txbxContent>
              <w:p>
                <w:pPr>
                  <w:spacing w:line="248" w:lineRule="exact" w:before="0"/>
                  <w:ind w:left="20" w:right="0" w:firstLine="0"/>
                  <w:jc w:val="left"/>
                  <w:rPr>
                    <w:rFonts w:ascii="Cambria"/>
                    <w:sz w:val="22"/>
                  </w:rPr>
                </w:pPr>
                <w:r>
                  <w:rPr>
                    <w:rFonts w:ascii="Cambria"/>
                    <w:sz w:val="22"/>
                  </w:rPr>
                  <w:t>260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51.388123pt;width:22.4pt;height:13.05pt;mso-position-horizontal-relative:page;mso-position-vertical-relative:page;z-index:-680968"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261</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929993pt;margin-top:551.388123pt;width:20.4pt;height:13.05pt;mso-position-horizontal-relative:page;mso-position-vertical-relative:page;z-index:-680944" type="#_x0000_t202" filled="false" stroked="false">
          <v:textbox inset="0,0,0,0">
            <w:txbxContent>
              <w:p>
                <w:pPr>
                  <w:spacing w:line="248" w:lineRule="exact" w:before="0"/>
                  <w:ind w:left="20" w:right="0" w:firstLine="0"/>
                  <w:jc w:val="left"/>
                  <w:rPr>
                    <w:rFonts w:ascii="Cambria"/>
                    <w:sz w:val="22"/>
                  </w:rPr>
                </w:pPr>
                <w:r>
                  <w:rPr>
                    <w:rFonts w:ascii="Cambria"/>
                    <w:sz w:val="22"/>
                  </w:rPr>
                  <w:t>270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51.388123pt;width:22.4pt;height:13.05pt;mso-position-horizontal-relative:page;mso-position-vertical-relative:page;z-index:-680920"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271</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929993pt;margin-top:551.388123pt;width:20.4pt;height:13.05pt;mso-position-horizontal-relative:page;mso-position-vertical-relative:page;z-index:-680896" type="#_x0000_t202" filled="false" stroked="false">
          <v:textbox inset="0,0,0,0">
            <w:txbxContent>
              <w:p>
                <w:pPr>
                  <w:spacing w:line="248" w:lineRule="exact" w:before="0"/>
                  <w:ind w:left="20" w:right="0" w:firstLine="0"/>
                  <w:jc w:val="left"/>
                  <w:rPr>
                    <w:rFonts w:ascii="Cambria"/>
                    <w:sz w:val="22"/>
                  </w:rPr>
                </w:pPr>
                <w:r>
                  <w:rPr>
                    <w:rFonts w:ascii="Cambria"/>
                    <w:sz w:val="22"/>
                  </w:rPr>
                  <w:t>280</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51.388123pt;width:22.4pt;height:13.05pt;mso-position-horizontal-relative:page;mso-position-vertical-relative:page;z-index:-680872"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281</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929993pt;margin-top:551.388123pt;width:20.4pt;height:13.05pt;mso-position-horizontal-relative:page;mso-position-vertical-relative:page;z-index:-680848" type="#_x0000_t202" filled="false" stroked="false">
          <v:textbox inset="0,0,0,0">
            <w:txbxContent>
              <w:p>
                <w:pPr>
                  <w:spacing w:line="248" w:lineRule="exact" w:before="0"/>
                  <w:ind w:left="20" w:right="0" w:firstLine="0"/>
                  <w:jc w:val="left"/>
                  <w:rPr>
                    <w:rFonts w:ascii="Cambria"/>
                    <w:sz w:val="22"/>
                  </w:rPr>
                </w:pPr>
                <w:r>
                  <w:rPr>
                    <w:rFonts w:ascii="Cambria"/>
                    <w:sz w:val="22"/>
                  </w:rPr>
                  <w:t>290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384.929993pt;margin-top:551.388123pt;width:22.4pt;height:13.05pt;mso-position-horizontal-relative:page;mso-position-vertical-relative:page;z-index:-680824"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297</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929993pt;margin-top:731.388123pt;width:14.25pt;height:13.05pt;mso-position-horizontal-relative:page;mso-position-vertical-relative:page;z-index:-682096" type="#_x0000_t202" filled="false" stroked="false">
          <v:textbox inset="0,0,0,0">
            <w:txbxContent>
              <w:p>
                <w:pPr>
                  <w:spacing w:line="248" w:lineRule="exact" w:before="0"/>
                  <w:ind w:left="20" w:right="0" w:firstLine="0"/>
                  <w:jc w:val="left"/>
                  <w:rPr>
                    <w:rFonts w:ascii="Cambria"/>
                    <w:sz w:val="22"/>
                  </w:rPr>
                </w:pPr>
                <w:r>
                  <w:rPr>
                    <w:rFonts w:ascii="Cambria"/>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1.388123pt;width:16.25pt;height:13.05pt;mso-position-horizontal-relative:page;mso-position-vertical-relative:page;z-index:-682072"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929993pt;margin-top:731.388123pt;width:14.25pt;height:13.05pt;mso-position-horizontal-relative:page;mso-position-vertical-relative:page;z-index:-682048" type="#_x0000_t202" filled="false" stroked="false">
          <v:textbox inset="0,0,0,0">
            <w:txbxContent>
              <w:p>
                <w:pPr>
                  <w:spacing w:line="248" w:lineRule="exact" w:before="0"/>
                  <w:ind w:left="20" w:right="0" w:firstLine="0"/>
                  <w:jc w:val="left"/>
                  <w:rPr>
                    <w:rFonts w:ascii="Cambria"/>
                    <w:sz w:val="22"/>
                  </w:rPr>
                </w:pPr>
                <w:r>
                  <w:rPr>
                    <w:rFonts w:ascii="Cambria"/>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1.388123pt;width:16.25pt;height:13.05pt;mso-position-horizontal-relative:page;mso-position-vertical-relative:page;z-index:-682024"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6">
    <w:multiLevelType w:val="hybridMultilevel"/>
    <w:lvl w:ilvl="0">
      <w:start w:val="4"/>
      <w:numFmt w:val="decimal"/>
      <w:lvlText w:val="%1"/>
      <w:lvlJc w:val="left"/>
      <w:pPr>
        <w:ind w:left="1901" w:hanging="704"/>
        <w:jc w:val="left"/>
      </w:pPr>
      <w:rPr>
        <w:rFonts w:hint="default"/>
      </w:rPr>
    </w:lvl>
    <w:lvl w:ilvl="1">
      <w:start w:val="7"/>
      <w:numFmt w:val="decimal"/>
      <w:lvlText w:val="%1.%2"/>
      <w:lvlJc w:val="left"/>
      <w:pPr>
        <w:ind w:left="1901" w:hanging="704"/>
        <w:jc w:val="left"/>
      </w:pPr>
      <w:rPr>
        <w:rFonts w:hint="default"/>
      </w:rPr>
    </w:lvl>
    <w:lvl w:ilvl="2">
      <w:start w:val="1"/>
      <w:numFmt w:val="decimal"/>
      <w:lvlText w:val="%1.%2.%3"/>
      <w:lvlJc w:val="left"/>
      <w:pPr>
        <w:ind w:left="1901" w:hanging="704"/>
        <w:jc w:val="right"/>
      </w:pPr>
      <w:rPr>
        <w:rFonts w:hint="default" w:ascii="Arial" w:hAnsi="Arial" w:eastAsia="Arial" w:cs="Arial"/>
        <w:b/>
        <w:bCs/>
        <w:spacing w:val="-1"/>
        <w:w w:val="100"/>
        <w:sz w:val="28"/>
        <w:szCs w:val="28"/>
      </w:rPr>
    </w:lvl>
    <w:lvl w:ilvl="3">
      <w:start w:val="1"/>
      <w:numFmt w:val="bullet"/>
      <w:lvlText w:val="•"/>
      <w:lvlJc w:val="left"/>
      <w:pPr>
        <w:ind w:left="4060" w:hanging="704"/>
      </w:pPr>
      <w:rPr>
        <w:rFonts w:hint="default"/>
      </w:rPr>
    </w:lvl>
    <w:lvl w:ilvl="4">
      <w:start w:val="1"/>
      <w:numFmt w:val="bullet"/>
      <w:lvlText w:val="•"/>
      <w:lvlJc w:val="left"/>
      <w:pPr>
        <w:ind w:left="4780" w:hanging="704"/>
      </w:pPr>
      <w:rPr>
        <w:rFonts w:hint="default"/>
      </w:rPr>
    </w:lvl>
    <w:lvl w:ilvl="5">
      <w:start w:val="1"/>
      <w:numFmt w:val="bullet"/>
      <w:lvlText w:val="•"/>
      <w:lvlJc w:val="left"/>
      <w:pPr>
        <w:ind w:left="5500" w:hanging="704"/>
      </w:pPr>
      <w:rPr>
        <w:rFonts w:hint="default"/>
      </w:rPr>
    </w:lvl>
    <w:lvl w:ilvl="6">
      <w:start w:val="1"/>
      <w:numFmt w:val="bullet"/>
      <w:lvlText w:val="•"/>
      <w:lvlJc w:val="left"/>
      <w:pPr>
        <w:ind w:left="6220" w:hanging="704"/>
      </w:pPr>
      <w:rPr>
        <w:rFonts w:hint="default"/>
      </w:rPr>
    </w:lvl>
    <w:lvl w:ilvl="7">
      <w:start w:val="1"/>
      <w:numFmt w:val="bullet"/>
      <w:lvlText w:val="•"/>
      <w:lvlJc w:val="left"/>
      <w:pPr>
        <w:ind w:left="6940" w:hanging="704"/>
      </w:pPr>
      <w:rPr>
        <w:rFonts w:hint="default"/>
      </w:rPr>
    </w:lvl>
    <w:lvl w:ilvl="8">
      <w:start w:val="1"/>
      <w:numFmt w:val="bullet"/>
      <w:lvlText w:val="•"/>
      <w:lvlJc w:val="left"/>
      <w:pPr>
        <w:ind w:left="7660" w:hanging="704"/>
      </w:pPr>
      <w:rPr>
        <w:rFonts w:hint="default"/>
      </w:rPr>
    </w:lvl>
  </w:abstractNum>
  <w:abstractNum w:abstractNumId="55">
    <w:multiLevelType w:val="hybridMultilevel"/>
    <w:lvl w:ilvl="0">
      <w:start w:val="1"/>
      <w:numFmt w:val="lowerLetter"/>
      <w:lvlText w:val="%1)"/>
      <w:lvlJc w:val="left"/>
      <w:pPr>
        <w:ind w:left="822" w:hanging="360"/>
        <w:jc w:val="left"/>
      </w:pPr>
      <w:rPr>
        <w:rFonts w:hint="default" w:ascii="Arial" w:hAnsi="Arial" w:eastAsia="Arial" w:cs="Arial"/>
        <w:b/>
        <w:bC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4">
    <w:multiLevelType w:val="hybridMultilevel"/>
    <w:lvl w:ilvl="0">
      <w:start w:val="4"/>
      <w:numFmt w:val="decimal"/>
      <w:lvlText w:val="%1"/>
      <w:lvlJc w:val="left"/>
      <w:pPr>
        <w:ind w:left="1424" w:hanging="720"/>
        <w:jc w:val="left"/>
      </w:pPr>
      <w:rPr>
        <w:rFonts w:hint="default"/>
      </w:rPr>
    </w:lvl>
    <w:lvl w:ilvl="1">
      <w:start w:val="4"/>
      <w:numFmt w:val="decimal"/>
      <w:lvlText w:val="%1.%2"/>
      <w:lvlJc w:val="left"/>
      <w:pPr>
        <w:ind w:left="1424" w:hanging="720"/>
        <w:jc w:val="right"/>
      </w:pPr>
      <w:rPr>
        <w:rFonts w:hint="default" w:ascii="Arial" w:hAnsi="Arial" w:eastAsia="Arial" w:cs="Arial"/>
        <w:b/>
        <w:bCs/>
        <w:w w:val="100"/>
        <w:sz w:val="28"/>
        <w:szCs w:val="28"/>
      </w:rPr>
    </w:lvl>
    <w:lvl w:ilvl="2">
      <w:start w:val="1"/>
      <w:numFmt w:val="bullet"/>
      <w:lvlText w:val="•"/>
      <w:lvlJc w:val="left"/>
      <w:pPr>
        <w:ind w:left="3868" w:hanging="720"/>
      </w:pPr>
      <w:rPr>
        <w:rFonts w:hint="default"/>
      </w:rPr>
    </w:lvl>
    <w:lvl w:ilvl="3">
      <w:start w:val="1"/>
      <w:numFmt w:val="bullet"/>
      <w:lvlText w:val="•"/>
      <w:lvlJc w:val="left"/>
      <w:pPr>
        <w:ind w:left="4517" w:hanging="720"/>
      </w:pPr>
      <w:rPr>
        <w:rFonts w:hint="default"/>
      </w:rPr>
    </w:lvl>
    <w:lvl w:ilvl="4">
      <w:start w:val="1"/>
      <w:numFmt w:val="bullet"/>
      <w:lvlText w:val="•"/>
      <w:lvlJc w:val="left"/>
      <w:pPr>
        <w:ind w:left="5166" w:hanging="720"/>
      </w:pPr>
      <w:rPr>
        <w:rFonts w:hint="default"/>
      </w:rPr>
    </w:lvl>
    <w:lvl w:ilvl="5">
      <w:start w:val="1"/>
      <w:numFmt w:val="bullet"/>
      <w:lvlText w:val="•"/>
      <w:lvlJc w:val="left"/>
      <w:pPr>
        <w:ind w:left="5815" w:hanging="720"/>
      </w:pPr>
      <w:rPr>
        <w:rFonts w:hint="default"/>
      </w:rPr>
    </w:lvl>
    <w:lvl w:ilvl="6">
      <w:start w:val="1"/>
      <w:numFmt w:val="bullet"/>
      <w:lvlText w:val="•"/>
      <w:lvlJc w:val="left"/>
      <w:pPr>
        <w:ind w:left="6464" w:hanging="720"/>
      </w:pPr>
      <w:rPr>
        <w:rFonts w:hint="default"/>
      </w:rPr>
    </w:lvl>
    <w:lvl w:ilvl="7">
      <w:start w:val="1"/>
      <w:numFmt w:val="bullet"/>
      <w:lvlText w:val="•"/>
      <w:lvlJc w:val="left"/>
      <w:pPr>
        <w:ind w:left="7113" w:hanging="720"/>
      </w:pPr>
      <w:rPr>
        <w:rFonts w:hint="default"/>
      </w:rPr>
    </w:lvl>
    <w:lvl w:ilvl="8">
      <w:start w:val="1"/>
      <w:numFmt w:val="bullet"/>
      <w:lvlText w:val="•"/>
      <w:lvlJc w:val="left"/>
      <w:pPr>
        <w:ind w:left="7762" w:hanging="720"/>
      </w:pPr>
      <w:rPr>
        <w:rFonts w:hint="default"/>
      </w:rPr>
    </w:lvl>
  </w:abstractNum>
  <w:abstractNum w:abstractNumId="53">
    <w:multiLevelType w:val="hybridMultilevel"/>
    <w:lvl w:ilvl="0">
      <w:start w:val="2"/>
      <w:numFmt w:val="decimal"/>
      <w:lvlText w:val="%1"/>
      <w:lvlJc w:val="left"/>
      <w:pPr>
        <w:ind w:left="102" w:hanging="506"/>
        <w:jc w:val="left"/>
      </w:pPr>
      <w:rPr>
        <w:rFonts w:hint="default"/>
      </w:rPr>
    </w:lvl>
    <w:lvl w:ilvl="1">
      <w:start w:val="1"/>
      <w:numFmt w:val="decimal"/>
      <w:lvlText w:val="%1.%2"/>
      <w:lvlJc w:val="left"/>
      <w:pPr>
        <w:ind w:left="102" w:hanging="506"/>
        <w:jc w:val="left"/>
      </w:pPr>
      <w:rPr>
        <w:rFonts w:hint="default" w:ascii="Arial" w:hAnsi="Arial" w:eastAsia="Arial" w:cs="Arial"/>
        <w:spacing w:val="-33"/>
        <w:w w:val="99"/>
        <w:sz w:val="24"/>
        <w:szCs w:val="24"/>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52">
    <w:multiLevelType w:val="hybridMultilevel"/>
    <w:lvl w:ilvl="0">
      <w:start w:val="4"/>
      <w:numFmt w:val="decimal"/>
      <w:lvlText w:val="%1"/>
      <w:lvlJc w:val="left"/>
      <w:pPr>
        <w:ind w:left="1222" w:hanging="703"/>
        <w:jc w:val="left"/>
      </w:pPr>
      <w:rPr>
        <w:rFonts w:hint="default"/>
      </w:rPr>
    </w:lvl>
    <w:lvl w:ilvl="1">
      <w:start w:val="3"/>
      <w:numFmt w:val="decimal"/>
      <w:lvlText w:val="%1.%2"/>
      <w:lvlJc w:val="left"/>
      <w:pPr>
        <w:ind w:left="1222" w:hanging="703"/>
        <w:jc w:val="left"/>
      </w:pPr>
      <w:rPr>
        <w:rFonts w:hint="default"/>
      </w:rPr>
    </w:lvl>
    <w:lvl w:ilvl="2">
      <w:start w:val="1"/>
      <w:numFmt w:val="decimal"/>
      <w:lvlText w:val="%1.%2.%3"/>
      <w:lvlJc w:val="left"/>
      <w:pPr>
        <w:ind w:left="1222" w:hanging="703"/>
        <w:jc w:val="right"/>
      </w:pPr>
      <w:rPr>
        <w:rFonts w:hint="default" w:ascii="Arial" w:hAnsi="Arial" w:eastAsia="Arial" w:cs="Arial"/>
        <w:b/>
        <w:bCs/>
        <w:spacing w:val="-1"/>
        <w:w w:val="100"/>
        <w:sz w:val="28"/>
        <w:szCs w:val="28"/>
      </w:rPr>
    </w:lvl>
    <w:lvl w:ilvl="3">
      <w:start w:val="1"/>
      <w:numFmt w:val="upperRoman"/>
      <w:lvlText w:val="%4."/>
      <w:lvlJc w:val="left"/>
      <w:pPr>
        <w:ind w:left="954" w:hanging="257"/>
        <w:jc w:val="left"/>
      </w:pPr>
      <w:rPr>
        <w:rFonts w:hint="default" w:ascii="Arial" w:hAnsi="Arial" w:eastAsia="Arial" w:cs="Arial"/>
        <w:w w:val="100"/>
        <w:sz w:val="22"/>
        <w:szCs w:val="22"/>
      </w:rPr>
    </w:lvl>
    <w:lvl w:ilvl="4">
      <w:start w:val="1"/>
      <w:numFmt w:val="bullet"/>
      <w:lvlText w:val="•"/>
      <w:lvlJc w:val="left"/>
      <w:pPr>
        <w:ind w:left="3833" w:hanging="257"/>
      </w:pPr>
      <w:rPr>
        <w:rFonts w:hint="default"/>
      </w:rPr>
    </w:lvl>
    <w:lvl w:ilvl="5">
      <w:start w:val="1"/>
      <w:numFmt w:val="bullet"/>
      <w:lvlText w:val="•"/>
      <w:lvlJc w:val="left"/>
      <w:pPr>
        <w:ind w:left="4704" w:hanging="257"/>
      </w:pPr>
      <w:rPr>
        <w:rFonts w:hint="default"/>
      </w:rPr>
    </w:lvl>
    <w:lvl w:ilvl="6">
      <w:start w:val="1"/>
      <w:numFmt w:val="bullet"/>
      <w:lvlText w:val="•"/>
      <w:lvlJc w:val="left"/>
      <w:pPr>
        <w:ind w:left="5575" w:hanging="257"/>
      </w:pPr>
      <w:rPr>
        <w:rFonts w:hint="default"/>
      </w:rPr>
    </w:lvl>
    <w:lvl w:ilvl="7">
      <w:start w:val="1"/>
      <w:numFmt w:val="bullet"/>
      <w:lvlText w:val="•"/>
      <w:lvlJc w:val="left"/>
      <w:pPr>
        <w:ind w:left="6446" w:hanging="257"/>
      </w:pPr>
      <w:rPr>
        <w:rFonts w:hint="default"/>
      </w:rPr>
    </w:lvl>
    <w:lvl w:ilvl="8">
      <w:start w:val="1"/>
      <w:numFmt w:val="bullet"/>
      <w:lvlText w:val="•"/>
      <w:lvlJc w:val="left"/>
      <w:pPr>
        <w:ind w:left="7317" w:hanging="257"/>
      </w:pPr>
      <w:rPr>
        <w:rFonts w:hint="default"/>
      </w:rPr>
    </w:lvl>
  </w:abstractNum>
  <w:abstractNum w:abstractNumId="51">
    <w:multiLevelType w:val="hybridMultilevel"/>
    <w:lvl w:ilvl="0">
      <w:start w:val="4"/>
      <w:numFmt w:val="decimal"/>
      <w:lvlText w:val="%1"/>
      <w:lvlJc w:val="left"/>
      <w:pPr>
        <w:ind w:left="1263" w:hanging="720"/>
        <w:jc w:val="right"/>
      </w:pPr>
      <w:rPr>
        <w:rFonts w:hint="default"/>
      </w:rPr>
    </w:lvl>
    <w:lvl w:ilvl="1">
      <w:start w:val="2"/>
      <w:numFmt w:val="decimal"/>
      <w:lvlText w:val="%1.%2"/>
      <w:lvlJc w:val="left"/>
      <w:pPr>
        <w:ind w:left="1263" w:hanging="720"/>
        <w:jc w:val="right"/>
      </w:pPr>
      <w:rPr>
        <w:rFonts w:hint="default" w:ascii="Arial" w:hAnsi="Arial" w:eastAsia="Arial" w:cs="Arial"/>
        <w:b/>
        <w:bCs/>
        <w:w w:val="100"/>
        <w:sz w:val="28"/>
        <w:szCs w:val="28"/>
      </w:rPr>
    </w:lvl>
    <w:lvl w:ilvl="2">
      <w:start w:val="1"/>
      <w:numFmt w:val="bullet"/>
      <w:lvlText w:val="•"/>
      <w:lvlJc w:val="left"/>
      <w:pPr>
        <w:ind w:left="2820" w:hanging="720"/>
      </w:pPr>
      <w:rPr>
        <w:rFonts w:hint="default"/>
      </w:rPr>
    </w:lvl>
    <w:lvl w:ilvl="3">
      <w:start w:val="1"/>
      <w:numFmt w:val="bullet"/>
      <w:lvlText w:val="•"/>
      <w:lvlJc w:val="left"/>
      <w:pPr>
        <w:ind w:left="3600" w:hanging="720"/>
      </w:pPr>
      <w:rPr>
        <w:rFonts w:hint="default"/>
      </w:rPr>
    </w:lvl>
    <w:lvl w:ilvl="4">
      <w:start w:val="1"/>
      <w:numFmt w:val="bullet"/>
      <w:lvlText w:val="•"/>
      <w:lvlJc w:val="left"/>
      <w:pPr>
        <w:ind w:left="4380" w:hanging="720"/>
      </w:pPr>
      <w:rPr>
        <w:rFonts w:hint="default"/>
      </w:rPr>
    </w:lvl>
    <w:lvl w:ilvl="5">
      <w:start w:val="1"/>
      <w:numFmt w:val="bullet"/>
      <w:lvlText w:val="•"/>
      <w:lvlJc w:val="left"/>
      <w:pPr>
        <w:ind w:left="5160" w:hanging="720"/>
      </w:pPr>
      <w:rPr>
        <w:rFonts w:hint="default"/>
      </w:rPr>
    </w:lvl>
    <w:lvl w:ilvl="6">
      <w:start w:val="1"/>
      <w:numFmt w:val="bullet"/>
      <w:lvlText w:val="•"/>
      <w:lvlJc w:val="left"/>
      <w:pPr>
        <w:ind w:left="5940" w:hanging="720"/>
      </w:pPr>
      <w:rPr>
        <w:rFonts w:hint="default"/>
      </w:rPr>
    </w:lvl>
    <w:lvl w:ilvl="7">
      <w:start w:val="1"/>
      <w:numFmt w:val="bullet"/>
      <w:lvlText w:val="•"/>
      <w:lvlJc w:val="left"/>
      <w:pPr>
        <w:ind w:left="6720" w:hanging="720"/>
      </w:pPr>
      <w:rPr>
        <w:rFonts w:hint="default"/>
      </w:rPr>
    </w:lvl>
    <w:lvl w:ilvl="8">
      <w:start w:val="1"/>
      <w:numFmt w:val="bullet"/>
      <w:lvlText w:val="•"/>
      <w:lvlJc w:val="left"/>
      <w:pPr>
        <w:ind w:left="7500" w:hanging="720"/>
      </w:pPr>
      <w:rPr>
        <w:rFonts w:hint="default"/>
      </w:rPr>
    </w:lvl>
  </w:abstractNum>
  <w:abstractNum w:abstractNumId="50">
    <w:multiLevelType w:val="hybridMultilevel"/>
    <w:lvl w:ilvl="0">
      <w:start w:val="1"/>
      <w:numFmt w:val="bullet"/>
      <w:lvlText w:val="•"/>
      <w:lvlJc w:val="left"/>
      <w:pPr>
        <w:ind w:left="322" w:hanging="221"/>
      </w:pPr>
      <w:rPr>
        <w:rFonts w:hint="default" w:ascii="Arial" w:hAnsi="Arial" w:eastAsia="Arial" w:cs="Arial"/>
        <w:w w:val="99"/>
        <w:sz w:val="24"/>
        <w:szCs w:val="24"/>
      </w:rPr>
    </w:lvl>
    <w:lvl w:ilvl="1">
      <w:start w:val="1"/>
      <w:numFmt w:val="bullet"/>
      <w:lvlText w:val="•"/>
      <w:lvlJc w:val="left"/>
      <w:pPr>
        <w:ind w:left="1194" w:hanging="221"/>
      </w:pPr>
      <w:rPr>
        <w:rFonts w:hint="default"/>
      </w:rPr>
    </w:lvl>
    <w:lvl w:ilvl="2">
      <w:start w:val="1"/>
      <w:numFmt w:val="bullet"/>
      <w:lvlText w:val="•"/>
      <w:lvlJc w:val="left"/>
      <w:pPr>
        <w:ind w:left="2068" w:hanging="221"/>
      </w:pPr>
      <w:rPr>
        <w:rFonts w:hint="default"/>
      </w:rPr>
    </w:lvl>
    <w:lvl w:ilvl="3">
      <w:start w:val="1"/>
      <w:numFmt w:val="bullet"/>
      <w:lvlText w:val="•"/>
      <w:lvlJc w:val="left"/>
      <w:pPr>
        <w:ind w:left="2942" w:hanging="221"/>
      </w:pPr>
      <w:rPr>
        <w:rFonts w:hint="default"/>
      </w:rPr>
    </w:lvl>
    <w:lvl w:ilvl="4">
      <w:start w:val="1"/>
      <w:numFmt w:val="bullet"/>
      <w:lvlText w:val="•"/>
      <w:lvlJc w:val="left"/>
      <w:pPr>
        <w:ind w:left="3816" w:hanging="221"/>
      </w:pPr>
      <w:rPr>
        <w:rFonts w:hint="default"/>
      </w:rPr>
    </w:lvl>
    <w:lvl w:ilvl="5">
      <w:start w:val="1"/>
      <w:numFmt w:val="bullet"/>
      <w:lvlText w:val="•"/>
      <w:lvlJc w:val="left"/>
      <w:pPr>
        <w:ind w:left="4690" w:hanging="221"/>
      </w:pPr>
      <w:rPr>
        <w:rFonts w:hint="default"/>
      </w:rPr>
    </w:lvl>
    <w:lvl w:ilvl="6">
      <w:start w:val="1"/>
      <w:numFmt w:val="bullet"/>
      <w:lvlText w:val="•"/>
      <w:lvlJc w:val="left"/>
      <w:pPr>
        <w:ind w:left="5564" w:hanging="221"/>
      </w:pPr>
      <w:rPr>
        <w:rFonts w:hint="default"/>
      </w:rPr>
    </w:lvl>
    <w:lvl w:ilvl="7">
      <w:start w:val="1"/>
      <w:numFmt w:val="bullet"/>
      <w:lvlText w:val="•"/>
      <w:lvlJc w:val="left"/>
      <w:pPr>
        <w:ind w:left="6438" w:hanging="221"/>
      </w:pPr>
      <w:rPr>
        <w:rFonts w:hint="default"/>
      </w:rPr>
    </w:lvl>
    <w:lvl w:ilvl="8">
      <w:start w:val="1"/>
      <w:numFmt w:val="bullet"/>
      <w:lvlText w:val="•"/>
      <w:lvlJc w:val="left"/>
      <w:pPr>
        <w:ind w:left="7312" w:hanging="221"/>
      </w:pPr>
      <w:rPr>
        <w:rFonts w:hint="default"/>
      </w:rPr>
    </w:lvl>
  </w:abstractNum>
  <w:abstractNum w:abstractNumId="49">
    <w:multiLevelType w:val="hybridMultilevel"/>
    <w:lvl w:ilvl="0">
      <w:start w:val="1"/>
      <w:numFmt w:val="bullet"/>
      <w:lvlText w:val=""/>
      <w:lvlJc w:val="left"/>
      <w:pPr>
        <w:ind w:left="650" w:hanging="361"/>
      </w:pPr>
      <w:rPr>
        <w:rFonts w:hint="default" w:ascii="Wingdings" w:hAnsi="Wingdings" w:eastAsia="Wingdings" w:cs="Wingdings"/>
        <w:w w:val="100"/>
        <w:sz w:val="18"/>
        <w:szCs w:val="18"/>
      </w:rPr>
    </w:lvl>
    <w:lvl w:ilvl="1">
      <w:start w:val="1"/>
      <w:numFmt w:val="bullet"/>
      <w:lvlText w:val="•"/>
      <w:lvlJc w:val="left"/>
      <w:pPr>
        <w:ind w:left="813" w:hanging="361"/>
      </w:pPr>
      <w:rPr>
        <w:rFonts w:hint="default"/>
      </w:rPr>
    </w:lvl>
    <w:lvl w:ilvl="2">
      <w:start w:val="1"/>
      <w:numFmt w:val="bullet"/>
      <w:lvlText w:val="•"/>
      <w:lvlJc w:val="left"/>
      <w:pPr>
        <w:ind w:left="967" w:hanging="361"/>
      </w:pPr>
      <w:rPr>
        <w:rFonts w:hint="default"/>
      </w:rPr>
    </w:lvl>
    <w:lvl w:ilvl="3">
      <w:start w:val="1"/>
      <w:numFmt w:val="bullet"/>
      <w:lvlText w:val="•"/>
      <w:lvlJc w:val="left"/>
      <w:pPr>
        <w:ind w:left="1121" w:hanging="361"/>
      </w:pPr>
      <w:rPr>
        <w:rFonts w:hint="default"/>
      </w:rPr>
    </w:lvl>
    <w:lvl w:ilvl="4">
      <w:start w:val="1"/>
      <w:numFmt w:val="bullet"/>
      <w:lvlText w:val="•"/>
      <w:lvlJc w:val="left"/>
      <w:pPr>
        <w:ind w:left="1275" w:hanging="361"/>
      </w:pPr>
      <w:rPr>
        <w:rFonts w:hint="default"/>
      </w:rPr>
    </w:lvl>
    <w:lvl w:ilvl="5">
      <w:start w:val="1"/>
      <w:numFmt w:val="bullet"/>
      <w:lvlText w:val="•"/>
      <w:lvlJc w:val="left"/>
      <w:pPr>
        <w:ind w:left="1429" w:hanging="361"/>
      </w:pPr>
      <w:rPr>
        <w:rFonts w:hint="default"/>
      </w:rPr>
    </w:lvl>
    <w:lvl w:ilvl="6">
      <w:start w:val="1"/>
      <w:numFmt w:val="bullet"/>
      <w:lvlText w:val="•"/>
      <w:lvlJc w:val="left"/>
      <w:pPr>
        <w:ind w:left="1583" w:hanging="361"/>
      </w:pPr>
      <w:rPr>
        <w:rFonts w:hint="default"/>
      </w:rPr>
    </w:lvl>
    <w:lvl w:ilvl="7">
      <w:start w:val="1"/>
      <w:numFmt w:val="bullet"/>
      <w:lvlText w:val="•"/>
      <w:lvlJc w:val="left"/>
      <w:pPr>
        <w:ind w:left="1737" w:hanging="361"/>
      </w:pPr>
      <w:rPr>
        <w:rFonts w:hint="default"/>
      </w:rPr>
    </w:lvl>
    <w:lvl w:ilvl="8">
      <w:start w:val="1"/>
      <w:numFmt w:val="bullet"/>
      <w:lvlText w:val="•"/>
      <w:lvlJc w:val="left"/>
      <w:pPr>
        <w:ind w:left="1890" w:hanging="361"/>
      </w:pPr>
      <w:rPr>
        <w:rFonts w:hint="default"/>
      </w:rPr>
    </w:lvl>
  </w:abstractNum>
  <w:abstractNum w:abstractNumId="48">
    <w:multiLevelType w:val="hybridMultilevel"/>
    <w:lvl w:ilvl="0">
      <w:start w:val="1"/>
      <w:numFmt w:val="bullet"/>
      <w:lvlText w:val=""/>
      <w:lvlJc w:val="left"/>
      <w:pPr>
        <w:ind w:left="718" w:hanging="360"/>
      </w:pPr>
      <w:rPr>
        <w:rFonts w:hint="default" w:ascii="Wingdings" w:hAnsi="Wingdings" w:eastAsia="Wingdings" w:cs="Wingdings"/>
        <w:w w:val="100"/>
        <w:sz w:val="18"/>
        <w:szCs w:val="18"/>
      </w:rPr>
    </w:lvl>
    <w:lvl w:ilvl="1">
      <w:start w:val="1"/>
      <w:numFmt w:val="bullet"/>
      <w:lvlText w:val="•"/>
      <w:lvlJc w:val="left"/>
      <w:pPr>
        <w:ind w:left="841" w:hanging="360"/>
      </w:pPr>
      <w:rPr>
        <w:rFonts w:hint="default"/>
      </w:rPr>
    </w:lvl>
    <w:lvl w:ilvl="2">
      <w:start w:val="1"/>
      <w:numFmt w:val="bullet"/>
      <w:lvlText w:val="•"/>
      <w:lvlJc w:val="left"/>
      <w:pPr>
        <w:ind w:left="962" w:hanging="360"/>
      </w:pPr>
      <w:rPr>
        <w:rFonts w:hint="default"/>
      </w:rPr>
    </w:lvl>
    <w:lvl w:ilvl="3">
      <w:start w:val="1"/>
      <w:numFmt w:val="bullet"/>
      <w:lvlText w:val="•"/>
      <w:lvlJc w:val="left"/>
      <w:pPr>
        <w:ind w:left="1084" w:hanging="360"/>
      </w:pPr>
      <w:rPr>
        <w:rFonts w:hint="default"/>
      </w:rPr>
    </w:lvl>
    <w:lvl w:ilvl="4">
      <w:start w:val="1"/>
      <w:numFmt w:val="bullet"/>
      <w:lvlText w:val="•"/>
      <w:lvlJc w:val="left"/>
      <w:pPr>
        <w:ind w:left="1205" w:hanging="360"/>
      </w:pPr>
      <w:rPr>
        <w:rFonts w:hint="default"/>
      </w:rPr>
    </w:lvl>
    <w:lvl w:ilvl="5">
      <w:start w:val="1"/>
      <w:numFmt w:val="bullet"/>
      <w:lvlText w:val="•"/>
      <w:lvlJc w:val="left"/>
      <w:pPr>
        <w:ind w:left="1326" w:hanging="360"/>
      </w:pPr>
      <w:rPr>
        <w:rFonts w:hint="default"/>
      </w:rPr>
    </w:lvl>
    <w:lvl w:ilvl="6">
      <w:start w:val="1"/>
      <w:numFmt w:val="bullet"/>
      <w:lvlText w:val="•"/>
      <w:lvlJc w:val="left"/>
      <w:pPr>
        <w:ind w:left="1448" w:hanging="360"/>
      </w:pPr>
      <w:rPr>
        <w:rFonts w:hint="default"/>
      </w:rPr>
    </w:lvl>
    <w:lvl w:ilvl="7">
      <w:start w:val="1"/>
      <w:numFmt w:val="bullet"/>
      <w:lvlText w:val="•"/>
      <w:lvlJc w:val="left"/>
      <w:pPr>
        <w:ind w:left="1569" w:hanging="360"/>
      </w:pPr>
      <w:rPr>
        <w:rFonts w:hint="default"/>
      </w:rPr>
    </w:lvl>
    <w:lvl w:ilvl="8">
      <w:start w:val="1"/>
      <w:numFmt w:val="bullet"/>
      <w:lvlText w:val="•"/>
      <w:lvlJc w:val="left"/>
      <w:pPr>
        <w:ind w:left="1690" w:hanging="360"/>
      </w:pPr>
      <w:rPr>
        <w:rFonts w:hint="default"/>
      </w:rPr>
    </w:lvl>
  </w:abstractNum>
  <w:abstractNum w:abstractNumId="47">
    <w:multiLevelType w:val="hybridMultilevel"/>
    <w:lvl w:ilvl="0">
      <w:start w:val="1"/>
      <w:numFmt w:val="bullet"/>
      <w:lvlText w:val=""/>
      <w:lvlJc w:val="left"/>
      <w:pPr>
        <w:ind w:left="797" w:hanging="360"/>
      </w:pPr>
      <w:rPr>
        <w:rFonts w:hint="default" w:ascii="Wingdings" w:hAnsi="Wingdings" w:eastAsia="Wingdings" w:cs="Wingdings"/>
        <w:w w:val="100"/>
        <w:sz w:val="18"/>
        <w:szCs w:val="18"/>
      </w:rPr>
    </w:lvl>
    <w:lvl w:ilvl="1">
      <w:start w:val="1"/>
      <w:numFmt w:val="bullet"/>
      <w:lvlText w:val="•"/>
      <w:lvlJc w:val="left"/>
      <w:pPr>
        <w:ind w:left="943" w:hanging="360"/>
      </w:pPr>
      <w:rPr>
        <w:rFonts w:hint="default"/>
      </w:rPr>
    </w:lvl>
    <w:lvl w:ilvl="2">
      <w:start w:val="1"/>
      <w:numFmt w:val="bullet"/>
      <w:lvlText w:val="•"/>
      <w:lvlJc w:val="left"/>
      <w:pPr>
        <w:ind w:left="1085" w:hanging="360"/>
      </w:pPr>
      <w:rPr>
        <w:rFonts w:hint="default"/>
      </w:rPr>
    </w:lvl>
    <w:lvl w:ilvl="3">
      <w:start w:val="1"/>
      <w:numFmt w:val="bullet"/>
      <w:lvlText w:val="•"/>
      <w:lvlJc w:val="left"/>
      <w:pPr>
        <w:ind w:left="1228" w:hanging="360"/>
      </w:pPr>
      <w:rPr>
        <w:rFonts w:hint="default"/>
      </w:rPr>
    </w:lvl>
    <w:lvl w:ilvl="4">
      <w:start w:val="1"/>
      <w:numFmt w:val="bullet"/>
      <w:lvlText w:val="•"/>
      <w:lvlJc w:val="left"/>
      <w:pPr>
        <w:ind w:left="1371" w:hanging="360"/>
      </w:pPr>
      <w:rPr>
        <w:rFonts w:hint="default"/>
      </w:rPr>
    </w:lvl>
    <w:lvl w:ilvl="5">
      <w:start w:val="1"/>
      <w:numFmt w:val="bullet"/>
      <w:lvlText w:val="•"/>
      <w:lvlJc w:val="left"/>
      <w:pPr>
        <w:ind w:left="1514" w:hanging="360"/>
      </w:pPr>
      <w:rPr>
        <w:rFonts w:hint="default"/>
      </w:rPr>
    </w:lvl>
    <w:lvl w:ilvl="6">
      <w:start w:val="1"/>
      <w:numFmt w:val="bullet"/>
      <w:lvlText w:val="•"/>
      <w:lvlJc w:val="left"/>
      <w:pPr>
        <w:ind w:left="1657" w:hanging="360"/>
      </w:pPr>
      <w:rPr>
        <w:rFonts w:hint="default"/>
      </w:rPr>
    </w:lvl>
    <w:lvl w:ilvl="7">
      <w:start w:val="1"/>
      <w:numFmt w:val="bullet"/>
      <w:lvlText w:val="•"/>
      <w:lvlJc w:val="left"/>
      <w:pPr>
        <w:ind w:left="1800" w:hanging="360"/>
      </w:pPr>
      <w:rPr>
        <w:rFonts w:hint="default"/>
      </w:rPr>
    </w:lvl>
    <w:lvl w:ilvl="8">
      <w:start w:val="1"/>
      <w:numFmt w:val="bullet"/>
      <w:lvlText w:val="•"/>
      <w:lvlJc w:val="left"/>
      <w:pPr>
        <w:ind w:left="1943" w:hanging="360"/>
      </w:pPr>
      <w:rPr>
        <w:rFonts w:hint="default"/>
      </w:rPr>
    </w:lvl>
  </w:abstractNum>
  <w:abstractNum w:abstractNumId="46">
    <w:multiLevelType w:val="hybridMultilevel"/>
    <w:lvl w:ilvl="0">
      <w:start w:val="1"/>
      <w:numFmt w:val="bullet"/>
      <w:lvlText w:val=""/>
      <w:lvlJc w:val="left"/>
      <w:pPr>
        <w:ind w:left="818" w:hanging="360"/>
      </w:pPr>
      <w:rPr>
        <w:rFonts w:hint="default" w:ascii="Wingdings" w:hAnsi="Wingdings" w:eastAsia="Wingdings" w:cs="Wingdings"/>
        <w:w w:val="100"/>
        <w:sz w:val="18"/>
        <w:szCs w:val="18"/>
      </w:rPr>
    </w:lvl>
    <w:lvl w:ilvl="1">
      <w:start w:val="1"/>
      <w:numFmt w:val="bullet"/>
      <w:lvlText w:val="•"/>
      <w:lvlJc w:val="left"/>
      <w:pPr>
        <w:ind w:left="981" w:hanging="360"/>
      </w:pPr>
      <w:rPr>
        <w:rFonts w:hint="default"/>
      </w:rPr>
    </w:lvl>
    <w:lvl w:ilvl="2">
      <w:start w:val="1"/>
      <w:numFmt w:val="bullet"/>
      <w:lvlText w:val="•"/>
      <w:lvlJc w:val="left"/>
      <w:pPr>
        <w:ind w:left="1143" w:hanging="360"/>
      </w:pPr>
      <w:rPr>
        <w:rFonts w:hint="default"/>
      </w:rPr>
    </w:lvl>
    <w:lvl w:ilvl="3">
      <w:start w:val="1"/>
      <w:numFmt w:val="bullet"/>
      <w:lvlText w:val="•"/>
      <w:lvlJc w:val="left"/>
      <w:pPr>
        <w:ind w:left="1305" w:hanging="360"/>
      </w:pPr>
      <w:rPr>
        <w:rFonts w:hint="default"/>
      </w:rPr>
    </w:lvl>
    <w:lvl w:ilvl="4">
      <w:start w:val="1"/>
      <w:numFmt w:val="bullet"/>
      <w:lvlText w:val="•"/>
      <w:lvlJc w:val="left"/>
      <w:pPr>
        <w:ind w:left="1467" w:hanging="360"/>
      </w:pPr>
      <w:rPr>
        <w:rFonts w:hint="default"/>
      </w:rPr>
    </w:lvl>
    <w:lvl w:ilvl="5">
      <w:start w:val="1"/>
      <w:numFmt w:val="bullet"/>
      <w:lvlText w:val="•"/>
      <w:lvlJc w:val="left"/>
      <w:pPr>
        <w:ind w:left="1629" w:hanging="360"/>
      </w:pPr>
      <w:rPr>
        <w:rFonts w:hint="default"/>
      </w:rPr>
    </w:lvl>
    <w:lvl w:ilvl="6">
      <w:start w:val="1"/>
      <w:numFmt w:val="bullet"/>
      <w:lvlText w:val="•"/>
      <w:lvlJc w:val="left"/>
      <w:pPr>
        <w:ind w:left="1790" w:hanging="360"/>
      </w:pPr>
      <w:rPr>
        <w:rFonts w:hint="default"/>
      </w:rPr>
    </w:lvl>
    <w:lvl w:ilvl="7">
      <w:start w:val="1"/>
      <w:numFmt w:val="bullet"/>
      <w:lvlText w:val="•"/>
      <w:lvlJc w:val="left"/>
      <w:pPr>
        <w:ind w:left="1952" w:hanging="360"/>
      </w:pPr>
      <w:rPr>
        <w:rFonts w:hint="default"/>
      </w:rPr>
    </w:lvl>
    <w:lvl w:ilvl="8">
      <w:start w:val="1"/>
      <w:numFmt w:val="bullet"/>
      <w:lvlText w:val="•"/>
      <w:lvlJc w:val="left"/>
      <w:pPr>
        <w:ind w:left="2114" w:hanging="360"/>
      </w:pPr>
      <w:rPr>
        <w:rFonts w:hint="default"/>
      </w:rPr>
    </w:lvl>
  </w:abstractNum>
  <w:abstractNum w:abstractNumId="45">
    <w:multiLevelType w:val="hybridMultilevel"/>
    <w:lvl w:ilvl="0">
      <w:start w:val="3"/>
      <w:numFmt w:val="decimal"/>
      <w:lvlText w:val="%1"/>
      <w:lvlJc w:val="left"/>
      <w:pPr>
        <w:ind w:left="627" w:hanging="936"/>
        <w:jc w:val="left"/>
      </w:pPr>
      <w:rPr>
        <w:rFonts w:hint="default"/>
      </w:rPr>
    </w:lvl>
    <w:lvl w:ilvl="1">
      <w:start w:val="7"/>
      <w:numFmt w:val="decimal"/>
      <w:lvlText w:val="%1.%2"/>
      <w:lvlJc w:val="left"/>
      <w:pPr>
        <w:ind w:left="627" w:hanging="936"/>
        <w:jc w:val="left"/>
      </w:pPr>
      <w:rPr>
        <w:rFonts w:hint="default"/>
      </w:rPr>
    </w:lvl>
    <w:lvl w:ilvl="2">
      <w:start w:val="1"/>
      <w:numFmt w:val="decimal"/>
      <w:lvlText w:val="%1.%2.%3"/>
      <w:lvlJc w:val="left"/>
      <w:pPr>
        <w:ind w:left="627" w:hanging="936"/>
        <w:jc w:val="left"/>
      </w:pPr>
      <w:rPr>
        <w:rFonts w:hint="default"/>
      </w:rPr>
    </w:lvl>
    <w:lvl w:ilvl="3">
      <w:start w:val="1"/>
      <w:numFmt w:val="decimal"/>
      <w:lvlText w:val="%1.%2.%3.%4"/>
      <w:lvlJc w:val="left"/>
      <w:pPr>
        <w:ind w:left="627" w:hanging="936"/>
        <w:jc w:val="left"/>
      </w:pPr>
      <w:rPr>
        <w:rFonts w:hint="default" w:ascii="Arial" w:hAnsi="Arial" w:eastAsia="Arial" w:cs="Arial"/>
        <w:b/>
        <w:bCs/>
        <w:spacing w:val="-3"/>
        <w:w w:val="100"/>
        <w:sz w:val="28"/>
        <w:szCs w:val="28"/>
      </w:rPr>
    </w:lvl>
    <w:lvl w:ilvl="4">
      <w:start w:val="1"/>
      <w:numFmt w:val="bullet"/>
      <w:lvlText w:val="•"/>
      <w:lvlJc w:val="left"/>
      <w:pPr>
        <w:ind w:left="3996" w:hanging="936"/>
      </w:pPr>
      <w:rPr>
        <w:rFonts w:hint="default"/>
      </w:rPr>
    </w:lvl>
    <w:lvl w:ilvl="5">
      <w:start w:val="1"/>
      <w:numFmt w:val="bullet"/>
      <w:lvlText w:val="•"/>
      <w:lvlJc w:val="left"/>
      <w:pPr>
        <w:ind w:left="4840" w:hanging="936"/>
      </w:pPr>
      <w:rPr>
        <w:rFonts w:hint="default"/>
      </w:rPr>
    </w:lvl>
    <w:lvl w:ilvl="6">
      <w:start w:val="1"/>
      <w:numFmt w:val="bullet"/>
      <w:lvlText w:val="•"/>
      <w:lvlJc w:val="left"/>
      <w:pPr>
        <w:ind w:left="5684" w:hanging="936"/>
      </w:pPr>
      <w:rPr>
        <w:rFonts w:hint="default"/>
      </w:rPr>
    </w:lvl>
    <w:lvl w:ilvl="7">
      <w:start w:val="1"/>
      <w:numFmt w:val="bullet"/>
      <w:lvlText w:val="•"/>
      <w:lvlJc w:val="left"/>
      <w:pPr>
        <w:ind w:left="6528" w:hanging="936"/>
      </w:pPr>
      <w:rPr>
        <w:rFonts w:hint="default"/>
      </w:rPr>
    </w:lvl>
    <w:lvl w:ilvl="8">
      <w:start w:val="1"/>
      <w:numFmt w:val="bullet"/>
      <w:lvlText w:val="•"/>
      <w:lvlJc w:val="left"/>
      <w:pPr>
        <w:ind w:left="7372" w:hanging="936"/>
      </w:pPr>
      <w:rPr>
        <w:rFonts w:hint="default"/>
      </w:rPr>
    </w:lvl>
  </w:abstractNum>
  <w:abstractNum w:abstractNumId="44">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487" w:hanging="360"/>
      </w:pPr>
      <w:rPr>
        <w:rFonts w:hint="default"/>
      </w:rPr>
    </w:lvl>
    <w:lvl w:ilvl="3">
      <w:start w:val="1"/>
      <w:numFmt w:val="bullet"/>
      <w:lvlText w:val="•"/>
      <w:lvlJc w:val="left"/>
      <w:pPr>
        <w:ind w:left="1820" w:hanging="360"/>
      </w:pPr>
      <w:rPr>
        <w:rFonts w:hint="default"/>
      </w:rPr>
    </w:lvl>
    <w:lvl w:ilvl="4">
      <w:start w:val="1"/>
      <w:numFmt w:val="bullet"/>
      <w:lvlText w:val="•"/>
      <w:lvlJc w:val="left"/>
      <w:pPr>
        <w:ind w:left="2154" w:hanging="360"/>
      </w:pPr>
      <w:rPr>
        <w:rFonts w:hint="default"/>
      </w:rPr>
    </w:lvl>
    <w:lvl w:ilvl="5">
      <w:start w:val="1"/>
      <w:numFmt w:val="bullet"/>
      <w:lvlText w:val="•"/>
      <w:lvlJc w:val="left"/>
      <w:pPr>
        <w:ind w:left="2487" w:hanging="360"/>
      </w:pPr>
      <w:rPr>
        <w:rFonts w:hint="default"/>
      </w:rPr>
    </w:lvl>
    <w:lvl w:ilvl="6">
      <w:start w:val="1"/>
      <w:numFmt w:val="bullet"/>
      <w:lvlText w:val="•"/>
      <w:lvlJc w:val="left"/>
      <w:pPr>
        <w:ind w:left="2821" w:hanging="360"/>
      </w:pPr>
      <w:rPr>
        <w:rFonts w:hint="default"/>
      </w:rPr>
    </w:lvl>
    <w:lvl w:ilvl="7">
      <w:start w:val="1"/>
      <w:numFmt w:val="bullet"/>
      <w:lvlText w:val="•"/>
      <w:lvlJc w:val="left"/>
      <w:pPr>
        <w:ind w:left="3154" w:hanging="360"/>
      </w:pPr>
      <w:rPr>
        <w:rFonts w:hint="default"/>
      </w:rPr>
    </w:lvl>
    <w:lvl w:ilvl="8">
      <w:start w:val="1"/>
      <w:numFmt w:val="bullet"/>
      <w:lvlText w:val="•"/>
      <w:lvlJc w:val="left"/>
      <w:pPr>
        <w:ind w:left="3488" w:hanging="360"/>
      </w:pPr>
      <w:rPr>
        <w:rFonts w:hint="default"/>
      </w:rPr>
    </w:lvl>
  </w:abstractNum>
  <w:abstractNum w:abstractNumId="43">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487" w:hanging="360"/>
      </w:pPr>
      <w:rPr>
        <w:rFonts w:hint="default"/>
      </w:rPr>
    </w:lvl>
    <w:lvl w:ilvl="3">
      <w:start w:val="1"/>
      <w:numFmt w:val="bullet"/>
      <w:lvlText w:val="•"/>
      <w:lvlJc w:val="left"/>
      <w:pPr>
        <w:ind w:left="1820" w:hanging="360"/>
      </w:pPr>
      <w:rPr>
        <w:rFonts w:hint="default"/>
      </w:rPr>
    </w:lvl>
    <w:lvl w:ilvl="4">
      <w:start w:val="1"/>
      <w:numFmt w:val="bullet"/>
      <w:lvlText w:val="•"/>
      <w:lvlJc w:val="left"/>
      <w:pPr>
        <w:ind w:left="2154" w:hanging="360"/>
      </w:pPr>
      <w:rPr>
        <w:rFonts w:hint="default"/>
      </w:rPr>
    </w:lvl>
    <w:lvl w:ilvl="5">
      <w:start w:val="1"/>
      <w:numFmt w:val="bullet"/>
      <w:lvlText w:val="•"/>
      <w:lvlJc w:val="left"/>
      <w:pPr>
        <w:ind w:left="2487" w:hanging="360"/>
      </w:pPr>
      <w:rPr>
        <w:rFonts w:hint="default"/>
      </w:rPr>
    </w:lvl>
    <w:lvl w:ilvl="6">
      <w:start w:val="1"/>
      <w:numFmt w:val="bullet"/>
      <w:lvlText w:val="•"/>
      <w:lvlJc w:val="left"/>
      <w:pPr>
        <w:ind w:left="2821" w:hanging="360"/>
      </w:pPr>
      <w:rPr>
        <w:rFonts w:hint="default"/>
      </w:rPr>
    </w:lvl>
    <w:lvl w:ilvl="7">
      <w:start w:val="1"/>
      <w:numFmt w:val="bullet"/>
      <w:lvlText w:val="•"/>
      <w:lvlJc w:val="left"/>
      <w:pPr>
        <w:ind w:left="3154" w:hanging="360"/>
      </w:pPr>
      <w:rPr>
        <w:rFonts w:hint="default"/>
      </w:rPr>
    </w:lvl>
    <w:lvl w:ilvl="8">
      <w:start w:val="1"/>
      <w:numFmt w:val="bullet"/>
      <w:lvlText w:val="•"/>
      <w:lvlJc w:val="left"/>
      <w:pPr>
        <w:ind w:left="3488" w:hanging="360"/>
      </w:pPr>
      <w:rPr>
        <w:rFonts w:hint="default"/>
      </w:rPr>
    </w:lvl>
  </w:abstractNum>
  <w:abstractNum w:abstractNumId="42">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487" w:hanging="360"/>
      </w:pPr>
      <w:rPr>
        <w:rFonts w:hint="default"/>
      </w:rPr>
    </w:lvl>
    <w:lvl w:ilvl="3">
      <w:start w:val="1"/>
      <w:numFmt w:val="bullet"/>
      <w:lvlText w:val="•"/>
      <w:lvlJc w:val="left"/>
      <w:pPr>
        <w:ind w:left="1820" w:hanging="360"/>
      </w:pPr>
      <w:rPr>
        <w:rFonts w:hint="default"/>
      </w:rPr>
    </w:lvl>
    <w:lvl w:ilvl="4">
      <w:start w:val="1"/>
      <w:numFmt w:val="bullet"/>
      <w:lvlText w:val="•"/>
      <w:lvlJc w:val="left"/>
      <w:pPr>
        <w:ind w:left="2154" w:hanging="360"/>
      </w:pPr>
      <w:rPr>
        <w:rFonts w:hint="default"/>
      </w:rPr>
    </w:lvl>
    <w:lvl w:ilvl="5">
      <w:start w:val="1"/>
      <w:numFmt w:val="bullet"/>
      <w:lvlText w:val="•"/>
      <w:lvlJc w:val="left"/>
      <w:pPr>
        <w:ind w:left="2487" w:hanging="360"/>
      </w:pPr>
      <w:rPr>
        <w:rFonts w:hint="default"/>
      </w:rPr>
    </w:lvl>
    <w:lvl w:ilvl="6">
      <w:start w:val="1"/>
      <w:numFmt w:val="bullet"/>
      <w:lvlText w:val="•"/>
      <w:lvlJc w:val="left"/>
      <w:pPr>
        <w:ind w:left="2821" w:hanging="360"/>
      </w:pPr>
      <w:rPr>
        <w:rFonts w:hint="default"/>
      </w:rPr>
    </w:lvl>
    <w:lvl w:ilvl="7">
      <w:start w:val="1"/>
      <w:numFmt w:val="bullet"/>
      <w:lvlText w:val="•"/>
      <w:lvlJc w:val="left"/>
      <w:pPr>
        <w:ind w:left="3154" w:hanging="360"/>
      </w:pPr>
      <w:rPr>
        <w:rFonts w:hint="default"/>
      </w:rPr>
    </w:lvl>
    <w:lvl w:ilvl="8">
      <w:start w:val="1"/>
      <w:numFmt w:val="bullet"/>
      <w:lvlText w:val="•"/>
      <w:lvlJc w:val="left"/>
      <w:pPr>
        <w:ind w:left="3488" w:hanging="360"/>
      </w:pPr>
      <w:rPr>
        <w:rFonts w:hint="default"/>
      </w:rPr>
    </w:lvl>
  </w:abstractNum>
  <w:abstractNum w:abstractNumId="41">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487" w:hanging="360"/>
      </w:pPr>
      <w:rPr>
        <w:rFonts w:hint="default"/>
      </w:rPr>
    </w:lvl>
    <w:lvl w:ilvl="3">
      <w:start w:val="1"/>
      <w:numFmt w:val="bullet"/>
      <w:lvlText w:val="•"/>
      <w:lvlJc w:val="left"/>
      <w:pPr>
        <w:ind w:left="1820" w:hanging="360"/>
      </w:pPr>
      <w:rPr>
        <w:rFonts w:hint="default"/>
      </w:rPr>
    </w:lvl>
    <w:lvl w:ilvl="4">
      <w:start w:val="1"/>
      <w:numFmt w:val="bullet"/>
      <w:lvlText w:val="•"/>
      <w:lvlJc w:val="left"/>
      <w:pPr>
        <w:ind w:left="2154" w:hanging="360"/>
      </w:pPr>
      <w:rPr>
        <w:rFonts w:hint="default"/>
      </w:rPr>
    </w:lvl>
    <w:lvl w:ilvl="5">
      <w:start w:val="1"/>
      <w:numFmt w:val="bullet"/>
      <w:lvlText w:val="•"/>
      <w:lvlJc w:val="left"/>
      <w:pPr>
        <w:ind w:left="2487" w:hanging="360"/>
      </w:pPr>
      <w:rPr>
        <w:rFonts w:hint="default"/>
      </w:rPr>
    </w:lvl>
    <w:lvl w:ilvl="6">
      <w:start w:val="1"/>
      <w:numFmt w:val="bullet"/>
      <w:lvlText w:val="•"/>
      <w:lvlJc w:val="left"/>
      <w:pPr>
        <w:ind w:left="2821" w:hanging="360"/>
      </w:pPr>
      <w:rPr>
        <w:rFonts w:hint="default"/>
      </w:rPr>
    </w:lvl>
    <w:lvl w:ilvl="7">
      <w:start w:val="1"/>
      <w:numFmt w:val="bullet"/>
      <w:lvlText w:val="•"/>
      <w:lvlJc w:val="left"/>
      <w:pPr>
        <w:ind w:left="3154" w:hanging="360"/>
      </w:pPr>
      <w:rPr>
        <w:rFonts w:hint="default"/>
      </w:rPr>
    </w:lvl>
    <w:lvl w:ilvl="8">
      <w:start w:val="1"/>
      <w:numFmt w:val="bullet"/>
      <w:lvlText w:val="•"/>
      <w:lvlJc w:val="left"/>
      <w:pPr>
        <w:ind w:left="3488" w:hanging="360"/>
      </w:pPr>
      <w:rPr>
        <w:rFonts w:hint="default"/>
      </w:rPr>
    </w:lvl>
  </w:abstractNum>
  <w:abstractNum w:abstractNumId="40">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487" w:hanging="360"/>
      </w:pPr>
      <w:rPr>
        <w:rFonts w:hint="default"/>
      </w:rPr>
    </w:lvl>
    <w:lvl w:ilvl="3">
      <w:start w:val="1"/>
      <w:numFmt w:val="bullet"/>
      <w:lvlText w:val="•"/>
      <w:lvlJc w:val="left"/>
      <w:pPr>
        <w:ind w:left="1820" w:hanging="360"/>
      </w:pPr>
      <w:rPr>
        <w:rFonts w:hint="default"/>
      </w:rPr>
    </w:lvl>
    <w:lvl w:ilvl="4">
      <w:start w:val="1"/>
      <w:numFmt w:val="bullet"/>
      <w:lvlText w:val="•"/>
      <w:lvlJc w:val="left"/>
      <w:pPr>
        <w:ind w:left="2154" w:hanging="360"/>
      </w:pPr>
      <w:rPr>
        <w:rFonts w:hint="default"/>
      </w:rPr>
    </w:lvl>
    <w:lvl w:ilvl="5">
      <w:start w:val="1"/>
      <w:numFmt w:val="bullet"/>
      <w:lvlText w:val="•"/>
      <w:lvlJc w:val="left"/>
      <w:pPr>
        <w:ind w:left="2487" w:hanging="360"/>
      </w:pPr>
      <w:rPr>
        <w:rFonts w:hint="default"/>
      </w:rPr>
    </w:lvl>
    <w:lvl w:ilvl="6">
      <w:start w:val="1"/>
      <w:numFmt w:val="bullet"/>
      <w:lvlText w:val="•"/>
      <w:lvlJc w:val="left"/>
      <w:pPr>
        <w:ind w:left="2821" w:hanging="360"/>
      </w:pPr>
      <w:rPr>
        <w:rFonts w:hint="default"/>
      </w:rPr>
    </w:lvl>
    <w:lvl w:ilvl="7">
      <w:start w:val="1"/>
      <w:numFmt w:val="bullet"/>
      <w:lvlText w:val="•"/>
      <w:lvlJc w:val="left"/>
      <w:pPr>
        <w:ind w:left="3154" w:hanging="360"/>
      </w:pPr>
      <w:rPr>
        <w:rFonts w:hint="default"/>
      </w:rPr>
    </w:lvl>
    <w:lvl w:ilvl="8">
      <w:start w:val="1"/>
      <w:numFmt w:val="bullet"/>
      <w:lvlText w:val="•"/>
      <w:lvlJc w:val="left"/>
      <w:pPr>
        <w:ind w:left="3488" w:hanging="360"/>
      </w:pPr>
      <w:rPr>
        <w:rFonts w:hint="default"/>
      </w:rPr>
    </w:lvl>
  </w:abstractNum>
  <w:abstractNum w:abstractNumId="39">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487" w:hanging="360"/>
      </w:pPr>
      <w:rPr>
        <w:rFonts w:hint="default"/>
      </w:rPr>
    </w:lvl>
    <w:lvl w:ilvl="3">
      <w:start w:val="1"/>
      <w:numFmt w:val="bullet"/>
      <w:lvlText w:val="•"/>
      <w:lvlJc w:val="left"/>
      <w:pPr>
        <w:ind w:left="1820" w:hanging="360"/>
      </w:pPr>
      <w:rPr>
        <w:rFonts w:hint="default"/>
      </w:rPr>
    </w:lvl>
    <w:lvl w:ilvl="4">
      <w:start w:val="1"/>
      <w:numFmt w:val="bullet"/>
      <w:lvlText w:val="•"/>
      <w:lvlJc w:val="left"/>
      <w:pPr>
        <w:ind w:left="2154" w:hanging="360"/>
      </w:pPr>
      <w:rPr>
        <w:rFonts w:hint="default"/>
      </w:rPr>
    </w:lvl>
    <w:lvl w:ilvl="5">
      <w:start w:val="1"/>
      <w:numFmt w:val="bullet"/>
      <w:lvlText w:val="•"/>
      <w:lvlJc w:val="left"/>
      <w:pPr>
        <w:ind w:left="2487" w:hanging="360"/>
      </w:pPr>
      <w:rPr>
        <w:rFonts w:hint="default"/>
      </w:rPr>
    </w:lvl>
    <w:lvl w:ilvl="6">
      <w:start w:val="1"/>
      <w:numFmt w:val="bullet"/>
      <w:lvlText w:val="•"/>
      <w:lvlJc w:val="left"/>
      <w:pPr>
        <w:ind w:left="2821" w:hanging="360"/>
      </w:pPr>
      <w:rPr>
        <w:rFonts w:hint="default"/>
      </w:rPr>
    </w:lvl>
    <w:lvl w:ilvl="7">
      <w:start w:val="1"/>
      <w:numFmt w:val="bullet"/>
      <w:lvlText w:val="•"/>
      <w:lvlJc w:val="left"/>
      <w:pPr>
        <w:ind w:left="3154" w:hanging="360"/>
      </w:pPr>
      <w:rPr>
        <w:rFonts w:hint="default"/>
      </w:rPr>
    </w:lvl>
    <w:lvl w:ilvl="8">
      <w:start w:val="1"/>
      <w:numFmt w:val="bullet"/>
      <w:lvlText w:val="•"/>
      <w:lvlJc w:val="left"/>
      <w:pPr>
        <w:ind w:left="3488" w:hanging="360"/>
      </w:pPr>
      <w:rPr>
        <w:rFonts w:hint="default"/>
      </w:rPr>
    </w:lvl>
  </w:abstractNum>
  <w:abstractNum w:abstractNumId="38">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487" w:hanging="360"/>
      </w:pPr>
      <w:rPr>
        <w:rFonts w:hint="default"/>
      </w:rPr>
    </w:lvl>
    <w:lvl w:ilvl="3">
      <w:start w:val="1"/>
      <w:numFmt w:val="bullet"/>
      <w:lvlText w:val="•"/>
      <w:lvlJc w:val="left"/>
      <w:pPr>
        <w:ind w:left="1820" w:hanging="360"/>
      </w:pPr>
      <w:rPr>
        <w:rFonts w:hint="default"/>
      </w:rPr>
    </w:lvl>
    <w:lvl w:ilvl="4">
      <w:start w:val="1"/>
      <w:numFmt w:val="bullet"/>
      <w:lvlText w:val="•"/>
      <w:lvlJc w:val="left"/>
      <w:pPr>
        <w:ind w:left="2154" w:hanging="360"/>
      </w:pPr>
      <w:rPr>
        <w:rFonts w:hint="default"/>
      </w:rPr>
    </w:lvl>
    <w:lvl w:ilvl="5">
      <w:start w:val="1"/>
      <w:numFmt w:val="bullet"/>
      <w:lvlText w:val="•"/>
      <w:lvlJc w:val="left"/>
      <w:pPr>
        <w:ind w:left="2487" w:hanging="360"/>
      </w:pPr>
      <w:rPr>
        <w:rFonts w:hint="default"/>
      </w:rPr>
    </w:lvl>
    <w:lvl w:ilvl="6">
      <w:start w:val="1"/>
      <w:numFmt w:val="bullet"/>
      <w:lvlText w:val="•"/>
      <w:lvlJc w:val="left"/>
      <w:pPr>
        <w:ind w:left="2821" w:hanging="360"/>
      </w:pPr>
      <w:rPr>
        <w:rFonts w:hint="default"/>
      </w:rPr>
    </w:lvl>
    <w:lvl w:ilvl="7">
      <w:start w:val="1"/>
      <w:numFmt w:val="bullet"/>
      <w:lvlText w:val="•"/>
      <w:lvlJc w:val="left"/>
      <w:pPr>
        <w:ind w:left="3154" w:hanging="360"/>
      </w:pPr>
      <w:rPr>
        <w:rFonts w:hint="default"/>
      </w:rPr>
    </w:lvl>
    <w:lvl w:ilvl="8">
      <w:start w:val="1"/>
      <w:numFmt w:val="bullet"/>
      <w:lvlText w:val="•"/>
      <w:lvlJc w:val="left"/>
      <w:pPr>
        <w:ind w:left="3488" w:hanging="360"/>
      </w:pPr>
      <w:rPr>
        <w:rFonts w:hint="default"/>
      </w:rPr>
    </w:lvl>
  </w:abstractNum>
  <w:abstractNum w:abstractNumId="37">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487" w:hanging="360"/>
      </w:pPr>
      <w:rPr>
        <w:rFonts w:hint="default"/>
      </w:rPr>
    </w:lvl>
    <w:lvl w:ilvl="3">
      <w:start w:val="1"/>
      <w:numFmt w:val="bullet"/>
      <w:lvlText w:val="•"/>
      <w:lvlJc w:val="left"/>
      <w:pPr>
        <w:ind w:left="1820" w:hanging="360"/>
      </w:pPr>
      <w:rPr>
        <w:rFonts w:hint="default"/>
      </w:rPr>
    </w:lvl>
    <w:lvl w:ilvl="4">
      <w:start w:val="1"/>
      <w:numFmt w:val="bullet"/>
      <w:lvlText w:val="•"/>
      <w:lvlJc w:val="left"/>
      <w:pPr>
        <w:ind w:left="2154" w:hanging="360"/>
      </w:pPr>
      <w:rPr>
        <w:rFonts w:hint="default"/>
      </w:rPr>
    </w:lvl>
    <w:lvl w:ilvl="5">
      <w:start w:val="1"/>
      <w:numFmt w:val="bullet"/>
      <w:lvlText w:val="•"/>
      <w:lvlJc w:val="left"/>
      <w:pPr>
        <w:ind w:left="2487" w:hanging="360"/>
      </w:pPr>
      <w:rPr>
        <w:rFonts w:hint="default"/>
      </w:rPr>
    </w:lvl>
    <w:lvl w:ilvl="6">
      <w:start w:val="1"/>
      <w:numFmt w:val="bullet"/>
      <w:lvlText w:val="•"/>
      <w:lvlJc w:val="left"/>
      <w:pPr>
        <w:ind w:left="2821" w:hanging="360"/>
      </w:pPr>
      <w:rPr>
        <w:rFonts w:hint="default"/>
      </w:rPr>
    </w:lvl>
    <w:lvl w:ilvl="7">
      <w:start w:val="1"/>
      <w:numFmt w:val="bullet"/>
      <w:lvlText w:val="•"/>
      <w:lvlJc w:val="left"/>
      <w:pPr>
        <w:ind w:left="3154" w:hanging="360"/>
      </w:pPr>
      <w:rPr>
        <w:rFonts w:hint="default"/>
      </w:rPr>
    </w:lvl>
    <w:lvl w:ilvl="8">
      <w:start w:val="1"/>
      <w:numFmt w:val="bullet"/>
      <w:lvlText w:val="•"/>
      <w:lvlJc w:val="left"/>
      <w:pPr>
        <w:ind w:left="3488" w:hanging="360"/>
      </w:pPr>
      <w:rPr>
        <w:rFonts w:hint="default"/>
      </w:rPr>
    </w:lvl>
  </w:abstractNum>
  <w:abstractNum w:abstractNumId="36">
    <w:multiLevelType w:val="hybridMultilevel"/>
    <w:lvl w:ilvl="0">
      <w:start w:val="1"/>
      <w:numFmt w:val="decimal"/>
      <w:lvlText w:val="%1."/>
      <w:lvlJc w:val="left"/>
      <w:pPr>
        <w:ind w:left="822" w:hanging="360"/>
        <w:jc w:val="left"/>
      </w:pPr>
      <w:rPr>
        <w:rFonts w:hint="default" w:ascii="Arial" w:hAnsi="Arial" w:eastAsia="Arial" w:cs="Arial"/>
        <w:spacing w:val="-17"/>
        <w:w w:val="99"/>
        <w:sz w:val="24"/>
        <w:szCs w:val="24"/>
      </w:rPr>
    </w:lvl>
    <w:lvl w:ilvl="1">
      <w:start w:val="1"/>
      <w:numFmt w:val="bullet"/>
      <w:lvlText w:val=""/>
      <w:lvlJc w:val="left"/>
      <w:pPr>
        <w:ind w:left="1542" w:hanging="360"/>
      </w:pPr>
      <w:rPr>
        <w:rFonts w:hint="default" w:ascii="Wingdings" w:hAnsi="Wingdings" w:eastAsia="Wingdings" w:cs="Wingdings"/>
        <w:w w:val="99"/>
        <w:sz w:val="24"/>
        <w:szCs w:val="24"/>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35">
    <w:multiLevelType w:val="hybridMultilevel"/>
    <w:lvl w:ilvl="0">
      <w:start w:val="1"/>
      <w:numFmt w:val="decimal"/>
      <w:lvlText w:val="%1."/>
      <w:lvlJc w:val="left"/>
      <w:pPr>
        <w:ind w:left="822" w:hanging="360"/>
        <w:jc w:val="left"/>
      </w:pPr>
      <w:rPr>
        <w:rFonts w:hint="default" w:ascii="Arial" w:hAnsi="Arial" w:eastAsia="Arial" w:cs="Arial"/>
        <w:spacing w:val="-2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4">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3">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2">
    <w:multiLevelType w:val="hybridMultilevel"/>
    <w:lvl w:ilvl="0">
      <w:start w:val="1"/>
      <w:numFmt w:val="lowerLetter"/>
      <w:lvlText w:val="%1)"/>
      <w:lvlJc w:val="left"/>
      <w:pPr>
        <w:ind w:left="954" w:hanging="346"/>
        <w:jc w:val="left"/>
      </w:pPr>
      <w:rPr>
        <w:rFonts w:hint="default" w:ascii="Arial" w:hAnsi="Arial" w:eastAsia="Arial" w:cs="Arial"/>
        <w:w w:val="100"/>
        <w:sz w:val="22"/>
        <w:szCs w:val="22"/>
      </w:rPr>
    </w:lvl>
    <w:lvl w:ilvl="1">
      <w:start w:val="1"/>
      <w:numFmt w:val="bullet"/>
      <w:lvlText w:val="•"/>
      <w:lvlJc w:val="left"/>
      <w:pPr>
        <w:ind w:left="1770" w:hanging="346"/>
      </w:pPr>
      <w:rPr>
        <w:rFonts w:hint="default"/>
      </w:rPr>
    </w:lvl>
    <w:lvl w:ilvl="2">
      <w:start w:val="1"/>
      <w:numFmt w:val="bullet"/>
      <w:lvlText w:val="•"/>
      <w:lvlJc w:val="left"/>
      <w:pPr>
        <w:ind w:left="2580" w:hanging="346"/>
      </w:pPr>
      <w:rPr>
        <w:rFonts w:hint="default"/>
      </w:rPr>
    </w:lvl>
    <w:lvl w:ilvl="3">
      <w:start w:val="1"/>
      <w:numFmt w:val="bullet"/>
      <w:lvlText w:val="•"/>
      <w:lvlJc w:val="left"/>
      <w:pPr>
        <w:ind w:left="3390" w:hanging="346"/>
      </w:pPr>
      <w:rPr>
        <w:rFonts w:hint="default"/>
      </w:rPr>
    </w:lvl>
    <w:lvl w:ilvl="4">
      <w:start w:val="1"/>
      <w:numFmt w:val="bullet"/>
      <w:lvlText w:val="•"/>
      <w:lvlJc w:val="left"/>
      <w:pPr>
        <w:ind w:left="4200" w:hanging="346"/>
      </w:pPr>
      <w:rPr>
        <w:rFonts w:hint="default"/>
      </w:rPr>
    </w:lvl>
    <w:lvl w:ilvl="5">
      <w:start w:val="1"/>
      <w:numFmt w:val="bullet"/>
      <w:lvlText w:val="•"/>
      <w:lvlJc w:val="left"/>
      <w:pPr>
        <w:ind w:left="5010" w:hanging="346"/>
      </w:pPr>
      <w:rPr>
        <w:rFonts w:hint="default"/>
      </w:rPr>
    </w:lvl>
    <w:lvl w:ilvl="6">
      <w:start w:val="1"/>
      <w:numFmt w:val="bullet"/>
      <w:lvlText w:val="•"/>
      <w:lvlJc w:val="left"/>
      <w:pPr>
        <w:ind w:left="5820" w:hanging="346"/>
      </w:pPr>
      <w:rPr>
        <w:rFonts w:hint="default"/>
      </w:rPr>
    </w:lvl>
    <w:lvl w:ilvl="7">
      <w:start w:val="1"/>
      <w:numFmt w:val="bullet"/>
      <w:lvlText w:val="•"/>
      <w:lvlJc w:val="left"/>
      <w:pPr>
        <w:ind w:left="6630" w:hanging="346"/>
      </w:pPr>
      <w:rPr>
        <w:rFonts w:hint="default"/>
      </w:rPr>
    </w:lvl>
    <w:lvl w:ilvl="8">
      <w:start w:val="1"/>
      <w:numFmt w:val="bullet"/>
      <w:lvlText w:val="•"/>
      <w:lvlJc w:val="left"/>
      <w:pPr>
        <w:ind w:left="7440" w:hanging="346"/>
      </w:pPr>
      <w:rPr>
        <w:rFonts w:hint="default"/>
      </w:rPr>
    </w:lvl>
  </w:abstractNum>
  <w:abstractNum w:abstractNumId="31">
    <w:multiLevelType w:val="hybridMultilevel"/>
    <w:lvl w:ilvl="0">
      <w:start w:val="1"/>
      <w:numFmt w:val="bullet"/>
      <w:lvlText w:val=""/>
      <w:lvlJc w:val="left"/>
      <w:pPr>
        <w:ind w:left="1422" w:hanging="360"/>
      </w:pPr>
      <w:rPr>
        <w:rFonts w:hint="default" w:ascii="Wingdings" w:hAnsi="Wingdings" w:eastAsia="Wingdings" w:cs="Wingdings"/>
        <w:w w:val="100"/>
        <w:sz w:val="24"/>
        <w:szCs w:val="24"/>
      </w:rPr>
    </w:lvl>
    <w:lvl w:ilvl="1">
      <w:start w:val="1"/>
      <w:numFmt w:val="bullet"/>
      <w:lvlText w:val="•"/>
      <w:lvlJc w:val="left"/>
      <w:pPr>
        <w:ind w:left="2172" w:hanging="360"/>
      </w:pPr>
      <w:rPr>
        <w:rFonts w:hint="default"/>
      </w:rPr>
    </w:lvl>
    <w:lvl w:ilvl="2">
      <w:start w:val="1"/>
      <w:numFmt w:val="bullet"/>
      <w:lvlText w:val="•"/>
      <w:lvlJc w:val="left"/>
      <w:pPr>
        <w:ind w:left="2924" w:hanging="360"/>
      </w:pPr>
      <w:rPr>
        <w:rFonts w:hint="default"/>
      </w:rPr>
    </w:lvl>
    <w:lvl w:ilvl="3">
      <w:start w:val="1"/>
      <w:numFmt w:val="bullet"/>
      <w:lvlText w:val="•"/>
      <w:lvlJc w:val="left"/>
      <w:pPr>
        <w:ind w:left="3676" w:hanging="360"/>
      </w:pPr>
      <w:rPr>
        <w:rFonts w:hint="default"/>
      </w:rPr>
    </w:lvl>
    <w:lvl w:ilvl="4">
      <w:start w:val="1"/>
      <w:numFmt w:val="bullet"/>
      <w:lvlText w:val="•"/>
      <w:lvlJc w:val="left"/>
      <w:pPr>
        <w:ind w:left="4428" w:hanging="360"/>
      </w:pPr>
      <w:rPr>
        <w:rFonts w:hint="default"/>
      </w:rPr>
    </w:lvl>
    <w:lvl w:ilvl="5">
      <w:start w:val="1"/>
      <w:numFmt w:val="bullet"/>
      <w:lvlText w:val="•"/>
      <w:lvlJc w:val="left"/>
      <w:pPr>
        <w:ind w:left="51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684" w:hanging="360"/>
      </w:pPr>
      <w:rPr>
        <w:rFonts w:hint="default"/>
      </w:rPr>
    </w:lvl>
    <w:lvl w:ilvl="8">
      <w:start w:val="1"/>
      <w:numFmt w:val="bullet"/>
      <w:lvlText w:val="•"/>
      <w:lvlJc w:val="left"/>
      <w:pPr>
        <w:ind w:left="7436" w:hanging="360"/>
      </w:pPr>
      <w:rPr>
        <w:rFonts w:hint="default"/>
      </w:rPr>
    </w:lvl>
  </w:abstractNum>
  <w:abstractNum w:abstractNumId="30">
    <w:multiLevelType w:val="hybridMultilevel"/>
    <w:lvl w:ilvl="0">
      <w:start w:val="1"/>
      <w:numFmt w:val="bullet"/>
      <w:lvlText w:val=""/>
      <w:lvlJc w:val="left"/>
      <w:pPr>
        <w:ind w:left="1542" w:hanging="360"/>
      </w:pPr>
      <w:rPr>
        <w:rFonts w:hint="default" w:ascii="Wingdings" w:hAnsi="Wingdings" w:eastAsia="Wingdings" w:cs="Wingdings"/>
        <w:w w:val="100"/>
        <w:sz w:val="24"/>
        <w:szCs w:val="24"/>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29">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8">
    <w:multiLevelType w:val="hybridMultilevel"/>
    <w:lvl w:ilvl="0">
      <w:start w:val="1"/>
      <w:numFmt w:val="decimal"/>
      <w:lvlText w:val="%1."/>
      <w:lvlJc w:val="left"/>
      <w:pPr>
        <w:ind w:left="954" w:hanging="360"/>
        <w:jc w:val="left"/>
      </w:pPr>
      <w:rPr>
        <w:rFonts w:hint="default" w:ascii="Arial" w:hAnsi="Arial" w:eastAsia="Arial" w:cs="Arial"/>
        <w:spacing w:val="-1"/>
        <w:w w:val="100"/>
        <w:sz w:val="22"/>
        <w:szCs w:val="22"/>
      </w:rPr>
    </w:lvl>
    <w:lvl w:ilvl="1">
      <w:start w:val="1"/>
      <w:numFmt w:val="bullet"/>
      <w:lvlText w:val="•"/>
      <w:lvlJc w:val="left"/>
      <w:pPr>
        <w:ind w:left="177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390" w:hanging="360"/>
      </w:pPr>
      <w:rPr>
        <w:rFonts w:hint="default"/>
      </w:rPr>
    </w:lvl>
    <w:lvl w:ilvl="4">
      <w:start w:val="1"/>
      <w:numFmt w:val="bullet"/>
      <w:lvlText w:val="•"/>
      <w:lvlJc w:val="left"/>
      <w:pPr>
        <w:ind w:left="4200" w:hanging="360"/>
      </w:pPr>
      <w:rPr>
        <w:rFonts w:hint="default"/>
      </w:rPr>
    </w:lvl>
    <w:lvl w:ilvl="5">
      <w:start w:val="1"/>
      <w:numFmt w:val="bullet"/>
      <w:lvlText w:val="•"/>
      <w:lvlJc w:val="left"/>
      <w:pPr>
        <w:ind w:left="5010" w:hanging="360"/>
      </w:pPr>
      <w:rPr>
        <w:rFonts w:hint="default"/>
      </w:rPr>
    </w:lvl>
    <w:lvl w:ilvl="6">
      <w:start w:val="1"/>
      <w:numFmt w:val="bullet"/>
      <w:lvlText w:val="•"/>
      <w:lvlJc w:val="left"/>
      <w:pPr>
        <w:ind w:left="5820" w:hanging="360"/>
      </w:pPr>
      <w:rPr>
        <w:rFonts w:hint="default"/>
      </w:rPr>
    </w:lvl>
    <w:lvl w:ilvl="7">
      <w:start w:val="1"/>
      <w:numFmt w:val="bullet"/>
      <w:lvlText w:val="•"/>
      <w:lvlJc w:val="left"/>
      <w:pPr>
        <w:ind w:left="6630" w:hanging="360"/>
      </w:pPr>
      <w:rPr>
        <w:rFonts w:hint="default"/>
      </w:rPr>
    </w:lvl>
    <w:lvl w:ilvl="8">
      <w:start w:val="1"/>
      <w:numFmt w:val="bullet"/>
      <w:lvlText w:val="•"/>
      <w:lvlJc w:val="left"/>
      <w:pPr>
        <w:ind w:left="7440" w:hanging="360"/>
      </w:pPr>
      <w:rPr>
        <w:rFonts w:hint="default"/>
      </w:rPr>
    </w:lvl>
  </w:abstractNum>
  <w:abstractNum w:abstractNumId="27">
    <w:multiLevelType w:val="hybridMultilevel"/>
    <w:lvl w:ilvl="0">
      <w:start w:val="1"/>
      <w:numFmt w:val="upperRoman"/>
      <w:lvlText w:val="%1."/>
      <w:lvlJc w:val="left"/>
      <w:pPr>
        <w:ind w:left="954" w:hanging="720"/>
        <w:jc w:val="left"/>
      </w:pPr>
      <w:rPr>
        <w:rFonts w:hint="default" w:ascii="Arial" w:hAnsi="Arial" w:eastAsia="Arial" w:cs="Arial"/>
        <w:spacing w:val="0"/>
        <w:w w:val="100"/>
        <w:sz w:val="22"/>
        <w:szCs w:val="22"/>
      </w:rPr>
    </w:lvl>
    <w:lvl w:ilvl="1">
      <w:start w:val="1"/>
      <w:numFmt w:val="lowerLetter"/>
      <w:lvlText w:val="%2)"/>
      <w:lvlJc w:val="left"/>
      <w:pPr>
        <w:ind w:left="1309" w:hanging="356"/>
        <w:jc w:val="left"/>
      </w:pPr>
      <w:rPr>
        <w:rFonts w:hint="default" w:ascii="Arial" w:hAnsi="Arial" w:eastAsia="Arial" w:cs="Arial"/>
        <w:spacing w:val="-1"/>
        <w:w w:val="100"/>
        <w:sz w:val="22"/>
        <w:szCs w:val="22"/>
      </w:rPr>
    </w:lvl>
    <w:lvl w:ilvl="2">
      <w:start w:val="1"/>
      <w:numFmt w:val="bullet"/>
      <w:lvlText w:val="•"/>
      <w:lvlJc w:val="left"/>
      <w:pPr>
        <w:ind w:left="2162" w:hanging="356"/>
      </w:pPr>
      <w:rPr>
        <w:rFonts w:hint="default"/>
      </w:rPr>
    </w:lvl>
    <w:lvl w:ilvl="3">
      <w:start w:val="1"/>
      <w:numFmt w:val="bullet"/>
      <w:lvlText w:val="•"/>
      <w:lvlJc w:val="left"/>
      <w:pPr>
        <w:ind w:left="3024" w:hanging="356"/>
      </w:pPr>
      <w:rPr>
        <w:rFonts w:hint="default"/>
      </w:rPr>
    </w:lvl>
    <w:lvl w:ilvl="4">
      <w:start w:val="1"/>
      <w:numFmt w:val="bullet"/>
      <w:lvlText w:val="•"/>
      <w:lvlJc w:val="left"/>
      <w:pPr>
        <w:ind w:left="3886" w:hanging="356"/>
      </w:pPr>
      <w:rPr>
        <w:rFonts w:hint="default"/>
      </w:rPr>
    </w:lvl>
    <w:lvl w:ilvl="5">
      <w:start w:val="1"/>
      <w:numFmt w:val="bullet"/>
      <w:lvlText w:val="•"/>
      <w:lvlJc w:val="left"/>
      <w:pPr>
        <w:ind w:left="4748" w:hanging="356"/>
      </w:pPr>
      <w:rPr>
        <w:rFonts w:hint="default"/>
      </w:rPr>
    </w:lvl>
    <w:lvl w:ilvl="6">
      <w:start w:val="1"/>
      <w:numFmt w:val="bullet"/>
      <w:lvlText w:val="•"/>
      <w:lvlJc w:val="left"/>
      <w:pPr>
        <w:ind w:left="5611" w:hanging="356"/>
      </w:pPr>
      <w:rPr>
        <w:rFonts w:hint="default"/>
      </w:rPr>
    </w:lvl>
    <w:lvl w:ilvl="7">
      <w:start w:val="1"/>
      <w:numFmt w:val="bullet"/>
      <w:lvlText w:val="•"/>
      <w:lvlJc w:val="left"/>
      <w:pPr>
        <w:ind w:left="6473" w:hanging="356"/>
      </w:pPr>
      <w:rPr>
        <w:rFonts w:hint="default"/>
      </w:rPr>
    </w:lvl>
    <w:lvl w:ilvl="8">
      <w:start w:val="1"/>
      <w:numFmt w:val="bullet"/>
      <w:lvlText w:val="•"/>
      <w:lvlJc w:val="left"/>
      <w:pPr>
        <w:ind w:left="7335" w:hanging="356"/>
      </w:pPr>
      <w:rPr>
        <w:rFonts w:hint="default"/>
      </w:rPr>
    </w:lvl>
  </w:abstractNum>
  <w:abstractNum w:abstractNumId="26">
    <w:multiLevelType w:val="hybridMultilevel"/>
    <w:lvl w:ilvl="0">
      <w:start w:val="1"/>
      <w:numFmt w:val="upperLetter"/>
      <w:lvlText w:val="%1)"/>
      <w:lvlJc w:val="left"/>
      <w:pPr>
        <w:ind w:left="822" w:hanging="360"/>
        <w:jc w:val="right"/>
      </w:pPr>
      <w:rPr>
        <w:rFonts w:hint="default" w:ascii="Arial" w:hAnsi="Arial" w:eastAsia="Arial" w:cs="Arial"/>
        <w:b/>
        <w:bCs/>
        <w:spacing w:val="-3"/>
        <w:w w:val="99"/>
        <w:sz w:val="24"/>
        <w:szCs w:val="24"/>
      </w:rPr>
    </w:lvl>
    <w:lvl w:ilvl="1">
      <w:start w:val="1"/>
      <w:numFmt w:val="decimal"/>
      <w:lvlText w:val="%2."/>
      <w:lvlJc w:val="left"/>
      <w:pPr>
        <w:ind w:left="822" w:hanging="360"/>
        <w:jc w:val="left"/>
      </w:pPr>
      <w:rPr>
        <w:rFonts w:hint="default" w:ascii="Arial" w:hAnsi="Arial" w:eastAsia="Arial" w:cs="Arial"/>
        <w:spacing w:val="-3"/>
        <w:w w:val="99"/>
        <w:sz w:val="24"/>
        <w:szCs w:val="24"/>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5">
    <w:multiLevelType w:val="hybridMultilevel"/>
    <w:lvl w:ilvl="0">
      <w:start w:val="3"/>
      <w:numFmt w:val="decimal"/>
      <w:lvlText w:val="%1"/>
      <w:lvlJc w:val="left"/>
      <w:pPr>
        <w:ind w:left="1184" w:hanging="468"/>
        <w:jc w:val="left"/>
      </w:pPr>
      <w:rPr>
        <w:rFonts w:hint="default"/>
      </w:rPr>
    </w:lvl>
    <w:lvl w:ilvl="1">
      <w:start w:val="1"/>
      <w:numFmt w:val="decimal"/>
      <w:lvlText w:val="%1.%2"/>
      <w:lvlJc w:val="left"/>
      <w:pPr>
        <w:ind w:left="3462" w:hanging="468"/>
        <w:jc w:val="right"/>
      </w:pPr>
      <w:rPr>
        <w:rFonts w:hint="default" w:ascii="Arial" w:hAnsi="Arial" w:eastAsia="Arial" w:cs="Arial"/>
        <w:b/>
        <w:bCs/>
        <w:spacing w:val="-1"/>
        <w:w w:val="100"/>
        <w:sz w:val="28"/>
        <w:szCs w:val="28"/>
      </w:rPr>
    </w:lvl>
    <w:lvl w:ilvl="2">
      <w:start w:val="1"/>
      <w:numFmt w:val="bullet"/>
      <w:lvlText w:val="•"/>
      <w:lvlJc w:val="left"/>
      <w:pPr>
        <w:ind w:left="4082" w:hanging="468"/>
      </w:pPr>
      <w:rPr>
        <w:rFonts w:hint="default"/>
      </w:rPr>
    </w:lvl>
    <w:lvl w:ilvl="3">
      <w:start w:val="1"/>
      <w:numFmt w:val="bullet"/>
      <w:lvlText w:val="•"/>
      <w:lvlJc w:val="left"/>
      <w:pPr>
        <w:ind w:left="4704" w:hanging="468"/>
      </w:pPr>
      <w:rPr>
        <w:rFonts w:hint="default"/>
      </w:rPr>
    </w:lvl>
    <w:lvl w:ilvl="4">
      <w:start w:val="1"/>
      <w:numFmt w:val="bullet"/>
      <w:lvlText w:val="•"/>
      <w:lvlJc w:val="left"/>
      <w:pPr>
        <w:ind w:left="5326" w:hanging="468"/>
      </w:pPr>
      <w:rPr>
        <w:rFonts w:hint="default"/>
      </w:rPr>
    </w:lvl>
    <w:lvl w:ilvl="5">
      <w:start w:val="1"/>
      <w:numFmt w:val="bullet"/>
      <w:lvlText w:val="•"/>
      <w:lvlJc w:val="left"/>
      <w:pPr>
        <w:ind w:left="5948" w:hanging="468"/>
      </w:pPr>
      <w:rPr>
        <w:rFonts w:hint="default"/>
      </w:rPr>
    </w:lvl>
    <w:lvl w:ilvl="6">
      <w:start w:val="1"/>
      <w:numFmt w:val="bullet"/>
      <w:lvlText w:val="•"/>
      <w:lvlJc w:val="left"/>
      <w:pPr>
        <w:ind w:left="6571" w:hanging="468"/>
      </w:pPr>
      <w:rPr>
        <w:rFonts w:hint="default"/>
      </w:rPr>
    </w:lvl>
    <w:lvl w:ilvl="7">
      <w:start w:val="1"/>
      <w:numFmt w:val="bullet"/>
      <w:lvlText w:val="•"/>
      <w:lvlJc w:val="left"/>
      <w:pPr>
        <w:ind w:left="7193" w:hanging="468"/>
      </w:pPr>
      <w:rPr>
        <w:rFonts w:hint="default"/>
      </w:rPr>
    </w:lvl>
    <w:lvl w:ilvl="8">
      <w:start w:val="1"/>
      <w:numFmt w:val="bullet"/>
      <w:lvlText w:val="•"/>
      <w:lvlJc w:val="left"/>
      <w:pPr>
        <w:ind w:left="7815" w:hanging="468"/>
      </w:pPr>
      <w:rPr>
        <w:rFonts w:hint="default"/>
      </w:rPr>
    </w:lvl>
  </w:abstractNum>
  <w:abstractNum w:abstractNumId="24">
    <w:multiLevelType w:val="hybridMultilevel"/>
    <w:lvl w:ilvl="0">
      <w:start w:val="1"/>
      <w:numFmt w:val="decimal"/>
      <w:lvlText w:val="%1."/>
      <w:lvlJc w:val="left"/>
      <w:pPr>
        <w:ind w:left="102" w:hanging="317"/>
        <w:jc w:val="left"/>
      </w:pPr>
      <w:rPr>
        <w:rFonts w:hint="default" w:ascii="Arial" w:hAnsi="Arial" w:eastAsia="Arial" w:cs="Arial"/>
        <w:w w:val="99"/>
        <w:sz w:val="24"/>
        <w:szCs w:val="24"/>
      </w:rPr>
    </w:lvl>
    <w:lvl w:ilvl="1">
      <w:start w:val="1"/>
      <w:numFmt w:val="bullet"/>
      <w:lvlText w:val=""/>
      <w:lvlJc w:val="left"/>
      <w:pPr>
        <w:ind w:left="1542" w:hanging="360"/>
      </w:pPr>
      <w:rPr>
        <w:rFonts w:hint="default" w:ascii="Wingdings" w:hAnsi="Wingdings" w:eastAsia="Wingdings" w:cs="Wingdings"/>
        <w:w w:val="100"/>
        <w:sz w:val="24"/>
        <w:szCs w:val="24"/>
      </w:rPr>
    </w:lvl>
    <w:lvl w:ilvl="2">
      <w:start w:val="1"/>
      <w:numFmt w:val="bullet"/>
      <w:lvlText w:val="•"/>
      <w:lvlJc w:val="left"/>
      <w:pPr>
        <w:ind w:left="2373" w:hanging="360"/>
      </w:pPr>
      <w:rPr>
        <w:rFonts w:hint="default"/>
      </w:rPr>
    </w:lvl>
    <w:lvl w:ilvl="3">
      <w:start w:val="1"/>
      <w:numFmt w:val="bullet"/>
      <w:lvlText w:val="•"/>
      <w:lvlJc w:val="left"/>
      <w:pPr>
        <w:ind w:left="3206" w:hanging="360"/>
      </w:pPr>
      <w:rPr>
        <w:rFonts w:hint="default"/>
      </w:rPr>
    </w:lvl>
    <w:lvl w:ilvl="4">
      <w:start w:val="1"/>
      <w:numFmt w:val="bullet"/>
      <w:lvlText w:val="•"/>
      <w:lvlJc w:val="left"/>
      <w:pPr>
        <w:ind w:left="4040" w:hanging="360"/>
      </w:pPr>
      <w:rPr>
        <w:rFonts w:hint="default"/>
      </w:rPr>
    </w:lvl>
    <w:lvl w:ilvl="5">
      <w:start w:val="1"/>
      <w:numFmt w:val="bullet"/>
      <w:lvlText w:val="•"/>
      <w:lvlJc w:val="left"/>
      <w:pPr>
        <w:ind w:left="4873" w:hanging="360"/>
      </w:pPr>
      <w:rPr>
        <w:rFonts w:hint="default"/>
      </w:rPr>
    </w:lvl>
    <w:lvl w:ilvl="6">
      <w:start w:val="1"/>
      <w:numFmt w:val="bullet"/>
      <w:lvlText w:val="•"/>
      <w:lvlJc w:val="left"/>
      <w:pPr>
        <w:ind w:left="570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373" w:hanging="360"/>
      </w:pPr>
      <w:rPr>
        <w:rFonts w:hint="default"/>
      </w:rPr>
    </w:lvl>
  </w:abstractNum>
  <w:abstractNum w:abstractNumId="23">
    <w:multiLevelType w:val="hybridMultilevel"/>
    <w:lvl w:ilvl="0">
      <w:start w:val="1"/>
      <w:numFmt w:val="decimal"/>
      <w:lvlText w:val="%1."/>
      <w:lvlJc w:val="left"/>
      <w:pPr>
        <w:ind w:left="102" w:hanging="295"/>
        <w:jc w:val="left"/>
      </w:pPr>
      <w:rPr>
        <w:rFonts w:hint="default" w:ascii="Arial" w:hAnsi="Arial" w:eastAsia="Arial" w:cs="Arial"/>
        <w:w w:val="99"/>
        <w:sz w:val="24"/>
        <w:szCs w:val="24"/>
      </w:rPr>
    </w:lvl>
    <w:lvl w:ilvl="1">
      <w:start w:val="1"/>
      <w:numFmt w:val="bullet"/>
      <w:lvlText w:val="•"/>
      <w:lvlJc w:val="left"/>
      <w:pPr>
        <w:ind w:left="996" w:hanging="295"/>
      </w:pPr>
      <w:rPr>
        <w:rFonts w:hint="default"/>
      </w:rPr>
    </w:lvl>
    <w:lvl w:ilvl="2">
      <w:start w:val="1"/>
      <w:numFmt w:val="bullet"/>
      <w:lvlText w:val="•"/>
      <w:lvlJc w:val="left"/>
      <w:pPr>
        <w:ind w:left="1892" w:hanging="295"/>
      </w:pPr>
      <w:rPr>
        <w:rFonts w:hint="default"/>
      </w:rPr>
    </w:lvl>
    <w:lvl w:ilvl="3">
      <w:start w:val="1"/>
      <w:numFmt w:val="bullet"/>
      <w:lvlText w:val="•"/>
      <w:lvlJc w:val="left"/>
      <w:pPr>
        <w:ind w:left="2788" w:hanging="295"/>
      </w:pPr>
      <w:rPr>
        <w:rFonts w:hint="default"/>
      </w:rPr>
    </w:lvl>
    <w:lvl w:ilvl="4">
      <w:start w:val="1"/>
      <w:numFmt w:val="bullet"/>
      <w:lvlText w:val="•"/>
      <w:lvlJc w:val="left"/>
      <w:pPr>
        <w:ind w:left="3684" w:hanging="295"/>
      </w:pPr>
      <w:rPr>
        <w:rFonts w:hint="default"/>
      </w:rPr>
    </w:lvl>
    <w:lvl w:ilvl="5">
      <w:start w:val="1"/>
      <w:numFmt w:val="bullet"/>
      <w:lvlText w:val="•"/>
      <w:lvlJc w:val="left"/>
      <w:pPr>
        <w:ind w:left="4580" w:hanging="295"/>
      </w:pPr>
      <w:rPr>
        <w:rFonts w:hint="default"/>
      </w:rPr>
    </w:lvl>
    <w:lvl w:ilvl="6">
      <w:start w:val="1"/>
      <w:numFmt w:val="bullet"/>
      <w:lvlText w:val="•"/>
      <w:lvlJc w:val="left"/>
      <w:pPr>
        <w:ind w:left="5476" w:hanging="295"/>
      </w:pPr>
      <w:rPr>
        <w:rFonts w:hint="default"/>
      </w:rPr>
    </w:lvl>
    <w:lvl w:ilvl="7">
      <w:start w:val="1"/>
      <w:numFmt w:val="bullet"/>
      <w:lvlText w:val="•"/>
      <w:lvlJc w:val="left"/>
      <w:pPr>
        <w:ind w:left="6372" w:hanging="295"/>
      </w:pPr>
      <w:rPr>
        <w:rFonts w:hint="default"/>
      </w:rPr>
    </w:lvl>
    <w:lvl w:ilvl="8">
      <w:start w:val="1"/>
      <w:numFmt w:val="bullet"/>
      <w:lvlText w:val="•"/>
      <w:lvlJc w:val="left"/>
      <w:pPr>
        <w:ind w:left="7268" w:hanging="295"/>
      </w:pPr>
      <w:rPr>
        <w:rFonts w:hint="default"/>
      </w:rPr>
    </w:lvl>
  </w:abstractNum>
  <w:abstractNum w:abstractNumId="22">
    <w:multiLevelType w:val="hybridMultilevel"/>
    <w:lvl w:ilvl="0">
      <w:start w:val="1"/>
      <w:numFmt w:val="bullet"/>
      <w:lvlText w:val=""/>
      <w:lvlJc w:val="left"/>
      <w:pPr>
        <w:ind w:left="822" w:hanging="360"/>
      </w:pPr>
      <w:rPr>
        <w:rFonts w:hint="default"/>
        <w:w w:val="99"/>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2"/>
      <w:numFmt w:val="decimal"/>
      <w:lvlText w:val="%1"/>
      <w:lvlJc w:val="left"/>
      <w:pPr>
        <w:ind w:left="3121" w:hanging="780"/>
        <w:jc w:val="left"/>
      </w:pPr>
      <w:rPr>
        <w:rFonts w:hint="default"/>
      </w:rPr>
    </w:lvl>
    <w:lvl w:ilvl="1">
      <w:start w:val="4"/>
      <w:numFmt w:val="decimal"/>
      <w:lvlText w:val="%1.%2"/>
      <w:lvlJc w:val="left"/>
      <w:pPr>
        <w:ind w:left="3121" w:hanging="780"/>
        <w:jc w:val="right"/>
      </w:pPr>
      <w:rPr>
        <w:rFonts w:hint="default"/>
      </w:rPr>
    </w:lvl>
    <w:lvl w:ilvl="2">
      <w:start w:val="1"/>
      <w:numFmt w:val="decimal"/>
      <w:lvlText w:val="%1.%2.%3"/>
      <w:lvlJc w:val="left"/>
      <w:pPr>
        <w:ind w:left="3121" w:hanging="780"/>
        <w:jc w:val="left"/>
      </w:pPr>
      <w:rPr>
        <w:rFonts w:hint="default" w:ascii="Arial" w:hAnsi="Arial" w:eastAsia="Arial" w:cs="Arial"/>
        <w:b/>
        <w:bCs/>
        <w:w w:val="100"/>
        <w:sz w:val="28"/>
        <w:szCs w:val="28"/>
      </w:rPr>
    </w:lvl>
    <w:lvl w:ilvl="3">
      <w:start w:val="1"/>
      <w:numFmt w:val="bullet"/>
      <w:lvlText w:val="•"/>
      <w:lvlJc w:val="left"/>
      <w:pPr>
        <w:ind w:left="4984" w:hanging="780"/>
      </w:pPr>
      <w:rPr>
        <w:rFonts w:hint="default"/>
      </w:rPr>
    </w:lvl>
    <w:lvl w:ilvl="4">
      <w:start w:val="1"/>
      <w:numFmt w:val="bullet"/>
      <w:lvlText w:val="•"/>
      <w:lvlJc w:val="left"/>
      <w:pPr>
        <w:ind w:left="5566" w:hanging="780"/>
      </w:pPr>
      <w:rPr>
        <w:rFonts w:hint="default"/>
      </w:rPr>
    </w:lvl>
    <w:lvl w:ilvl="5">
      <w:start w:val="1"/>
      <w:numFmt w:val="bullet"/>
      <w:lvlText w:val="•"/>
      <w:lvlJc w:val="left"/>
      <w:pPr>
        <w:ind w:left="6148" w:hanging="780"/>
      </w:pPr>
      <w:rPr>
        <w:rFonts w:hint="default"/>
      </w:rPr>
    </w:lvl>
    <w:lvl w:ilvl="6">
      <w:start w:val="1"/>
      <w:numFmt w:val="bullet"/>
      <w:lvlText w:val="•"/>
      <w:lvlJc w:val="left"/>
      <w:pPr>
        <w:ind w:left="6731" w:hanging="780"/>
      </w:pPr>
      <w:rPr>
        <w:rFonts w:hint="default"/>
      </w:rPr>
    </w:lvl>
    <w:lvl w:ilvl="7">
      <w:start w:val="1"/>
      <w:numFmt w:val="bullet"/>
      <w:lvlText w:val="•"/>
      <w:lvlJc w:val="left"/>
      <w:pPr>
        <w:ind w:left="7313" w:hanging="780"/>
      </w:pPr>
      <w:rPr>
        <w:rFonts w:hint="default"/>
      </w:rPr>
    </w:lvl>
    <w:lvl w:ilvl="8">
      <w:start w:val="1"/>
      <w:numFmt w:val="bullet"/>
      <w:lvlText w:val="•"/>
      <w:lvlJc w:val="left"/>
      <w:pPr>
        <w:ind w:left="7895" w:hanging="780"/>
      </w:pPr>
      <w:rPr>
        <w:rFonts w:hint="default"/>
      </w:rPr>
    </w:lvl>
  </w:abstractNum>
  <w:abstractNum w:abstractNumId="20">
    <w:multiLevelType w:val="hybridMultilevel"/>
    <w:lvl w:ilvl="0">
      <w:start w:val="1"/>
      <w:numFmt w:val="bullet"/>
      <w:lvlText w:val=""/>
      <w:lvlJc w:val="left"/>
      <w:pPr>
        <w:ind w:left="702" w:hanging="360"/>
      </w:pPr>
      <w:rPr>
        <w:rFonts w:hint="default" w:ascii="Wingdings" w:hAnsi="Wingdings" w:eastAsia="Wingdings" w:cs="Wingdings"/>
        <w:w w:val="99"/>
        <w:sz w:val="24"/>
        <w:szCs w:val="24"/>
      </w:rPr>
    </w:lvl>
    <w:lvl w:ilvl="1">
      <w:start w:val="1"/>
      <w:numFmt w:val="bullet"/>
      <w:lvlText w:val=""/>
      <w:lvlJc w:val="left"/>
      <w:pPr>
        <w:ind w:left="954" w:hanging="360"/>
      </w:pPr>
      <w:rPr>
        <w:rFonts w:hint="default" w:ascii="Wingdings" w:hAnsi="Wingdings" w:eastAsia="Wingdings" w:cs="Wingdings"/>
        <w:w w:val="100"/>
        <w:sz w:val="22"/>
        <w:szCs w:val="22"/>
      </w:rPr>
    </w:lvl>
    <w:lvl w:ilvl="2">
      <w:start w:val="1"/>
      <w:numFmt w:val="bullet"/>
      <w:lvlText w:val="•"/>
      <w:lvlJc w:val="left"/>
      <w:pPr>
        <w:ind w:left="1831" w:hanging="360"/>
      </w:pPr>
      <w:rPr>
        <w:rFonts w:hint="default"/>
      </w:rPr>
    </w:lvl>
    <w:lvl w:ilvl="3">
      <w:start w:val="1"/>
      <w:numFmt w:val="bullet"/>
      <w:lvlText w:val="•"/>
      <w:lvlJc w:val="left"/>
      <w:pPr>
        <w:ind w:left="2702" w:hanging="360"/>
      </w:pPr>
      <w:rPr>
        <w:rFonts w:hint="default"/>
      </w:rPr>
    </w:lvl>
    <w:lvl w:ilvl="4">
      <w:start w:val="1"/>
      <w:numFmt w:val="bullet"/>
      <w:lvlText w:val="•"/>
      <w:lvlJc w:val="left"/>
      <w:pPr>
        <w:ind w:left="3573" w:hanging="360"/>
      </w:pPr>
      <w:rPr>
        <w:rFonts w:hint="default"/>
      </w:rPr>
    </w:lvl>
    <w:lvl w:ilvl="5">
      <w:start w:val="1"/>
      <w:numFmt w:val="bullet"/>
      <w:lvlText w:val="•"/>
      <w:lvlJc w:val="left"/>
      <w:pPr>
        <w:ind w:left="4444" w:hanging="360"/>
      </w:pPr>
      <w:rPr>
        <w:rFonts w:hint="default"/>
      </w:rPr>
    </w:lvl>
    <w:lvl w:ilvl="6">
      <w:start w:val="1"/>
      <w:numFmt w:val="bullet"/>
      <w:lvlText w:val="•"/>
      <w:lvlJc w:val="left"/>
      <w:pPr>
        <w:ind w:left="5315" w:hanging="360"/>
      </w:pPr>
      <w:rPr>
        <w:rFonts w:hint="default"/>
      </w:rPr>
    </w:lvl>
    <w:lvl w:ilvl="7">
      <w:start w:val="1"/>
      <w:numFmt w:val="bullet"/>
      <w:lvlText w:val="•"/>
      <w:lvlJc w:val="left"/>
      <w:pPr>
        <w:ind w:left="6186" w:hanging="360"/>
      </w:pPr>
      <w:rPr>
        <w:rFonts w:hint="default"/>
      </w:rPr>
    </w:lvl>
    <w:lvl w:ilvl="8">
      <w:start w:val="1"/>
      <w:numFmt w:val="bullet"/>
      <w:lvlText w:val="•"/>
      <w:lvlJc w:val="left"/>
      <w:pPr>
        <w:ind w:left="7057" w:hanging="360"/>
      </w:pPr>
      <w:rPr>
        <w:rFonts w:hint="default"/>
      </w:rPr>
    </w:lvl>
  </w:abstractNum>
  <w:abstractNum w:abstractNumId="19">
    <w:multiLevelType w:val="hybridMultilevel"/>
    <w:lvl w:ilvl="0">
      <w:start w:val="2"/>
      <w:numFmt w:val="decimal"/>
      <w:lvlText w:val="%1"/>
      <w:lvlJc w:val="left"/>
      <w:pPr>
        <w:ind w:left="2680" w:hanging="704"/>
        <w:jc w:val="left"/>
      </w:pPr>
      <w:rPr>
        <w:rFonts w:hint="default"/>
      </w:rPr>
    </w:lvl>
    <w:lvl w:ilvl="1">
      <w:start w:val="3"/>
      <w:numFmt w:val="decimal"/>
      <w:lvlText w:val="%1.%2"/>
      <w:lvlJc w:val="left"/>
      <w:pPr>
        <w:ind w:left="2680" w:hanging="704"/>
        <w:jc w:val="left"/>
      </w:pPr>
      <w:rPr>
        <w:rFonts w:hint="default"/>
      </w:rPr>
    </w:lvl>
    <w:lvl w:ilvl="2">
      <w:start w:val="1"/>
      <w:numFmt w:val="decimal"/>
      <w:lvlText w:val="%1.%2.%3"/>
      <w:lvlJc w:val="left"/>
      <w:pPr>
        <w:ind w:left="2680" w:hanging="704"/>
        <w:jc w:val="right"/>
      </w:pPr>
      <w:rPr>
        <w:rFonts w:hint="default" w:ascii="Arial" w:hAnsi="Arial" w:eastAsia="Arial" w:cs="Arial"/>
        <w:b/>
        <w:bCs/>
        <w:w w:val="100"/>
        <w:sz w:val="28"/>
        <w:szCs w:val="28"/>
      </w:rPr>
    </w:lvl>
    <w:lvl w:ilvl="3">
      <w:start w:val="1"/>
      <w:numFmt w:val="bullet"/>
      <w:lvlText w:val="•"/>
      <w:lvlJc w:val="left"/>
      <w:pPr>
        <w:ind w:left="4594" w:hanging="704"/>
      </w:pPr>
      <w:rPr>
        <w:rFonts w:hint="default"/>
      </w:rPr>
    </w:lvl>
    <w:lvl w:ilvl="4">
      <w:start w:val="1"/>
      <w:numFmt w:val="bullet"/>
      <w:lvlText w:val="•"/>
      <w:lvlJc w:val="left"/>
      <w:pPr>
        <w:ind w:left="5232" w:hanging="704"/>
      </w:pPr>
      <w:rPr>
        <w:rFonts w:hint="default"/>
      </w:rPr>
    </w:lvl>
    <w:lvl w:ilvl="5">
      <w:start w:val="1"/>
      <w:numFmt w:val="bullet"/>
      <w:lvlText w:val="•"/>
      <w:lvlJc w:val="left"/>
      <w:pPr>
        <w:ind w:left="5870" w:hanging="704"/>
      </w:pPr>
      <w:rPr>
        <w:rFonts w:hint="default"/>
      </w:rPr>
    </w:lvl>
    <w:lvl w:ilvl="6">
      <w:start w:val="1"/>
      <w:numFmt w:val="bullet"/>
      <w:lvlText w:val="•"/>
      <w:lvlJc w:val="left"/>
      <w:pPr>
        <w:ind w:left="6508" w:hanging="704"/>
      </w:pPr>
      <w:rPr>
        <w:rFonts w:hint="default"/>
      </w:rPr>
    </w:lvl>
    <w:lvl w:ilvl="7">
      <w:start w:val="1"/>
      <w:numFmt w:val="bullet"/>
      <w:lvlText w:val="•"/>
      <w:lvlJc w:val="left"/>
      <w:pPr>
        <w:ind w:left="7146" w:hanging="704"/>
      </w:pPr>
      <w:rPr>
        <w:rFonts w:hint="default"/>
      </w:rPr>
    </w:lvl>
    <w:lvl w:ilvl="8">
      <w:start w:val="1"/>
      <w:numFmt w:val="bullet"/>
      <w:lvlText w:val="•"/>
      <w:lvlJc w:val="left"/>
      <w:pPr>
        <w:ind w:left="7784" w:hanging="704"/>
      </w:pPr>
      <w:rPr>
        <w:rFonts w:hint="default"/>
      </w:rPr>
    </w:lvl>
  </w:abstractNum>
  <w:abstractNum w:abstractNumId="18">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7">
    <w:multiLevelType w:val="hybridMultilevel"/>
    <w:lvl w:ilvl="0">
      <w:start w:val="2"/>
      <w:numFmt w:val="decimal"/>
      <w:lvlText w:val="%1"/>
      <w:lvlJc w:val="left"/>
      <w:pPr>
        <w:ind w:left="4045" w:hanging="548"/>
        <w:jc w:val="left"/>
      </w:pPr>
      <w:rPr>
        <w:rFonts w:hint="default"/>
      </w:rPr>
    </w:lvl>
    <w:lvl w:ilvl="1">
      <w:start w:val="1"/>
      <w:numFmt w:val="decimal"/>
      <w:lvlText w:val="%1.%2"/>
      <w:lvlJc w:val="left"/>
      <w:pPr>
        <w:ind w:left="4045" w:hanging="548"/>
        <w:jc w:val="right"/>
      </w:pPr>
      <w:rPr>
        <w:rFonts w:hint="default" w:ascii="Arial" w:hAnsi="Arial" w:eastAsia="Arial" w:cs="Arial"/>
        <w:b/>
        <w:bCs/>
        <w:w w:val="100"/>
        <w:sz w:val="28"/>
        <w:szCs w:val="28"/>
      </w:rPr>
    </w:lvl>
    <w:lvl w:ilvl="2">
      <w:start w:val="1"/>
      <w:numFmt w:val="bullet"/>
      <w:lvlText w:val="•"/>
      <w:lvlJc w:val="left"/>
      <w:pPr>
        <w:ind w:left="5044" w:hanging="548"/>
      </w:pPr>
      <w:rPr>
        <w:rFonts w:hint="default"/>
      </w:rPr>
    </w:lvl>
    <w:lvl w:ilvl="3">
      <w:start w:val="1"/>
      <w:numFmt w:val="bullet"/>
      <w:lvlText w:val="•"/>
      <w:lvlJc w:val="left"/>
      <w:pPr>
        <w:ind w:left="5546" w:hanging="548"/>
      </w:pPr>
      <w:rPr>
        <w:rFonts w:hint="default"/>
      </w:rPr>
    </w:lvl>
    <w:lvl w:ilvl="4">
      <w:start w:val="1"/>
      <w:numFmt w:val="bullet"/>
      <w:lvlText w:val="•"/>
      <w:lvlJc w:val="left"/>
      <w:pPr>
        <w:ind w:left="6048" w:hanging="548"/>
      </w:pPr>
      <w:rPr>
        <w:rFonts w:hint="default"/>
      </w:rPr>
    </w:lvl>
    <w:lvl w:ilvl="5">
      <w:start w:val="1"/>
      <w:numFmt w:val="bullet"/>
      <w:lvlText w:val="•"/>
      <w:lvlJc w:val="left"/>
      <w:pPr>
        <w:ind w:left="6550" w:hanging="548"/>
      </w:pPr>
      <w:rPr>
        <w:rFonts w:hint="default"/>
      </w:rPr>
    </w:lvl>
    <w:lvl w:ilvl="6">
      <w:start w:val="1"/>
      <w:numFmt w:val="bullet"/>
      <w:lvlText w:val="•"/>
      <w:lvlJc w:val="left"/>
      <w:pPr>
        <w:ind w:left="7052" w:hanging="548"/>
      </w:pPr>
      <w:rPr>
        <w:rFonts w:hint="default"/>
      </w:rPr>
    </w:lvl>
    <w:lvl w:ilvl="7">
      <w:start w:val="1"/>
      <w:numFmt w:val="bullet"/>
      <w:lvlText w:val="•"/>
      <w:lvlJc w:val="left"/>
      <w:pPr>
        <w:ind w:left="7554" w:hanging="548"/>
      </w:pPr>
      <w:rPr>
        <w:rFonts w:hint="default"/>
      </w:rPr>
    </w:lvl>
    <w:lvl w:ilvl="8">
      <w:start w:val="1"/>
      <w:numFmt w:val="bullet"/>
      <w:lvlText w:val="•"/>
      <w:lvlJc w:val="left"/>
      <w:pPr>
        <w:ind w:left="8056" w:hanging="548"/>
      </w:pPr>
      <w:rPr>
        <w:rFonts w:hint="default"/>
      </w:rPr>
    </w:lvl>
  </w:abstractNum>
  <w:abstractNum w:abstractNumId="16">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lowerLetter"/>
      <w:lvlText w:val="%2)"/>
      <w:lvlJc w:val="left"/>
      <w:pPr>
        <w:ind w:left="954" w:hanging="360"/>
        <w:jc w:val="left"/>
      </w:pPr>
      <w:rPr>
        <w:rFonts w:hint="default" w:ascii="Arial" w:hAnsi="Arial" w:eastAsia="Arial" w:cs="Arial"/>
        <w:spacing w:val="-1"/>
        <w:w w:val="100"/>
        <w:sz w:val="22"/>
        <w:szCs w:val="22"/>
      </w:rPr>
    </w:lvl>
    <w:lvl w:ilvl="2">
      <w:start w:val="1"/>
      <w:numFmt w:val="bullet"/>
      <w:lvlText w:val="•"/>
      <w:lvlJc w:val="left"/>
      <w:pPr>
        <w:ind w:left="1860" w:hanging="360"/>
      </w:pPr>
      <w:rPr>
        <w:rFonts w:hint="default"/>
      </w:rPr>
    </w:lvl>
    <w:lvl w:ilvl="3">
      <w:start w:val="1"/>
      <w:numFmt w:val="bullet"/>
      <w:lvlText w:val="•"/>
      <w:lvlJc w:val="left"/>
      <w:pPr>
        <w:ind w:left="2760" w:hanging="360"/>
      </w:pPr>
      <w:rPr>
        <w:rFonts w:hint="default"/>
      </w:rPr>
    </w:lvl>
    <w:lvl w:ilvl="4">
      <w:start w:val="1"/>
      <w:numFmt w:val="bullet"/>
      <w:lvlText w:val="•"/>
      <w:lvlJc w:val="left"/>
      <w:pPr>
        <w:ind w:left="3660" w:hanging="360"/>
      </w:pPr>
      <w:rPr>
        <w:rFonts w:hint="default"/>
      </w:rPr>
    </w:lvl>
    <w:lvl w:ilvl="5">
      <w:start w:val="1"/>
      <w:numFmt w:val="bullet"/>
      <w:lvlText w:val="•"/>
      <w:lvlJc w:val="left"/>
      <w:pPr>
        <w:ind w:left="4560" w:hanging="360"/>
      </w:pPr>
      <w:rPr>
        <w:rFonts w:hint="default"/>
      </w:rPr>
    </w:lvl>
    <w:lvl w:ilvl="6">
      <w:start w:val="1"/>
      <w:numFmt w:val="bullet"/>
      <w:lvlText w:val="•"/>
      <w:lvlJc w:val="left"/>
      <w:pPr>
        <w:ind w:left="5460"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60" w:hanging="360"/>
      </w:pPr>
      <w:rPr>
        <w:rFonts w:hint="default"/>
      </w:rPr>
    </w:lvl>
  </w:abstractNum>
  <w:abstractNum w:abstractNumId="15">
    <w:multiLevelType w:val="hybridMultilevel"/>
    <w:lvl w:ilvl="0">
      <w:start w:val="5"/>
      <w:numFmt w:val="upperLetter"/>
      <w:lvlText w:val="%1)"/>
      <w:lvlJc w:val="left"/>
      <w:pPr>
        <w:ind w:left="409" w:hanging="308"/>
        <w:jc w:val="left"/>
      </w:pPr>
      <w:rPr>
        <w:rFonts w:hint="default"/>
        <w:spacing w:val="-2"/>
        <w:w w:val="99"/>
        <w:u w:val="single" w:color="000000"/>
      </w:rPr>
    </w:lvl>
    <w:lvl w:ilvl="1">
      <w:start w:val="1"/>
      <w:numFmt w:val="lowerLetter"/>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14">
    <w:multiLevelType w:val="hybridMultilevel"/>
    <w:lvl w:ilvl="0">
      <w:start w:val="1"/>
      <w:numFmt w:val="bullet"/>
      <w:lvlText w:val="-"/>
      <w:lvlJc w:val="left"/>
      <w:pPr>
        <w:ind w:left="102" w:hanging="135"/>
      </w:pPr>
      <w:rPr>
        <w:rFonts w:hint="default" w:ascii="Arial" w:hAnsi="Arial" w:eastAsia="Arial" w:cs="Arial"/>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3">
    <w:multiLevelType w:val="hybridMultilevel"/>
    <w:lvl w:ilvl="0">
      <w:start w:val="1"/>
      <w:numFmt w:val="upperLetter"/>
      <w:lvlText w:val="%1)"/>
      <w:lvlJc w:val="left"/>
      <w:pPr>
        <w:ind w:left="409" w:hanging="308"/>
        <w:jc w:val="left"/>
      </w:pPr>
      <w:rPr>
        <w:rFonts w:hint="default" w:ascii="Arial" w:hAnsi="Arial" w:eastAsia="Arial" w:cs="Arial"/>
        <w:spacing w:val="-2"/>
        <w:w w:val="99"/>
        <w:sz w:val="24"/>
        <w:szCs w:val="24"/>
      </w:rPr>
    </w:lvl>
    <w:lvl w:ilvl="1">
      <w:start w:val="1"/>
      <w:numFmt w:val="bullet"/>
      <w:lvlText w:val="•"/>
      <w:lvlJc w:val="left"/>
      <w:pPr>
        <w:ind w:left="1266" w:hanging="308"/>
      </w:pPr>
      <w:rPr>
        <w:rFonts w:hint="default"/>
      </w:rPr>
    </w:lvl>
    <w:lvl w:ilvl="2">
      <w:start w:val="1"/>
      <w:numFmt w:val="bullet"/>
      <w:lvlText w:val="•"/>
      <w:lvlJc w:val="left"/>
      <w:pPr>
        <w:ind w:left="2132" w:hanging="308"/>
      </w:pPr>
      <w:rPr>
        <w:rFonts w:hint="default"/>
      </w:rPr>
    </w:lvl>
    <w:lvl w:ilvl="3">
      <w:start w:val="1"/>
      <w:numFmt w:val="bullet"/>
      <w:lvlText w:val="•"/>
      <w:lvlJc w:val="left"/>
      <w:pPr>
        <w:ind w:left="2998" w:hanging="308"/>
      </w:pPr>
      <w:rPr>
        <w:rFonts w:hint="default"/>
      </w:rPr>
    </w:lvl>
    <w:lvl w:ilvl="4">
      <w:start w:val="1"/>
      <w:numFmt w:val="bullet"/>
      <w:lvlText w:val="•"/>
      <w:lvlJc w:val="left"/>
      <w:pPr>
        <w:ind w:left="3864" w:hanging="308"/>
      </w:pPr>
      <w:rPr>
        <w:rFonts w:hint="default"/>
      </w:rPr>
    </w:lvl>
    <w:lvl w:ilvl="5">
      <w:start w:val="1"/>
      <w:numFmt w:val="bullet"/>
      <w:lvlText w:val="•"/>
      <w:lvlJc w:val="left"/>
      <w:pPr>
        <w:ind w:left="4730" w:hanging="308"/>
      </w:pPr>
      <w:rPr>
        <w:rFonts w:hint="default"/>
      </w:rPr>
    </w:lvl>
    <w:lvl w:ilvl="6">
      <w:start w:val="1"/>
      <w:numFmt w:val="bullet"/>
      <w:lvlText w:val="•"/>
      <w:lvlJc w:val="left"/>
      <w:pPr>
        <w:ind w:left="5596" w:hanging="308"/>
      </w:pPr>
      <w:rPr>
        <w:rFonts w:hint="default"/>
      </w:rPr>
    </w:lvl>
    <w:lvl w:ilvl="7">
      <w:start w:val="1"/>
      <w:numFmt w:val="bullet"/>
      <w:lvlText w:val="•"/>
      <w:lvlJc w:val="left"/>
      <w:pPr>
        <w:ind w:left="6462" w:hanging="308"/>
      </w:pPr>
      <w:rPr>
        <w:rFonts w:hint="default"/>
      </w:rPr>
    </w:lvl>
    <w:lvl w:ilvl="8">
      <w:start w:val="1"/>
      <w:numFmt w:val="bullet"/>
      <w:lvlText w:val="•"/>
      <w:lvlJc w:val="left"/>
      <w:pPr>
        <w:ind w:left="7328" w:hanging="308"/>
      </w:pPr>
      <w:rPr>
        <w:rFonts w:hint="default"/>
      </w:rPr>
    </w:lvl>
  </w:abstractNum>
  <w:abstractNum w:abstractNumId="12">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0">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1"/>
      <w:numFmt w:val="bullet"/>
      <w:lvlText w:val="-"/>
      <w:lvlJc w:val="left"/>
      <w:pPr>
        <w:ind w:left="814" w:hanging="356"/>
      </w:pPr>
      <w:rPr>
        <w:rFonts w:hint="default" w:ascii="Cambria" w:hAnsi="Cambria" w:eastAsia="Cambria" w:cs="Cambria"/>
        <w:spacing w:val="-22"/>
        <w:w w:val="99"/>
        <w:sz w:val="24"/>
        <w:szCs w:val="24"/>
      </w:rPr>
    </w:lvl>
    <w:lvl w:ilvl="1">
      <w:start w:val="1"/>
      <w:numFmt w:val="bullet"/>
      <w:lvlText w:val="•"/>
      <w:lvlJc w:val="left"/>
      <w:pPr>
        <w:ind w:left="1644" w:hanging="356"/>
      </w:pPr>
      <w:rPr>
        <w:rFonts w:hint="default"/>
      </w:rPr>
    </w:lvl>
    <w:lvl w:ilvl="2">
      <w:start w:val="1"/>
      <w:numFmt w:val="bullet"/>
      <w:lvlText w:val="•"/>
      <w:lvlJc w:val="left"/>
      <w:pPr>
        <w:ind w:left="2468" w:hanging="356"/>
      </w:pPr>
      <w:rPr>
        <w:rFonts w:hint="default"/>
      </w:rPr>
    </w:lvl>
    <w:lvl w:ilvl="3">
      <w:start w:val="1"/>
      <w:numFmt w:val="bullet"/>
      <w:lvlText w:val="•"/>
      <w:lvlJc w:val="left"/>
      <w:pPr>
        <w:ind w:left="3292" w:hanging="356"/>
      </w:pPr>
      <w:rPr>
        <w:rFonts w:hint="default"/>
      </w:rPr>
    </w:lvl>
    <w:lvl w:ilvl="4">
      <w:start w:val="1"/>
      <w:numFmt w:val="bullet"/>
      <w:lvlText w:val="•"/>
      <w:lvlJc w:val="left"/>
      <w:pPr>
        <w:ind w:left="4116" w:hanging="356"/>
      </w:pPr>
      <w:rPr>
        <w:rFonts w:hint="default"/>
      </w:rPr>
    </w:lvl>
    <w:lvl w:ilvl="5">
      <w:start w:val="1"/>
      <w:numFmt w:val="bullet"/>
      <w:lvlText w:val="•"/>
      <w:lvlJc w:val="left"/>
      <w:pPr>
        <w:ind w:left="4940" w:hanging="356"/>
      </w:pPr>
      <w:rPr>
        <w:rFonts w:hint="default"/>
      </w:rPr>
    </w:lvl>
    <w:lvl w:ilvl="6">
      <w:start w:val="1"/>
      <w:numFmt w:val="bullet"/>
      <w:lvlText w:val="•"/>
      <w:lvlJc w:val="left"/>
      <w:pPr>
        <w:ind w:left="5764" w:hanging="356"/>
      </w:pPr>
      <w:rPr>
        <w:rFonts w:hint="default"/>
      </w:rPr>
    </w:lvl>
    <w:lvl w:ilvl="7">
      <w:start w:val="1"/>
      <w:numFmt w:val="bullet"/>
      <w:lvlText w:val="•"/>
      <w:lvlJc w:val="left"/>
      <w:pPr>
        <w:ind w:left="6588" w:hanging="356"/>
      </w:pPr>
      <w:rPr>
        <w:rFonts w:hint="default"/>
      </w:rPr>
    </w:lvl>
    <w:lvl w:ilvl="8">
      <w:start w:val="1"/>
      <w:numFmt w:val="bullet"/>
      <w:lvlText w:val="•"/>
      <w:lvlJc w:val="left"/>
      <w:pPr>
        <w:ind w:left="7412" w:hanging="356"/>
      </w:pPr>
      <w:rPr>
        <w:rFonts w:hint="default"/>
      </w:rPr>
    </w:lvl>
  </w:abstractNum>
  <w:abstractNum w:abstractNumId="8">
    <w:multiLevelType w:val="hybridMultilevel"/>
    <w:lvl w:ilvl="0">
      <w:start w:val="1"/>
      <w:numFmt w:val="lowerLetter"/>
      <w:lvlText w:val="%1)"/>
      <w:lvlJc w:val="left"/>
      <w:pPr>
        <w:ind w:left="102" w:hanging="293"/>
        <w:jc w:val="left"/>
      </w:pPr>
      <w:rPr>
        <w:rFonts w:hint="default" w:ascii="Arial" w:hAnsi="Arial" w:eastAsia="Arial" w:cs="Arial"/>
        <w:w w:val="99"/>
        <w:sz w:val="24"/>
        <w:szCs w:val="24"/>
      </w:rPr>
    </w:lvl>
    <w:lvl w:ilvl="1">
      <w:start w:val="1"/>
      <w:numFmt w:val="upperLetter"/>
      <w:lvlText w:val="%2)"/>
      <w:lvlJc w:val="left"/>
      <w:pPr>
        <w:ind w:left="822" w:hanging="360"/>
        <w:jc w:val="right"/>
      </w:pPr>
      <w:rPr>
        <w:rFonts w:hint="default" w:ascii="Arial" w:hAnsi="Arial" w:eastAsia="Arial" w:cs="Arial"/>
        <w:spacing w:val="-15"/>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
    <w:multiLevelType w:val="hybridMultilevel"/>
    <w:lvl w:ilvl="0">
      <w:start w:val="1"/>
      <w:numFmt w:val="decimal"/>
      <w:lvlText w:val="%1"/>
      <w:lvlJc w:val="left"/>
      <w:pPr>
        <w:ind w:left="2163" w:hanging="720"/>
        <w:jc w:val="left"/>
      </w:pPr>
      <w:rPr>
        <w:rFonts w:hint="default"/>
      </w:rPr>
    </w:lvl>
    <w:lvl w:ilvl="1">
      <w:start w:val="1"/>
      <w:numFmt w:val="decimal"/>
      <w:lvlText w:val="%1.%2"/>
      <w:lvlJc w:val="left"/>
      <w:pPr>
        <w:ind w:left="4021" w:hanging="720"/>
        <w:jc w:val="right"/>
      </w:pPr>
      <w:rPr>
        <w:rFonts w:hint="default" w:ascii="Arial" w:hAnsi="Arial" w:eastAsia="Arial" w:cs="Arial"/>
        <w:b/>
        <w:bCs/>
        <w:w w:val="100"/>
        <w:sz w:val="28"/>
        <w:szCs w:val="28"/>
      </w:rPr>
    </w:lvl>
    <w:lvl w:ilvl="2">
      <w:start w:val="1"/>
      <w:numFmt w:val="decimal"/>
      <w:lvlText w:val="%1.%2.%3"/>
      <w:lvlJc w:val="left"/>
      <w:pPr>
        <w:ind w:left="3489" w:hanging="704"/>
        <w:jc w:val="right"/>
      </w:pPr>
      <w:rPr>
        <w:rFonts w:hint="default" w:ascii="Arial" w:hAnsi="Arial" w:eastAsia="Arial" w:cs="Arial"/>
        <w:b/>
        <w:bCs/>
        <w:w w:val="100"/>
        <w:sz w:val="28"/>
        <w:szCs w:val="28"/>
      </w:rPr>
    </w:lvl>
    <w:lvl w:ilvl="3">
      <w:start w:val="1"/>
      <w:numFmt w:val="bullet"/>
      <w:lvlText w:val="•"/>
      <w:lvlJc w:val="left"/>
      <w:pPr>
        <w:ind w:left="4650" w:hanging="704"/>
      </w:pPr>
      <w:rPr>
        <w:rFonts w:hint="default"/>
      </w:rPr>
    </w:lvl>
    <w:lvl w:ilvl="4">
      <w:start w:val="1"/>
      <w:numFmt w:val="bullet"/>
      <w:lvlText w:val="•"/>
      <w:lvlJc w:val="left"/>
      <w:pPr>
        <w:ind w:left="5280" w:hanging="704"/>
      </w:pPr>
      <w:rPr>
        <w:rFonts w:hint="default"/>
      </w:rPr>
    </w:lvl>
    <w:lvl w:ilvl="5">
      <w:start w:val="1"/>
      <w:numFmt w:val="bullet"/>
      <w:lvlText w:val="•"/>
      <w:lvlJc w:val="left"/>
      <w:pPr>
        <w:ind w:left="5910" w:hanging="704"/>
      </w:pPr>
      <w:rPr>
        <w:rFonts w:hint="default"/>
      </w:rPr>
    </w:lvl>
    <w:lvl w:ilvl="6">
      <w:start w:val="1"/>
      <w:numFmt w:val="bullet"/>
      <w:lvlText w:val="•"/>
      <w:lvlJc w:val="left"/>
      <w:pPr>
        <w:ind w:left="6540" w:hanging="704"/>
      </w:pPr>
      <w:rPr>
        <w:rFonts w:hint="default"/>
      </w:rPr>
    </w:lvl>
    <w:lvl w:ilvl="7">
      <w:start w:val="1"/>
      <w:numFmt w:val="bullet"/>
      <w:lvlText w:val="•"/>
      <w:lvlJc w:val="left"/>
      <w:pPr>
        <w:ind w:left="7170" w:hanging="704"/>
      </w:pPr>
      <w:rPr>
        <w:rFonts w:hint="default"/>
      </w:rPr>
    </w:lvl>
    <w:lvl w:ilvl="8">
      <w:start w:val="1"/>
      <w:numFmt w:val="bullet"/>
      <w:lvlText w:val="•"/>
      <w:lvlJc w:val="left"/>
      <w:pPr>
        <w:ind w:left="7800" w:hanging="704"/>
      </w:pPr>
      <w:rPr>
        <w:rFonts w:hint="default"/>
      </w:rPr>
    </w:lvl>
  </w:abstractNum>
  <w:abstractNum w:abstractNumId="6">
    <w:multiLevelType w:val="hybridMultilevel"/>
    <w:lvl w:ilvl="0">
      <w:start w:val="4"/>
      <w:numFmt w:val="decimal"/>
      <w:lvlText w:val="%1"/>
      <w:lvlJc w:val="left"/>
      <w:pPr>
        <w:ind w:left="504" w:hanging="403"/>
        <w:jc w:val="left"/>
      </w:pPr>
      <w:rPr>
        <w:rFonts w:hint="default"/>
      </w:rPr>
    </w:lvl>
    <w:lvl w:ilvl="1">
      <w:start w:val="7"/>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decimal"/>
      <w:lvlText w:val="%4."/>
      <w:lvlJc w:val="left"/>
      <w:pPr>
        <w:ind w:left="822" w:hanging="360"/>
        <w:jc w:val="left"/>
      </w:pPr>
      <w:rPr>
        <w:rFonts w:hint="default" w:ascii="Arial" w:hAnsi="Arial" w:eastAsia="Arial" w:cs="Arial"/>
        <w:spacing w:val="-1"/>
        <w:w w:val="100"/>
        <w:sz w:val="22"/>
        <w:szCs w:val="22"/>
      </w:rPr>
    </w:lvl>
    <w:lvl w:ilvl="4">
      <w:start w:val="1"/>
      <w:numFmt w:val="bullet"/>
      <w:lvlText w:val="•"/>
      <w:lvlJc w:val="left"/>
      <w:pPr>
        <w:ind w:left="2875" w:hanging="360"/>
      </w:pPr>
      <w:rPr>
        <w:rFonts w:hint="default"/>
      </w:rPr>
    </w:lvl>
    <w:lvl w:ilvl="5">
      <w:start w:val="1"/>
      <w:numFmt w:val="bullet"/>
      <w:lvlText w:val="•"/>
      <w:lvlJc w:val="left"/>
      <w:pPr>
        <w:ind w:left="3902" w:hanging="360"/>
      </w:pPr>
      <w:rPr>
        <w:rFonts w:hint="default"/>
      </w:rPr>
    </w:lvl>
    <w:lvl w:ilvl="6">
      <w:start w:val="1"/>
      <w:numFmt w:val="bullet"/>
      <w:lvlText w:val="•"/>
      <w:lvlJc w:val="left"/>
      <w:pPr>
        <w:ind w:left="4930" w:hanging="360"/>
      </w:pPr>
      <w:rPr>
        <w:rFonts w:hint="default"/>
      </w:rPr>
    </w:lvl>
    <w:lvl w:ilvl="7">
      <w:start w:val="1"/>
      <w:numFmt w:val="bullet"/>
      <w:lvlText w:val="•"/>
      <w:lvlJc w:val="left"/>
      <w:pPr>
        <w:ind w:left="5957" w:hanging="360"/>
      </w:pPr>
      <w:rPr>
        <w:rFonts w:hint="default"/>
      </w:rPr>
    </w:lvl>
    <w:lvl w:ilvl="8">
      <w:start w:val="1"/>
      <w:numFmt w:val="bullet"/>
      <w:lvlText w:val="•"/>
      <w:lvlJc w:val="left"/>
      <w:pPr>
        <w:ind w:left="6985" w:hanging="360"/>
      </w:pPr>
      <w:rPr>
        <w:rFonts w:hint="default"/>
      </w:rPr>
    </w:lvl>
  </w:abstractNum>
  <w:abstractNum w:abstractNumId="5">
    <w:multiLevelType w:val="hybridMultilevel"/>
    <w:lvl w:ilvl="0">
      <w:start w:val="4"/>
      <w:numFmt w:val="decimal"/>
      <w:lvlText w:val="%1"/>
      <w:lvlJc w:val="left"/>
      <w:pPr>
        <w:ind w:left="675" w:hanging="574"/>
        <w:jc w:val="left"/>
      </w:pPr>
      <w:rPr>
        <w:rFonts w:hint="default"/>
      </w:rPr>
    </w:lvl>
    <w:lvl w:ilvl="1">
      <w:start w:val="1"/>
      <w:numFmt w:val="decimal"/>
      <w:lvlText w:val="%1.%2"/>
      <w:lvlJc w:val="left"/>
      <w:pPr>
        <w:ind w:left="102" w:hanging="574"/>
        <w:jc w:val="left"/>
      </w:pPr>
      <w:rPr>
        <w:rFonts w:hint="default" w:ascii="Arial" w:hAnsi="Arial" w:eastAsia="Arial" w:cs="Arial"/>
        <w:b/>
        <w:bCs/>
        <w:spacing w:val="-3"/>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880" w:hanging="602"/>
      </w:pPr>
      <w:rPr>
        <w:rFonts w:hint="default"/>
      </w:rPr>
    </w:lvl>
    <w:lvl w:ilvl="4">
      <w:start w:val="1"/>
      <w:numFmt w:val="bullet"/>
      <w:lvlText w:val="•"/>
      <w:lvlJc w:val="left"/>
      <w:pPr>
        <w:ind w:left="2045" w:hanging="602"/>
      </w:pPr>
      <w:rPr>
        <w:rFonts w:hint="default"/>
      </w:rPr>
    </w:lvl>
    <w:lvl w:ilvl="5">
      <w:start w:val="1"/>
      <w:numFmt w:val="bullet"/>
      <w:lvlText w:val="•"/>
      <w:lvlJc w:val="left"/>
      <w:pPr>
        <w:ind w:left="3211" w:hanging="602"/>
      </w:pPr>
      <w:rPr>
        <w:rFonts w:hint="default"/>
      </w:rPr>
    </w:lvl>
    <w:lvl w:ilvl="6">
      <w:start w:val="1"/>
      <w:numFmt w:val="bullet"/>
      <w:lvlText w:val="•"/>
      <w:lvlJc w:val="left"/>
      <w:pPr>
        <w:ind w:left="4377" w:hanging="602"/>
      </w:pPr>
      <w:rPr>
        <w:rFonts w:hint="default"/>
      </w:rPr>
    </w:lvl>
    <w:lvl w:ilvl="7">
      <w:start w:val="1"/>
      <w:numFmt w:val="bullet"/>
      <w:lvlText w:val="•"/>
      <w:lvlJc w:val="left"/>
      <w:pPr>
        <w:ind w:left="5542" w:hanging="602"/>
      </w:pPr>
      <w:rPr>
        <w:rFonts w:hint="default"/>
      </w:rPr>
    </w:lvl>
    <w:lvl w:ilvl="8">
      <w:start w:val="1"/>
      <w:numFmt w:val="bullet"/>
      <w:lvlText w:val="•"/>
      <w:lvlJc w:val="left"/>
      <w:pPr>
        <w:ind w:left="6708" w:hanging="602"/>
      </w:pPr>
      <w:rPr>
        <w:rFonts w:hint="default"/>
      </w:rPr>
    </w:lvl>
  </w:abstractNum>
  <w:abstractNum w:abstractNumId="4">
    <w:multiLevelType w:val="hybridMultilevel"/>
    <w:lvl w:ilvl="0">
      <w:start w:val="3"/>
      <w:numFmt w:val="decimal"/>
      <w:lvlText w:val="%1"/>
      <w:lvlJc w:val="left"/>
      <w:pPr>
        <w:ind w:left="102" w:hanging="403"/>
        <w:jc w:val="left"/>
      </w:pPr>
      <w:rPr>
        <w:rFonts w:hint="default"/>
      </w:rPr>
    </w:lvl>
    <w:lvl w:ilvl="1">
      <w:start w:val="3"/>
      <w:numFmt w:val="decimal"/>
      <w:lvlText w:val="%1.%2"/>
      <w:lvlJc w:val="left"/>
      <w:pPr>
        <w:ind w:left="102" w:hanging="403"/>
        <w:jc w:val="left"/>
      </w:pPr>
      <w:rPr>
        <w:rFonts w:hint="default" w:ascii="Arial" w:hAnsi="Arial" w:eastAsia="Arial" w:cs="Arial"/>
        <w:b/>
        <w:bCs/>
        <w:w w:val="99"/>
        <w:sz w:val="24"/>
        <w:szCs w:val="24"/>
      </w:rPr>
    </w:lvl>
    <w:lvl w:ilvl="2">
      <w:start w:val="1"/>
      <w:numFmt w:val="decimal"/>
      <w:lvlText w:val="%1.%2.%3"/>
      <w:lvlJc w:val="left"/>
      <w:pPr>
        <w:ind w:left="705" w:hanging="604"/>
        <w:jc w:val="left"/>
      </w:pPr>
      <w:rPr>
        <w:rFonts w:hint="default" w:ascii="Arial" w:hAnsi="Arial" w:eastAsia="Arial" w:cs="Arial"/>
        <w:b/>
        <w:bCs/>
        <w:spacing w:val="-2"/>
        <w:w w:val="99"/>
        <w:sz w:val="24"/>
        <w:szCs w:val="24"/>
      </w:rPr>
    </w:lvl>
    <w:lvl w:ilvl="3">
      <w:start w:val="1"/>
      <w:numFmt w:val="decimal"/>
      <w:lvlText w:val="%1.%2.%3.%4"/>
      <w:lvlJc w:val="left"/>
      <w:pPr>
        <w:ind w:left="102" w:hanging="803"/>
        <w:jc w:val="left"/>
      </w:pPr>
      <w:rPr>
        <w:rFonts w:hint="default" w:ascii="Arial" w:hAnsi="Arial" w:eastAsia="Arial" w:cs="Arial"/>
        <w:b/>
        <w:bCs/>
        <w:spacing w:val="-2"/>
        <w:w w:val="99"/>
        <w:sz w:val="24"/>
        <w:szCs w:val="24"/>
      </w:rPr>
    </w:lvl>
    <w:lvl w:ilvl="4">
      <w:start w:val="1"/>
      <w:numFmt w:val="bullet"/>
      <w:lvlText w:val="•"/>
      <w:lvlJc w:val="left"/>
      <w:pPr>
        <w:ind w:left="3480" w:hanging="803"/>
      </w:pPr>
      <w:rPr>
        <w:rFonts w:hint="default"/>
      </w:rPr>
    </w:lvl>
    <w:lvl w:ilvl="5">
      <w:start w:val="1"/>
      <w:numFmt w:val="bullet"/>
      <w:lvlText w:val="•"/>
      <w:lvlJc w:val="left"/>
      <w:pPr>
        <w:ind w:left="4406" w:hanging="803"/>
      </w:pPr>
      <w:rPr>
        <w:rFonts w:hint="default"/>
      </w:rPr>
    </w:lvl>
    <w:lvl w:ilvl="6">
      <w:start w:val="1"/>
      <w:numFmt w:val="bullet"/>
      <w:lvlText w:val="•"/>
      <w:lvlJc w:val="left"/>
      <w:pPr>
        <w:ind w:left="5333" w:hanging="803"/>
      </w:pPr>
      <w:rPr>
        <w:rFonts w:hint="default"/>
      </w:rPr>
    </w:lvl>
    <w:lvl w:ilvl="7">
      <w:start w:val="1"/>
      <w:numFmt w:val="bullet"/>
      <w:lvlText w:val="•"/>
      <w:lvlJc w:val="left"/>
      <w:pPr>
        <w:ind w:left="6260" w:hanging="803"/>
      </w:pPr>
      <w:rPr>
        <w:rFonts w:hint="default"/>
      </w:rPr>
    </w:lvl>
    <w:lvl w:ilvl="8">
      <w:start w:val="1"/>
      <w:numFmt w:val="bullet"/>
      <w:lvlText w:val="•"/>
      <w:lvlJc w:val="left"/>
      <w:pPr>
        <w:ind w:left="7186" w:hanging="803"/>
      </w:pPr>
      <w:rPr>
        <w:rFonts w:hint="default"/>
      </w:rPr>
    </w:lvl>
  </w:abstractNum>
  <w:abstractNum w:abstractNumId="3">
    <w:multiLevelType w:val="hybridMultilevel"/>
    <w:lvl w:ilvl="0">
      <w:start w:val="3"/>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1626" w:hanging="403"/>
      </w:pPr>
      <w:rPr>
        <w:rFonts w:hint="default"/>
      </w:rPr>
    </w:lvl>
    <w:lvl w:ilvl="3">
      <w:start w:val="1"/>
      <w:numFmt w:val="bullet"/>
      <w:lvlText w:val="•"/>
      <w:lvlJc w:val="left"/>
      <w:pPr>
        <w:ind w:left="2553" w:hanging="403"/>
      </w:pPr>
      <w:rPr>
        <w:rFonts w:hint="default"/>
      </w:rPr>
    </w:lvl>
    <w:lvl w:ilvl="4">
      <w:start w:val="1"/>
      <w:numFmt w:val="bullet"/>
      <w:lvlText w:val="•"/>
      <w:lvlJc w:val="left"/>
      <w:pPr>
        <w:ind w:left="3480" w:hanging="403"/>
      </w:pPr>
      <w:rPr>
        <w:rFonts w:hint="default"/>
      </w:rPr>
    </w:lvl>
    <w:lvl w:ilvl="5">
      <w:start w:val="1"/>
      <w:numFmt w:val="bullet"/>
      <w:lvlText w:val="•"/>
      <w:lvlJc w:val="left"/>
      <w:pPr>
        <w:ind w:left="4406" w:hanging="403"/>
      </w:pPr>
      <w:rPr>
        <w:rFonts w:hint="default"/>
      </w:rPr>
    </w:lvl>
    <w:lvl w:ilvl="6">
      <w:start w:val="1"/>
      <w:numFmt w:val="bullet"/>
      <w:lvlText w:val="•"/>
      <w:lvlJc w:val="left"/>
      <w:pPr>
        <w:ind w:left="5333" w:hanging="403"/>
      </w:pPr>
      <w:rPr>
        <w:rFonts w:hint="default"/>
      </w:rPr>
    </w:lvl>
    <w:lvl w:ilvl="7">
      <w:start w:val="1"/>
      <w:numFmt w:val="bullet"/>
      <w:lvlText w:val="•"/>
      <w:lvlJc w:val="left"/>
      <w:pPr>
        <w:ind w:left="6260" w:hanging="403"/>
      </w:pPr>
      <w:rPr>
        <w:rFonts w:hint="default"/>
      </w:rPr>
    </w:lvl>
    <w:lvl w:ilvl="8">
      <w:start w:val="1"/>
      <w:numFmt w:val="bullet"/>
      <w:lvlText w:val="•"/>
      <w:lvlJc w:val="left"/>
      <w:pPr>
        <w:ind w:left="7186" w:hanging="403"/>
      </w:pPr>
      <w:rPr>
        <w:rFonts w:hint="default"/>
      </w:rPr>
    </w:lvl>
  </w:abstractNum>
  <w:abstractNum w:abstractNumId="2">
    <w:multiLevelType w:val="hybridMultilevel"/>
    <w:lvl w:ilvl="0">
      <w:start w:val="2"/>
      <w:numFmt w:val="decimal"/>
      <w:lvlText w:val="%1"/>
      <w:lvlJc w:val="left"/>
      <w:pPr>
        <w:ind w:left="571" w:hanging="470"/>
        <w:jc w:val="left"/>
      </w:pPr>
      <w:rPr>
        <w:rFonts w:hint="default"/>
      </w:rPr>
    </w:lvl>
    <w:lvl w:ilvl="1">
      <w:start w:val="1"/>
      <w:numFmt w:val="decimal"/>
      <w:lvlText w:val="%1.%2"/>
      <w:lvlJc w:val="left"/>
      <w:pPr>
        <w:ind w:left="571" w:hanging="470"/>
        <w:jc w:val="left"/>
      </w:pPr>
      <w:rPr>
        <w:rFonts w:hint="default" w:ascii="Arial" w:hAnsi="Arial" w:eastAsia="Arial" w:cs="Arial"/>
        <w:b/>
        <w:bCs/>
        <w:spacing w:val="-3"/>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1812" w:hanging="602"/>
      </w:pPr>
      <w:rPr>
        <w:rFonts w:hint="default"/>
      </w:rPr>
    </w:lvl>
    <w:lvl w:ilvl="4">
      <w:start w:val="1"/>
      <w:numFmt w:val="bullet"/>
      <w:lvlText w:val="•"/>
      <w:lvlJc w:val="left"/>
      <w:pPr>
        <w:ind w:left="2845" w:hanging="602"/>
      </w:pPr>
      <w:rPr>
        <w:rFonts w:hint="default"/>
      </w:rPr>
    </w:lvl>
    <w:lvl w:ilvl="5">
      <w:start w:val="1"/>
      <w:numFmt w:val="bullet"/>
      <w:lvlText w:val="•"/>
      <w:lvlJc w:val="left"/>
      <w:pPr>
        <w:ind w:left="3877" w:hanging="602"/>
      </w:pPr>
      <w:rPr>
        <w:rFonts w:hint="default"/>
      </w:rPr>
    </w:lvl>
    <w:lvl w:ilvl="6">
      <w:start w:val="1"/>
      <w:numFmt w:val="bullet"/>
      <w:lvlText w:val="•"/>
      <w:lvlJc w:val="left"/>
      <w:pPr>
        <w:ind w:left="4910" w:hanging="602"/>
      </w:pPr>
      <w:rPr>
        <w:rFonts w:hint="default"/>
      </w:rPr>
    </w:lvl>
    <w:lvl w:ilvl="7">
      <w:start w:val="1"/>
      <w:numFmt w:val="bullet"/>
      <w:lvlText w:val="•"/>
      <w:lvlJc w:val="left"/>
      <w:pPr>
        <w:ind w:left="5942" w:hanging="602"/>
      </w:pPr>
      <w:rPr>
        <w:rFonts w:hint="default"/>
      </w:rPr>
    </w:lvl>
    <w:lvl w:ilvl="8">
      <w:start w:val="1"/>
      <w:numFmt w:val="bullet"/>
      <w:lvlText w:val="•"/>
      <w:lvlJc w:val="left"/>
      <w:pPr>
        <w:ind w:left="6975" w:hanging="602"/>
      </w:pPr>
      <w:rPr>
        <w:rFonts w:hint="default"/>
      </w:rPr>
    </w:lvl>
  </w:abstractNum>
  <w:abstractNum w:abstractNumId="1">
    <w:multiLevelType w:val="hybridMultilevel"/>
    <w:lvl w:ilvl="0">
      <w:start w:val="1"/>
      <w:numFmt w:val="decimal"/>
      <w:lvlText w:val="%1"/>
      <w:lvlJc w:val="left"/>
      <w:pPr>
        <w:ind w:left="504" w:hanging="403"/>
        <w:jc w:val="left"/>
      </w:pPr>
      <w:rPr>
        <w:rFonts w:hint="default"/>
      </w:rPr>
    </w:lvl>
    <w:lvl w:ilvl="1">
      <w:start w:val="2"/>
      <w:numFmt w:val="decimal"/>
      <w:lvlText w:val="%1.%2"/>
      <w:lvlJc w:val="left"/>
      <w:pPr>
        <w:ind w:left="102" w:hanging="403"/>
        <w:jc w:val="left"/>
      </w:pPr>
      <w:rPr>
        <w:rFonts w:hint="default" w:ascii="Arial" w:hAnsi="Arial" w:eastAsia="Arial" w:cs="Arial"/>
        <w:b/>
        <w:bCs/>
        <w:w w:val="99"/>
        <w:sz w:val="24"/>
        <w:szCs w:val="24"/>
      </w:rPr>
    </w:lvl>
    <w:lvl w:ilvl="2">
      <w:start w:val="1"/>
      <w:numFmt w:val="bullet"/>
      <w:lvlText w:val="•"/>
      <w:lvlJc w:val="left"/>
      <w:pPr>
        <w:ind w:left="1448" w:hanging="403"/>
      </w:pPr>
      <w:rPr>
        <w:rFonts w:hint="default"/>
      </w:rPr>
    </w:lvl>
    <w:lvl w:ilvl="3">
      <w:start w:val="1"/>
      <w:numFmt w:val="bullet"/>
      <w:lvlText w:val="•"/>
      <w:lvlJc w:val="left"/>
      <w:pPr>
        <w:ind w:left="2397" w:hanging="403"/>
      </w:pPr>
      <w:rPr>
        <w:rFonts w:hint="default"/>
      </w:rPr>
    </w:lvl>
    <w:lvl w:ilvl="4">
      <w:start w:val="1"/>
      <w:numFmt w:val="bullet"/>
      <w:lvlText w:val="•"/>
      <w:lvlJc w:val="left"/>
      <w:pPr>
        <w:ind w:left="3346" w:hanging="403"/>
      </w:pPr>
      <w:rPr>
        <w:rFonts w:hint="default"/>
      </w:rPr>
    </w:lvl>
    <w:lvl w:ilvl="5">
      <w:start w:val="1"/>
      <w:numFmt w:val="bullet"/>
      <w:lvlText w:val="•"/>
      <w:lvlJc w:val="left"/>
      <w:pPr>
        <w:ind w:left="4295" w:hanging="403"/>
      </w:pPr>
      <w:rPr>
        <w:rFonts w:hint="default"/>
      </w:rPr>
    </w:lvl>
    <w:lvl w:ilvl="6">
      <w:start w:val="1"/>
      <w:numFmt w:val="bullet"/>
      <w:lvlText w:val="•"/>
      <w:lvlJc w:val="left"/>
      <w:pPr>
        <w:ind w:left="5244" w:hanging="403"/>
      </w:pPr>
      <w:rPr>
        <w:rFonts w:hint="default"/>
      </w:rPr>
    </w:lvl>
    <w:lvl w:ilvl="7">
      <w:start w:val="1"/>
      <w:numFmt w:val="bullet"/>
      <w:lvlText w:val="•"/>
      <w:lvlJc w:val="left"/>
      <w:pPr>
        <w:ind w:left="6193" w:hanging="403"/>
      </w:pPr>
      <w:rPr>
        <w:rFonts w:hint="default"/>
      </w:rPr>
    </w:lvl>
    <w:lvl w:ilvl="8">
      <w:start w:val="1"/>
      <w:numFmt w:val="bullet"/>
      <w:lvlText w:val="•"/>
      <w:lvlJc w:val="left"/>
      <w:pPr>
        <w:ind w:left="7142" w:hanging="403"/>
      </w:pPr>
      <w:rPr>
        <w:rFonts w:hint="default"/>
      </w:rPr>
    </w:lvl>
  </w:abstractNum>
  <w:abstractNum w:abstractNumId="0">
    <w:multiLevelType w:val="hybridMultilevel"/>
    <w:lvl w:ilvl="0">
      <w:start w:val="1"/>
      <w:numFmt w:val="decimal"/>
      <w:lvlText w:val="%1"/>
      <w:lvlJc w:val="left"/>
      <w:pPr>
        <w:ind w:left="675" w:hanging="574"/>
        <w:jc w:val="left"/>
      </w:pPr>
      <w:rPr>
        <w:rFonts w:hint="default"/>
      </w:rPr>
    </w:lvl>
    <w:lvl w:ilvl="1">
      <w:start w:val="1"/>
      <w:numFmt w:val="decimal"/>
      <w:lvlText w:val="%1.%2"/>
      <w:lvlJc w:val="left"/>
      <w:pPr>
        <w:ind w:left="675" w:hanging="574"/>
        <w:jc w:val="left"/>
      </w:pPr>
      <w:rPr>
        <w:rFonts w:hint="default" w:ascii="Arial" w:hAnsi="Arial" w:eastAsia="Arial" w:cs="Arial"/>
        <w:b/>
        <w:bCs/>
        <w:spacing w:val="-4"/>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2553" w:hanging="602"/>
      </w:pPr>
      <w:rPr>
        <w:rFonts w:hint="default"/>
      </w:rPr>
    </w:lvl>
    <w:lvl w:ilvl="4">
      <w:start w:val="1"/>
      <w:numFmt w:val="bullet"/>
      <w:lvlText w:val="•"/>
      <w:lvlJc w:val="left"/>
      <w:pPr>
        <w:ind w:left="3480" w:hanging="602"/>
      </w:pPr>
      <w:rPr>
        <w:rFonts w:hint="default"/>
      </w:rPr>
    </w:lvl>
    <w:lvl w:ilvl="5">
      <w:start w:val="1"/>
      <w:numFmt w:val="bullet"/>
      <w:lvlText w:val="•"/>
      <w:lvlJc w:val="left"/>
      <w:pPr>
        <w:ind w:left="4406" w:hanging="602"/>
      </w:pPr>
      <w:rPr>
        <w:rFonts w:hint="default"/>
      </w:rPr>
    </w:lvl>
    <w:lvl w:ilvl="6">
      <w:start w:val="1"/>
      <w:numFmt w:val="bullet"/>
      <w:lvlText w:val="•"/>
      <w:lvlJc w:val="left"/>
      <w:pPr>
        <w:ind w:left="5333" w:hanging="602"/>
      </w:pPr>
      <w:rPr>
        <w:rFonts w:hint="default"/>
      </w:rPr>
    </w:lvl>
    <w:lvl w:ilvl="7">
      <w:start w:val="1"/>
      <w:numFmt w:val="bullet"/>
      <w:lvlText w:val="•"/>
      <w:lvlJc w:val="left"/>
      <w:pPr>
        <w:ind w:left="6260" w:hanging="602"/>
      </w:pPr>
      <w:rPr>
        <w:rFonts w:hint="default"/>
      </w:rPr>
    </w:lvl>
    <w:lvl w:ilvl="8">
      <w:start w:val="1"/>
      <w:numFmt w:val="bullet"/>
      <w:lvlText w:val="•"/>
      <w:lvlJc w:val="left"/>
      <w:pPr>
        <w:ind w:left="7186" w:hanging="602"/>
      </w:pPr>
      <w:rPr>
        <w:rFonts w:hint="default"/>
      </w:rPr>
    </w:lvl>
  </w:abstract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61"/>
      <w:ind w:left="102"/>
    </w:pPr>
    <w:rPr>
      <w:rFonts w:ascii="Arial" w:hAnsi="Arial" w:eastAsia="Arial" w:cs="Arial"/>
      <w:b/>
      <w:bCs/>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05"/>
      <w:ind w:left="733"/>
      <w:outlineLvl w:val="1"/>
    </w:pPr>
    <w:rPr>
      <w:rFonts w:ascii="Arial" w:hAnsi="Arial" w:eastAsia="Arial" w:cs="Arial"/>
      <w:b/>
      <w:bCs/>
      <w:sz w:val="28"/>
      <w:szCs w:val="28"/>
    </w:rPr>
  </w:style>
  <w:style w:styleId="Heading2" w:type="paragraph">
    <w:name w:val="Heading 2"/>
    <w:basedOn w:val="Normal"/>
    <w:uiPriority w:val="1"/>
    <w:qFormat/>
    <w:pPr>
      <w:ind w:left="102"/>
      <w:jc w:val="both"/>
      <w:outlineLvl w:val="2"/>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footer" Target="footer5.xml"/><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footer" Target="footer6.xml"/><Relationship Id="rId26" Type="http://schemas.openxmlformats.org/officeDocument/2006/relationships/footer" Target="footer7.xml"/><Relationship Id="rId27" Type="http://schemas.openxmlformats.org/officeDocument/2006/relationships/footer" Target="footer8.xml"/><Relationship Id="rId28" Type="http://schemas.openxmlformats.org/officeDocument/2006/relationships/footer" Target="footer9.xml"/><Relationship Id="rId29" Type="http://schemas.openxmlformats.org/officeDocument/2006/relationships/footer" Target="footer10.xml"/><Relationship Id="rId30" Type="http://schemas.openxmlformats.org/officeDocument/2006/relationships/footer" Target="footer11.xml"/><Relationship Id="rId31" Type="http://schemas.openxmlformats.org/officeDocument/2006/relationships/footer" Target="footer12.xml"/><Relationship Id="rId32" Type="http://schemas.openxmlformats.org/officeDocument/2006/relationships/footer" Target="footer13.xml"/><Relationship Id="rId33" Type="http://schemas.openxmlformats.org/officeDocument/2006/relationships/footer" Target="footer14.xml"/><Relationship Id="rId34" Type="http://schemas.openxmlformats.org/officeDocument/2006/relationships/footer" Target="footer15.xml"/><Relationship Id="rId35" Type="http://schemas.openxmlformats.org/officeDocument/2006/relationships/footer" Target="footer16.xml"/><Relationship Id="rId36" Type="http://schemas.openxmlformats.org/officeDocument/2006/relationships/footer" Target="footer17.xml"/><Relationship Id="rId37" Type="http://schemas.openxmlformats.org/officeDocument/2006/relationships/footer" Target="footer18.xml"/><Relationship Id="rId38" Type="http://schemas.openxmlformats.org/officeDocument/2006/relationships/footer" Target="footer19.xml"/><Relationship Id="rId39" Type="http://schemas.openxmlformats.org/officeDocument/2006/relationships/footer" Target="footer20.xml"/><Relationship Id="rId40" Type="http://schemas.openxmlformats.org/officeDocument/2006/relationships/footer" Target="footer21.xml"/><Relationship Id="rId41" Type="http://schemas.openxmlformats.org/officeDocument/2006/relationships/footer" Target="footer22.xml"/><Relationship Id="rId42" Type="http://schemas.openxmlformats.org/officeDocument/2006/relationships/footer" Target="footer23.xml"/><Relationship Id="rId43" Type="http://schemas.openxmlformats.org/officeDocument/2006/relationships/footer" Target="footer24.xml"/><Relationship Id="rId44" Type="http://schemas.openxmlformats.org/officeDocument/2006/relationships/footer" Target="footer25.xml"/><Relationship Id="rId45" Type="http://schemas.openxmlformats.org/officeDocument/2006/relationships/hyperlink" Target="http://www.sedesol.gob.mx/en/SEDESOL/Informe_fais" TargetMode="External"/><Relationship Id="rId46" Type="http://schemas.openxmlformats.org/officeDocument/2006/relationships/footer" Target="footer26.xml"/><Relationship Id="rId47" Type="http://schemas.openxmlformats.org/officeDocument/2006/relationships/footer" Target="footer27.xml"/><Relationship Id="rId48" Type="http://schemas.openxmlformats.org/officeDocument/2006/relationships/footer" Target="footer28.xml"/><Relationship Id="rId49" Type="http://schemas.openxmlformats.org/officeDocument/2006/relationships/footer" Target="footer29.xml"/><Relationship Id="rId50" Type="http://schemas.openxmlformats.org/officeDocument/2006/relationships/footer" Target="footer30.xml"/><Relationship Id="rId51" Type="http://schemas.openxmlformats.org/officeDocument/2006/relationships/footer" Target="footer31.xml"/><Relationship Id="rId52" Type="http://schemas.openxmlformats.org/officeDocument/2006/relationships/footer" Target="footer32.xml"/><Relationship Id="rId53" Type="http://schemas.openxmlformats.org/officeDocument/2006/relationships/footer" Target="footer33.xml"/><Relationship Id="rId54" Type="http://schemas.openxmlformats.org/officeDocument/2006/relationships/footer" Target="footer34.xml"/><Relationship Id="rId55" Type="http://schemas.openxmlformats.org/officeDocument/2006/relationships/footer" Target="footer35.xml"/><Relationship Id="rId56" Type="http://schemas.openxmlformats.org/officeDocument/2006/relationships/footer" Target="footer36.xml"/><Relationship Id="rId57" Type="http://schemas.openxmlformats.org/officeDocument/2006/relationships/footer" Target="footer37.xml"/><Relationship Id="rId58" Type="http://schemas.openxmlformats.org/officeDocument/2006/relationships/footer" Target="footer38.xml"/><Relationship Id="rId59" Type="http://schemas.openxmlformats.org/officeDocument/2006/relationships/footer" Target="footer39.xml"/><Relationship Id="rId60" Type="http://schemas.openxmlformats.org/officeDocument/2006/relationships/footer" Target="footer40.xml"/><Relationship Id="rId61" Type="http://schemas.openxmlformats.org/officeDocument/2006/relationships/footer" Target="footer41.xml"/><Relationship Id="rId62" Type="http://schemas.openxmlformats.org/officeDocument/2006/relationships/footer" Target="footer42.xml"/><Relationship Id="rId63" Type="http://schemas.openxmlformats.org/officeDocument/2006/relationships/footer" Target="footer43.xml"/><Relationship Id="rId64" Type="http://schemas.openxmlformats.org/officeDocument/2006/relationships/footer" Target="footer44.xml"/><Relationship Id="rId65" Type="http://schemas.openxmlformats.org/officeDocument/2006/relationships/footer" Target="footer45.xml"/><Relationship Id="rId66" Type="http://schemas.openxmlformats.org/officeDocument/2006/relationships/footer" Target="footer46.xml"/><Relationship Id="rId67" Type="http://schemas.openxmlformats.org/officeDocument/2006/relationships/image" Target="media/image17.png"/><Relationship Id="rId68" Type="http://schemas.openxmlformats.org/officeDocument/2006/relationships/image" Target="media/image18.png"/><Relationship Id="rId69" Type="http://schemas.openxmlformats.org/officeDocument/2006/relationships/image" Target="media/image19.png"/><Relationship Id="rId70" Type="http://schemas.openxmlformats.org/officeDocument/2006/relationships/image" Target="media/image20.png"/><Relationship Id="rId71" Type="http://schemas.openxmlformats.org/officeDocument/2006/relationships/image" Target="media/image21.png"/><Relationship Id="rId72" Type="http://schemas.openxmlformats.org/officeDocument/2006/relationships/image" Target="media/image22.png"/><Relationship Id="rId73" Type="http://schemas.openxmlformats.org/officeDocument/2006/relationships/image" Target="media/image23.png"/><Relationship Id="rId74" Type="http://schemas.openxmlformats.org/officeDocument/2006/relationships/image" Target="media/image24.png"/><Relationship Id="rId75" Type="http://schemas.openxmlformats.org/officeDocument/2006/relationships/image" Target="media/image25.png"/><Relationship Id="rId76" Type="http://schemas.openxmlformats.org/officeDocument/2006/relationships/image" Target="media/image26.png"/><Relationship Id="rId77" Type="http://schemas.openxmlformats.org/officeDocument/2006/relationships/image" Target="media/image27.png"/><Relationship Id="rId78" Type="http://schemas.openxmlformats.org/officeDocument/2006/relationships/image" Target="media/image28.png"/><Relationship Id="rId79" Type="http://schemas.openxmlformats.org/officeDocument/2006/relationships/image" Target="media/image29.png"/><Relationship Id="rId80" Type="http://schemas.openxmlformats.org/officeDocument/2006/relationships/image" Target="media/image30.png"/><Relationship Id="rId81" Type="http://schemas.openxmlformats.org/officeDocument/2006/relationships/image" Target="media/image31.png"/><Relationship Id="rId82" Type="http://schemas.openxmlformats.org/officeDocument/2006/relationships/footer" Target="footer47.xml"/><Relationship Id="rId83" Type="http://schemas.openxmlformats.org/officeDocument/2006/relationships/image" Target="media/image32.png"/><Relationship Id="rId84" Type="http://schemas.openxmlformats.org/officeDocument/2006/relationships/footer" Target="footer48.xml"/><Relationship Id="rId85" Type="http://schemas.openxmlformats.org/officeDocument/2006/relationships/image" Target="media/image33.png"/><Relationship Id="rId86" Type="http://schemas.openxmlformats.org/officeDocument/2006/relationships/image" Target="media/image34.png"/><Relationship Id="rId87" Type="http://schemas.openxmlformats.org/officeDocument/2006/relationships/image" Target="media/image35.png"/><Relationship Id="rId88" Type="http://schemas.openxmlformats.org/officeDocument/2006/relationships/image" Target="media/image36.png"/><Relationship Id="rId89" Type="http://schemas.openxmlformats.org/officeDocument/2006/relationships/image" Target="media/image37.png"/><Relationship Id="rId90" Type="http://schemas.openxmlformats.org/officeDocument/2006/relationships/image" Target="media/image38.png"/><Relationship Id="rId91" Type="http://schemas.openxmlformats.org/officeDocument/2006/relationships/image" Target="media/image39.png"/><Relationship Id="rId92" Type="http://schemas.openxmlformats.org/officeDocument/2006/relationships/image" Target="media/image40.png"/><Relationship Id="rId93" Type="http://schemas.openxmlformats.org/officeDocument/2006/relationships/image" Target="media/image41.png"/><Relationship Id="rId94" Type="http://schemas.openxmlformats.org/officeDocument/2006/relationships/image" Target="media/image42.png"/><Relationship Id="rId95" Type="http://schemas.openxmlformats.org/officeDocument/2006/relationships/image" Target="media/image43.png"/><Relationship Id="rId96" Type="http://schemas.openxmlformats.org/officeDocument/2006/relationships/image" Target="media/image44.png"/><Relationship Id="rId97" Type="http://schemas.openxmlformats.org/officeDocument/2006/relationships/image" Target="media/image45.png"/><Relationship Id="rId98" Type="http://schemas.openxmlformats.org/officeDocument/2006/relationships/image" Target="media/image46.png"/><Relationship Id="rId99" Type="http://schemas.openxmlformats.org/officeDocument/2006/relationships/image" Target="media/image47.png"/><Relationship Id="rId100" Type="http://schemas.openxmlformats.org/officeDocument/2006/relationships/image" Target="media/image48.png"/><Relationship Id="rId101" Type="http://schemas.openxmlformats.org/officeDocument/2006/relationships/image" Target="media/image49.png"/><Relationship Id="rId102" Type="http://schemas.openxmlformats.org/officeDocument/2006/relationships/image" Target="media/image50.png"/><Relationship Id="rId103" Type="http://schemas.openxmlformats.org/officeDocument/2006/relationships/image" Target="media/image51.png"/><Relationship Id="rId104" Type="http://schemas.openxmlformats.org/officeDocument/2006/relationships/image" Target="media/image52.png"/><Relationship Id="rId105" Type="http://schemas.openxmlformats.org/officeDocument/2006/relationships/image" Target="media/image53.png"/><Relationship Id="rId106" Type="http://schemas.openxmlformats.org/officeDocument/2006/relationships/image" Target="media/image54.png"/><Relationship Id="rId107" Type="http://schemas.openxmlformats.org/officeDocument/2006/relationships/image" Target="media/image55.png"/><Relationship Id="rId108" Type="http://schemas.openxmlformats.org/officeDocument/2006/relationships/image" Target="media/image56.png"/><Relationship Id="rId109" Type="http://schemas.openxmlformats.org/officeDocument/2006/relationships/image" Target="media/image57.png"/><Relationship Id="rId110" Type="http://schemas.openxmlformats.org/officeDocument/2006/relationships/image" Target="media/image58.png"/><Relationship Id="rId111" Type="http://schemas.openxmlformats.org/officeDocument/2006/relationships/image" Target="media/image59.png"/><Relationship Id="rId112" Type="http://schemas.openxmlformats.org/officeDocument/2006/relationships/image" Target="media/image60.png"/><Relationship Id="rId113" Type="http://schemas.openxmlformats.org/officeDocument/2006/relationships/image" Target="media/image61.png"/><Relationship Id="rId114" Type="http://schemas.openxmlformats.org/officeDocument/2006/relationships/image" Target="media/image62.png"/><Relationship Id="rId115" Type="http://schemas.openxmlformats.org/officeDocument/2006/relationships/image" Target="media/image63.png"/><Relationship Id="rId116" Type="http://schemas.openxmlformats.org/officeDocument/2006/relationships/image" Target="media/image64.png"/><Relationship Id="rId117" Type="http://schemas.openxmlformats.org/officeDocument/2006/relationships/image" Target="media/image65.png"/><Relationship Id="rId118" Type="http://schemas.openxmlformats.org/officeDocument/2006/relationships/image" Target="media/image66.png"/><Relationship Id="rId119" Type="http://schemas.openxmlformats.org/officeDocument/2006/relationships/image" Target="media/image67.png"/><Relationship Id="rId120" Type="http://schemas.openxmlformats.org/officeDocument/2006/relationships/image" Target="media/image68.png"/><Relationship Id="rId121" Type="http://schemas.openxmlformats.org/officeDocument/2006/relationships/image" Target="media/image69.png"/><Relationship Id="rId122" Type="http://schemas.openxmlformats.org/officeDocument/2006/relationships/image" Target="media/image70.png"/><Relationship Id="rId123" Type="http://schemas.openxmlformats.org/officeDocument/2006/relationships/image" Target="media/image71.png"/><Relationship Id="rId124" Type="http://schemas.openxmlformats.org/officeDocument/2006/relationships/image" Target="media/image72.png"/><Relationship Id="rId125" Type="http://schemas.openxmlformats.org/officeDocument/2006/relationships/image" Target="media/image73.png"/><Relationship Id="rId126" Type="http://schemas.openxmlformats.org/officeDocument/2006/relationships/image" Target="media/image74.png"/><Relationship Id="rId127" Type="http://schemas.openxmlformats.org/officeDocument/2006/relationships/image" Target="media/image75.png"/><Relationship Id="rId128" Type="http://schemas.openxmlformats.org/officeDocument/2006/relationships/image" Target="media/image76.png"/><Relationship Id="rId129" Type="http://schemas.openxmlformats.org/officeDocument/2006/relationships/image" Target="media/image77.png"/><Relationship Id="rId130" Type="http://schemas.openxmlformats.org/officeDocument/2006/relationships/image" Target="media/image78.png"/><Relationship Id="rId131" Type="http://schemas.openxmlformats.org/officeDocument/2006/relationships/image" Target="media/image79.png"/><Relationship Id="rId132" Type="http://schemas.openxmlformats.org/officeDocument/2006/relationships/image" Target="media/image80.png"/><Relationship Id="rId133" Type="http://schemas.openxmlformats.org/officeDocument/2006/relationships/image" Target="media/image81.png"/><Relationship Id="rId134" Type="http://schemas.openxmlformats.org/officeDocument/2006/relationships/image" Target="media/image82.png"/><Relationship Id="rId135" Type="http://schemas.openxmlformats.org/officeDocument/2006/relationships/image" Target="media/image83.png"/><Relationship Id="rId136" Type="http://schemas.openxmlformats.org/officeDocument/2006/relationships/image" Target="media/image84.png"/><Relationship Id="rId137" Type="http://schemas.openxmlformats.org/officeDocument/2006/relationships/image" Target="media/image85.png"/><Relationship Id="rId138" Type="http://schemas.openxmlformats.org/officeDocument/2006/relationships/image" Target="media/image86.png"/><Relationship Id="rId139" Type="http://schemas.openxmlformats.org/officeDocument/2006/relationships/image" Target="media/image87.png"/><Relationship Id="rId140" Type="http://schemas.openxmlformats.org/officeDocument/2006/relationships/image" Target="media/image88.png"/><Relationship Id="rId141" Type="http://schemas.openxmlformats.org/officeDocument/2006/relationships/image" Target="media/image89.png"/><Relationship Id="rId142" Type="http://schemas.openxmlformats.org/officeDocument/2006/relationships/image" Target="media/image90.png"/><Relationship Id="rId143" Type="http://schemas.openxmlformats.org/officeDocument/2006/relationships/image" Target="media/image91.png"/><Relationship Id="rId144" Type="http://schemas.openxmlformats.org/officeDocument/2006/relationships/image" Target="media/image92.png"/><Relationship Id="rId145" Type="http://schemas.openxmlformats.org/officeDocument/2006/relationships/image" Target="media/image93.png"/><Relationship Id="rId146" Type="http://schemas.openxmlformats.org/officeDocument/2006/relationships/image" Target="media/image94.png"/><Relationship Id="rId147" Type="http://schemas.openxmlformats.org/officeDocument/2006/relationships/image" Target="media/image95.png"/><Relationship Id="rId148" Type="http://schemas.openxmlformats.org/officeDocument/2006/relationships/image" Target="media/image96.png"/><Relationship Id="rId149" Type="http://schemas.openxmlformats.org/officeDocument/2006/relationships/image" Target="media/image97.png"/><Relationship Id="rId150" Type="http://schemas.openxmlformats.org/officeDocument/2006/relationships/image" Target="media/image98.png"/><Relationship Id="rId151" Type="http://schemas.openxmlformats.org/officeDocument/2006/relationships/image" Target="media/image99.png"/><Relationship Id="rId152" Type="http://schemas.openxmlformats.org/officeDocument/2006/relationships/image" Target="media/image100.png"/><Relationship Id="rId153" Type="http://schemas.openxmlformats.org/officeDocument/2006/relationships/image" Target="media/image101.png"/><Relationship Id="rId154" Type="http://schemas.openxmlformats.org/officeDocument/2006/relationships/image" Target="media/image102.png"/><Relationship Id="rId155" Type="http://schemas.openxmlformats.org/officeDocument/2006/relationships/image" Target="media/image103.png"/><Relationship Id="rId156" Type="http://schemas.openxmlformats.org/officeDocument/2006/relationships/image" Target="media/image104.png"/><Relationship Id="rId157" Type="http://schemas.openxmlformats.org/officeDocument/2006/relationships/image" Target="media/image105.png"/><Relationship Id="rId158" Type="http://schemas.openxmlformats.org/officeDocument/2006/relationships/image" Target="media/image106.png"/><Relationship Id="rId159" Type="http://schemas.openxmlformats.org/officeDocument/2006/relationships/image" Target="media/image107.png"/><Relationship Id="rId160" Type="http://schemas.openxmlformats.org/officeDocument/2006/relationships/image" Target="media/image108.png"/><Relationship Id="rId161" Type="http://schemas.openxmlformats.org/officeDocument/2006/relationships/image" Target="media/image109.png"/><Relationship Id="rId162" Type="http://schemas.openxmlformats.org/officeDocument/2006/relationships/image" Target="media/image110.png"/><Relationship Id="rId163" Type="http://schemas.openxmlformats.org/officeDocument/2006/relationships/image" Target="media/image111.png"/><Relationship Id="rId164" Type="http://schemas.openxmlformats.org/officeDocument/2006/relationships/image" Target="media/image112.png"/><Relationship Id="rId165" Type="http://schemas.openxmlformats.org/officeDocument/2006/relationships/image" Target="media/image113.png"/><Relationship Id="rId166" Type="http://schemas.openxmlformats.org/officeDocument/2006/relationships/image" Target="media/image114.png"/><Relationship Id="rId167" Type="http://schemas.openxmlformats.org/officeDocument/2006/relationships/image" Target="media/image115.png"/><Relationship Id="rId168" Type="http://schemas.openxmlformats.org/officeDocument/2006/relationships/image" Target="media/image116.png"/><Relationship Id="rId169" Type="http://schemas.openxmlformats.org/officeDocument/2006/relationships/image" Target="media/image117.png"/><Relationship Id="rId170" Type="http://schemas.openxmlformats.org/officeDocument/2006/relationships/image" Target="media/image118.png"/><Relationship Id="rId171" Type="http://schemas.openxmlformats.org/officeDocument/2006/relationships/image" Target="media/image119.png"/><Relationship Id="rId172" Type="http://schemas.openxmlformats.org/officeDocument/2006/relationships/image" Target="media/image120.png"/><Relationship Id="rId173" Type="http://schemas.openxmlformats.org/officeDocument/2006/relationships/image" Target="media/image121.png"/><Relationship Id="rId174" Type="http://schemas.openxmlformats.org/officeDocument/2006/relationships/image" Target="media/image122.png"/><Relationship Id="rId175" Type="http://schemas.openxmlformats.org/officeDocument/2006/relationships/footer" Target="footer49.xml"/><Relationship Id="rId176" Type="http://schemas.openxmlformats.org/officeDocument/2006/relationships/image" Target="media/image123.png"/><Relationship Id="rId177" Type="http://schemas.openxmlformats.org/officeDocument/2006/relationships/footer" Target="footer50.xml"/><Relationship Id="rId178" Type="http://schemas.openxmlformats.org/officeDocument/2006/relationships/image" Target="media/image124.png"/><Relationship Id="rId179" Type="http://schemas.openxmlformats.org/officeDocument/2006/relationships/image" Target="media/image125.png"/><Relationship Id="rId180" Type="http://schemas.openxmlformats.org/officeDocument/2006/relationships/image" Target="media/image126.png"/><Relationship Id="rId181" Type="http://schemas.openxmlformats.org/officeDocument/2006/relationships/image" Target="media/image127.png"/><Relationship Id="rId182" Type="http://schemas.openxmlformats.org/officeDocument/2006/relationships/image" Target="media/image128.png"/><Relationship Id="rId183" Type="http://schemas.openxmlformats.org/officeDocument/2006/relationships/image" Target="media/image129.png"/><Relationship Id="rId184" Type="http://schemas.openxmlformats.org/officeDocument/2006/relationships/image" Target="media/image130.png"/><Relationship Id="rId185" Type="http://schemas.openxmlformats.org/officeDocument/2006/relationships/image" Target="media/image131.png"/><Relationship Id="rId186" Type="http://schemas.openxmlformats.org/officeDocument/2006/relationships/footer" Target="footer51.xml"/><Relationship Id="rId187" Type="http://schemas.openxmlformats.org/officeDocument/2006/relationships/image" Target="media/image132.png"/><Relationship Id="rId188" Type="http://schemas.openxmlformats.org/officeDocument/2006/relationships/footer" Target="footer52.xml"/><Relationship Id="rId189" Type="http://schemas.openxmlformats.org/officeDocument/2006/relationships/image" Target="media/image133.png"/><Relationship Id="rId190" Type="http://schemas.openxmlformats.org/officeDocument/2006/relationships/image" Target="media/image134.png"/><Relationship Id="rId191" Type="http://schemas.openxmlformats.org/officeDocument/2006/relationships/image" Target="media/image135.png"/><Relationship Id="rId192" Type="http://schemas.openxmlformats.org/officeDocument/2006/relationships/image" Target="media/image136.png"/><Relationship Id="rId193" Type="http://schemas.openxmlformats.org/officeDocument/2006/relationships/image" Target="media/image137.png"/><Relationship Id="rId194" Type="http://schemas.openxmlformats.org/officeDocument/2006/relationships/image" Target="media/image138.png"/><Relationship Id="rId195" Type="http://schemas.openxmlformats.org/officeDocument/2006/relationships/footer" Target="footer53.xml"/><Relationship Id="rId196" Type="http://schemas.openxmlformats.org/officeDocument/2006/relationships/footer" Target="footer54.xml"/><Relationship Id="rId197" Type="http://schemas.openxmlformats.org/officeDocument/2006/relationships/image" Target="media/image139.png"/><Relationship Id="rId198" Type="http://schemas.openxmlformats.org/officeDocument/2006/relationships/image" Target="media/image140.png"/><Relationship Id="rId199" Type="http://schemas.openxmlformats.org/officeDocument/2006/relationships/image" Target="media/image141.png"/><Relationship Id="rId200" Type="http://schemas.openxmlformats.org/officeDocument/2006/relationships/image" Target="media/image142.png"/><Relationship Id="rId201" Type="http://schemas.openxmlformats.org/officeDocument/2006/relationships/image" Target="media/image143.png"/><Relationship Id="rId202" Type="http://schemas.openxmlformats.org/officeDocument/2006/relationships/image" Target="media/image144.png"/><Relationship Id="rId203" Type="http://schemas.openxmlformats.org/officeDocument/2006/relationships/image" Target="media/image145.png"/><Relationship Id="rId204" Type="http://schemas.openxmlformats.org/officeDocument/2006/relationships/footer" Target="footer55.xml"/><Relationship Id="rId205" Type="http://schemas.openxmlformats.org/officeDocument/2006/relationships/image" Target="media/image146.png"/><Relationship Id="rId206" Type="http://schemas.openxmlformats.org/officeDocument/2006/relationships/image" Target="media/image147.png"/><Relationship Id="rId207" Type="http://schemas.openxmlformats.org/officeDocument/2006/relationships/image" Target="media/image148.png"/><Relationship Id="rId208" Type="http://schemas.openxmlformats.org/officeDocument/2006/relationships/image" Target="media/image149.png"/><Relationship Id="rId209" Type="http://schemas.openxmlformats.org/officeDocument/2006/relationships/image" Target="media/image150.png"/><Relationship Id="rId210" Type="http://schemas.openxmlformats.org/officeDocument/2006/relationships/image" Target="media/image151.png"/><Relationship Id="rId211" Type="http://schemas.openxmlformats.org/officeDocument/2006/relationships/image" Target="media/image152.png"/><Relationship Id="rId212" Type="http://schemas.openxmlformats.org/officeDocument/2006/relationships/image" Target="media/image153.png"/><Relationship Id="rId213" Type="http://schemas.openxmlformats.org/officeDocument/2006/relationships/image" Target="media/image154.png"/><Relationship Id="rId214" Type="http://schemas.openxmlformats.org/officeDocument/2006/relationships/image" Target="media/image155.png"/><Relationship Id="rId215" Type="http://schemas.openxmlformats.org/officeDocument/2006/relationships/image" Target="media/image156.png"/><Relationship Id="rId216" Type="http://schemas.openxmlformats.org/officeDocument/2006/relationships/image" Target="media/image157.png"/><Relationship Id="rId217" Type="http://schemas.openxmlformats.org/officeDocument/2006/relationships/image" Target="media/image158.png"/><Relationship Id="rId218" Type="http://schemas.openxmlformats.org/officeDocument/2006/relationships/image" Target="media/image159.png"/><Relationship Id="rId219" Type="http://schemas.openxmlformats.org/officeDocument/2006/relationships/image" Target="media/image160.png"/><Relationship Id="rId220" Type="http://schemas.openxmlformats.org/officeDocument/2006/relationships/image" Target="media/image161.png"/><Relationship Id="rId221" Type="http://schemas.openxmlformats.org/officeDocument/2006/relationships/image" Target="media/image162.png"/><Relationship Id="rId222" Type="http://schemas.openxmlformats.org/officeDocument/2006/relationships/image" Target="media/image163.png"/><Relationship Id="rId223" Type="http://schemas.openxmlformats.org/officeDocument/2006/relationships/image" Target="media/image164.png"/><Relationship Id="rId224" Type="http://schemas.openxmlformats.org/officeDocument/2006/relationships/image" Target="media/image165.png"/><Relationship Id="rId225" Type="http://schemas.openxmlformats.org/officeDocument/2006/relationships/image" Target="media/image166.png"/><Relationship Id="rId226" Type="http://schemas.openxmlformats.org/officeDocument/2006/relationships/image" Target="media/image167.png"/><Relationship Id="rId227" Type="http://schemas.openxmlformats.org/officeDocument/2006/relationships/image" Target="media/image168.png"/><Relationship Id="rId228" Type="http://schemas.openxmlformats.org/officeDocument/2006/relationships/image" Target="media/image169.png"/><Relationship Id="rId229" Type="http://schemas.openxmlformats.org/officeDocument/2006/relationships/image" Target="media/image170.png"/><Relationship Id="rId230" Type="http://schemas.openxmlformats.org/officeDocument/2006/relationships/image" Target="media/image171.png"/><Relationship Id="rId231" Type="http://schemas.openxmlformats.org/officeDocument/2006/relationships/image" Target="media/image172.png"/><Relationship Id="rId232" Type="http://schemas.openxmlformats.org/officeDocument/2006/relationships/image" Target="media/image173.png"/><Relationship Id="rId233" Type="http://schemas.openxmlformats.org/officeDocument/2006/relationships/image" Target="media/image174.png"/><Relationship Id="rId234" Type="http://schemas.openxmlformats.org/officeDocument/2006/relationships/image" Target="media/image175.png"/><Relationship Id="rId235" Type="http://schemas.openxmlformats.org/officeDocument/2006/relationships/image" Target="media/image176.png"/><Relationship Id="rId236" Type="http://schemas.openxmlformats.org/officeDocument/2006/relationships/image" Target="media/image177.png"/><Relationship Id="rId237" Type="http://schemas.openxmlformats.org/officeDocument/2006/relationships/image" Target="media/image178.png"/><Relationship Id="rId238" Type="http://schemas.openxmlformats.org/officeDocument/2006/relationships/image" Target="media/image179.png"/><Relationship Id="rId239" Type="http://schemas.openxmlformats.org/officeDocument/2006/relationships/image" Target="media/image180.png"/><Relationship Id="rId240" Type="http://schemas.openxmlformats.org/officeDocument/2006/relationships/image" Target="media/image181.png"/><Relationship Id="rId241" Type="http://schemas.openxmlformats.org/officeDocument/2006/relationships/image" Target="media/image182.png"/><Relationship Id="rId242" Type="http://schemas.openxmlformats.org/officeDocument/2006/relationships/image" Target="media/image183.png"/><Relationship Id="rId243" Type="http://schemas.openxmlformats.org/officeDocument/2006/relationships/image" Target="media/image184.png"/><Relationship Id="rId244" Type="http://schemas.openxmlformats.org/officeDocument/2006/relationships/image" Target="media/image185.png"/><Relationship Id="rId245" Type="http://schemas.openxmlformats.org/officeDocument/2006/relationships/image" Target="media/image186.png"/><Relationship Id="rId246" Type="http://schemas.openxmlformats.org/officeDocument/2006/relationships/image" Target="media/image187.png"/><Relationship Id="rId247" Type="http://schemas.openxmlformats.org/officeDocument/2006/relationships/image" Target="media/image188.png"/><Relationship Id="rId248" Type="http://schemas.openxmlformats.org/officeDocument/2006/relationships/image" Target="media/image189.png"/><Relationship Id="rId249" Type="http://schemas.openxmlformats.org/officeDocument/2006/relationships/image" Target="media/image190.png"/><Relationship Id="rId250" Type="http://schemas.openxmlformats.org/officeDocument/2006/relationships/image" Target="media/image191.png"/><Relationship Id="rId251" Type="http://schemas.openxmlformats.org/officeDocument/2006/relationships/image" Target="media/image192.png"/><Relationship Id="rId252" Type="http://schemas.openxmlformats.org/officeDocument/2006/relationships/image" Target="media/image193.png"/><Relationship Id="rId253" Type="http://schemas.openxmlformats.org/officeDocument/2006/relationships/image" Target="media/image194.png"/><Relationship Id="rId254" Type="http://schemas.openxmlformats.org/officeDocument/2006/relationships/image" Target="media/image195.png"/><Relationship Id="rId255" Type="http://schemas.openxmlformats.org/officeDocument/2006/relationships/image" Target="media/image196.png"/><Relationship Id="rId256" Type="http://schemas.openxmlformats.org/officeDocument/2006/relationships/image" Target="media/image197.png"/><Relationship Id="rId257" Type="http://schemas.openxmlformats.org/officeDocument/2006/relationships/image" Target="media/image198.png"/><Relationship Id="rId258" Type="http://schemas.openxmlformats.org/officeDocument/2006/relationships/image" Target="media/image199.png"/><Relationship Id="rId259" Type="http://schemas.openxmlformats.org/officeDocument/2006/relationships/image" Target="media/image200.png"/><Relationship Id="rId260" Type="http://schemas.openxmlformats.org/officeDocument/2006/relationships/image" Target="media/image201.png"/><Relationship Id="rId261" Type="http://schemas.openxmlformats.org/officeDocument/2006/relationships/image" Target="media/image202.png"/><Relationship Id="rId262" Type="http://schemas.openxmlformats.org/officeDocument/2006/relationships/image" Target="media/image203.png"/><Relationship Id="rId263" Type="http://schemas.openxmlformats.org/officeDocument/2006/relationships/image" Target="media/image204.png"/><Relationship Id="rId264" Type="http://schemas.openxmlformats.org/officeDocument/2006/relationships/image" Target="media/image205.png"/><Relationship Id="rId265" Type="http://schemas.openxmlformats.org/officeDocument/2006/relationships/image" Target="media/image206.png"/><Relationship Id="rId266" Type="http://schemas.openxmlformats.org/officeDocument/2006/relationships/image" Target="media/image207.png"/><Relationship Id="rId267" Type="http://schemas.openxmlformats.org/officeDocument/2006/relationships/image" Target="media/image208.png"/><Relationship Id="rId268" Type="http://schemas.openxmlformats.org/officeDocument/2006/relationships/image" Target="media/image209.png"/><Relationship Id="rId269" Type="http://schemas.openxmlformats.org/officeDocument/2006/relationships/image" Target="media/image210.png"/><Relationship Id="rId270" Type="http://schemas.openxmlformats.org/officeDocument/2006/relationships/image" Target="media/image211.png"/><Relationship Id="rId271" Type="http://schemas.openxmlformats.org/officeDocument/2006/relationships/image" Target="media/image212.png"/><Relationship Id="rId272" Type="http://schemas.openxmlformats.org/officeDocument/2006/relationships/image" Target="media/image213.png"/><Relationship Id="rId273" Type="http://schemas.openxmlformats.org/officeDocument/2006/relationships/image" Target="media/image214.png"/><Relationship Id="rId274" Type="http://schemas.openxmlformats.org/officeDocument/2006/relationships/image" Target="media/image215.png"/><Relationship Id="rId275" Type="http://schemas.openxmlformats.org/officeDocument/2006/relationships/image" Target="media/image216.png"/><Relationship Id="rId276" Type="http://schemas.openxmlformats.org/officeDocument/2006/relationships/image" Target="media/image217.png"/><Relationship Id="rId277" Type="http://schemas.openxmlformats.org/officeDocument/2006/relationships/image" Target="media/image218.png"/><Relationship Id="rId278" Type="http://schemas.openxmlformats.org/officeDocument/2006/relationships/image" Target="media/image219.png"/><Relationship Id="rId279" Type="http://schemas.openxmlformats.org/officeDocument/2006/relationships/image" Target="media/image220.png"/><Relationship Id="rId280" Type="http://schemas.openxmlformats.org/officeDocument/2006/relationships/image" Target="media/image221.png"/><Relationship Id="rId281" Type="http://schemas.openxmlformats.org/officeDocument/2006/relationships/image" Target="media/image222.png"/><Relationship Id="rId282" Type="http://schemas.openxmlformats.org/officeDocument/2006/relationships/image" Target="media/image223.png"/><Relationship Id="rId283" Type="http://schemas.openxmlformats.org/officeDocument/2006/relationships/image" Target="media/image224.png"/><Relationship Id="rId284" Type="http://schemas.openxmlformats.org/officeDocument/2006/relationships/image" Target="media/image225.png"/><Relationship Id="rId285" Type="http://schemas.openxmlformats.org/officeDocument/2006/relationships/image" Target="media/image226.png"/><Relationship Id="rId286" Type="http://schemas.openxmlformats.org/officeDocument/2006/relationships/image" Target="media/image227.png"/><Relationship Id="rId287" Type="http://schemas.openxmlformats.org/officeDocument/2006/relationships/image" Target="media/image228.png"/><Relationship Id="rId288" Type="http://schemas.openxmlformats.org/officeDocument/2006/relationships/image" Target="media/image229.png"/><Relationship Id="rId289" Type="http://schemas.openxmlformats.org/officeDocument/2006/relationships/image" Target="media/image230.png"/><Relationship Id="rId290" Type="http://schemas.openxmlformats.org/officeDocument/2006/relationships/image" Target="media/image231.png"/><Relationship Id="rId291" Type="http://schemas.openxmlformats.org/officeDocument/2006/relationships/image" Target="media/image232.png"/><Relationship Id="rId292" Type="http://schemas.openxmlformats.org/officeDocument/2006/relationships/image" Target="media/image233.png"/><Relationship Id="rId293" Type="http://schemas.openxmlformats.org/officeDocument/2006/relationships/image" Target="media/image234.png"/><Relationship Id="rId294" Type="http://schemas.openxmlformats.org/officeDocument/2006/relationships/image" Target="media/image235.png"/><Relationship Id="rId295" Type="http://schemas.openxmlformats.org/officeDocument/2006/relationships/image" Target="media/image236.png"/><Relationship Id="rId296" Type="http://schemas.openxmlformats.org/officeDocument/2006/relationships/image" Target="media/image237.png"/><Relationship Id="rId297" Type="http://schemas.openxmlformats.org/officeDocument/2006/relationships/image" Target="media/image238.png"/><Relationship Id="rId298" Type="http://schemas.openxmlformats.org/officeDocument/2006/relationships/image" Target="media/image239.png"/><Relationship Id="rId299" Type="http://schemas.openxmlformats.org/officeDocument/2006/relationships/image" Target="media/image240.png"/><Relationship Id="rId300" Type="http://schemas.openxmlformats.org/officeDocument/2006/relationships/image" Target="media/image241.png"/><Relationship Id="rId301" Type="http://schemas.openxmlformats.org/officeDocument/2006/relationships/image" Target="media/image242.png"/><Relationship Id="rId302" Type="http://schemas.openxmlformats.org/officeDocument/2006/relationships/image" Target="media/image243.png"/><Relationship Id="rId303" Type="http://schemas.openxmlformats.org/officeDocument/2006/relationships/image" Target="media/image244.png"/><Relationship Id="rId304" Type="http://schemas.openxmlformats.org/officeDocument/2006/relationships/image" Target="media/image245.png"/><Relationship Id="rId305" Type="http://schemas.openxmlformats.org/officeDocument/2006/relationships/image" Target="media/image246.png"/><Relationship Id="rId306" Type="http://schemas.openxmlformats.org/officeDocument/2006/relationships/image" Target="media/image247.png"/><Relationship Id="rId307" Type="http://schemas.openxmlformats.org/officeDocument/2006/relationships/image" Target="media/image248.png"/><Relationship Id="rId308" Type="http://schemas.openxmlformats.org/officeDocument/2006/relationships/image" Target="media/image249.png"/><Relationship Id="rId309" Type="http://schemas.openxmlformats.org/officeDocument/2006/relationships/image" Target="media/image250.png"/><Relationship Id="rId310" Type="http://schemas.openxmlformats.org/officeDocument/2006/relationships/image" Target="media/image251.png"/><Relationship Id="rId311" Type="http://schemas.openxmlformats.org/officeDocument/2006/relationships/image" Target="media/image252.png"/><Relationship Id="rId312" Type="http://schemas.openxmlformats.org/officeDocument/2006/relationships/image" Target="media/image253.png"/><Relationship Id="rId313" Type="http://schemas.openxmlformats.org/officeDocument/2006/relationships/image" Target="media/image254.png"/><Relationship Id="rId314" Type="http://schemas.openxmlformats.org/officeDocument/2006/relationships/image" Target="media/image255.png"/><Relationship Id="rId315" Type="http://schemas.openxmlformats.org/officeDocument/2006/relationships/image" Target="media/image256.png"/><Relationship Id="rId316" Type="http://schemas.openxmlformats.org/officeDocument/2006/relationships/image" Target="media/image257.png"/><Relationship Id="rId317" Type="http://schemas.openxmlformats.org/officeDocument/2006/relationships/image" Target="media/image258.png"/><Relationship Id="rId318" Type="http://schemas.openxmlformats.org/officeDocument/2006/relationships/image" Target="media/image259.png"/><Relationship Id="rId319" Type="http://schemas.openxmlformats.org/officeDocument/2006/relationships/image" Target="media/image260.png"/><Relationship Id="rId320" Type="http://schemas.openxmlformats.org/officeDocument/2006/relationships/image" Target="media/image261.png"/><Relationship Id="rId321" Type="http://schemas.openxmlformats.org/officeDocument/2006/relationships/footer" Target="footer56.xml"/><Relationship Id="rId322" Type="http://schemas.openxmlformats.org/officeDocument/2006/relationships/image" Target="media/image262.png"/><Relationship Id="rId323" Type="http://schemas.openxmlformats.org/officeDocument/2006/relationships/image" Target="media/image263.png"/><Relationship Id="rId324" Type="http://schemas.openxmlformats.org/officeDocument/2006/relationships/image" Target="media/image264.png"/><Relationship Id="rId325" Type="http://schemas.openxmlformats.org/officeDocument/2006/relationships/image" Target="media/image265.png"/><Relationship Id="rId326" Type="http://schemas.openxmlformats.org/officeDocument/2006/relationships/image" Target="media/image266.png"/><Relationship Id="rId327" Type="http://schemas.openxmlformats.org/officeDocument/2006/relationships/footer" Target="footer57.xml"/><Relationship Id="rId328" Type="http://schemas.openxmlformats.org/officeDocument/2006/relationships/footer" Target="footer58.xml"/><Relationship Id="rId329" Type="http://schemas.openxmlformats.org/officeDocument/2006/relationships/numbering" Target="numbering.xml"/></Relationships>

</file>

<file path=word/_rels/footer45.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Fernandez</dc:creator>
  <dcterms:created xsi:type="dcterms:W3CDTF">2017-05-26T18:24:20Z</dcterms:created>
  <dcterms:modified xsi:type="dcterms:W3CDTF">2017-05-26T18:24:20Z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2017-02-21T00:00:00Z</vt:filetime>
  </property>
  <property fmtid="{D5CDD505-2E9C-101B-9397-08002B2CF9AE}" pid="3" name="Creator">
    <vt:lpwstr>Microsoft® Word 2013</vt:lpwstr>
  </property>
  <property fmtid="{D5CDD505-2E9C-101B-9397-08002B2CF9AE}" pid="4" name="LastSaved">
    <vt:filetime>2017-05-26T00:00:00Z</vt:filetime>
  </property>
</Properties>
</file>